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157" w:lineRule="exact"/>
        <w:rPr>
          <w:sz w:val="24"/>
          <w:szCs w:val="24"/>
          <w:color w:val="auto"/>
        </w:rPr>
      </w:pPr>
    </w:p>
    <w:p>
      <w:pPr>
        <w:ind w:left="820" w:right="2360" w:hanging="427"/>
        <w:spacing w:after="0" w:line="304" w:lineRule="auto"/>
        <w:tabs>
          <w:tab w:leader="none" w:pos="95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960" w:hanging="567"/>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5" w:lineRule="exact"/>
        <w:rPr>
          <w:sz w:val="24"/>
          <w:szCs w:val="24"/>
          <w:color w:val="auto"/>
        </w:rPr>
      </w:pPr>
    </w:p>
    <w:tbl>
      <w:tblPr>
        <w:tblLayout w:type="fixed"/>
        <w:tblInd w:w="620" w:type="dxa"/>
        <w:tblCellMar>
          <w:top w:w="0" w:type="dxa"/>
          <w:left w:w="0" w:type="dxa"/>
          <w:bottom w:w="0" w:type="dxa"/>
          <w:right w:w="0" w:type="dxa"/>
        </w:tblCellMar>
      </w:tblPr>
      <w:tr>
        <w:trPr>
          <w:trHeight w:val="215"/>
        </w:trPr>
        <w:tc>
          <w:tcPr>
            <w:tcW w:w="2620" w:type="dxa"/>
            <w:vAlign w:val="bottom"/>
            <w:gridSpan w:val="3"/>
          </w:tcPr>
          <w:p>
            <w:pPr>
              <w:ind w:left="200"/>
              <w:spacing w:after="0"/>
              <w:rPr>
                <w:sz w:val="20"/>
                <w:szCs w:val="20"/>
                <w:color w:val="auto"/>
              </w:rPr>
            </w:pPr>
            <w:r>
              <w:rPr>
                <w:rFonts w:ascii="Arial" w:cs="Arial" w:eastAsia="Arial" w:hAnsi="Arial"/>
                <w:sz w:val="16"/>
                <w:szCs w:val="16"/>
                <w:b w:val="1"/>
                <w:bCs w:val="1"/>
                <w:color w:val="auto"/>
              </w:rPr>
              <w:t>For the transition period from</w:t>
            </w:r>
          </w:p>
        </w:tc>
        <w:tc>
          <w:tcPr>
            <w:tcW w:w="19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94"/>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4"/>
          </w:tcPr>
          <w:p>
            <w:pPr>
              <w:jc w:val="center"/>
              <w:ind w:left="873"/>
              <w:spacing w:after="0"/>
              <w:rPr>
                <w:sz w:val="20"/>
                <w:szCs w:val="20"/>
                <w:color w:val="auto"/>
              </w:rPr>
            </w:pPr>
            <w:r>
              <w:rPr>
                <w:rFonts w:ascii="Arial" w:cs="Arial" w:eastAsia="Arial" w:hAnsi="Arial"/>
                <w:sz w:val="16"/>
                <w:szCs w:val="16"/>
                <w:b w:val="1"/>
                <w:bCs w:val="1"/>
                <w:color w:val="auto"/>
              </w:rPr>
              <w:t>Commission file number 001-34963</w:t>
            </w: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51"/>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gridSpan w:val="6"/>
          </w:tcPr>
          <w:p>
            <w:pPr>
              <w:jc w:val="center"/>
              <w:ind w:right="2239"/>
              <w:spacing w:after="0"/>
              <w:rPr>
                <w:sz w:val="20"/>
                <w:szCs w:val="20"/>
                <w:color w:val="auto"/>
              </w:rPr>
            </w:pPr>
            <w:r>
              <w:rPr>
                <w:rFonts w:ascii="Arial" w:cs="Arial" w:eastAsia="Arial" w:hAnsi="Arial"/>
                <w:sz w:val="32"/>
                <w:szCs w:val="32"/>
                <w:b w:val="1"/>
                <w:bCs w:val="1"/>
                <w:color w:val="auto"/>
              </w:rPr>
              <w:t>LPL Financial Holdings Inc.</w:t>
            </w:r>
          </w:p>
        </w:tc>
      </w:tr>
      <w:tr>
        <w:trPr>
          <w:trHeight w:val="211"/>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80" w:type="dxa"/>
            <w:vAlign w:val="bottom"/>
            <w:gridSpan w:val="6"/>
          </w:tcPr>
          <w:p>
            <w:pPr>
              <w:jc w:val="center"/>
              <w:ind w:right="2259"/>
              <w:spacing w:after="0"/>
              <w:rPr>
                <w:sz w:val="20"/>
                <w:szCs w:val="20"/>
                <w:color w:val="auto"/>
              </w:rPr>
            </w:pPr>
            <w:r>
              <w:rPr>
                <w:rFonts w:ascii="Arial" w:cs="Arial" w:eastAsia="Arial" w:hAnsi="Arial"/>
                <w:sz w:val="16"/>
                <w:szCs w:val="16"/>
                <w:i w:val="1"/>
                <w:iCs w:val="1"/>
                <w:color w:val="auto"/>
              </w:rPr>
              <w:t>(Exact name of registrant as specified in its charter)</w:t>
            </w:r>
          </w:p>
        </w:tc>
      </w:tr>
      <w:tr>
        <w:trPr>
          <w:trHeight w:val="324"/>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868"/>
              <w:spacing w:after="0"/>
              <w:rPr>
                <w:sz w:val="20"/>
                <w:szCs w:val="20"/>
                <w:color w:val="auto"/>
              </w:rPr>
            </w:pPr>
            <w:r>
              <w:rPr>
                <w:rFonts w:ascii="Arial" w:cs="Arial" w:eastAsia="Arial" w:hAnsi="Arial"/>
                <w:sz w:val="16"/>
                <w:szCs w:val="16"/>
                <w:b w:val="1"/>
                <w:bCs w:val="1"/>
                <w:color w:val="auto"/>
              </w:rPr>
              <w:t>Delaware</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00" w:type="dxa"/>
            <w:vAlign w:val="bottom"/>
            <w:gridSpan w:val="2"/>
          </w:tcPr>
          <w:p>
            <w:pPr>
              <w:jc w:val="right"/>
              <w:ind w:right="2019"/>
              <w:spacing w:after="0"/>
              <w:rPr>
                <w:sz w:val="20"/>
                <w:szCs w:val="20"/>
                <w:color w:val="auto"/>
              </w:rPr>
            </w:pPr>
            <w:r>
              <w:rPr>
                <w:rFonts w:ascii="Arial" w:cs="Arial" w:eastAsia="Arial" w:hAnsi="Arial"/>
                <w:sz w:val="16"/>
                <w:szCs w:val="16"/>
                <w:b w:val="1"/>
                <w:bCs w:val="1"/>
                <w:color w:val="auto"/>
              </w:rPr>
              <w:t>20-3717839</w:t>
            </w:r>
          </w:p>
        </w:tc>
      </w:tr>
      <w:tr>
        <w:trPr>
          <w:trHeight w:val="224"/>
        </w:trPr>
        <w:tc>
          <w:tcPr>
            <w:tcW w:w="1020" w:type="dxa"/>
            <w:vAlign w:val="bottom"/>
          </w:tcPr>
          <w:p>
            <w:pPr>
              <w:spacing w:after="0"/>
              <w:rPr>
                <w:sz w:val="19"/>
                <w:szCs w:val="19"/>
                <w:color w:val="auto"/>
              </w:rPr>
            </w:pPr>
          </w:p>
        </w:tc>
        <w:tc>
          <w:tcPr>
            <w:tcW w:w="4480" w:type="dxa"/>
            <w:vAlign w:val="bottom"/>
            <w:gridSpan w:val="5"/>
          </w:tcPr>
          <w:p>
            <w:pPr>
              <w:jc w:val="center"/>
              <w:ind w:right="239"/>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4400" w:type="dxa"/>
            <w:vAlign w:val="bottom"/>
            <w:gridSpan w:val="3"/>
          </w:tcPr>
          <w:p>
            <w:pPr>
              <w:jc w:val="center"/>
              <w:ind w:right="579"/>
              <w:spacing w:after="0"/>
              <w:rPr>
                <w:sz w:val="20"/>
                <w:szCs w:val="20"/>
                <w:color w:val="auto"/>
              </w:rPr>
            </w:pPr>
            <w:r>
              <w:rPr>
                <w:rFonts w:ascii="Arial" w:cs="Arial" w:eastAsia="Arial" w:hAnsi="Arial"/>
                <w:sz w:val="14"/>
                <w:szCs w:val="14"/>
                <w:i w:val="1"/>
                <w:iCs w:val="1"/>
                <w:color w:val="auto"/>
              </w:rPr>
              <w:t>(I.R.S. Employer Identification No.)</w:t>
            </w:r>
          </w:p>
        </w:tc>
      </w:tr>
      <w:tr>
        <w:trPr>
          <w:trHeight w:val="371"/>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4707 Executive Drive,</w:t>
            </w: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San Diego,</w:t>
            </w:r>
          </w:p>
        </w:tc>
        <w:tc>
          <w:tcPr>
            <w:tcW w:w="1100" w:type="dxa"/>
            <w:vAlign w:val="bottom"/>
          </w:tcPr>
          <w:p>
            <w:pPr>
              <w:jc w:val="right"/>
              <w:ind w:right="263"/>
              <w:spacing w:after="0"/>
              <w:rPr>
                <w:sz w:val="20"/>
                <w:szCs w:val="20"/>
                <w:color w:val="auto"/>
              </w:rPr>
            </w:pPr>
            <w:r>
              <w:rPr>
                <w:rFonts w:ascii="Arial" w:cs="Arial" w:eastAsia="Arial" w:hAnsi="Arial"/>
                <w:sz w:val="16"/>
                <w:szCs w:val="16"/>
                <w:b w:val="1"/>
                <w:bCs w:val="1"/>
                <w:color w:val="auto"/>
              </w:rPr>
              <w:t>California</w:t>
            </w:r>
          </w:p>
        </w:tc>
        <w:tc>
          <w:tcPr>
            <w:tcW w:w="3300" w:type="dxa"/>
            <w:vAlign w:val="bottom"/>
            <w:gridSpan w:val="2"/>
          </w:tcPr>
          <w:p>
            <w:pPr>
              <w:jc w:val="right"/>
              <w:ind w:right="2519"/>
              <w:spacing w:after="0"/>
              <w:rPr>
                <w:sz w:val="20"/>
                <w:szCs w:val="20"/>
                <w:color w:val="auto"/>
              </w:rPr>
            </w:pPr>
            <w:r>
              <w:rPr>
                <w:rFonts w:ascii="Arial" w:cs="Arial" w:eastAsia="Arial" w:hAnsi="Arial"/>
                <w:sz w:val="16"/>
                <w:szCs w:val="16"/>
                <w:b w:val="1"/>
                <w:bCs w:val="1"/>
                <w:color w:val="auto"/>
              </w:rPr>
              <w:t>92121</w:t>
            </w:r>
          </w:p>
        </w:tc>
      </w:tr>
      <w:tr>
        <w:trPr>
          <w:trHeight w:val="224"/>
        </w:trPr>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gridSpan w:val="4"/>
          </w:tcPr>
          <w:p>
            <w:pPr>
              <w:ind w:left="640"/>
              <w:spacing w:after="0"/>
              <w:rPr>
                <w:sz w:val="20"/>
                <w:szCs w:val="20"/>
                <w:color w:val="auto"/>
              </w:rPr>
            </w:pPr>
            <w:r>
              <w:rPr>
                <w:rFonts w:ascii="Arial" w:cs="Arial" w:eastAsia="Arial" w:hAnsi="Arial"/>
                <w:sz w:val="14"/>
                <w:szCs w:val="14"/>
                <w:i w:val="1"/>
                <w:iCs w:val="1"/>
                <w:color w:val="auto"/>
              </w:rPr>
              <w:t>(Address of principal executive offices)</w:t>
            </w:r>
          </w:p>
        </w:tc>
        <w:tc>
          <w:tcPr>
            <w:tcW w:w="3300" w:type="dxa"/>
            <w:vAlign w:val="bottom"/>
            <w:gridSpan w:val="2"/>
          </w:tcPr>
          <w:p>
            <w:pPr>
              <w:ind w:left="140"/>
              <w:spacing w:after="0"/>
              <w:rPr>
                <w:sz w:val="20"/>
                <w:szCs w:val="20"/>
                <w:color w:val="auto"/>
              </w:rPr>
            </w:pPr>
            <w:r>
              <w:rPr>
                <w:rFonts w:ascii="Arial" w:cs="Arial" w:eastAsia="Arial" w:hAnsi="Arial"/>
                <w:sz w:val="14"/>
                <w:szCs w:val="14"/>
                <w:i w:val="1"/>
                <w:iCs w:val="1"/>
                <w:color w:val="auto"/>
              </w:rPr>
              <w:t>(zip code)</w:t>
            </w:r>
          </w:p>
        </w:tc>
      </w:tr>
      <w:tr>
        <w:trPr>
          <w:trHeight w:val="556"/>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4"/>
          </w:tcPr>
          <w:p>
            <w:pPr>
              <w:jc w:val="right"/>
              <w:ind w:right="863"/>
              <w:spacing w:after="0"/>
              <w:rPr>
                <w:sz w:val="20"/>
                <w:szCs w:val="20"/>
                <w:color w:val="auto"/>
              </w:rPr>
            </w:pPr>
            <w:r>
              <w:rPr>
                <w:rFonts w:ascii="Arial" w:cs="Arial" w:eastAsia="Arial" w:hAnsi="Arial"/>
                <w:sz w:val="16"/>
                <w:szCs w:val="16"/>
                <w:b w:val="1"/>
                <w:bCs w:val="1"/>
                <w:color w:val="auto"/>
              </w:rPr>
              <w:t>(800)  877-7210</w:t>
            </w: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86"/>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80" w:type="dxa"/>
            <w:vAlign w:val="bottom"/>
            <w:gridSpan w:val="6"/>
          </w:tcPr>
          <w:p>
            <w:pPr>
              <w:jc w:val="center"/>
              <w:ind w:right="2259"/>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249"/>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80" w:type="dxa"/>
            <w:vAlign w:val="bottom"/>
            <w:gridSpan w:val="6"/>
          </w:tcPr>
          <w:p>
            <w:pPr>
              <w:jc w:val="center"/>
              <w:ind w:right="2259"/>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76"/>
        </w:trPr>
        <w:tc>
          <w:tcPr>
            <w:tcW w:w="102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Title of Each Class</w:t>
            </w:r>
          </w:p>
        </w:tc>
        <w:tc>
          <w:tcPr>
            <w:tcW w:w="164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Trading Symbol(s)</w:t>
            </w:r>
          </w:p>
        </w:tc>
        <w:tc>
          <w:tcPr>
            <w:tcW w:w="1100" w:type="dxa"/>
            <w:vAlign w:val="bottom"/>
          </w:tcPr>
          <w:p>
            <w:pPr>
              <w:spacing w:after="0"/>
              <w:rPr>
                <w:sz w:val="24"/>
                <w:szCs w:val="24"/>
                <w:color w:val="auto"/>
              </w:rPr>
            </w:pPr>
          </w:p>
        </w:tc>
        <w:tc>
          <w:tcPr>
            <w:tcW w:w="3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44"/>
        </w:trPr>
        <w:tc>
          <w:tcPr>
            <w:tcW w:w="4520" w:type="dxa"/>
            <w:vAlign w:val="bottom"/>
            <w:gridSpan w:val="5"/>
          </w:tcPr>
          <w:p>
            <w:pPr>
              <w:jc w:val="center"/>
              <w:ind w:right="1148"/>
              <w:spacing w:after="0"/>
              <w:rPr>
                <w:sz w:val="20"/>
                <w:szCs w:val="20"/>
                <w:color w:val="auto"/>
              </w:rPr>
            </w:pPr>
            <w:r>
              <w:rPr>
                <w:rFonts w:ascii="Arial" w:cs="Arial" w:eastAsia="Arial" w:hAnsi="Arial"/>
                <w:sz w:val="16"/>
                <w:szCs w:val="16"/>
                <w:color w:val="auto"/>
              </w:rPr>
              <w:t>Common Stock — $0.001 par value per share</w:t>
            </w:r>
          </w:p>
        </w:tc>
        <w:tc>
          <w:tcPr>
            <w:tcW w:w="980" w:type="dxa"/>
            <w:vAlign w:val="bottom"/>
          </w:tcPr>
          <w:p>
            <w:pPr>
              <w:jc w:val="center"/>
              <w:ind w:right="179"/>
              <w:spacing w:after="0"/>
              <w:rPr>
                <w:sz w:val="20"/>
                <w:szCs w:val="20"/>
                <w:color w:val="auto"/>
              </w:rPr>
            </w:pPr>
            <w:r>
              <w:rPr>
                <w:rFonts w:ascii="Arial" w:cs="Arial" w:eastAsia="Arial" w:hAnsi="Arial"/>
                <w:sz w:val="16"/>
                <w:szCs w:val="16"/>
                <w:color w:val="auto"/>
              </w:rPr>
              <w:t>LPLA</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tcPr>
          <w:p>
            <w:pPr>
              <w:jc w:val="right"/>
              <w:ind w:right="279"/>
              <w:spacing w:after="0"/>
              <w:rPr>
                <w:sz w:val="20"/>
                <w:szCs w:val="20"/>
                <w:color w:val="auto"/>
              </w:rPr>
            </w:pPr>
            <w:r>
              <w:rPr>
                <w:rFonts w:ascii="Arial" w:cs="Arial" w:eastAsia="Arial" w:hAnsi="Arial"/>
                <w:sz w:val="16"/>
                <w:szCs w:val="16"/>
                <w:color w:val="auto"/>
              </w:rPr>
              <w:t>The Nasdaq Global Select Market</w:t>
            </w:r>
          </w:p>
        </w:tc>
      </w:tr>
    </w:tbl>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3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440" w:firstLine="324"/>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13" w:lineRule="exact"/>
        <w:rPr>
          <w:sz w:val="24"/>
          <w:szCs w:val="24"/>
          <w:color w:val="auto"/>
        </w:rPr>
      </w:pPr>
    </w:p>
    <w:p>
      <w:pPr>
        <w:ind w:right="100" w:firstLine="324"/>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spacing w:after="0" w:line="108" w:lineRule="exact"/>
        <w:rPr>
          <w:sz w:val="24"/>
          <w:szCs w:val="24"/>
          <w:color w:val="auto"/>
        </w:rPr>
      </w:pPr>
    </w:p>
    <w:tbl>
      <w:tblPr>
        <w:tblLayout w:type="fixed"/>
        <w:tblInd w:w="124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60" w:type="dxa"/>
            <w:vAlign w:val="bottom"/>
          </w:tcPr>
          <w:p>
            <w:pPr>
              <w:ind w:left="180"/>
              <w:spacing w:after="0"/>
              <w:rPr>
                <w:sz w:val="20"/>
                <w:szCs w:val="20"/>
                <w:color w:val="auto"/>
              </w:rPr>
            </w:pPr>
            <w:r>
              <w:rPr>
                <w:rFonts w:ascii="Arial" w:cs="Arial" w:eastAsia="Arial" w:hAnsi="Arial"/>
                <w:sz w:val="14"/>
                <w:szCs w:val="14"/>
                <w:color w:val="auto"/>
              </w:rPr>
              <w:t>x</w:t>
            </w:r>
          </w:p>
        </w:tc>
        <w:tc>
          <w:tcPr>
            <w:tcW w:w="1920" w:type="dxa"/>
            <w:vAlign w:val="bottom"/>
          </w:tcPr>
          <w:p>
            <w:pPr>
              <w:ind w:left="500"/>
              <w:spacing w:after="0"/>
              <w:rPr>
                <w:sz w:val="20"/>
                <w:szCs w:val="20"/>
                <w:color w:val="auto"/>
              </w:rPr>
            </w:pPr>
            <w:r>
              <w:rPr>
                <w:rFonts w:ascii="Arial" w:cs="Arial" w:eastAsia="Arial" w:hAnsi="Arial"/>
                <w:sz w:val="14"/>
                <w:szCs w:val="14"/>
                <w:color w:val="auto"/>
              </w:rPr>
              <w:t>Accelerated filer</w:t>
            </w:r>
          </w:p>
        </w:tc>
        <w:tc>
          <w:tcPr>
            <w:tcW w:w="960" w:type="dxa"/>
            <w:vAlign w:val="bottom"/>
          </w:tcPr>
          <w:p>
            <w:pPr>
              <w:ind w:left="380"/>
              <w:spacing w:after="0"/>
              <w:rPr>
                <w:sz w:val="20"/>
                <w:szCs w:val="20"/>
                <w:color w:val="auto"/>
              </w:rPr>
            </w:pPr>
            <w:r>
              <w:rPr>
                <w:rFonts w:ascii="Arial" w:cs="Arial" w:eastAsia="Arial" w:hAnsi="Arial"/>
                <w:sz w:val="14"/>
                <w:szCs w:val="14"/>
                <w:color w:val="auto"/>
              </w:rPr>
              <w:t>o</w:t>
            </w:r>
          </w:p>
        </w:tc>
        <w:tc>
          <w:tcPr>
            <w:tcW w:w="2440" w:type="dxa"/>
            <w:vAlign w:val="bottom"/>
          </w:tcPr>
          <w:p>
            <w:pPr>
              <w:ind w:left="50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760" w:type="dxa"/>
            <w:vAlign w:val="bottom"/>
          </w:tcPr>
          <w:p>
            <w:pPr>
              <w:ind w:left="180"/>
              <w:spacing w:after="0"/>
              <w:rPr>
                <w:sz w:val="20"/>
                <w:szCs w:val="20"/>
                <w:color w:val="auto"/>
              </w:rPr>
            </w:pPr>
            <w:r>
              <w:rPr>
                <w:rFonts w:ascii="Arial" w:cs="Arial" w:eastAsia="Arial" w:hAnsi="Arial"/>
                <w:sz w:val="14"/>
                <w:szCs w:val="14"/>
                <w:color w:val="auto"/>
              </w:rPr>
              <w:t>o</w:t>
            </w:r>
          </w:p>
        </w:tc>
        <w:tc>
          <w:tcPr>
            <w:tcW w:w="1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40" w:type="dxa"/>
            <w:vAlign w:val="bottom"/>
          </w:tcPr>
          <w:p>
            <w:pPr>
              <w:ind w:left="50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1" w:lineRule="exact"/>
        <w:rPr>
          <w:sz w:val="24"/>
          <w:szCs w:val="24"/>
          <w:color w:val="auto"/>
        </w:rPr>
      </w:pPr>
    </w:p>
    <w:p>
      <w:pPr>
        <w:ind w:right="60" w:firstLine="324"/>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left="340"/>
        <w:spacing w:after="0" w:line="207" w:lineRule="exact"/>
        <w:tabs>
          <w:tab w:leader="none" w:pos="74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4"/>
          <w:szCs w:val="14"/>
          <w:color w:val="auto"/>
        </w:rPr>
        <w:t xml:space="preserve"> Yes</w:t>
      </w:r>
      <w:r>
        <w:rPr>
          <w:sz w:val="20"/>
          <w:szCs w:val="20"/>
          <w:color w:val="auto"/>
        </w:rPr>
        <w:tab/>
      </w:r>
      <w:r>
        <w:rPr>
          <w:rFonts w:ascii="Arial" w:cs="Arial" w:eastAsia="Arial" w:hAnsi="Arial"/>
          <w:sz w:val="14"/>
          <w:szCs w:val="14"/>
          <w:color w:val="auto"/>
        </w:rPr>
        <w:t>x No</w:t>
      </w:r>
    </w:p>
    <w:p>
      <w:pPr>
        <w:spacing w:after="0" w:line="169" w:lineRule="exact"/>
        <w:rPr>
          <w:sz w:val="24"/>
          <w:szCs w:val="24"/>
          <w:color w:val="auto"/>
        </w:rPr>
      </w:pPr>
    </w:p>
    <w:p>
      <w:pPr>
        <w:ind w:right="80" w:firstLine="324"/>
        <w:spacing w:after="0" w:line="258" w:lineRule="auto"/>
        <w:rPr>
          <w:sz w:val="20"/>
          <w:szCs w:val="20"/>
          <w:color w:val="auto"/>
        </w:rPr>
      </w:pPr>
      <w:r>
        <w:rPr>
          <w:rFonts w:ascii="Arial" w:cs="Arial" w:eastAsia="Arial" w:hAnsi="Arial"/>
          <w:sz w:val="14"/>
          <w:szCs w:val="14"/>
          <w:color w:val="auto"/>
        </w:rPr>
        <w:t>As of June 30, 2019, the aggregate market value of the voting stock held by non-affiliates of the registrant was $6.7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14, 2020 was 79,619,485.</w:t>
      </w:r>
    </w:p>
    <w:p>
      <w:pPr>
        <w:spacing w:after="0" w:line="11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3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934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68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5"/>
        </w:trPr>
        <w:tc>
          <w:tcPr>
            <w:tcW w:w="680" w:type="dxa"/>
            <w:vAlign w:val="bottom"/>
          </w:tcPr>
          <w:p>
            <w:pPr>
              <w:spacing w:after="0"/>
              <w:rPr>
                <w:sz w:val="22"/>
                <w:szCs w:val="22"/>
                <w:color w:val="auto"/>
              </w:rPr>
            </w:pPr>
          </w:p>
        </w:tc>
        <w:tc>
          <w:tcPr>
            <w:tcW w:w="9340" w:type="dxa"/>
            <w:vAlign w:val="bottom"/>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340" w:type="dxa"/>
            <w:vAlign w:val="bottom"/>
          </w:tcPr>
          <w:p>
            <w:pPr>
              <w:ind w:left="28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9340" w:type="dxa"/>
            <w:vAlign w:val="bottom"/>
          </w:tcPr>
          <w:p>
            <w:pPr>
              <w:ind w:left="280"/>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60" w:type="dxa"/>
            <w:vAlign w:val="bottom"/>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1B</w:t>
              </w:r>
            </w:hyperlink>
          </w:p>
        </w:tc>
        <w:tc>
          <w:tcPr>
            <w:tcW w:w="9340" w:type="dxa"/>
            <w:vAlign w:val="bottom"/>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6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340" w:type="dxa"/>
            <w:vAlign w:val="bottom"/>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9340" w:type="dxa"/>
            <w:vAlign w:val="bottom"/>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340" w:type="dxa"/>
            <w:vAlign w:val="bottom"/>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6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340" w:type="dxa"/>
            <w:vAlign w:val="bottom"/>
          </w:tcPr>
          <w:p>
            <w:pPr>
              <w:ind w:left="280"/>
              <w:spacing w:after="0"/>
              <w:rPr>
                <w:rFonts w:ascii="Arial" w:cs="Arial" w:eastAsia="Arial" w:hAnsi="Arial"/>
                <w:sz w:val="18"/>
                <w:szCs w:val="18"/>
                <w:color w:val="0000EE"/>
              </w:rPr>
            </w:pPr>
            <w:hyperlink w:anchor="page31">
              <w:r>
                <w:rPr>
                  <w:rFonts w:ascii="Arial" w:cs="Arial" w:eastAsia="Arial" w:hAnsi="Arial"/>
                  <w:sz w:val="18"/>
                  <w:szCs w:val="18"/>
                  <w:color w:val="0000EE"/>
                </w:rPr>
                <w:t>Information about our Executive Officers</w:t>
              </w:r>
            </w:hyperlink>
          </w:p>
        </w:tc>
        <w:tc>
          <w:tcPr>
            <w:tcW w:w="6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554"/>
        </w:trPr>
        <w:tc>
          <w:tcPr>
            <w:tcW w:w="680" w:type="dxa"/>
            <w:vAlign w:val="bottom"/>
          </w:tcPr>
          <w:p>
            <w:pPr>
              <w:spacing w:after="0"/>
              <w:rPr>
                <w:sz w:val="24"/>
                <w:szCs w:val="24"/>
                <w:color w:val="auto"/>
              </w:rPr>
            </w:pPr>
          </w:p>
        </w:tc>
        <w:tc>
          <w:tcPr>
            <w:tcW w:w="9340" w:type="dxa"/>
            <w:vAlign w:val="bottom"/>
          </w:tcPr>
          <w:p>
            <w:pPr>
              <w:jc w:val="cente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9340" w:type="dxa"/>
            <w:vAlign w:val="bottom"/>
          </w:tcPr>
          <w:p>
            <w:pPr>
              <w:ind w:left="280"/>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9340" w:type="dxa"/>
            <w:vAlign w:val="bottom"/>
          </w:tcPr>
          <w:p>
            <w:pPr>
              <w:ind w:left="280"/>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6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42"/>
        </w:trPr>
        <w:tc>
          <w:tcPr>
            <w:tcW w:w="68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9340" w:type="dxa"/>
            <w:vAlign w:val="bottom"/>
          </w:tcPr>
          <w:p>
            <w:pPr>
              <w:ind w:left="280"/>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9340" w:type="dxa"/>
            <w:vAlign w:val="bottom"/>
          </w:tcPr>
          <w:p>
            <w:pPr>
              <w:ind w:left="280"/>
              <w:spacing w:after="0"/>
              <w:rPr>
                <w:rFonts w:ascii="Arial" w:cs="Arial" w:eastAsia="Arial" w:hAnsi="Arial"/>
                <w:sz w:val="18"/>
                <w:szCs w:val="18"/>
                <w:color w:val="0000EE"/>
              </w:rPr>
            </w:pPr>
            <w:hyperlink w:anchor="page37">
              <w:r>
                <w:rPr>
                  <w:rFonts w:ascii="Arial" w:cs="Arial" w:eastAsia="Arial" w:hAnsi="Arial"/>
                  <w:sz w:val="18"/>
                  <w:szCs w:val="18"/>
                  <w:color w:val="0000EE"/>
                </w:rPr>
                <w:t>Operations</w:t>
              </w:r>
            </w:hyperlink>
          </w:p>
        </w:tc>
        <w:tc>
          <w:tcPr>
            <w:tcW w:w="6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7A</w:t>
              </w:r>
            </w:hyperlink>
          </w:p>
        </w:tc>
        <w:tc>
          <w:tcPr>
            <w:tcW w:w="9340" w:type="dxa"/>
            <w:vAlign w:val="bottom"/>
          </w:tcPr>
          <w:p>
            <w:pPr>
              <w:ind w:left="280"/>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8</w:t>
              </w:r>
            </w:hyperlink>
          </w:p>
        </w:tc>
        <w:tc>
          <w:tcPr>
            <w:tcW w:w="9340" w:type="dxa"/>
            <w:vAlign w:val="bottom"/>
          </w:tcPr>
          <w:p>
            <w:pPr>
              <w:ind w:left="280"/>
              <w:spacing w:after="0"/>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42"/>
        </w:trPr>
        <w:tc>
          <w:tcPr>
            <w:tcW w:w="68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9</w:t>
              </w:r>
            </w:hyperlink>
          </w:p>
        </w:tc>
        <w:tc>
          <w:tcPr>
            <w:tcW w:w="9340" w:type="dxa"/>
            <w:vAlign w:val="bottom"/>
          </w:tcPr>
          <w:p>
            <w:pPr>
              <w:ind w:left="280"/>
              <w:spacing w:after="0"/>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9340" w:type="dxa"/>
            <w:vAlign w:val="bottom"/>
          </w:tcPr>
          <w:p>
            <w:pPr>
              <w:ind w:left="280"/>
              <w:spacing w:after="0"/>
              <w:rPr>
                <w:rFonts w:ascii="Arial" w:cs="Arial" w:eastAsia="Arial" w:hAnsi="Arial"/>
                <w:sz w:val="18"/>
                <w:szCs w:val="18"/>
                <w:color w:val="0000EE"/>
              </w:rPr>
            </w:pPr>
            <w:hyperlink w:anchor="page57">
              <w:r>
                <w:rPr>
                  <w:rFonts w:ascii="Arial" w:cs="Arial" w:eastAsia="Arial" w:hAnsi="Arial"/>
                  <w:sz w:val="18"/>
                  <w:szCs w:val="18"/>
                  <w:color w:val="0000EE"/>
                </w:rPr>
                <w:t>Disclosure</w:t>
              </w:r>
            </w:hyperlink>
          </w:p>
        </w:tc>
        <w:tc>
          <w:tcPr>
            <w:tcW w:w="6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9A</w:t>
              </w:r>
            </w:hyperlink>
          </w:p>
        </w:tc>
        <w:tc>
          <w:tcPr>
            <w:tcW w:w="9340" w:type="dxa"/>
            <w:vAlign w:val="bottom"/>
          </w:tcPr>
          <w:p>
            <w:pPr>
              <w:ind w:left="280"/>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6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9B</w:t>
              </w:r>
            </w:hyperlink>
          </w:p>
        </w:tc>
        <w:tc>
          <w:tcPr>
            <w:tcW w:w="9340" w:type="dxa"/>
            <w:vAlign w:val="bottom"/>
          </w:tcPr>
          <w:p>
            <w:pPr>
              <w:ind w:left="280"/>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6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554"/>
        </w:trPr>
        <w:tc>
          <w:tcPr>
            <w:tcW w:w="680" w:type="dxa"/>
            <w:vAlign w:val="bottom"/>
          </w:tcPr>
          <w:p>
            <w:pPr>
              <w:spacing w:after="0"/>
              <w:rPr>
                <w:sz w:val="24"/>
                <w:szCs w:val="24"/>
                <w:color w:val="auto"/>
              </w:rPr>
            </w:pPr>
          </w:p>
        </w:tc>
        <w:tc>
          <w:tcPr>
            <w:tcW w:w="9340" w:type="dxa"/>
            <w:vAlign w:val="bottom"/>
          </w:tcPr>
          <w:p>
            <w:pPr>
              <w:jc w:val="cente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III</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10</w:t>
              </w:r>
            </w:hyperlink>
          </w:p>
        </w:tc>
        <w:tc>
          <w:tcPr>
            <w:tcW w:w="9340" w:type="dxa"/>
            <w:vAlign w:val="bottom"/>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11</w:t>
              </w:r>
            </w:hyperlink>
          </w:p>
        </w:tc>
        <w:tc>
          <w:tcPr>
            <w:tcW w:w="9340" w:type="dxa"/>
            <w:vAlign w:val="bottom"/>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6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12</w:t>
              </w:r>
            </w:hyperlink>
          </w:p>
        </w:tc>
        <w:tc>
          <w:tcPr>
            <w:tcW w:w="9340" w:type="dxa"/>
            <w:vAlign w:val="bottom"/>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13</w:t>
              </w:r>
            </w:hyperlink>
          </w:p>
        </w:tc>
        <w:tc>
          <w:tcPr>
            <w:tcW w:w="9340" w:type="dxa"/>
            <w:vAlign w:val="bottom"/>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Certain Relationships and Related Transactions, and Director Independence</w:t>
              </w:r>
            </w:hyperlink>
          </w:p>
        </w:tc>
        <w:tc>
          <w:tcPr>
            <w:tcW w:w="6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14</w:t>
              </w:r>
            </w:hyperlink>
          </w:p>
        </w:tc>
        <w:tc>
          <w:tcPr>
            <w:tcW w:w="9340" w:type="dxa"/>
            <w:vAlign w:val="bottom"/>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6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554"/>
        </w:trPr>
        <w:tc>
          <w:tcPr>
            <w:tcW w:w="680" w:type="dxa"/>
            <w:vAlign w:val="bottom"/>
          </w:tcPr>
          <w:p>
            <w:pPr>
              <w:spacing w:after="0"/>
              <w:rPr>
                <w:sz w:val="24"/>
                <w:szCs w:val="24"/>
                <w:color w:val="auto"/>
              </w:rPr>
            </w:pPr>
          </w:p>
        </w:tc>
        <w:tc>
          <w:tcPr>
            <w:tcW w:w="9340" w:type="dxa"/>
            <w:vAlign w:val="bottom"/>
          </w:tcPr>
          <w:p>
            <w:pPr>
              <w:jc w:val="center"/>
              <w:spacing w:after="0"/>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PART IV</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15</w:t>
              </w:r>
            </w:hyperlink>
          </w:p>
        </w:tc>
        <w:tc>
          <w:tcPr>
            <w:tcW w:w="9340" w:type="dxa"/>
            <w:vAlign w:val="bottom"/>
          </w:tcPr>
          <w:p>
            <w:pPr>
              <w:ind w:left="280"/>
              <w:spacing w:after="0"/>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66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57"/>
        </w:trPr>
        <w:tc>
          <w:tcPr>
            <w:tcW w:w="680" w:type="dxa"/>
            <w:vAlign w:val="bottom"/>
          </w:tcPr>
          <w:p>
            <w:pPr>
              <w:spacing w:after="0"/>
              <w:rPr>
                <w:sz w:val="22"/>
                <w:szCs w:val="22"/>
                <w:color w:val="auto"/>
              </w:rPr>
            </w:pPr>
          </w:p>
        </w:tc>
        <w:tc>
          <w:tcPr>
            <w:tcW w:w="9340" w:type="dxa"/>
            <w:vAlign w:val="bottom"/>
          </w:tcPr>
          <w:p>
            <w:pPr>
              <w:ind w:left="60"/>
              <w:spacing w:after="0"/>
              <w:rPr>
                <w:rFonts w:ascii="Arial" w:cs="Arial" w:eastAsia="Arial" w:hAnsi="Arial"/>
                <w:sz w:val="18"/>
                <w:szCs w:val="18"/>
                <w:color w:val="0000EE"/>
              </w:rPr>
            </w:pPr>
            <w:hyperlink w:anchor="page60">
              <w:r>
                <w:rPr>
                  <w:rFonts w:ascii="Arial" w:cs="Arial" w:eastAsia="Arial" w:hAnsi="Arial"/>
                  <w:sz w:val="18"/>
                  <w:szCs w:val="18"/>
                  <w:color w:val="0000EE"/>
                </w:rPr>
                <w:t>EXHIBIT INDEX</w:t>
              </w:r>
            </w:hyperlink>
          </w:p>
        </w:tc>
        <w:tc>
          <w:tcPr>
            <w:tcW w:w="66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419"/>
        </w:trPr>
        <w:tc>
          <w:tcPr>
            <w:tcW w:w="680" w:type="dxa"/>
            <w:vAlign w:val="bottom"/>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16</w:t>
              </w:r>
            </w:hyperlink>
          </w:p>
        </w:tc>
        <w:tc>
          <w:tcPr>
            <w:tcW w:w="9340" w:type="dxa"/>
            <w:vAlign w:val="bottom"/>
          </w:tcPr>
          <w:p>
            <w:pPr>
              <w:ind w:left="280"/>
              <w:spacing w:after="0"/>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660" w:type="dxa"/>
            <w:vAlign w:val="bottom"/>
            <w:vMerge w:val="restart"/>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93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sz w:val="22"/>
                <w:szCs w:val="22"/>
                <w:color w:val="auto"/>
              </w:rPr>
            </w:pPr>
          </w:p>
        </w:tc>
        <w:tc>
          <w:tcPr>
            <w:tcW w:w="9340" w:type="dxa"/>
            <w:vAlign w:val="bottom"/>
          </w:tcPr>
          <w:p>
            <w:pPr>
              <w:ind w:left="60"/>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660" w:type="dxa"/>
            <w:vAlign w:val="bottom"/>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80"/>
          </w:cols>
          <w:pgMar w:left="280" w:top="333" w:right="939" w:bottom="1440" w:gutter="0" w:footer="0" w:header="0"/>
        </w:sectPr>
      </w:pPr>
    </w:p>
    <w:bookmarkStart w:id="2" w:name="page3"/>
    <w:bookmarkEnd w:id="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Our SEC filings are available to the public from the SEC’s internet site at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post the following filings to LPL.com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22nd Floor, Boston, MA 02109). The information contained or incorporated on our website is not a part of this Annual Report on Form 10-K.</w:t>
      </w:r>
    </w:p>
    <w:p>
      <w:pPr>
        <w:spacing w:after="0" w:line="191" w:lineRule="exact"/>
        <w:rPr>
          <w:sz w:val="20"/>
          <w:szCs w:val="20"/>
          <w:color w:val="auto"/>
        </w:rPr>
      </w:pPr>
    </w:p>
    <w:p>
      <w:pPr>
        <w:ind w:right="720" w:firstLine="486"/>
        <w:spacing w:after="0" w:line="282" w:lineRule="auto"/>
        <w:rPr>
          <w:sz w:val="20"/>
          <w:szCs w:val="20"/>
          <w:color w:val="auto"/>
        </w:rPr>
      </w:pPr>
      <w:r>
        <w:rPr>
          <w:rFonts w:ascii="Arial" w:cs="Arial" w:eastAsia="Arial" w:hAnsi="Arial"/>
          <w:sz w:val="18"/>
          <w:szCs w:val="18"/>
          <w:i w:val="1"/>
          <w:iCs w:val="1"/>
          <w:color w:val="auto"/>
        </w:rPr>
        <w:t>When we use the terms “LPLFH”, “LPL”, “we”, “us”, “our”, and the “Company”, we mean LPL Financial Holdings Inc., a Delaware corporation, and its consolidated subsidiaries, taken as a whole, unless the context otherwise indicates.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Statements in Item 7 - “Management’s Discussion and Analysis of Financial Condition and Results of Operations” and other sections of this Annual Report on Form 10-K regarding the Company’s future financial and operating results, outlook, growth, plans, business strategies, liquidity and future share repurchases, including statements regarding future resolution of regulatory matters, legal proceedings and related costs, future revenue and expenses, future affiliation models and capabilities, market and macroeconomic trends, and projected savings and anticipated improvements to the Company’s operating model, services, and technologies as a result of its investments, initiatives, programs and/or acquisitions,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February 21, 2020.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changes in interest rates and fees payable by banks participating in the Company’s client cash programs, including the Company’s success in negotiating agreements with current or additional counterparties; the Company’s strategy and success in managing client cash program fees; fluctuations in the levels of brokerage and advisory assets, including net new assets, and the related impact on revenue; effects of competition in the financial services industry; the success of the Company in attracting and retaining financial advisors and institutions, and their ability to market effectively financial products and services; whether retail investors served by newly-recruited advisors choose to move their respective assets to new accounts at the Company; changes in growth and profitability of the Company’s fee-based business, including the Company’s centrally managed advisory platform; the effect of current, pending, and future legislation, regulation, and regulatory actions, including disciplinary actions imposed by federal and state regulators and self-regulatory organizations, and the implementation of Regulation BI (Best Interest); the cost of settling and remediating issues related to regulatory matters or legal proceedings, including actual costs of reimbursing customers for losses in excess of our reserves; changes made to the Company’s services and pricing, including in response to competitive developments and current, pending, and future legislation, regulation, and regulatory actions, and the effect that such changes may have on the Company’s gross profit streams and costs; execution of the Company’s capital management plans, including its compliance with the terms of its credit agreement and the indentures governing its senior notes; the price, the availability of shares, and trading volumes of the Company’s common stock, which will affect the timing and size of future share repurchases by the Company; execution of the Company’s plans and its success in realizing the synergies, expense savings, service improvements or efficiencies expected to result from its investments, initiatives and programs, including its acquisitions of Allen &amp; Company of Florida, LLC and AdvisoryWorld and its expense plans and technology initiatives; the performance of third-party service providers to which business processes are transitioned; the Company’s ability to control operating risks, information technology systems risks, cybersecurity risks, and sourcing risks; and the other factors set forth in Part I, “Item 1A. Risk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Factors.” Except as required by law, the Company specifically disclaims any obligation to update any forward-looking statements as a result of developments occurring after the date of this Annual Report on Form 10-K, even if its estimates change, and you should not rely on statements contained herein as representing the Company’s views as of any date subsequent to the date of this Annual Report on Form 10-K.</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140" w:right="279" w:bottom="1440" w:gutter="0" w:footer="0" w:header="0"/>
        </w:sectPr>
      </w:pPr>
    </w:p>
    <w:bookmarkStart w:id="4" w:name="page5"/>
    <w:bookmarkEnd w:id="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a leader in the retail financial advice market and the nation’s largest independent broker-dealer. We serve independent financial advisors and financial institutions, providing them with the technology, research, clearing and compliance services, and practice management programs they need to create and grow their practices. We enable them to provide objective financial guidance to millions of American families seeking wealth management, retirement planning, financial planning, and asset management solutions.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we are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20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We strive to make it easy for advisors to do what is best for their clients, while protecting advisors and investors and promoting independence and choice through access to a wide range of diligently evaluated non-proprietary products.</w:t>
      </w:r>
    </w:p>
    <w:p>
      <w:pPr>
        <w:spacing w:after="0" w:line="202"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LPL Financial Holdings Inc., which is the parent company of our collective businesses, was incorporated in Delaware in 2005. Our business subsidiaries include the following:</w:t>
      </w:r>
    </w:p>
    <w:p>
      <w:pPr>
        <w:spacing w:after="0" w:line="1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LPL Financial LLC (“LPL Financial”) is a clearing broker-dealer and an investment adviser that clears and settles customer transactions</w:t>
      </w:r>
    </w:p>
    <w:p>
      <w:pPr>
        <w:spacing w:after="0" w:line="63"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Fortigent Holdings Company, Inc. and its subsidiaries (“Fortigent”) provide solutions and consulting services to registered investment advisers (“RIAs”), banks, and trust companies serving high-net-worth clients</w:t>
      </w:r>
    </w:p>
    <w:p>
      <w:pPr>
        <w:spacing w:after="0" w:line="3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LPL Insurance Associates, Inc. (“LPLIA”) operates as a brokerage general agency that offers life and disability insurance products and services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AdvisoryWorld provides technology products, including proposal generation, investment analytics, and portfolio modeling</w:t>
      </w:r>
    </w:p>
    <w:p>
      <w:pPr>
        <w:spacing w:after="0" w:line="63"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Private Trust Company, N.A. (“PTC”) provides trust administration, investment management oversight, and Individual Retirement Account (“IRA”) custodial services</w:t>
      </w:r>
    </w:p>
    <w:p>
      <w:pPr>
        <w:spacing w:after="0" w:line="34"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LPL Employee Services, LLC is a holding company for Allen &amp; Company of Florida, LLC (“Allen &amp; Company”), a broker-dealer and RIA that we acquired in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Relationships</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or underwriting services. We offer no proprietary products of our own. Because we do not offer proprietary products, we enable the independent financial advisors, banks, and credit unions that we support to offer their clients lower-conflict advice.</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work alongside advisors to navigate complex market and regulatory environments and strive to empower them to create the best outcomes for investors. In addition, we make meaningful investments in technology and services to support the growth, productivity, and efficiency of advisors across a broad spectrum of business models as their practices evolve. Our advisors are a community of diverse, entrepreneurial financial services professionals. They build long-term relationships with their clients in communities across the United States by guiding them through the complexities of investment decisions, retirement solutions, financial planning, and wealth management. Our advisors support approximately 5.7 million client accounts. Our services are designed to support the evolution of our advisors’ businesses over time and to adapt as our advisors’ needs change.</w:t>
      </w:r>
    </w:p>
    <w:p>
      <w:pPr>
        <w:spacing w:after="0" w:line="20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We believe we offer a compelling economic value proposition to independent advisors, which is a key factor in our ability to attract and retain advisors and their practices. The independent channels pay advisors a greater share of brokerage commissions and advisory fees than the captive channels — generally 80-90% compared to</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30-50%. Through our scale and operating efficiencies, we are able to offer our advisors what we believe are the highest average payout ratios among the five largest U.S. broker-dealers, ranked by number of advisors.</w:t>
      </w:r>
    </w:p>
    <w:p>
      <w:pPr>
        <w:spacing w:after="0" w:line="19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Furthermore, we believe that our technology and service platforms enable our advisors to operate their practices with a greater focus on serving investors at a lower cost than other independent advisors. As a result, we believe that our advisors who own practices earn more pre-tax profit than practice owners affiliated with other independent brokerage firms. Finally, as business owners, our independent financial advisors, unlike captive advisors, also have the opportunity to build equity in their own businesses.</w:t>
      </w:r>
    </w:p>
    <w:p>
      <w:pPr>
        <w:spacing w:after="0" w:line="204" w:lineRule="exact"/>
        <w:rPr>
          <w:sz w:val="20"/>
          <w:szCs w:val="20"/>
          <w:color w:val="auto"/>
        </w:rPr>
      </w:pPr>
    </w:p>
    <w:p>
      <w:pPr>
        <w:ind w:right="340" w:firstLine="486"/>
        <w:spacing w:after="0" w:line="253" w:lineRule="auto"/>
        <w:rPr>
          <w:sz w:val="20"/>
          <w:szCs w:val="20"/>
          <w:color w:val="auto"/>
        </w:rPr>
      </w:pPr>
      <w:r>
        <w:rPr>
          <w:rFonts w:ascii="Arial" w:cs="Arial" w:eastAsia="Arial" w:hAnsi="Arial"/>
          <w:sz w:val="18"/>
          <w:szCs w:val="18"/>
          <w:color w:val="auto"/>
        </w:rPr>
        <w:t>Our approximately 16,500 advisors average approximately 20 years of industry experience, which generally allows us to focus on supporting and enhancing our advisors’ businesses without needing to provide basic training or subsidizing advisors who are new to the industry. Our flexible business platform allows our advisors to choose the most appropriate business model to support their clients, whether they conduct brokerage business, offer brokerage and fee-based services on our corporate RIA platform, or provide fee-based services through their own RIA practices.</w:t>
      </w:r>
    </w:p>
    <w:p>
      <w:pPr>
        <w:spacing w:after="0" w:line="20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majority of our advisors are independent contractors who are primarily located in rural and suburban areas and, as such, are viewed as local providers of independent advice. Many of our advisors operate under their own business name, and we may assist these advisors with their own branding, marketing and promotion, and regulatory review.</w:t>
      </w:r>
    </w:p>
    <w:p>
      <w:pPr>
        <w:spacing w:after="0" w:line="20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Advisors licensed with LPL Financial as registered representatives and as investment advisory representatives are able to conduct both commission-based business on our brokerage platform and fee-based business on our corporate RIA platform. In order to be licensed with LPL Financial, advisors must be approved through our assessment process, which includes a review of each advisor’s education, experience, and compliance history, among other factors.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registered representative or investment advisory representative, that all orders for securities will be placed through LPL Financial, that the advisor will sell only products that LPL Financial has approved, and that the advisor will comply with LPL Financial policies and procedures as well as securities rules and regulations. These advisors also agree not to engage in any outside business activity without prior approval from us and not to act in competition with us.</w:t>
      </w:r>
    </w:p>
    <w:p>
      <w:pPr>
        <w:spacing w:after="0" w:line="2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also supports 450 independent RIA firms that conduct their business through separate entities (“Hybrid RIAs”) with approximately 5,000 advisors who conduct their advisory business through these separate entities, rather than through LPL Financial. Hybrid RIAs operate pursuant to the Investment Advisers Act of 1940, as amended (the “Advisers Act”), or their respective states’ investment advisory licensing rules. These Hybrid RIAs engage us for technology, clearing, and custody services, as well as access to our investment platforms. Advisors associated with Hybrid RIAs retain 100% of their advisory fees. In return, we charge separate fees for custody, trading, administrative, and support services. In addition, most financial advisors associated with Hybrid RIAs carry their brokerage license with LPL Financial and access our fully-integrated brokerage platform under standard terms, although some financial advisors associated with Hybrid RIAs do not carry a brokerage license with us.</w:t>
      </w:r>
    </w:p>
    <w:p>
      <w:pPr>
        <w:spacing w:after="0" w:line="20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We believe we are the market leader in providing support to over 2,500 financial advisors at approximately 800 banks and credit unions nationwide. The core capabilities of these institutions may not include investment and financial planning services, or they may find the technology, infrastructure, and regulatory requirements of supporting such services to be cost-prohibitive. For these institutions, we provide their financial advisors with the infrastructure and services they need to be successful, allowing the institutions to focus more attention and capital on their core businesses.</w:t>
      </w:r>
    </w:p>
    <w:p>
      <w:pPr>
        <w:spacing w:after="0" w:line="206"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auto"/>
        </w:rPr>
        <w:t>We also provide support to over 3,000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3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are dedicated to making it easy for advisors to do what is best for their clients. Our scale and self-clearing platform enable us to provide advisors with the capabilities they need, and the service they expect, at a compelling price. We are dedicated to continuously improving the processes, systems, and resources we leverage to meet these needs.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We support our advisors by providing front-, middle-, and back-office solutions through our distinct value proposition: integrated technology solutions, comprehensive clearing and compliance services, consultative practice management programs and training, and independent research. The comprehensive and increasingly automated nature of our offering enables our advisors to focus on their clients while successfully and efficiently managing the complexities of running their own practice.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35" w:lineRule="exact"/>
        <w:rPr>
          <w:sz w:val="20"/>
          <w:szCs w:val="20"/>
          <w:color w:val="auto"/>
        </w:rPr>
      </w:pPr>
    </w:p>
    <w:p>
      <w:pPr>
        <w:ind w:firstLine="486"/>
        <w:spacing w:after="0" w:line="274" w:lineRule="auto"/>
        <w:rPr>
          <w:sz w:val="20"/>
          <w:szCs w:val="20"/>
          <w:color w:val="auto"/>
        </w:rPr>
      </w:pPr>
      <w:r>
        <w:rPr>
          <w:rFonts w:ascii="Arial" w:cs="Arial" w:eastAsia="Arial" w:hAnsi="Arial"/>
          <w:sz w:val="17"/>
          <w:szCs w:val="17"/>
          <w:color w:val="auto"/>
        </w:rPr>
        <w:t>We provide our technology and service to advisors through an integrated technology platform that is server-based and web-accessible. Our technology offerings are designed to permit our advisors to effectively manage all critical aspects of their businesses in an efficient manner while remaining responsive to their clients’ needs. We continue to automate time-consuming processes, such as account opening and management, document imaging, transaction execution, and account rebalancing, in an effort to improve our advisors’ efficiency and accuracy.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13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provide custody and clearing services for the majority of our advisors’ transactions, and seek to offer a simplified and streamlined advisor experience and expedited processing capabilities. Our self-clearing platform enables us to control client data, more efficiently process and report trades, facilitate platform development, reduce costs, and ultimately enhance the service experience for our advisors and their clients. Our self-clearing platform also enables us to serve a wide range of advisors, including those associated with Hybrid RIAs.</w:t>
      </w:r>
    </w:p>
    <w:p>
      <w:pPr>
        <w:spacing w:after="0" w:line="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continue to make substantial investments in our compliance function to provide our advisors with a strong framework through which to understand and operate within regulatory guidelines, as well as guidelines that we establish. Protecting the best interests of investors and our advisors is of utmost importance to us. As the financial industry and regulatory environment evolve and become more complex, we have made a long-term commitment to enhancing our risk management and compliance structure, as well as our technology-based compliance and risk management tools, in order to further enhance the overall effectiveness and scalability of our control environment.</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team of risk and compliance employees assists our advisors through:</w:t>
      </w:r>
    </w:p>
    <w:p>
      <w:pPr>
        <w:spacing w:after="0" w:line="63" w:lineRule="exact"/>
        <w:rPr>
          <w:sz w:val="20"/>
          <w:szCs w:val="20"/>
          <w:color w:val="auto"/>
        </w:rPr>
      </w:pPr>
    </w:p>
    <w:p>
      <w:pPr>
        <w:ind w:left="660" w:right="2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and best practices;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advising on sales practice activities and facilitating the supervision of activities by branch managers;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advisors on our corporate RIA platform, monitoring of registered investment advisory activities;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13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practice management programs are designed to help financial advisors in independent practices and financial institutions, as well as all levels of financial institution leadership, enhance and grow their businesses. Our experience gives us the ability to benchmark the best practices of successful advisors and develop customized recommendations to meet the specific needs of an advisor’s business and market, and our scale allows us to dedicate a team of experienced professionals to this effort. Our practice management and training services include:</w:t>
      </w:r>
    </w:p>
    <w:p>
      <w:pPr>
        <w:spacing w:after="0" w:line="42" w:lineRule="exact"/>
        <w:rPr>
          <w:sz w:val="20"/>
          <w:szCs w:val="20"/>
          <w:color w:val="auto"/>
        </w:rPr>
      </w:pPr>
    </w:p>
    <w:p>
      <w:pPr>
        <w:ind w:left="660" w:right="1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personalized business consulting that helps eligible advisors and program leadership enhance the value and operational efficiency of their businesses;</w:t>
      </w:r>
    </w:p>
    <w:p>
      <w:pPr>
        <w:spacing w:after="0" w:line="34"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through our broad range of products and fee-based offerings, as well as wealth management services, to assist advisors serving high-net-worth clients with comprehensive estate, tax, philanthropic, and financial planning processes;</w:t>
      </w:r>
    </w:p>
    <w:p>
      <w:pPr>
        <w:spacing w:after="0" w:line="39"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succession planning and an advisor loan program for advisors looking to either sell their own or buy another practice;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in-person and virtual training and educational programs on topics including technology, use of advisory platforms, and business development.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40" w:right="299" w:bottom="1440" w:gutter="0" w:footer="0" w:header="0"/>
        </w:sectPr>
      </w:pPr>
    </w:p>
    <w:bookmarkStart w:id="7" w:name="page8"/>
    <w:bookmarkEnd w:id="7"/>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w:t>
      </w:r>
    </w:p>
    <w:p>
      <w:pPr>
        <w:spacing w:after="0" w:line="135"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We provide our advisors with integrated access to comprehensive research on a broad range of investments and market analysis on macro-economic events, capital markets assumptions, and strategic and tactical asset allocation. Our research team provides advice that is designed to empower our advisors to provide their clients with thoughtful advice in a timely manner, including the creation of discretionary portfolios for which we serve as a portfolio manager, available through our turnkey advisory asset management platforms. Our research team actively works with our product risk management group to review the financial products offered through our platform. This includes third-party asset manager search, selection, and monitoring services for both traditional and alternative strategies across all investment access points (exchange-traded funds, mutual funds, separately managed accounts, unified managed accounts, and other products and services). We believe our lack of proprietary products or investment banking services better enables us to provide research that is unbiased and objective.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39" w:lineRule="exact"/>
        <w:rPr>
          <w:sz w:val="20"/>
          <w:szCs w:val="20"/>
          <w:color w:val="auto"/>
        </w:rPr>
      </w:pPr>
    </w:p>
    <w:p>
      <w:pPr>
        <w:ind w:right="520" w:firstLine="486"/>
        <w:spacing w:after="0" w:line="256" w:lineRule="auto"/>
        <w:rPr>
          <w:sz w:val="20"/>
          <w:szCs w:val="20"/>
          <w:color w:val="auto"/>
        </w:rPr>
      </w:pPr>
      <w:r>
        <w:rPr>
          <w:rFonts w:ascii="Arial" w:cs="Arial" w:eastAsia="Arial" w:hAnsi="Arial"/>
          <w:sz w:val="18"/>
          <w:szCs w:val="18"/>
          <w:color w:val="auto"/>
        </w:rPr>
        <w:t>We do not manufacture any financial products. Instead, we provide our advisors with open architecture access to a broad range of commission, fee-based, cash, and money market products and services. Our product risk management group conducts a review on substantially all of our product offerings.</w:t>
      </w:r>
    </w:p>
    <w:p>
      <w:pPr>
        <w:spacing w:after="0" w:line="9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our technology solutions that allow our advisors to access client accounts, product information, asset allocation models, investment recommendations, and economic insight as well as to perform trade execution.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3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or a mark-up or mark-down. Our brokerage offerings include variable and fixed annuities, mutual funds, equities, alternative investments such as non-traded real estate investment trusts and business development companies, retirement and 529 education savings plans, fixed income, and insurance. We regularly review the structure and fees of our commission-based products in the context of retail investor preferences and the changing regulatory environment, as well as the competitive landscape. As of December 31, 2019, the total brokerage assets in commission-based products were $398.6 billion.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LPL Financial has various fee-based advisory platforms that provide centrally managed or customized solutions from which advisors can choose to meet the investment needs of their clients, including wrap-fee programs, mutual fund asset allocation programs, an advisor-enhanced digital advice program, advisory programs offered by third-party investment advisor firms, financial planning services, and retirement plan consulting services. The fee structure of our platforms enables our advisors to provide their clients with higher levels of service, while establishing a recurring revenue stream for the advisor and for us. Our fee-based platforms provide access to mutual funds, exchange-traded funds, stocks, bonds, certain option strategies, unit investment trusts, and institutional money managers and no-load multi-manager variable annuities. As of December 31, 2019, the total advisory assets under custody in these platforms, through both our corporate RIA platform and Hybrid RIAs, were $365.8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Cash Programs</w:t>
      </w:r>
    </w:p>
    <w:p>
      <w:pPr>
        <w:spacing w:after="0" w:line="13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assist our advisors in managing their clients’ cash balances through money market programs and insured cash sweep vehicles at various banks. As of December 31, 2019, the total assets in our client cash programs, which are held within brokerage and advisory accounts, were approximately $33.7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35"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We provide a number of tools and services that enable advisors to maintain and grow their practices. Through our subsidiary PTC, we provide custodial services to trusts for estates and families. Under our model, an advisor may provide a trust with investment management services, while administrative services for the trust are provided by PTC. We also offer retirement solutions for commission- and fee-based services that allow advisors to provide brokerage services, consultation, and advice to retirement plan sponsors using LPL Financial. Finally, we offer proposal generation, investment analytics and portfolio modeling capabilities to both our advisors and external clients in the wealth management industry through our subsidiary AdvisoryWorld.</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40" w:right="299" w:bottom="1440" w:gutter="0" w:footer="0" w:header="0"/>
        </w:sectPr>
      </w:pPr>
    </w:p>
    <w:bookmarkStart w:id="8" w:name="page9"/>
    <w:bookmarkEnd w:id="8"/>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overall financial performance is a function of the following dynamics of our business:</w:t>
      </w:r>
    </w:p>
    <w:p>
      <w:pPr>
        <w:spacing w:after="0" w:line="63" w:lineRule="exact"/>
        <w:rPr>
          <w:sz w:val="20"/>
          <w:szCs w:val="20"/>
          <w:color w:val="auto"/>
        </w:rPr>
      </w:pPr>
    </w:p>
    <w:p>
      <w:pPr>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other asset-based fees from product sponsors, recordkeeping, networking services, client cash balances, and transaction and other fees for other ancillary services that we provide. Revenues are not concentrated by advisor, product, or geography. For the year ended December 31, 2019, no single relationship with our independent advisor practices, banks, credit unions, or insurance companies accounted for more than 7% of our net revenues, and no single advisor accounted for more than 2% of our net revenues.</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largest variable component of our cost base, advisor payout percentages, is directly linked to revenues generated by our advisors.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our revenues, such as software licensing and account and client fees, are not correlated with the equity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model is scalable and is capable of delivering expanding profit margins over time.</w:t>
      </w:r>
    </w:p>
    <w:p>
      <w:pPr>
        <w:spacing w:after="0" w:line="11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able to operate with low capital expenditures and limited capital requirements, and as a result have been able to invest in our business as well as return value to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Leadership Position and Significant Scale</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We are the established leader in the independent advisor market, which is our core business focus. We use our scale and position as an industry leader to champion the independent business model and the rights of our advisors.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scale enables us to benefit from the following dynamics:</w:t>
      </w:r>
    </w:p>
    <w:p>
      <w:pPr>
        <w:spacing w:after="0" w:line="45" w:lineRule="exact"/>
        <w:rPr>
          <w:sz w:val="20"/>
          <w:szCs w:val="20"/>
          <w:color w:val="auto"/>
        </w:rPr>
      </w:pPr>
    </w:p>
    <w:p>
      <w:pPr>
        <w:ind w:left="660" w:right="260" w:hanging="328"/>
        <w:spacing w:after="0" w:line="282"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Continual Reinvestment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actively reinvest in our comprehensive technology platform and practice management support, which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improves the productivity of our advisors.</w:t>
      </w:r>
    </w:p>
    <w:p>
      <w:pPr>
        <w:spacing w:after="0" w:line="53" w:lineRule="exact"/>
        <w:rPr>
          <w:rFonts w:ascii="Arial" w:cs="Arial" w:eastAsia="Arial" w:hAnsi="Arial"/>
          <w:sz w:val="18"/>
          <w:szCs w:val="18"/>
          <w:i w:val="1"/>
          <w:iCs w:val="1"/>
          <w:color w:val="auto"/>
        </w:rPr>
      </w:pPr>
    </w:p>
    <w:p>
      <w:pPr>
        <w:ind w:left="660" w:right="720" w:hanging="328"/>
        <w:spacing w:after="0" w:line="282"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Economies of Scale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one of the largest distributors of financial products in the United States, we have been able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attractive economics from product sponsors.</w:t>
      </w:r>
    </w:p>
    <w:p>
      <w:pPr>
        <w:spacing w:after="0" w:line="53" w:lineRule="exact"/>
        <w:rPr>
          <w:rFonts w:ascii="Arial" w:cs="Arial" w:eastAsia="Arial" w:hAnsi="Arial"/>
          <w:sz w:val="18"/>
          <w:szCs w:val="18"/>
          <w:i w:val="1"/>
          <w:iCs w:val="1"/>
          <w:color w:val="auto"/>
        </w:rPr>
      </w:pPr>
    </w:p>
    <w:p>
      <w:pPr>
        <w:ind w:left="660" w:right="640" w:hanging="328"/>
        <w:spacing w:after="0" w:line="282"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Payout Ratios to Advisors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largest U.S. broker-dealers by number of advisors, we believe that we offer the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payout ratios to our advisors.</w:t>
      </w:r>
    </w:p>
    <w:p>
      <w:pPr>
        <w:spacing w:after="0" w:line="126"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auto"/>
        </w:rPr>
        <w:t>The combination of our ability to reinvest in our business and maintain highly competitive payout ratios has enabled us to attract and retain advisors. This, in turn, has driven our growth and led to a continuous cycle of reinvestment that reinforces our established scale advantage.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Solutions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Our differentiator is the combination of our capabilities across research, technology, risk management, and practice management. LPL makes meaningful investments to support the growth, productivity, and efficiency of advisors across a broad spectrum of models as their practices evolve. Our focus is working alongside advisors to navigate complex environments in order to create the best outcomes for their clients.</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believe we offer a compelling value proposition to independent financial advisors and financial institutions. This value proposition is built upon the delivery of our services through our scale, independence, and integrated technology, the sum of which we believe is not replicated in the industry. As a result, we believe that we do not have any direct competitors that offer our business model at the scale at which we offer it. For example, because we do not have any proprietary manufactured financial products, we do not view firms that manufacture asset management products and other financial products as direct competitors.</w:t>
      </w:r>
    </w:p>
    <w:p>
      <w:pPr>
        <w:spacing w:after="0" w:line="2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provide comprehensive solutions to financial institutions, such as regional banks, credit unions, and insurers that seek to provide a broad array of services for their clients. We believe many institutions find the technology, infrastructure, and regulatory requirements associated with delivering financial advice to be cost-prohibitive. The solutions we provide enable financial advisors at these institutions to deliver their services on a cost-effective basis.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of Our Business Model</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business model allows our advisors the freedom to choose how they conduct their business, subject to certain regulatory parameters, which has helped us attract and retain advisors from multiple channels, including wire houses, regional broker-dealers, and other independent broker-dealers. Our platform can accommodate a variety of independent advisor business models, including independent financial advisors and Hybrid RIAs. The flexibility of our business model enables our advisors to transition among the independent advisor business models and product mix as their business evolves and preferences change within the market or their client base. Our business model provides advisors with a multitude of customizable service and technology offerings that allow them to increase their efficiency, focus on their clients, and grow their practice.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247"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We believe we can increase our revenue and profitability by benefiting from favorable industry trends and by executing strategies to accelerate our growth beyond that of the broader markets in which we operate.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Investable Assets</w:t>
      </w:r>
    </w:p>
    <w:p>
      <w:pPr>
        <w:spacing w:after="0" w:line="135" w:lineRule="exact"/>
        <w:rPr>
          <w:sz w:val="20"/>
          <w:szCs w:val="20"/>
          <w:color w:val="auto"/>
        </w:rPr>
      </w:pPr>
    </w:p>
    <w:p>
      <w:pPr>
        <w:ind w:right="20" w:firstLine="486"/>
        <w:spacing w:after="0" w:line="293" w:lineRule="auto"/>
        <w:rPr>
          <w:sz w:val="20"/>
          <w:szCs w:val="20"/>
          <w:color w:val="auto"/>
        </w:rPr>
      </w:pPr>
      <w:r>
        <w:rPr>
          <w:rFonts w:ascii="Arial" w:cs="Arial" w:eastAsia="Arial" w:hAnsi="Arial"/>
          <w:sz w:val="18"/>
          <w:szCs w:val="18"/>
          <w:color w:val="auto"/>
        </w:rPr>
        <w:t>From 2014 to 2018, the U.S. retail investment market averaged 7% annual growth. The chart below shows the historical growth of assets in the U.S. retail investment market (in trillions):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40005</wp:posOffset>
            </wp:positionV>
            <wp:extent cx="4262120" cy="1972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6212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rPr>
          <w:sz w:val="20"/>
          <w:szCs w:val="20"/>
          <w:color w:val="auto"/>
        </w:rPr>
      </w:pPr>
      <w:r>
        <w:rPr>
          <w:rFonts w:ascii="Arial" w:cs="Arial" w:eastAsia="Arial" w:hAnsi="Arial"/>
          <w:sz w:val="16"/>
          <w:szCs w:val="16"/>
          <w:color w:val="auto"/>
        </w:rPr>
        <w:t>Source: The Cerulli Report: U.S. Advisor Metrics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Demand for Independent Financial Advice</w:t>
      </w:r>
    </w:p>
    <w:p>
      <w:pPr>
        <w:spacing w:after="0" w:line="243"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Retail investors, particularly in the mass-affluent market, are increasingly seeking financial advice from independent sources. We are highly focused on helping independent advisors meet the needs of the mass-affluent market, which constitutes a significant and underserved portion of investable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 Migration to Independent Channels</w:t>
      </w:r>
    </w:p>
    <w:p>
      <w:pPr>
        <w:spacing w:after="0" w:line="24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Independent channels continue to gain market share from captive channels. We believe that we are not just a beneficiary of this secular shift, but an active catalyst in the movement to independence. There is an increased shift towards advisors seeking complete independence by forming an RIA firm and registering directly with the SEC or state securities regulators. This shift has led to significant growth in the number of advisors associated with Hybrid RIAs and independent RIA firms.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Executing Our Growth Strategies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Productivity of Existing Advisor Base</w:t>
      </w:r>
    </w:p>
    <w:p>
      <w:pPr>
        <w:spacing w:after="0" w:line="13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believe the productivity of our advisors has the potential to increase over time as we continue to develop solutions designed to enable them to add new clients, manage more of their clients’ investable assets, and expand their existing practices with additional advisors. We expect to facilitate these productivity improvements by helping our advisors better manage their practices in an increasingly complex external environment, which we believe has the potential to result in the assets per advisor growing over time.</w:t>
      </w:r>
    </w:p>
    <w:p>
      <w:pPr>
        <w:sectPr>
          <w:pgSz w:w="11900" w:h="16838" w:orient="portrait"/>
          <w:cols w:equalWidth="0" w:num="1">
            <w:col w:w="11380"/>
          </w:cols>
          <w:pgMar w:left="240" w:top="140" w:right="279" w:bottom="1440" w:gutter="0" w:footer="0" w:header="0"/>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140" w:right="279" w:bottom="1440" w:gutter="0" w:footer="0" w:header="0"/>
          <w:type w:val="continuous"/>
        </w:sectPr>
      </w:pPr>
    </w:p>
    <w:bookmarkStart w:id="10" w:name="page11"/>
    <w:bookmarkEnd w:id="10"/>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Attracting New Assets to Our Platform</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intend to grow the assets served by our platform. Cerulli Associates, a research and consulting firm specializing in the financial services industry, estimates there are $19.9 trillion advisor-mediated assets in the United States, of which we have a 3.8% market share, and we believe we are positioned to attract assets from any channel.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Advisor-mediated</w:t>
            </w:r>
          </w:p>
        </w:tc>
        <w:tc>
          <w:tcPr>
            <w:tcW w:w="1940" w:type="dxa"/>
            <w:vAlign w:val="bottom"/>
          </w:tcPr>
          <w:p>
            <w:pPr>
              <w:spacing w:after="0"/>
              <w:rPr>
                <w:sz w:val="16"/>
                <w:szCs w:val="16"/>
                <w:color w:val="auto"/>
              </w:rPr>
            </w:pPr>
          </w:p>
        </w:tc>
      </w:tr>
      <w:tr>
        <w:trPr>
          <w:trHeight w:val="22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Channel (dollars in billions)</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 of Market</w:t>
            </w: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Channels</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$7,602</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38.1%</w:t>
            </w: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Wirehouses</w:t>
            </w:r>
          </w:p>
        </w:tc>
        <w:tc>
          <w:tcPr>
            <w:tcW w:w="1940" w:type="dxa"/>
            <w:vAlign w:val="bottom"/>
          </w:tcPr>
          <w:p>
            <w:pPr>
              <w:jc w:val="center"/>
              <w:spacing w:after="0"/>
              <w:rPr>
                <w:sz w:val="20"/>
                <w:szCs w:val="20"/>
                <w:color w:val="auto"/>
              </w:rPr>
            </w:pPr>
            <w:r>
              <w:rPr>
                <w:rFonts w:ascii="Arial" w:cs="Arial" w:eastAsia="Arial" w:hAnsi="Arial"/>
                <w:sz w:val="16"/>
                <w:szCs w:val="16"/>
                <w:color w:val="auto"/>
              </w:rPr>
              <w:t>6,777</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34.0%</w:t>
            </w:r>
          </w:p>
        </w:tc>
      </w:tr>
      <w:tr>
        <w:trPr>
          <w:trHeight w:val="27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Employee Channels</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5,562</w:t>
            </w:r>
          </w:p>
        </w:tc>
        <w:tc>
          <w:tcPr>
            <w:tcW w:w="100" w:type="dxa"/>
            <w:vAlign w:val="bottom"/>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27.9%</w:t>
            </w:r>
          </w:p>
        </w:tc>
      </w:tr>
      <w:tr>
        <w:trPr>
          <w:trHeight w:val="240"/>
        </w:trPr>
        <w:tc>
          <w:tcPr>
            <w:tcW w:w="74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$19,941</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100.0%</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We compete with a variety of financial firms to attract and retain experienced and productive advisors. These financial firms operate in various channels and markets:</w:t>
      </w:r>
    </w:p>
    <w:p>
      <w:pPr>
        <w:spacing w:after="0" w:line="142" w:lineRule="exact"/>
        <w:rPr>
          <w:sz w:val="20"/>
          <w:szCs w:val="20"/>
          <w:color w:val="auto"/>
        </w:rPr>
      </w:pPr>
    </w:p>
    <w:p>
      <w:pPr>
        <w:ind w:left="660" w:right="2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Within the independent broker-dealer channel, the industry is highly fragmented and comprised primarily of regional firms that rely on third-party custodians and technology providers to support their operations.</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Wirehouses tend to consist of large nationwide firms with multiple lines of business that have a focus on the highly competitive high-net-worth investor market.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for advisors also includes regional firms that primarily focus on specific client niches or geographic areas.</w:t>
      </w:r>
    </w:p>
    <w:p>
      <w:pPr>
        <w:spacing w:after="0" w:line="117"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RIA firms, which are registered with the SEC or through their respective states’ investment advisory regulator and not through a broker-dealer, may choose from a number of third-party firms to provide custodial services.</w:t>
      </w:r>
    </w:p>
    <w:p>
      <w:pPr>
        <w:spacing w:after="0" w:line="14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Competitors within these various channels and markets generally do not offer a complete clearing solution for advisors and are frequently supported by third-party clearing and custody-oriented firms. These clearing firms and their affiliates and other providers also offer an array of service, technology and reporting tools, while retaining a portion of the economics for the offerings utilized by their clients.</w:t>
      </w:r>
    </w:p>
    <w:p>
      <w:pPr>
        <w:spacing w:after="0" w:line="20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direct-to-investor online financial services and discount brokerage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December 31, 2019, we had 4,343 full-time employees. None of our employees are subject to collective bargaining agreements governing their employment with us. We build deep expertise by attracting talented employees from a variety of fields and developing that talent into future leaders of our business and our industry. Our continued growth is dependent, in part, on our ability to be an employer of choice and an organization that recruits and retains talented employees who best fit our culture and business needs. We offer ongoing learning opportunities and programs that empower employees to grow in their professional development and careers. We provide comprehensive compensation and benefits packages, as well as financial education tools to assist our employees as they plan for their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financial services industry is subject to extensive regulation by U.S. federal, state, and international government agencies as well as various self-regulatory organizations. We take an active leadership role in the development of the rules and regulations that govern our industry. We have been investing in our compliance functions to monitor our adherence to the numerous legal and regulatory requirements applicable to our business. Compliance with all applicable laws and regulations, only some of which are described below, involves a significant investment in time and resources. Any new laws or regulations applicable to our business, any changes to existing laws or regulations, or any changes to the interpretations or enforcement of those laws or regulations, may affect our operations and/or financial condition.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3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 is a broker-dealer registered with the SEC, a member of the Financial Industry Regulatory Authority (“FINRA”) and various other self-regulatory organizations,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 The rules of the Municipal Securities Rulemaking Board, which are enforced by the SEC and FINRA, apply to the municipal securities activities of LPL Financial.</w:t>
      </w:r>
    </w:p>
    <w:p>
      <w:pPr>
        <w:spacing w:after="0" w:line="9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the conduct of directors, officers, and employees, qualification and licensing of supervisory and sales personnel, marketing practices, supervisory and organizational procedures intended to ensure compliance with securities laws and to prevent improper trading on material nonpublic information, limitations on extensions of credit in securities transactions, clearance and settlement procedures, and rules designed to promote high standards of commercial honor and just and equitable principles of trade. Broker-dealers are also subject to state securities laws and regulated by state securities administrators in those jurisdictions where they do business. Applicable laws, rules and regulations may be subject to varying interpretations and change from time to time.</w:t>
      </w:r>
    </w:p>
    <w:p>
      <w:pPr>
        <w:spacing w:after="0" w:line="9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Regulators make periodic examinations and inquiries of us, and review annual, monthly, and other reports on our operations, track record, and financial condition. Regulatory actions brought against us alleging violations of applicable laws, rules and regulations could result in censures, penalties and fines, settlements, disgorgement of profits, restitution to customers, remediation, or the issuance of cease-and-desist orders. Such actions could also result in the restriction, suspension, or expulsion from the securities industry of us or our financial advisors, officers or employees. We also may incur substantial expenses, damage to our reputation, or similar adverse consequences in connection with any such actions by the SEC, FINRA, the U.S. Department of Labor (“DOL”) or state securities regulators, regardless of the outcome.</w:t>
      </w:r>
    </w:p>
    <w:p>
      <w:pPr>
        <w:spacing w:after="0" w:line="10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LPL Financial’s margin lending is regulated by the Federal Reserve Board’s restrictions on lending in connection with client purchases and short sales of securities, and FINRA rules also require LPL Financial to impose maintenance requirements based on the value of securities contained in margin accounts. In many cases, our margin policies are more stringent than these rules.</w:t>
      </w:r>
    </w:p>
    <w:p>
      <w:pPr>
        <w:spacing w:after="0" w:line="9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Significant new rules and regulations continue to arise. For example, in June 2019, the SEC adopted a new standard of conduct applicable to retail brokerage accounts (“Regulation BI”), with a compliance date of June 30, 2020. Regulation BI requires that broker-dealers act in the best interest of retail customers without placing their own financial or other interests ahead of the customer’s and imposes new obligations related to disclosure, duty of care, conflicts of interest and compliance. Certain state securities and insurance regulators have also adopted, proposed or are considering adopting similar laws and regulations. Compliance with these provisions could require us to review our product and service offerings for potential changes and would likely result in increased compliance costs. Moreover, to the extent new rules or regulations affect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new rules or regulations will have on us, the financial industry, and the economy cannot be known until such rules and regulations have been finalized and implemented.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 Regulation</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 investment advisors registered with the SEC, our subsidiaries LPL Financial and Fortigent, LLC are subject to the requirements of the Advisers Act, and the regulations promulgated thereunder, including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w:t>
      </w:r>
    </w:p>
    <w:p>
      <w:pPr>
        <w:spacing w:after="0" w:line="9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and associated regulations. Investment advisors also are subject to certain state securities laws and regulations. Failure to comply with the Advisers Act or other federal and state securities laws and regulations could result in investigations, censures, penalties and fines, settlements, disgorgement of profits, restitution to customers, remediation, the issuance of cease-and-desist orders or the termination of an investment advisor’s registration. We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2" w:name="page13"/>
    <w:bookmarkEnd w:id="1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also may incur substantial expenses, damage to our reputation, or similar adverse consequences in connection with such actions, regardless of the outcome.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Services Regulation</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Certain subsidiaries, including LPL Financial, PTC, and LPLIA, are subject to the Employee Retirement Income Security Act of 1974, as amended (“ERISA”), and Section 4975 of the Internal Revenue Code of 1986, as amended (the “Code”), and to regulations promulgated under ERISA or the Code, insofar as the subsidiaries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imposes excise taxes for violations of these prohibitions.</w:t>
      </w:r>
    </w:p>
    <w:p>
      <w:pPr>
        <w:spacing w:after="0" w:line="10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DOL is currently expected to release a new rule in 2020 that may change the definition of fiduciary under ERISA and Section 4975 of the Code, and this could result in legal, compliance, information technology, and other costs and could lead to a greater risk of client lawsuits and enforcement activity by the DOL. The effect of any future DOL regulation on our retirement plan business cannot be anticipated or planned for, but may have further impacts on our products and services,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LPL Financial is registered as an introducing broker with the Commodity Futures Trading Commission (“CFTC”) and is a member of the National Futures Association (“NFA”). LPL Financial introduces commodities and futures products to ADM Investor Services, Inc. (“ADM”), and all commodities accounts and related client positions are held by ADM. LPL Financial is regulated by the CFTC and the NFA. Violations of the rules of the CFTC and the NFA could result in remedial actions including fines, registration terminations, or revocations of exchange memberships.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9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of 1978, as implemented by OCC supervisory policy, imposes restrictions on parties who wish to acquire a controlling interest in a limited purpose national bank such as PTC or the holding company of a limited purpose national bank such as LPLFH. In general, an acquisition of 10% or more of our common stock, or another acquisition of “control” as defined in OCC regulations, may require OCC approval. These laws and regulations are designed to serve specific bank regulatory and supervisory purposes and are not meant for the protection of PTC, PTC Holdings, Inc., LPLFH, or their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4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The SEC, FINRA, the CFTC, and the NFA have stringent rules and regulations with respect to the maintenance of specific levels of net capital by regulated entities. The net capital rule under the Exchange Act requires a broker-dealer to maintain a minimum net capital, and applies certain discounts to the value of its assets based on the liquidity of such assets. LPL Financial is also subject to the NFA’s financial requirements and is required to maintain net capital that is in excess of or equal to the greatest of the NFA’s minimum financial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requirements. Under these requirements, LPL Financial is currently required to maintain minimum net capital that is in excess of or equal to the minimum net capital calculated and required pursuant to the SEC’s Net Capital Rule.</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SEC, FINRA, the CFTC, and the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then certain notice requirements to the regulators are required and the broker-dealer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require prior notice to the SEC and FINRA for certain capital withdrawals. LPL Financial, which is subject to net capital rules, has been and currently is in compliance with those rules and has net capital in excess of the minimum requirements.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39" w:lineRule="exact"/>
        <w:rPr>
          <w:sz w:val="20"/>
          <w:szCs w:val="20"/>
          <w:color w:val="auto"/>
        </w:rPr>
      </w:pPr>
    </w:p>
    <w:p>
      <w:pPr>
        <w:ind w:right="120" w:firstLine="486"/>
        <w:spacing w:after="0" w:line="250" w:lineRule="auto"/>
        <w:rPr>
          <w:sz w:val="20"/>
          <w:szCs w:val="20"/>
          <w:color w:val="auto"/>
        </w:rPr>
      </w:pPr>
      <w:r>
        <w:rPr>
          <w:rFonts w:ascii="Arial" w:cs="Arial" w:eastAsia="Arial" w:hAnsi="Arial"/>
          <w:sz w:val="18"/>
          <w:szCs w:val="18"/>
          <w:color w:val="auto"/>
        </w:rPr>
        <w:t>The USA PATRIOT Act of 2001 (the “PATRIOT Act”), which amended the Bank Secrecy Act, contains anti-money laundering and financial transparency laws and mandates the implementation of various regulations applicable to broker-dealers, futures commission merchants, and other financial services companies. Financial institutions subject to these requirements generally must have an anti-money laundering program in place, which includes monitoring for and reporting suspicious activity, implementing specialized employee training programs, designating an anti-money laundering compliance officer, and annually conducting an independent test of the effectiveness of its program. In addition, sanctions administered by the United States Office of Foreign Asset Control prohibit U.S. persons from doing business with blocked persons and entities or certain sanctioned countries. We have established policies, procedures, and systems designed to comply with these regulations but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 work continuously to improve and strengthen our regulatory compliance mechanisms.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and general concerns about the security of that information. To the extent they are applicable to us, we must comply with federal and state information-related laws and regulations in the United States, including the Gramm-Leach-Bliley Act of 1999, SEC Regulation S-P, the Fair Credit Reporting Act of 1970, as amended, and Regulation S-ID, as well as the California Consumer Protection Act and further potential federal and state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the periods presented were derived from our operations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7" w:lineRule="exact"/>
        <w:rPr>
          <w:sz w:val="20"/>
          <w:szCs w:val="20"/>
          <w:color w:val="auto"/>
        </w:rPr>
      </w:pPr>
    </w:p>
    <w:p>
      <w:pPr>
        <w:ind w:right="20" w:firstLine="486"/>
        <w:spacing w:after="0" w:line="232" w:lineRule="auto"/>
        <w:rPr>
          <w:sz w:val="20"/>
          <w:szCs w:val="20"/>
          <w:color w:val="auto"/>
        </w:rPr>
      </w:pPr>
      <w:r>
        <w:rPr>
          <w:rFonts w:ascii="Arial" w:cs="Arial" w:eastAsia="Arial" w:hAnsi="Arial"/>
          <w:sz w:val="18"/>
          <w:szCs w:val="18"/>
          <w:color w:val="auto"/>
        </w:rPr>
        <w:t>Access Overlay</w:t>
      </w:r>
      <w:r>
        <w:rPr>
          <w:rFonts w:ascii="Arial" w:cs="Arial" w:eastAsia="Arial" w:hAnsi="Arial"/>
          <w:sz w:val="21"/>
          <w:szCs w:val="21"/>
          <w:color w:val="auto"/>
          <w:vertAlign w:val="superscript"/>
        </w:rPr>
        <w:t>®</w:t>
      </w:r>
      <w:r>
        <w:rPr>
          <w:rFonts w:ascii="Arial" w:cs="Arial" w:eastAsia="Arial" w:hAnsi="Arial"/>
          <w:sz w:val="18"/>
          <w:szCs w:val="18"/>
          <w:color w:val="auto"/>
        </w:rPr>
        <w:t>, BranchNet</w:t>
      </w:r>
      <w:r>
        <w:rPr>
          <w:rFonts w:ascii="Arial" w:cs="Arial" w:eastAsia="Arial" w:hAnsi="Arial"/>
          <w:sz w:val="21"/>
          <w:szCs w:val="21"/>
          <w:color w:val="auto"/>
          <w:vertAlign w:val="superscript"/>
        </w:rPr>
        <w:t>®</w:t>
      </w:r>
      <w:r>
        <w:rPr>
          <w:rFonts w:ascii="Arial" w:cs="Arial" w:eastAsia="Arial" w:hAnsi="Arial"/>
          <w:sz w:val="18"/>
          <w:szCs w:val="18"/>
          <w:color w:val="auto"/>
        </w:rPr>
        <w:t>, CLIENTWORKS</w:t>
      </w:r>
      <w:r>
        <w:rPr>
          <w:rFonts w:ascii="Arial" w:cs="Arial" w:eastAsia="Arial" w:hAnsi="Arial"/>
          <w:sz w:val="21"/>
          <w:szCs w:val="21"/>
          <w:color w:val="auto"/>
          <w:vertAlign w:val="superscript"/>
        </w:rPr>
        <w:t>®</w:t>
      </w:r>
      <w:r>
        <w:rPr>
          <w:rFonts w:ascii="Arial" w:cs="Arial" w:eastAsia="Arial" w:hAnsi="Arial"/>
          <w:sz w:val="18"/>
          <w:szCs w:val="18"/>
          <w:color w:val="auto"/>
        </w:rPr>
        <w:t>, Fortigent</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LPL Financial (&amp; Design)</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and SPONSORWORKS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our registered trademarks, and ADVISORYWORLD, CLIENTWORKS CONNECTED, ALLEN &amp; COMPANY OF FLORIDA, LLC, and THE PRIVATE TRUST COMPANY, N.A. (&amp; Design) are among our service marks.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and the assets they serve. If we fail to attract new advisors or to retain and motivate our current advisors, replace our advisors who retire, or assist our retiring advisors with transitioning their practices to existing advisors, or if advisor migration away from wire houses and to independent channels slows, our business may suffer.</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 houses, regional broker-dealers, banks, insurance companies, and other independent broker-dealers.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196"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or market volatility can:</w:t>
      </w:r>
    </w:p>
    <w:p>
      <w:pPr>
        <w:spacing w:after="0" w:line="88" w:lineRule="exact"/>
        <w:rPr>
          <w:sz w:val="20"/>
          <w:szCs w:val="20"/>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equity markets, such as variable life insurance, variable annuities, mutual funds, and managed accounts;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 and our transaction revenue;</w:t>
      </w:r>
    </w:p>
    <w:p>
      <w:pPr>
        <w:spacing w:after="0" w:line="117"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trailing commissions and asset-based fee income; and</w:t>
      </w:r>
    </w:p>
    <w:p>
      <w:pPr>
        <w:spacing w:after="0" w:line="88"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4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Other more specific trends may also affect our financial condition and results of operations, including, for example: changes in the mix of products preferred by investors may result in increases or decreases in our fee revenues associated with such products, depending on whether investors gravitate towards or away from such products. The timing of such trends, if any, and their potential impact on our financial condition and results of operations are beyond our control.</w:t>
      </w:r>
    </w:p>
    <w:p>
      <w:pPr>
        <w:spacing w:after="0" w:line="2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in response to market factors over short periods of time is limited, which could negatively impact our profitability.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Our revenues are exposed to interest rate risk primarily from changes in fees payable to us from banks participating in our client cash programs, which are generally based on prevailing interest rates. Our revenue from our client cash programs has declined in the past as a result of a low interest rate environment, and our revenue may decline in the future due to decreases in interest rates, decreases in client cash balances or mix shifts among the current or future cash sweep vehicles and money market programs that we offer. The Federal Reserve decreased the federal funds rate in 2019 and there can be no assurance that it will not continue to do so. Our revenue from our client cash programs also depends on our success in negotiating favorable terms in current and future agreements with banks and money market fund providers participating in our programs, as well as our success in offering competitive products, program fees and interest rates payable to clients. The expiration of contracts with favorable pricing terms, less favorable terms in future contracts with participants in our client cash programs or changes in the cash sweep vehicles or money market programs that we offer, could result in declines in our revenue. A sustained low interest rate environment may also have a negative impact upon our ability to negotiate contracts with new banks or renegotiate existing contracts on comparable terms with banks participating in our client cash programs. If interest rates do not rise in accordance with management and market expectations,</w:t>
      </w:r>
    </w:p>
    <w:p>
      <w:pPr>
        <w:sectPr>
          <w:pgSz w:w="11900" w:h="16838" w:orient="portrait"/>
          <w:cols w:equalWidth="0" w:num="1">
            <w:col w:w="11420"/>
          </w:cols>
          <w:pgMar w:left="240" w:top="140" w:right="2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5" w:name="page16"/>
    <w:bookmarkEnd w:id="1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or if balances or yields in our client cash programs decrease, future revenues from our client cash programs may be lower than expected.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client service, which is built upon our support for our advisors through: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9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deliver acceptable standards of service and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171"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and could lead advisors to terminate their agreements with us, which they generally have the right to do unilaterally upon short notice.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claims, and regulatory actions.</w:t>
      </w:r>
    </w:p>
    <w:p>
      <w:pPr>
        <w:spacing w:after="0" w:line="247"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From time to time, we have been subjected to and are currently subject to legal and regulatory proceedings arising out of our business operations, including lawsuits, arbitration claims, governmental subpoenas, and regulatory, governmental and self regulatory organization (“SRO”) inquiries, investigations, and enforcement proceedings, as well as other actions and claims. Many of our legal claims are initiated by clients of our advisors and involve the purchase or sale of investment securities, but other claims and proceedings may be, and have been, initiated by state-level and federal regulatory authorities and SROs, including the SEC, FINRA, and state securities regulators.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outcomes of any such legal or regulatory proceedings, including inquiries, investigations and enforcement proceedings by the SEC, FINRA, DOL and state securities regulators, are difficult to predict. A negative outcome in such a matter could result in substantial legal liability, censures, penalties and fines, disgorgement of profits, restitution to customers, remediation, the issuance of cease-and-desist orders, or injunctive or other equitable relief against us. Further, such negative outcomes individually or in the aggregate may cause us significant reputational harm and could have a material adverse effect on our ability to recruit or retain financial advisors, or our results of operations, cash flows, or financial condition.</w:t>
      </w:r>
    </w:p>
    <w:p>
      <w:pPr>
        <w:spacing w:after="0" w:line="20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may face liabilities for deficiencies or failures in our compliance systems and programs, as well as actual or alleged breaches of legal duties to our advisors’ clients, including in respect of issues related to the suitability of the financial products we make available in our open architecture product platform or the investment advice of our advisors based on their clients’ investment objectives (including, for example, alternative investments or exchange-traded funds) and certain fiduciary obligations for advice and recommendations made to our advisory clients.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Moreover, new and developing state and federal regulatory requirements with respect to standards of care and other obligations, as discussed under “Risks Related to Our Regulatory Environment” below, may introduce new grounds for legal claims or enforcement actions against us in the future, including, in particular with respect to our brokerage services. We may also become subject to claims, allegations and legal proceedings that we infringe or misappropriate intellectual property or other proprietary rights of others. In addition, we may be subject to legal proceedings related to employment matters, including wage and hour, discrimination or harassment claims.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inherent in the independent broker-dealer business model.</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Compared to wire houses and other employee model broker-dealers, we generally offer advisors wider choice in operating their businesses with regard to product offerings, outside business activities, office technology and supervisory model. Our approach may make it more challenging for us to comply with our supervisory and regulatory compliance obligations, particularly in light of our limited on-site supervision and the complexity of certain advisor business models.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Misconduct and errors by our employees and our advisors could be difficult for us to detect and could result in violations of law by us, regulatory sanctions, or serious reputational or financial harm. Although we have designed policies and procedures to comply with applicable laws, rules, regulations and interpretations, we cannot always prevent or detect misconduct and errors by our employees and our advisors,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In addition, although we provide our advisors with requirements and recommendations for their office technology, we cannot fully control or monitor the extent of their implementation of our requirements and recommendations. Accordingly, we cannot assure that our advisors’ technology meets our standards, including with regard to information security and cybersecurity. We also cannot assure that misconduct or errors by our employees or advisors will not lead to a material adverse effect on our business, or that our errors and omissions insurance will be sufficient to cover such misconduct or errors.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cyber and data breach, errors and omissions, and fidelity bond insurance. We have self-insurance for certain potential liabilities through a wholly-owned captive insurance subsidiary. While we endeavor to self-insure and purchase coverage that is appropriate to our assessment of our risk, we are unable to predict with certainty the frequency, nature, or magnitude of claims for direct or consequential damages. Assessing the probability of a loss occurring and the timing and amount of any loss related to a regulatory matter or a legal proceeding is inherently difficult, and there are particular uncertainties and complexities involved when assessing the adequacy of loss reserves for potential liabilities that are self-insured by our captive insurance subsidiary. In addition, certain types of potential claims for damages cannot be insured. Our business may be negatively affected if in the future some or all of our insurance proves to be inadequate or unavailable to cover our liabilities related to legal or regulatory matters. Such negative consequences could include additional expense and financial loss, which could be significant in amount. In addition, insurance claims may harm our reputation or divert management resources away from operating our business.</w:t>
      </w:r>
    </w:p>
    <w:p>
      <w:pPr>
        <w:spacing w:after="0" w:line="24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effective and may not be adapted quickly enough to respond effectively to changed circumstances. Some of our compliance and risk evaluation functions depend upon information provided by others and public information regarding markets, clients, or other matters that are otherwise accessible by us. In some cases, however, that information may not be available, accurate, complete, or up-to-date. Also, because our advisors work in decentralized offices, additional risk management challenges may exist, including with regard to advisor office technology and information security practices. In addition, our existing policies and procedures and staffing levels may be insufficient to support a significant increase in our advisor population; such an increase may require us to increase our costs in order to maintain our compliance and risk management obligations or put a strain on our existing policies and procedures as we evolve to support a larger advisor population. If our policies and procedures are not effective or if we are not successful in capturing risks to which we are or may be exposed, we may suffer harm to our reputation or be subject to litigation or regulatory actions that could have a material adverse effect on our business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LPL Financial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others. Any unsettled securities transactions or wrongly executed transactions may expose our advisors and us to losses resulting from adverse movements in the prices of such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cash or capital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penalties or fines, settlements, customer restitution or other remediation costs;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legal settlements or judgments.</w:t>
      </w:r>
    </w:p>
    <w:p>
      <w:pPr>
        <w:spacing w:after="0" w:line="171"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limit or curtail our operations or growth plans, and our business would suffer.</w:t>
      </w:r>
    </w:p>
    <w:p>
      <w:pPr>
        <w:spacing w:after="0" w:line="20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the committed revolving credit facility at our broker-dealer subsidiary, LPL Financial, or uncommitted lines of credit. We may also need access to capital in connection with the growth of our business, through acquisitions or otherwise.</w:t>
      </w:r>
    </w:p>
    <w:p>
      <w:pPr>
        <w:spacing w:after="0" w:line="9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3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our lenders could develop a negative perception of our long- or short-term financial prospects as a result of industry-or company-specific considerations. Similarly, our access to funds may be impaired if regulatory authorities or rating organizations take negative actions against us.</w:t>
      </w:r>
    </w:p>
    <w:p>
      <w:pPr>
        <w:spacing w:after="0" w:line="14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2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operate on an open architecture product platform offering no proprietary financial products. To help our advisors meet their clients’ needs with suitable investment options, we have relationships with many of the industry-leading providers of financial and insurance products. We have sponsorship agreements with some manufacturers of fixed and variable annuities and mutual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 As an example,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 product sponsors. If this trend continues, the attractiveness of these products would be reduced, potentially reducing the revenue we currently generate from the sale of such products.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made acquisitions and investments in the past and may pursue further acquisitions and investments in the future. These transactions are accompanied by risks. For instance, an acquisition could have a negative effect on our financial and strategic position and reputation or the acquired business could fail to further our strategic goals. We can provide no assurances that advisors who join LPL Financial through acquisitions or investments in advisor practices will remain at LPL Financial.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All of these and other potential risks may serve as a diversion of our management’s attention from other business concerns, and any of these factors could have a material adverse effect on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federal income tax law could make some of the products distributed by our advisors less attractive to clients.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w:t>
      </w:r>
    </w:p>
    <w:p>
      <w:pPr>
        <w:spacing w:after="0" w:line="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Any failure to comply with applicable federal or state laws or regulations exposes us to litigation and regulatory actions, which could increase our costs or negatively affect our reputation</w:t>
      </w:r>
      <w:r>
        <w:rPr>
          <w:rFonts w:ascii="Arial" w:cs="Arial" w:eastAsia="Arial" w:hAnsi="Arial"/>
          <w:sz w:val="18"/>
          <w:szCs w:val="18"/>
          <w:color w:val="auto"/>
        </w:rPr>
        <w:t>.</w:t>
      </w:r>
    </w:p>
    <w:p>
      <w:pPr>
        <w:spacing w:after="0" w:line="17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Our business, including securities and investment advisory services, is subject to extensive regulation under both federal and state laws, rules and regulations. Our broker-dealer subsidiary, LPL Financial, is:</w:t>
      </w:r>
    </w:p>
    <w:p>
      <w:pPr>
        <w:spacing w:after="0" w:line="14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the District of Columbia, Puerto Rico, and the U.S. Virgin Islands;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registered as an investment adviser with the SEC;</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member of FINRA and various other self-regulatory organizations, and a participant in various clearing organizations including the Depository Trust Company, the National Securities Clearing Corporation, and the Options Clearing Corporation;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regulated by the DOL relative to its servicing of retirement plan accounts subject to ERISA and the Code;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 introducing broker.</w:t>
      </w:r>
    </w:p>
    <w:p>
      <w:pPr>
        <w:spacing w:after="0" w:line="171"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primary self-regulator of LPL Financial is FINRA. LPL Financial is also subject to state laws, including state “blue sky” laws, and the rules of Municipal Securities Rulemaking Board for its municipal securities activities. The CFTC has designated the NFA as LPL Financial’s primary regulator for futures and commodities trading activities.</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SEC, FINRA, DOL, the CFTC, the OCC, various securities and futures exchanges, and other United States and state-level governmental or regulatory authorities continuously review legislative and regulatory initiatives and may adopt new or revised laws, regulations, or interpretations. There can be no assurance that other federal or state agencies will not attempt to further regulate our business or that specific interactions with foreign countries or foreign nationals will not trigger regulation in non-U.S. law in particular circumstances. These legislative and regulatory initiatives may affect the way in which we conduct our business and may make our business model less profitable.</w:t>
      </w:r>
    </w:p>
    <w:p>
      <w:pPr>
        <w:spacing w:after="0" w:line="20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and interpretations, is largely dependent on our establishment and maintenance of compliance, audit, and reporting systems and procedures, as well as our ability to attract and retain qualified compliance, audit,</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supervisory, and risk management personnel. We cannot assure you that our systems and procedures are, or have been, effective in complying with all applicable laws, rules and regulations, and interpretations. In particular, the diversity of information security environments in which our services are offered makes it difficult to ensure a uniformly robust level of compliance. Regulators have in the past raised, and may in the future raise, concerns with respect to the quality, consistency or oversight of our compliance systems and programs, and our past or future compliance with applicable laws, rules and regulations. As of the date of this Annual Report on Form 10-K, we have a number of pending regulatory matters.</w:t>
      </w:r>
    </w:p>
    <w:p>
      <w:pPr>
        <w:spacing w:after="0" w:line="20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Violations of laws, rules or regulations and settlements in respect of alleged violations have in the past resulted in, and could in the future result in, legal liability, censures, penalties and fines, disgorgement of profits, restitution to customers, remediation, the issuance of cease-and-desist orders or injunctive or other equitable relief against us, which individually or in the aggregate could negatively impact our financial results or adversely affect our ability to attract or retain financial advisors and institutions. Depending on the nature of the violation, we may be required to offer restitution or remediation to customers, and the costs of doing so could exceed our loss reserves.</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have established a captive insurance subsidiary that underwrites insurance for various regulatory and legal risks, although self-insurance coverage is not available for all matters. The availability of coverage depends on the nature of the claim and the adequacy of reserves, which depends in part on historical claims experience, including the actual timing and costs of resolving matters that begin in one policy period and are resolved in a subsequent period. Assessing the probability of a loss occurring and the timing and amount of any loss related to a regulatory matter or a legal proceeding is inherently difficult and requires significant and complex judgments,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There are particular uncertainties and complexities involved when assessing the adequacy of loss reserves for potential liabilities that are self-insured by our captive insurance subsidiary. As a result, actual self-insurance liabilities could exceed our loss reserves, in which case coverage may not be available and we could incur material additional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 could adversely affect our business by increasing our costs or making our business less profitable.</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profitability could be affected by rules and regulations that impact the business and financial communities generally and, in particular, our advisors and their clients, including changes to the interpretation or enforcement of laws governing standards of care applicable to investment advice and recommendations, taxation, the classification of our independent advisors as independent contractors rather than our employees, trading, electronic commerce, privacy, data protection, and anti-money laundering. Failure to comply with these rules and regulations could subject us to regulatory actions or litigation and it could have a material adverse effect on our business, results of operations, cash flows, or financial condition.</w:t>
      </w:r>
    </w:p>
    <w:p>
      <w:pPr>
        <w:spacing w:after="0" w:line="20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New laws, rules and regulations, or changes to the interpretation or enforcement of existing laws, rules or regulations, could also result in limitations on the lines of business we conduct or plan to conduct, modifications to our current or future business practices, compressed margins, increased capital requirements, and additional costs. For example, in June 2019, the SEC adopted new Regulation BI, which imposes an overarching standard of conduct that requires broker-dealers and their associated persons to act in the best interest of their retail customers when making securities recommendations and imposes a number of new compliance and disclosure obligations on broker-dealers. Nevada has enacted, and other state legislatures (including New Jersey, Massachusetts and Maryland) are considering, statutes that impose fiduciary standards and other obligations on broker-dealers and investment advisers operating in their states. New York recently adopted a best interest standard that became applicable to the sale of certain annuity and insurance products beginning August 1, 2019. We expect that these laws and proposals could negatively impact our results, including by increasing our expenditures related to legal, compliance, information technology, and could result in other costs, including greater risks of client lawsuits and enforcement activity by regulators. These changes may also affect the array of products and services we offer to clients and the compensation that we and our advisors receive in connection with such products and services.</w:t>
      </w:r>
    </w:p>
    <w:p>
      <w:pPr>
        <w:spacing w:after="0" w:line="21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It is also unclear how and whether other regulators, including FINRA, the DOL, banking regulators, and other state securities and insurance regulators may respond to, or enforce elements of, these new regulations, or develop their own similar laws and regulations. The impacts, degree and timing of the effect of these laws and future regulations on our business cannot now be anticipated or planned for, and may have further impacts on our products and services, and the results of operations. Please consult the Retirement Plan Services Regulation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section within Part I, “Item 1. Business” for specific information about risks associated with DOL regulations and related exemptions and their potential impact on our operations.</w:t>
      </w:r>
    </w:p>
    <w:p>
      <w:pPr>
        <w:spacing w:after="0" w:line="196"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In addition, the Dodd-Frank Act enacted wide-ranging changes in the supervision and regulation of the financial industry designed to provide for greater oversight of financial industry participants, reduce risk in banking practices and in securities and derivatives trading, enhance public company corporate governance practices and executive compensation disclosures, and provide for greater protections to individual consumers and investors. Certain elements of the Dodd-Frank Act remain subject to implementing regulations that are yet to be adopted by the applicable regulatory agencies. Compliance with these provisions could require us to review our product and service offerings for potential changes and would likely result in increased compliance costs. Moreover, to the extent the Dodd-Frank Act affects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21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sum, our profitability may be adversely affected by current and future rulemaking and enforcement activity by the various federal, state and self-regulatory organizations to which we are subject. The effect of these regulatory developments on our business cannot now be anticipated or planned for, but may have further impacts on our products and services, and results of operations.</w:t>
      </w:r>
    </w:p>
    <w:p>
      <w:pPr>
        <w:spacing w:after="0" w:line="23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conduct or growth of our business.</w:t>
      </w:r>
    </w:p>
    <w:p>
      <w:pPr>
        <w:spacing w:after="0" w:line="17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FINRA Rule 1017 generally provides, among other things, that FINRA approval must be obtained in connection with any transaction resulting in a 25% or more change in our ownership that results in one person or entity directly or indirectly owning or controlling 25% or more of us.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2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SEC, FINRA, the CFTC, the OCC, and the NFA have extensive rules and regulations with respect to capital requirements. As a registered broker-dealer, LPL Financial is subject to Rule 15c3-1 (“Net Capital Rule”) under the Exchange Act, and related requirements of SROs. The CFTC and the NFA also impose net capital requirements. The Net Capital Rule specifies minimum capital requirements that are intended to ensure the general soundness and liquidity of broker-dealers. Because our holding companies are not registered broker-dealers, they are not subject to the Net Capital Rule. However, the ability of our holding companies to withdraw capital from our broker-dealer subsidiary could be restricted, which in turn could limit our ability to repay debt, redeem or purchase shares of our outstanding stock, or pay dividends. A large operating loss or charge against net capital could adversely affect our ability to expand or even maintain our present levels of business.</w:t>
      </w:r>
    </w:p>
    <w:p>
      <w:pPr>
        <w:spacing w:after="0" w:line="17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The requirement to ensure accessibility of our websites and web-based applications to persons with rights under the Americans with Disabilities Act and other state or federal laws may result in increased cost and difficulty of compliance with evolving regulatory standards.</w:t>
      </w:r>
    </w:p>
    <w:p>
      <w:pPr>
        <w:spacing w:after="0" w:line="190"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Americans with Disabilities Act is a federal law that prohibits discrimination on the basis of disability in public accommodations and employment. As federal and state standards evolve to require an increasing number of public spaces, including web-based applications, to be made accessible to the disabled, we could be required to make modifications to our internet-based applications or to our other client- or advisor-facing technologies, including our website, to provide enhanced or accessible service to, or make reasonable accommodations for, disabled persons. This adaptation of our websites and web-based applications and materials could result in increased costs and may affect the products and services we provide. Failure to comply with federal or state standards could result in litigation, including class action lawsuits.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and certain retirement plan regulations could result in penalties against us.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discussed above, we are subject to ERISA and Section 4975 of the Code, and to regulations promulgated thereunder, insofar as we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also imposes excise taxes for violations of these prohibitions. Our failure to comply with ERISA and the Code could result in significant penalties against us that could have a material adverse effect on our business (or, in a worst case, severely limit the extent to which we could act as fiduciaries for or provide services to these plans).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7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brokerage and investment advisory firms, including national and regional firms, as well as independent RIA firms;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firms offering so-called “robo” advice solutions.</w:t>
      </w:r>
    </w:p>
    <w:p>
      <w:pPr>
        <w:spacing w:after="0" w:line="11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and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spacing w:after="0" w:line="20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If we fail to continue to attract highly qualified advisors, or if advisors licensed with us leave us to pursue other opportunities, we could face a significant decline in market share, commission and fee revenues or net income. We could face similar consequences if current or potential clients of ours, including current clients that use our outsourced customized clearing, advisory platforms or technology solutions, decide to use one of our competitors rather than us. If we are required to increase our payout of commissions and fees to our advisors in order to remain competitive, our net income could be significantly reduced.</w:t>
      </w:r>
    </w:p>
    <w:p>
      <w:pPr>
        <w:spacing w:after="0" w:line="23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Clients of our advisors have control over their assets that are served under our platforms. Poor service or performance of the financial products that we offer, the emergence of new financial products or services from others, harm to our reputation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or zero commissions to attract clients or trading volume, direct-to-investor online financial services, including so-called “robo” advice, or higher deposit rates to attract client cash balances, could adversely impact our business. The decrease in revenue that could result from such an event could have a material adverse effect on our business.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2" w:name="page23"/>
    <w:bookmarkEnd w:id="2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Each of our executive officers is an employee at will and none has an employment agreement. We may not be able to retain our existing employees or fill new positions or vacancies created by expansion or turnover. The loss or unavailability of these individuals could have a material adverse effect on our business.</w:t>
      </w:r>
    </w:p>
    <w:p>
      <w:pPr>
        <w:spacing w:after="0" w:line="20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7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6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storage and communications systems. In addition to better serving our advisors and their clients, the effective use of technology increases efficiency and enables firms like ours to reduce costs and support our regulatory compliance and reporting functions. Our continued success will depend, in part, upon:</w:t>
      </w:r>
    </w:p>
    <w:p>
      <w:pPr>
        <w:spacing w:after="0" w:line="40" w:lineRule="exact"/>
        <w:rPr>
          <w:sz w:val="20"/>
          <w:szCs w:val="20"/>
          <w:color w:val="auto"/>
        </w:rPr>
      </w:pPr>
    </w:p>
    <w:p>
      <w:pPr>
        <w:ind w:left="660" w:right="3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invest significant resources on our technology systems in order to meet industry and regulatory standards, consumer preferences and the efforts of threat actors to penetrate our systems;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successfully maintain and upgrade the capabilities of our systems;</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services that satisfy their demands while ensuring the security of the data involving those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use technology effectively and securely to support our regulatory compliance and reporting functions;</w:t>
      </w:r>
    </w:p>
    <w:p>
      <w:pPr>
        <w:spacing w:after="0" w:line="117"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the changing landscape of laws and regulations that govern protection of personally identifiable information;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171"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Extraordinary trading volumes, malware, ransomware or attempts by hackers to introduce large volumes of fraudulent transactions into our systems, beyond reasonably foreseeable spikes in volumes, could cause our computer systems to operate at an unacceptably slow speed or even fail. Failure of our systems, which could result from these or other events beyond our control, or an inability or failure to effectively upgrade those systems or implement new technology-driven products or services, could result in financial losses, unanticipated disruptions in our service, liability to our advisors or advisors’ clients, compliance failures, regulatory sanctions, and damage to our reputation.</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including personally identifiable information of advisors and their clients, as well as our employees. Although we take protective measures and endeavor to modify them as circumstances warrant, our computer systems, software, and networks are to some degree vulnerable to unauthorized access, human error, computer viruses, denial-of-service attacks, malicious code, spam attacks, phishing, ransomware or other forms of social engineering and other events that could impact the security, reliability, confidentiality, integrity and availability of our systems. To the extent third parties, such as product sponsors, also retain similarity sensitive information about our advisors or their clients, their systems may face similar vulnerabilities. We are not able to protect against these events completely given the rapid evolution of new vulnerabilities, the complex and distributed nature of our systems, our interdependence on the systems of other companies and the increased sophistication of potential attack vectors and methods against our systems. In particular, advisors work in a wide variety of environments, and although we require minimum security by policy, we cannot ensure the consistent compliance with these policies across all of our advisors, or that our policy will be adequate to address the evolving threat environment. If one or more of these events occur, they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As a result, we could be subject to litigation, client loss, reputational harm, regulatory sanctions, and financial losses that are either not insured or are not fully covered through any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insurance we maintain. If any person, including any of our employees or advisors, negligently disregards or intentionally breaches our established controls with respect to client data, or otherwise mismanages or misappropriates that data, we could also be subject to significant monetary damages, regulatory enforcement actions, fines and/or criminal prosecution in one or more jurisdictions.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may be vulnerable to security risks.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secure transmission of confidential information, including personally identifiable information, over public networks is a critical element of our operations. As part of our normal operations, we maintain and transmit confidential information about clients of our advisors, our advisors and our employees, as well as proprietary information relating to our business operations. The risks related to transmitting data and using service providers outside of and storing or processing data within our network are increasing based on escalating and malicious cyber activity, including activity that originates outside of the United States from criminal elements and hostile nation-states.</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Cybersecurity requires ongoing investment and diligence against evolving threats and is subject to federal and state regulation relating to the protection of confidential information. We may be required to expend significant additional resources to modify our protective measures, to investigate and remediate vulnerabilities or other exposures, to make required notifications, or to update our technologies, websites and web-based applications to comply with industry and regulatory standards, but we may not have adequate personnel, financial or other resources to fully meet these standards. We will also be required to effectively and efficiently govern, manage and ensure timely evolutions in our systems, including in their design, architecture and interconnections as well as their organizational and technical protections. New regulations may be promulgated by relevant federal and state authorities at any time and compliance with regulatory expectations may become increasingly complex as more state regulatory authorities issue or amend regulations, which sometimes conflict, governing handling of confidential information by companies within their jurisdiction. Several states, including California, Colorado, Connecticut, Michigan, Nevada, New York, South Carolina and Vermont, have promulgated cybersecurity requirements that impact our compliance obligations. Compliance with these regulations also could be costly and disruptive to our operations, and we cannot provide assurance that the impact of these regulations would not, either individually or collectively, be material to our business.</w:t>
      </w:r>
    </w:p>
    <w:p>
      <w:pPr>
        <w:spacing w:after="0" w:line="21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or malicious computer code, we or our advisors could experience data loss, financial loss, harm to reputation, regulatory violations, class action and commercial litigation, and significant business interruption or loss. In addition, vulnerabilities of our external service providers could pose security risks to client information. If any such disruption or failure, real or perceived, occurs, we or our advisors may be exposed to unexpected liability, advisors or their clients may withdraw assets, our reputation may be tarnished, and there could be a material adverse effect on our business. Further, any actual or perceived breach or cybersecurity attack directed at other financial institutions or financial services companies, whether or not we are targeted, could lead to a general loss of customer confidence in the use of technology to conduct financial transactions, which could negatively impact us, including the market perception of the effectiveness of our security measures and technology infrastructure. The occurrence of any of these events may have a material adverse effect on our business or results of operations.</w:t>
      </w:r>
    </w:p>
    <w:p>
      <w:pPr>
        <w:spacing w:after="0" w:line="104"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own information technology systems are to some degree vulnerable to unauthorized access and other security risks. We rely on our advisors and employees to comply with our policies and procedures to safeguard confidential data. The failure of our advisors and employees to comply with such policies and procedures, either intentionally or unintentionally, could result in the loss or wrongful use of their clients’ confidential information or other sensitive information. In addition, even if we and our advisors comply with our policies and procedures, persons who circumvent security measures could infiltrate or damage our systems or facilities and wrongfully use our confidential information or clients’ confidential information or cause interruptions or malfunctions in our operations. Cyber-attacks can be designed to collect information, manipulate, destroy or corrupt data, applications, or accounts, and to disable the functioning or use of applications or technology assets. Such activity could, among other things:</w:t>
      </w:r>
    </w:p>
    <w:p>
      <w:pPr>
        <w:spacing w:after="0" w:line="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competitors or hackers access to our proprietary business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78" w:lineRule="exact"/>
        <w:rPr>
          <w:sz w:val="20"/>
          <w:szCs w:val="20"/>
          <w:color w:val="auto"/>
        </w:rPr>
      </w:pPr>
    </w:p>
    <w:p>
      <w:pPr>
        <w:ind w:left="660" w:right="4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us to regulatory sanctions or obligations, based on state law or the authority of the SEC and FINRA to enforce regulations regarding business continuity planning or cybersecurity;</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us to litigation by consumers, advisors, or other business partners that may suffer damages as a result of such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63"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As malicious cyber activity escalates, including activity that originates outside of the United States, the risks we face relating to transmission of data and our use of service providers outside of our network, as well as the storing or processing of data within our network, intensify. While we maintain cyber liability insurance, this insurance does not cover certain types of potential losses and, for covered losses, may not be sufficient in amount to protect us against all such losses.</w:t>
      </w:r>
    </w:p>
    <w:p>
      <w:pPr>
        <w:spacing w:after="0" w:line="96"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the course of operations, we share sensitive corporate and personal data with vendors, third parties and other financial institutions. Although we conduct some level of due diligence before sharing data with third parties, this due diligence may not uncover administrative, technical or electronic gaps or flaws in their processes or systems. In 2018, we experienced a limited breach of information security at a vendor, which led to notification costs and potential reputational harm with regulators, current and potential advisors and advisors’ clients. We also experienced an incident at another financial institution which held advisor data in the normal course of operations. Similar incidents in the future could lead to litigation involving other financial institutions, class actions, regulatory investigations or other harm.</w:t>
      </w:r>
    </w:p>
    <w:p>
      <w:pPr>
        <w:spacing w:after="0" w:line="10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light of the high volume of transactions we process, the large number of our advisors and their clients, the diversity of our advisors’ security environments and the increasing sophistication of malicious actors, a cyber-attack could occur and persist for an extended period of time without detection. We expect that any investigation of a cyber-attack could take substantial amounts of time, and that there may be extensive delays before we obtain full and reliable information. In some cases, the nature of the attack may be such that full and reliable information may never be available.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w:t>
      </w:r>
    </w:p>
    <w:p>
      <w:pPr>
        <w:spacing w:after="0" w:line="23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75"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We believe that our future success will depend in part on our ability to anticipate and adapt to technological advancements required to meet the changing demands of our advisors and their clients. We depend on highly specialized and, in many cases, proprietary technology to support our business functions, including among others:</w:t>
      </w:r>
    </w:p>
    <w:p>
      <w:pPr>
        <w:spacing w:after="0" w:line="1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continued success depends on our ability to effectively adopt new or adapt existing technologies to meet changing client, industry, and regulatory demands. The emergence of new industry standards and practices could render our existing systems obsolete or uncompetitive. There cannot be any assurance that another company will not design a similar or better platform that renders our technology less competitive.</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Maintaining competitive technology requires us to make significant capital expenditures, both in the near term and longer-term. There cannot be any assurance that we will have sufficient resources to adequately update and expand our information technology systems or capabilities, or offer our services on the personal and mobile computing devices that may be preferred by our advisors and/or their clients, nor can there be any assurance that any upgrade or expansion efforts will be sufficiently timely, successful, secure and accepted by our current and prospective advisors or their clients. The process of upgrading and expanding our systems has at times caused, and may in the future cause, us to suffer system degradations, outages and failures. If our technology systems were to fail and we were unable to recover in a timely way, we would be unable to fulfill critical business functions, which could lead to a loss of advisors and could harm our reputation. A breakdown in advisors’ systems could have similar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effects. A technological breakdown could also interfere with our ability to comply with financial reporting and other regulatory requirements, exposing us to disciplinary action and to liability to our advisors and their clients. Security, stability, and regulatory risks also exist because parts of our infrastructure and software are beyond their manufacturer’s stated end of life. We are working to mitigate such risks through additional controls and increased modernization spending, although we cannot provide assurance that our risk mitigation efforts will be effective, in whole or in part.</w:t>
      </w:r>
    </w:p>
    <w:p>
      <w:pPr>
        <w:spacing w:after="0" w:line="2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business continuity and disaster recovery plans and procedures in the event of a catastrophe could adversely affect our business.</w:t>
      </w:r>
    </w:p>
    <w:p>
      <w:pPr>
        <w:spacing w:after="0" w:line="17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 security, human error, loss of power, computer and/or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In addition, we depend on the adequacy of the business continuity and disaster recovery plans of our third-party service providers, including off-shore service providers, in order to prevent or mitigate service interruptions. If our business continuity and disaster recovery plans and procedures, or those of our third-party service providers, were disrupted or unsuccessful in the event of a catastrophe, we could experience a material adverse interruption of our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outsourced service providers, including off-shore providers, to perform technology, processing, and support functions.</w:t>
      </w:r>
    </w:p>
    <w:p>
      <w:pPr>
        <w:spacing w:after="0" w:line="247"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auto"/>
        </w:rPr>
        <w:t>We rely on outsourced service providers to perform certain technology, processing and support functions. For example, we have an agreement with Refinitiv US LLC, under which it provides us key operational support, including data processing services for securities transactions and back office processing support (“BETAHost”). Our use of third-party service providers may decrease our ability to control operating risks and information technology systems risks.</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Any significant failures by BETAHost or our other service providers could cause us to sustain serious operational disruptions and incur losses and could harm our reputation. These third-party service providers are also susceptible to operational and technology vulnerabilities, including cyber-attacks, security breaches, fraud, phishing attacks and computer virus, which could result in unauthorized access, misuse, loss or destruction of data, an interruption in service or other similar events that may impact our business.</w:t>
      </w:r>
    </w:p>
    <w:p>
      <w:pPr>
        <w:spacing w:after="0" w:line="204"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cannot assure that our third-party service providers will be able to continue to provide their services in an efficient, cost effective manner, if at all, or that they will be able to adequately expand their services to meet our needs and those of our advisors. An interruption in or the cessation of service by a third-party service provider and our inability to make alternative arrangements in a timely manner could cause a disruption to our business and could have a material impact on our ability to serve our advisors and their clients. In addition, we cannot predict the costs or time that would be required to find an alternative service provider.</w:t>
      </w:r>
    </w:p>
    <w:p>
      <w:pPr>
        <w:spacing w:after="0" w:line="20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have transitioned certain business and technology processes to off-shore providers, which has increased the related risks described above. For example, we rely on several off-shore service providers, operating in multiple locations, for functions related to cash management, account transfers, information technology infrastructure and support, and document indexing, among others. To the extent third-party service providers are located in foreign jurisdictions, we are exposed to risks inherent in such providers conducting business outside of the United States, including international economic and political conditions, and the additional costs associated with complying with foreign laws and fluctuations in currency values.</w:t>
      </w:r>
    </w:p>
    <w:p>
      <w:pPr>
        <w:spacing w:after="0" w:line="209"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We expect that our regulators would hold us responsible for any deficiencies in our oversight and control of our third-party relationships and for the performance of such third parties. If there were deficiencies in the oversight and control of our third-party relationships, and if our regulators held us responsible for those deficiencies, our business, reputation, and results of operations could be adversely affected.</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At December 31, 2019, we had total indebtedness of $2.4 billion of which $1.1 billion is subject to floating interest rates.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 If interest rates increase our interest expense would increase because borrowings under our senior secured credit agreement (“Credit Agreement”) are based on variable interest rates.</w:t>
      </w:r>
    </w:p>
    <w:p>
      <w:pPr>
        <w:spacing w:after="0" w:line="2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or other future indebtedness, our creditors could, among other things, accelerate the maturity of our indebtedness.</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Credit Agreement and the indentures (as supplemented, “Indentures”) governing our senior unsecured notes (as defined further below, the “Notes”) permit us to incur additional indebtedness. Under our Credit Agreement, we have the right to request additional commitments for new term loans, new revolving credit commitments and increases to then-existing term loans and revolving credit commitments, subject to certain limitations. Although the Credit Agreement and the Indentures contain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the Credit Agreement or the Indentures. To the extent new debt or other obligations are added to our currently anticipated debt levels, the substantial indebtedness risks described above would increase.</w:t>
      </w:r>
    </w:p>
    <w:p>
      <w:pPr>
        <w:spacing w:after="0" w:line="20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the Credit Agreement or the Indentures. However, any such downgrade would negatively impact our ability to obtain comparable rates and terms on any future refinancing of our debt and could restrict our ability to incur additional indebtedness.</w:t>
      </w: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Restrictions under our Credit Agreement and the Indentures governing our Notes may prevent us from taking actions that we believe would be in the best interest of our business.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Agreement and the Indentures contain customary restrictions on our activities, including covenants that may restrict us from:</w:t>
      </w:r>
    </w:p>
    <w:p>
      <w:pPr>
        <w:spacing w:after="0" w:line="6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declaring dividends or other distributions to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repurchasing equity interests;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redeeming indebtedness that is subordinated in right of payment to certain debt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engaging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entering into agreements that restrict dividends or other payments from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revolving credit facility requires us to meet specified leverage ratio and interest coverage ratio tests.</w:t>
      </w:r>
    </w:p>
    <w:p>
      <w:pPr>
        <w:spacing w:after="0" w:line="26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These restrictions may prevent us from taking actions that we believe would be in the best interest of our business. Our ability to comply with these restrictive covenants will depend on our future performance, which may</w:t>
      </w:r>
    </w:p>
    <w:p>
      <w:pPr>
        <w:sectPr>
          <w:pgSz w:w="11900" w:h="16838" w:orient="portrait"/>
          <w:cols w:equalWidth="0" w:num="1">
            <w:col w:w="11420"/>
          </w:cols>
          <w:pgMar w:left="240" w:top="140" w:right="2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40" w:right="239" w:bottom="1440" w:gutter="0" w:footer="0" w:header="0"/>
          <w:type w:val="continuous"/>
        </w:sectPr>
      </w:pPr>
    </w:p>
    <w:bookmarkStart w:id="27" w:name="page28"/>
    <w:bookmarkEnd w:id="27"/>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 affected by events beyond our control. If we violate any of these covenants and are unable to obtain waivers, we would be in default under our Credit Agreement or the Indentures, as applicable, and payment of the indebtedness could be accelerated. Acceleration of our indebtedness under our Credit Agreement or the Indentures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Agreement and the Indentures could discourage an acquisition of us by a third-party.</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Certain provisions of our Credit Agreement and the Indentures could make it more difficult or more expensive for a third-party to acquire us, and any of our future debt agreements may contain similar provisions. Upon the occurrence of certain transactions constituting a change of control, all indebtedness under our Credit Agreement may be accelerated and become due and payable and noteholders will have the right to require us to repurchase the Notes at a purchase price equal to 101% of the principal amount of the Notes plus accrued and unpaid interest, if any, to but not including the purchase date. A potential acquirer may not have sufficient financial resources to purchase our outstanding indebtedness in connection with a change of control.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139"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market price of our common stock may fluctuate substantially due to the following factors (in addition to the other risk factors described in this Item 1A):</w:t>
      </w:r>
    </w:p>
    <w:p>
      <w:pPr>
        <w:spacing w:after="0" w:line="34" w:lineRule="exact"/>
        <w:rPr>
          <w:sz w:val="20"/>
          <w:szCs w:val="20"/>
          <w:color w:val="auto"/>
        </w:rPr>
      </w:pPr>
    </w:p>
    <w:p>
      <w:pPr>
        <w:ind w:left="660" w:right="3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including with regard to interest rates or revenues associated with our client cash programs or key business lines;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commencement or outcome of litigation or arbitration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commencement or outcome of regulatory actions, including settlements with the SEC, FINRA, DOL or state securities regulators;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including developments related to the “best interest” and “fiduciary” standards of care;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developments;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addition, the equity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This type of litigation could result in substantial costs and a diversion of our management’s attention and resources.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subsidiary.</w:t>
      </w:r>
    </w:p>
    <w:p>
      <w:pPr>
        <w:spacing w:after="0" w:line="24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future ability to pay regular dividends to holders of our common stock or repurchase shares are subject to the discretion of our board of directors and will be limited by our ability to generate sufficient earnings and cash flows.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board of directors declared quarterly cash dividends on our outstanding common stock in 2019 and has from time to time authorized us to repurchase shares of the Company’s issued and outstanding shares of common stock. The declaration and payment of any future quarterly cash dividend or any additional repurchase authorizations will be subject to the board of directors’ continuing determination that the declaration of future dividends or repurchase of our shares are in the best interests of our stockholders and are in compliance with our Credit Agreement, the Indentures and applicable law. Such determinations will depend upon a number of factors that the board of directors deems relevant, including future earnings, the success of our business activities, capital requirements, alternative uses of capital, the general financial condition and future prospects of our business, and general business conditions.</w:t>
      </w:r>
    </w:p>
    <w:p>
      <w:pPr>
        <w:spacing w:after="0" w:line="20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future payment of dividends or repurchases of shares will also depend on our ability to generate earnings and cash flows. If we are unable to generate sufficient earnings and cash flows from our business, we may not be able to pay dividends on our common stock or repurchase additional shares. In addition, our ability to pay cash dividends on our common stock and repurchase shares is dependent on the ability of our subsidiaries to pay dividends, including compliance with limitations under our Credit Agreement and the Indentures. Our broker-dealer subsidiary is subject to requirements of the SEC, FINRA, the CFTC, and other regulators relating to liquidity, capital standards, and the use of client funds and securities, which may limit funds available for the payment of dividends to us.</w:t>
      </w: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247"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14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117"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w:t>
      </w:r>
    </w:p>
    <w:p>
      <w:pPr>
        <w:spacing w:after="0" w:line="88"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48"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corporate offices are located in San Diego, California where we lease approximately 420,000 square feet of office space under a lease agreement that expires on April 30, 2029; in Fort Mill, South Carolina where we lease approximately 452,000 square feet of office space under a lease agreement that expires on October 31, 2036; and in Boston, Massachusetts where we lease approximately 69,000 square feet of office space under a lease agreement that expires on June 30, 2023.</w:t>
      </w:r>
    </w:p>
    <w:p>
      <w:pPr>
        <w:spacing w:after="0" w:line="204" w:lineRule="exact"/>
        <w:rPr>
          <w:sz w:val="20"/>
          <w:szCs w:val="20"/>
          <w:color w:val="auto"/>
        </w:rPr>
      </w:pPr>
    </w:p>
    <w:p>
      <w:pPr>
        <w:jc w:val="both"/>
        <w:ind w:right="180" w:firstLine="486"/>
        <w:spacing w:after="0" w:line="262" w:lineRule="auto"/>
        <w:rPr>
          <w:sz w:val="20"/>
          <w:szCs w:val="20"/>
          <w:color w:val="auto"/>
        </w:rPr>
      </w:pPr>
      <w:r>
        <w:rPr>
          <w:rFonts w:ascii="Arial" w:cs="Arial" w:eastAsia="Arial" w:hAnsi="Arial"/>
          <w:sz w:val="18"/>
          <w:szCs w:val="18"/>
          <w:color w:val="auto"/>
        </w:rPr>
        <w:t>We also lease smaller administrative and operational offices in various locations throughout the United States. We believe that our existing properties are adequate for the current operating requirements of our business and that additional space will be available as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spacing w:after="0" w:line="184"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 xml:space="preserve">For a discussion of legal proceedings,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consolidated financial statements in this Annual Report on Form 10-K. Please also see “Risk Factors - Any failure to comply with applicable federal or state laws or regulations exposes us to litigation and regulatory actions, which could increase our costs or negatively affect our reputation” and “Risk Factors – Our business is subject to risks related to litigation, arbitration claims, and regulatory actions” within Part I, “Item 1A. Risk Factors”.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certain information about each of the Company’s executive officers as of the date this Annual Report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10-K has been filed with the SEC:</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Age</w:t>
            </w:r>
          </w:p>
        </w:tc>
        <w:tc>
          <w:tcPr>
            <w:tcW w:w="594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58"/>
        </w:trPr>
        <w:tc>
          <w:tcPr>
            <w:tcW w:w="1980" w:type="dxa"/>
            <w:vAlign w:val="bottom"/>
            <w:gridSpan w:val="2"/>
          </w:tcPr>
          <w:p>
            <w:pPr>
              <w:spacing w:after="0"/>
              <w:rPr>
                <w:sz w:val="20"/>
                <w:szCs w:val="20"/>
                <w:color w:val="auto"/>
              </w:rPr>
            </w:pPr>
            <w:r>
              <w:rPr>
                <w:rFonts w:ascii="Arial" w:cs="Arial" w:eastAsia="Arial" w:hAnsi="Arial"/>
                <w:sz w:val="16"/>
                <w:szCs w:val="16"/>
                <w:color w:val="auto"/>
              </w:rPr>
              <w:t>Dan H. Arnold</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Matthew J. Audette</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45</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Matthew Enyedi</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National Sales</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J. Andrew Kalbaugh</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Divisional President, National Sales and Consulting</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Sallie R. Larsen</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66</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Chief Human Capital Officer</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Michelle Oroschakoff</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Chief Legal Officer</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Scott Seese</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Chief Information Officer</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Dayton Semerjian</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54</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Chief Customer Care Officer</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Richard Steinmeier</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Divisional President, Business Development</w:t>
            </w:r>
          </w:p>
        </w:tc>
      </w:tr>
      <w:tr>
        <w:trPr>
          <w:trHeight w:val="243"/>
        </w:trPr>
        <w:tc>
          <w:tcPr>
            <w:tcW w:w="1980" w:type="dxa"/>
            <w:vAlign w:val="bottom"/>
            <w:gridSpan w:val="2"/>
          </w:tcPr>
          <w:p>
            <w:pPr>
              <w:spacing w:after="0"/>
              <w:rPr>
                <w:sz w:val="20"/>
                <w:szCs w:val="20"/>
                <w:color w:val="auto"/>
              </w:rPr>
            </w:pPr>
            <w:r>
              <w:rPr>
                <w:rFonts w:ascii="Arial" w:cs="Arial" w:eastAsia="Arial" w:hAnsi="Arial"/>
                <w:sz w:val="16"/>
                <w:szCs w:val="16"/>
                <w:color w:val="auto"/>
              </w:rPr>
              <w:t>George B. White</w:t>
            </w:r>
          </w:p>
        </w:tc>
        <w:tc>
          <w:tcPr>
            <w:tcW w:w="760" w:type="dxa"/>
            <w:vAlign w:val="bottom"/>
            <w:gridSpan w:val="2"/>
          </w:tcPr>
          <w:p>
            <w:pPr>
              <w:jc w:val="center"/>
              <w:ind w:left="379"/>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6"/>
                <w:szCs w:val="16"/>
                <w:color w:val="auto"/>
              </w:rPr>
              <w:t>Managing Director, Investor and Investment Solutions and Chief Investment Officer</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 H. Arnold — President and Chief Executive Officer</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Mr. Arnold has served as our chief executive officer since January 2017. He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Mr. Arnold joined our Company in January 2007 following our acquisition of UVEST Financial Services Group, Inc. (“UVEST”). Prior to joining us, Mr. Arnold worked at UVEST for 13 years, serving most recently as president and chief operating officer. From April 2015 to July 2018, he served on the board of directors of the Securities Industry and Financial Markets Association (“SIFMA”). Mr. Arnold earned a B.S. in electrical engineering from Auburn University and holds an M.B.A. in finance from Georgia State University.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J. Audette — Chief Financial Officer</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Mr. Audette is our chief financial officer. He is responsible for the Company’s core financial functions including: financial planning and analysis, controllership, tax, internal audit, treasury, corporate development, and investor relations. Prior to joining LPL in September 2015, he served as executive vice president and chief financial officer of E*TRADE Financial Corporation (“E*Trade”) from January 2011 until June 2015. During his 16 years with E*TRADE, he led the formation of the firm’s Finance department and was a key contributor in the growth of the franchise, leading a variety of corporate transactions and capital activities. Mr. Audette began his career in the financial services practice at KPMG. Mr. Audette earned a B.S. in accounting from Virginia Polytechnic Institute and State University, popularly known as Virginia Tech.</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Enyedi — Managing Director, National Sales</w:t>
      </w:r>
    </w:p>
    <w:p>
      <w:pPr>
        <w:spacing w:after="0" w:line="139" w:lineRule="exact"/>
        <w:rPr>
          <w:sz w:val="20"/>
          <w:szCs w:val="20"/>
          <w:color w:val="auto"/>
        </w:rPr>
      </w:pPr>
    </w:p>
    <w:p>
      <w:pPr>
        <w:ind w:right="80" w:firstLine="486"/>
        <w:spacing w:after="0" w:line="216" w:lineRule="exact"/>
        <w:rPr>
          <w:sz w:val="20"/>
          <w:szCs w:val="20"/>
          <w:color w:val="auto"/>
        </w:rPr>
      </w:pPr>
      <w:r>
        <w:rPr>
          <w:rFonts w:ascii="Arial" w:cs="Arial" w:eastAsia="Arial" w:hAnsi="Arial"/>
          <w:sz w:val="17"/>
          <w:szCs w:val="17"/>
          <w:color w:val="auto"/>
        </w:rPr>
        <w:t>Mr. Enyedi has served as managing director, national sales of LPL Financial since January 2020. He oversees an integrated group of product and platform sales consultants focused on helping financial advisors and institutions navigate and grow in an increasingly complex financial services landscape. Prior to his promotion to managing director, Mr. Enyedi served as executive vice president, national sales from March 2015 to January 2020. In that role, he led the firm’s data analytics and business intelligence efforts, and oversaw a team focused on providing front</w:t>
      </w:r>
      <w:r>
        <w:rPr>
          <w:rFonts w:ascii="MS PGothic" w:cs="MS PGothic" w:eastAsia="MS PGothic" w:hAnsi="MS PGothic"/>
          <w:sz w:val="17"/>
          <w:szCs w:val="17"/>
          <w:color w:val="auto"/>
        </w:rPr>
        <w:t>‐</w:t>
      </w:r>
      <w:r>
        <w:rPr>
          <w:rFonts w:ascii="Arial" w:cs="Arial" w:eastAsia="Arial" w:hAnsi="Arial"/>
          <w:sz w:val="17"/>
          <w:szCs w:val="17"/>
          <w:color w:val="auto"/>
        </w:rPr>
        <w:t xml:space="preserve"> and middle</w:t>
      </w:r>
      <w:r>
        <w:rPr>
          <w:rFonts w:ascii="MS PGothic" w:cs="MS PGothic" w:eastAsia="MS PGothic" w:hAnsi="MS PGothic"/>
          <w:sz w:val="17"/>
          <w:szCs w:val="17"/>
          <w:color w:val="auto"/>
        </w:rPr>
        <w:t>‐</w:t>
      </w:r>
      <w:r>
        <w:rPr>
          <w:rFonts w:ascii="Arial" w:cs="Arial" w:eastAsia="Arial" w:hAnsi="Arial"/>
          <w:sz w:val="17"/>
          <w:szCs w:val="17"/>
          <w:color w:val="auto"/>
        </w:rPr>
        <w:t>office capabilities to help advisors grow their businesses and reach new segments of clients. He was also previously responsible for teams supporting LPL Financial’s RIA custody and high-net-worth solutions. Mr. Enyedi joined LPL Financial in 2003 and has also served as senior vice president, vice president, corporate strategy and assistant vice president of advisory consulting. Prior to joining the firm, he worked as a financial advisor with UBS PaineWebber. Mr. Enyedi received a B.A. in speech communication and business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2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administration from the University of San Diego. He also holds the Certified Investment Management Analyst® designation from the Haas School of Business at the University of California, Berkeley.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Andrew Kalbaugh — Managing Director, Divisional President, National Sales and Consulting</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Mr. Kalbaugh has served as managing director and divisional president, national sales and consulting of LPL Financial since January 2016. He is responsible for the long-term growth, satisfaction, and retention of financial advisors and institutions. In addition, he leads the strategy for national sales and consulting support teams across LPL Financial’s retirement planning services, high-net-worth and private client solutions, financial planning and insurance services. Previously, Mr. Kalbaugh served as managing director and divisional president of Institution Services and led business development and business consulting for all financial institutions from November 2011 to January 2016. Prior to being named managing director in 2011, Mr. Kalbaugh served as executive vice president, business consulting, for Independent Advisor Services, responsible for providing support to advisors and their practices. He joined the Company in July 2007 following the acquisition of Mutual Service Corporation (“MSC”) and served as chief executive officer for MSC as well as for Associated Securities Corporation. Prior to that, he held senior positions at several financial services firms. Mr. Kalbaugh earned a B.A. in business and economics from the University of Maryland.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Sallie R. Larsen — Managing Director, Chief Human Capital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Ms. Larsen is managing director, chief human capital officer of LPL Financial. She is responsible for overseeing executive communication, human resources, talent development, corporate real estate, total rewards and talent acquisition, advisor and employee learning and development, and diversity and inclusion. Ms. Larsen joined us in May 2012 from the Federal Home Loan Bank/Office of Finance, where she served as the chief human resources officer from November 2009 to April 2012. In earlier roles, Ms. Larsen was a managing vice president of human resources for Capital One Financial Corporation, senior vice president of human resources for Marriott International, and vice president of human resources and communications for TRW Inc. Ms. Larsen earned a M.A. in communications from Purdue University, a B.A. in sociology from California Lutheran University, and a certificate in executive leadership coaching from Georgetown University.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Michelle Oroschakoff — Managing Director, Chief Legal Officer</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Ms. Oroschakoff is managing director, chief legal officer of LPL Financial. She is responsible for company-wide legal and government relations matters, risk management processes and controls, compliance, and governance, and has a leading role in the Company’s ongoing focus on enhancing the corporate risk profile. Ms. Oroschakoff has more than 20 years of financial services industry experience deeply rooted in legal, compliance, and risk management. She joined LPL Financial as managing director, chief risk officer in September 2013 from Morgan Stanley, and was promoted to chief legal and risk officer in June 2017. She became chief legal officer in June 2018. At Morgan Stanley, she most recently served as managing director and Global Chief Risk Officer of the firm’s Global Wealth Management Group from 2011 to 2013. Previously, while with Morgan Stanley, she served as chief administrative officer from 2010 to 2011, as well as Chief Compliance Officer from 2006 to 2010. Earlier in her career, Ms. Oroschakoff spent 11 years in a variety of legal and compliance roles at Morgan Stanley, including associate general counsel and head of the firm’s San Francisco litigation department. She also served as the general counsel for a large and successful RIA firm, where she became familiar with the independent model. She also serves on the SIFMA Compliance and Legal Executive Committee. Ms. Oroschakoff earned a B.A. in English literature from the University of Oregon and a J.D., with honors, from the University of Michigan.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 Seese — Managing Director, Chief Information Officer</w:t>
      </w:r>
    </w:p>
    <w:p>
      <w:pPr>
        <w:spacing w:after="0" w:line="247" w:lineRule="exact"/>
        <w:rPr>
          <w:sz w:val="20"/>
          <w:szCs w:val="20"/>
          <w:color w:val="auto"/>
        </w:rPr>
      </w:pPr>
    </w:p>
    <w:p>
      <w:pPr>
        <w:jc w:val="both"/>
        <w:ind w:right="180" w:firstLine="486"/>
        <w:spacing w:after="0" w:line="265" w:lineRule="auto"/>
        <w:rPr>
          <w:sz w:val="20"/>
          <w:szCs w:val="20"/>
          <w:color w:val="auto"/>
        </w:rPr>
      </w:pPr>
      <w:r>
        <w:rPr>
          <w:rFonts w:ascii="Arial" w:cs="Arial" w:eastAsia="Arial" w:hAnsi="Arial"/>
          <w:sz w:val="17"/>
          <w:szCs w:val="17"/>
          <w:color w:val="auto"/>
        </w:rPr>
        <w:t>Mr. Seese is managing director, chief information officer of LPL Financial, responsible for managing all aspects of the firm’s technology and systems applications. He leads our Technology department, which is responsible for delivering technology solutions and market-leading platforms that enable positive, compelling experiences for LPL Financial advisors and employees. Prior to joining LPL Financial in 2017, Mr.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Seese served as CIO of American Express’s global consumer business unit, from November 2014 to June 2016, where he was responsible for leveraging technology for revenue growth, gaining new customers and lowering costs. From August 2010 to October 2014, he served as CIO and vice president, information technology, at eBay, Inc. Prior to joining eBay, he served in a variety of senior technology roles at Bank of America and, before that, spent the first 12 years of his career at General Electric, where he helped start three different businesses. Mr. Seese earned his B.S. in electrical engineering from Ohio State University.</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40" w:right="299" w:bottom="1440" w:gutter="0" w:footer="0" w:header="0"/>
        </w:sectPr>
      </w:pPr>
    </w:p>
    <w:bookmarkStart w:id="32" w:name="page33"/>
    <w:bookmarkEnd w:id="3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Dayton Semerjian — Managing Director, Chief Customer Care Officer</w:t>
      </w:r>
    </w:p>
    <w:p>
      <w:pPr>
        <w:spacing w:after="0" w:line="139"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Mr. Semerjian has served as managing director, chief customer care officer of LPL Financial since February 2019. He is responsible for LPL Financial’s customer satisfaction and client-centric efforts and leads Service, Trading, and Operations, LPL Financial’s largest business unit. Before joining LPL Financial, Mr. Semerjian was general manager and senior vice president for Global Customer Success at CA Technologies Inc., which he joined in 2005 when the firm acquired Concord Communication Inc. At Concord, he was executive vice president of Marketing and Strategic Alliances. Mr. Semerjian also gained experience leading firms in adopting new service models that focus on improving the customer experience at scale through leadership roles at Intel Corp., Nation Street Inc. and Corente Inc., which was acquired by</w:t>
      </w:r>
    </w:p>
    <w:p>
      <w:pPr>
        <w:spacing w:after="0" w:line="3"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Oracle. Mr. Semerjian received a B.B.A. in marketing and management from the University of Massachusetts and an M.B.A. from Harvard Business School. He was also awarded an advanced certificate of executive management by the MIT Sloan School of Management.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Steinmeier — Managing Director, Divisional President, Business Development</w:t>
      </w:r>
    </w:p>
    <w:p>
      <w:pPr>
        <w:spacing w:after="0" w:line="139"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Mr. Steinmeier has served as managing director and divisional president, business development of LPL Financial since August 2018. In this role, he has responsibility for recruiting new financial advisors and institutions to LPL Financial and to existing advisor practices, as well as exploring new markets and merger and acquisition opportunities. Prior to joining LPL Financial, Mr. Steinmeier served as managing director, head of digital strategy and platforms for UBS Wealth Management Americas from September 2017 to August 2018 and as managing director, head of the Emerging Affluent Segment and Wealth Advice Center from August 2012 to September 2017. Prior to UBS, Mr. Steinmeier held a variety of leadership roles at Merrill Lynch, most recently as managing director of the Merrill Edge Advisory Center from February 2009 to August 2012. Prior to joining Merrill Lynch, he served as an engagement manager at McKinsey &amp; Company from 2002 to 2006. Mr. Steinmeier earned a B.S. in economics from the Wharton School at the University of Pennsylvania and an M.B.A. from Stanford University.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B. White — Managing Director, Investor and Investment Solutions and Chief Investment Officer</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Mr. White has served as managing director, investor and investment solutions and chief investment officer of LPL Financial since January 2017. He served as managing director, research, and chief investment officer from 2009 to December 2016. Mr. White is responsible for the strategic direction and continued growth of LPL Financial’s research, marketing, products, and investment platforms. Prior to joining us in November 2007, Mr. White served as a managing director and director of research for Wachovia Securities for 10 years. Mr. White was also an investment analyst for Mercer Investment Consulting, where he provided investment advice to institutional clients. He started his financial services career on the buy side of the business as a research analyst for Thompson, Siegel, and Walmsley, a value-oriented asset manager. Mr. White received a B.B.A. from the College of William and Mary.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940"/>
        <w:spacing w:after="0" w:line="51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Our common stock is traded on the Nasdaq Global Select Market under the symbol “LPLA.” The closing sale price as of December 31, 2019 was $92.25 per share. As of that date, there were 1,356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following graph compares the cumulative total stockholder return (rounded to the nearest whole dollar) of the Company’s common stock, the Standard &amp; Poor’s 500 Financial Sector Index, and the Dow Jones U.S. Financial Services Index for the last five years. The graph assumes a $100 investment at the closing price on December 31, 2014 and reinvestment of the dividends on the respective dividend payment dates without commissions. This graph does not forecast future performance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11190"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119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40" w:right="359" w:bottom="1440" w:gutter="0" w:footer="0" w:header="0"/>
        </w:sectPr>
      </w:pPr>
    </w:p>
    <w:bookmarkStart w:id="34" w:name="page35"/>
    <w:bookmarkEnd w:id="3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payment, amount and timing of any future dividends will be subject to the discretion of our board of directors and will depend on a number of factors, including future earnings and cash flows, capital requirements, alternative uses of capital, general business conditions, our future prospects, contractual restrictions and covenants, and other factors that our board of directors may deem relevant. Our Credit Agreement and the Indentures governing the Notes contain restrictions on our activities, including paying dividends on our capital stock. For an explanation of these restrictions, see “Management’s Discussion and Analysis of Financial Condition and Results of Operations - Debt and Related Covenants”. In addition, FINRA regulations restrict dividends in excess of 10% of a member firm’s excess net capital without FINRA’s prior approval, potentially impeding our ability to receive dividends from LPL Financial.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on compensation plans under which our equity securities are authorized for issuance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20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 be issued</w:t>
            </w:r>
          </w:p>
        </w:tc>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 of</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upon exercise of</w:t>
            </w:r>
          </w:p>
        </w:tc>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 options,</w:t>
            </w:r>
          </w:p>
        </w:tc>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9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2,705,241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43.81</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5,231,656</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5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2,705,241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5,231,656</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table below sets forth information regarding repurchases on a monthly basis during the fourth quarter of 2019 (dollars in millions,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63"/>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w:t>
            </w:r>
          </w:p>
        </w:tc>
      </w:tr>
      <w:tr>
        <w:trPr>
          <w:trHeight w:val="25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2019 through October 31, 2019</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528,062</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75.77</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528,062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579.8</w:t>
            </w:r>
          </w:p>
        </w:tc>
      </w:tr>
      <w:tr>
        <w:trPr>
          <w:trHeight w:val="26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November 1, 2019 through November 30, 2019</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461,680</w:t>
            </w:r>
          </w:p>
        </w:tc>
        <w:tc>
          <w:tcPr>
            <w:tcW w:w="46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88.80</w:t>
            </w:r>
          </w:p>
        </w:tc>
        <w:tc>
          <w:tcPr>
            <w:tcW w:w="120" w:type="dxa"/>
            <w:vAlign w:val="bottom"/>
          </w:tcPr>
          <w:p>
            <w:pPr>
              <w:spacing w:after="0"/>
              <w:rPr>
                <w:sz w:val="22"/>
                <w:szCs w:val="22"/>
                <w:color w:val="auto"/>
              </w:rPr>
            </w:pP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461,680</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538.8</w:t>
            </w: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1, 2019 through December 31, 2019</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421,429</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92.59</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421,429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499.8</w:t>
            </w:r>
          </w:p>
        </w:tc>
      </w:tr>
      <w:tr>
        <w:trPr>
          <w:trHeight w:val="24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1,411,171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1,411,171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97"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See Note 15. </w:t>
      </w:r>
      <w:r>
        <w:rPr>
          <w:rFonts w:ascii="Arial" w:cs="Arial" w:eastAsia="Arial" w:hAnsi="Arial"/>
          <w:sz w:val="14"/>
          <w:szCs w:val="14"/>
          <w:i w:val="1"/>
          <w:iCs w:val="1"/>
          <w:color w:val="auto"/>
        </w:rPr>
        <w:t>Stockholders’ Equity,</w:t>
      </w:r>
      <w:r>
        <w:rPr>
          <w:rFonts w:ascii="Arial" w:cs="Arial" w:eastAsia="Arial" w:hAnsi="Arial"/>
          <w:sz w:val="14"/>
          <w:szCs w:val="14"/>
          <w:color w:val="auto"/>
        </w:rPr>
        <w:t xml:space="preserve"> within the notes to consolidated financial statements for additional information.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following table sets forth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income data for the years ended December 31, 2019, 2018, and 2017 and the consolidated statements of financial condition data as of December 31, 2019 and 2018 from our audited financial statements included in this Annual Report on Form 10-K. We have derived the consolidated statements of income data for the years ended December 31, 2016 and 2015 and consolidated statements of financial condition data as of December 31, 2017, 2016, and 2015 from our audited financial statements not included in this Annual Report on Form 10-K. Our historical results for any prior period are not necessarily indicative of results to be expected in any future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60"/>
        </w:trPr>
        <w:tc>
          <w:tcPr>
            <w:tcW w:w="6360" w:type="dxa"/>
            <w:vAlign w:val="bottom"/>
            <w:gridSpan w:val="5"/>
          </w:tcPr>
          <w:p>
            <w:pPr>
              <w:ind w:left="120"/>
              <w:spacing w:after="0"/>
              <w:rPr>
                <w:sz w:val="20"/>
                <w:szCs w:val="20"/>
                <w:color w:val="auto"/>
              </w:rPr>
            </w:pPr>
            <w:r>
              <w:rPr>
                <w:rFonts w:ascii="Arial" w:cs="Arial" w:eastAsia="Arial" w:hAnsi="Arial"/>
                <w:sz w:val="16"/>
                <w:szCs w:val="16"/>
                <w:b w:val="1"/>
                <w:bCs w:val="1"/>
                <w:color w:val="auto"/>
              </w:rPr>
              <w:t>Consolidated statements of income data (In thousands, except per share data):</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5,624,856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5,188,400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4,281,481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4,049,383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4,275,054</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4,883,021</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4,595,763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3,916,911</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3,751,867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3,992,499</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741,835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592,637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364,570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297,516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282,555</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181,955</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153,178</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125,707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105,585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113,771</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559,880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238,863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168,784</w:t>
            </w:r>
          </w:p>
        </w:tc>
      </w:tr>
      <w:tr>
        <w:trPr>
          <w:trHeight w:val="260"/>
        </w:trPr>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Per share data:</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basic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Earnings per diluted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dividends paid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60"/>
        </w:trPr>
        <w:tc>
          <w:tcPr>
            <w:tcW w:w="6080" w:type="dxa"/>
            <w:vAlign w:val="bottom"/>
            <w:gridSpan w:val="4"/>
          </w:tcPr>
          <w:p>
            <w:pPr>
              <w:ind w:left="120"/>
              <w:spacing w:after="0"/>
              <w:rPr>
                <w:sz w:val="20"/>
                <w:szCs w:val="20"/>
                <w:color w:val="auto"/>
              </w:rPr>
            </w:pPr>
            <w:r>
              <w:rPr>
                <w:rFonts w:ascii="Arial" w:cs="Arial" w:eastAsia="Arial" w:hAnsi="Arial"/>
                <w:sz w:val="16"/>
                <w:szCs w:val="16"/>
                <w:b w:val="1"/>
                <w:bCs w:val="1"/>
                <w:color w:val="auto"/>
              </w:rPr>
              <w:t>Consolidated statements of financial condition data (In thousands):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590,209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511,096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811,136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747,709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5,880,238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5,477,468</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5,358,751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4,834,926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4,521,061</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long-term borrowings,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2,398,818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2,371,808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2,385,022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2,175,436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2,188,240</w:t>
            </w:r>
          </w:p>
        </w:tc>
      </w:tr>
      <w:tr>
        <w:trPr>
          <w:trHeight w:val="43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Annual Report on Form 10-K. This discussion contains forward-looking statements that involve significant risks and uncertainties. As a result of many factors, such as those set forth under “Risk Factors” and elsewhere in this Annual Report on Form 10-K, our actual results may differ materially from those anticipated in these forward-looking statements. Please also refer to the section under heading “Special Note Regarding Forward-Looking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a leader in the retail financial advice market and the nation’s largest independent broker-dealer. We serve independent financial advisors and financial institutions, providing them with the technology, research, clearing and compliance services, and practice management programs they need to create and grow their practices. We enable them to provide objective financial guidance to millions of American families seeking wealth management, retirement planning, financial planning, and asset management solutions.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we are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20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We strive to make it easy for advisors to do what is best for their clients, while protecting advisors and investors and promoting independence and choice through access to a wide range of diligently evaluated non-proprietary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Results for the year ended December 31, 2019 included net income of $559.9 million, or $6.62 per share, which compares to $439.5 million, or $4.85 per share, for the year ended December 31,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Total brokerage and advisory assets served were $764.4 billion as of December 31, 2019, up 21.7% from $628.1 billion as of December 31, 2018. Total net new assets were $26.6 billion for the year ended December 31, 2019, compared to $51.6 billion for the same period in 2018.</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Net new advisory assets were $30.0 billion for the year ended December 31, 2019, compared to $27.6 billion in 2018. As of December 31, 2019, our advisory assets had grown to $365.8 billion from the prior year end balance of $282.0 billion and represented 47.8% of total advisory and brokerage assets served.</w:t>
      </w:r>
    </w:p>
    <w:p>
      <w:pPr>
        <w:spacing w:after="0" w:line="202"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Net new brokerage assets totaled outflows of $3.4 billion for the year ended December 31, 2019, compared to inflows of $24.1 billion in 2018, driven by the onboarding of assets from our acquisition of the broker-dealer network of National Planning Holdings, Inc. (“NPH”). As of December 31, 2019, our brokerage assets had grown to $398.6 billion from the prior year end balance of $346.0 billion.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24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Gross profit, a non-GAAP financial measure, of $2,172.2 million for the year ended December 31, 2019, increased 11.5% from $1,947.7 million for the year ended December 31, 2018. Management presents gross profit, which is calculated as net revenues less commission and advisory expenses and brokerage, clearing, and exchange fees, because we believe that measure may provide useful insight in evaluating the Company’s core operating performance before indirect costs that are general and administrative in nature. See footnote 9 to the Financial Metrics table within the “How We Evaluate Our Business” section for additional information on gross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Capital Returns</w:t>
      </w:r>
    </w:p>
    <w:p>
      <w:pPr>
        <w:spacing w:after="0" w:line="243"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We returned $583.0 million of capital to stockholders during the year, including $82.6 million of dividends and $500.4 million of share repurchases, representing 6,418,542 shares.</w:t>
      </w:r>
    </w:p>
    <w:p>
      <w:pPr>
        <w:sectPr>
          <w:pgSz w:w="11900" w:h="16838" w:orient="portrait"/>
          <w:cols w:equalWidth="0" w:num="1">
            <w:col w:w="11420"/>
          </w:cols>
          <w:pgMar w:left="240" w:top="140" w:right="2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40" w:right="239" w:bottom="1440" w:gutter="0" w:footer="0" w:header="0"/>
          <w:type w:val="continuous"/>
        </w:sectPr>
      </w:pPr>
    </w:p>
    <w:bookmarkStart w:id="37" w:name="page38"/>
    <w:bookmarkEnd w:id="37"/>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cash sweep vehicles and money market programs and the access we provide to a variety of product providers with the following product lines:</w:t>
      </w:r>
    </w:p>
    <w:p>
      <w:pPr>
        <w:sectPr>
          <w:pgSz w:w="11900" w:h="16838" w:orient="portrait"/>
          <w:cols w:equalWidth="0" w:num="1">
            <w:col w:w="11420"/>
          </w:cols>
          <w:pgMar w:left="240" w:top="140" w:right="239" w:bottom="1440" w:gutter="0" w:footer="0" w:header="0"/>
        </w:sectPr>
      </w:pP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Alternative Investments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Retirement Plan Products</w:t>
      </w:r>
    </w:p>
    <w:p>
      <w:pPr>
        <w:spacing w:after="0" w:line="104" w:lineRule="exact"/>
        <w:rPr>
          <w:sz w:val="20"/>
          <w:szCs w:val="20"/>
          <w:color w:val="auto"/>
        </w:rPr>
      </w:pPr>
    </w:p>
    <w:p>
      <w:pPr>
        <w:sectPr>
          <w:pgSz w:w="11900" w:h="16838" w:orient="portrait"/>
          <w:cols w:equalWidth="0" w:num="2">
            <w:col w:w="4600" w:space="720"/>
            <w:col w:w="6100"/>
          </w:cols>
          <w:pgMar w:left="240" w:top="14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8"/>
          <w:szCs w:val="18"/>
          <w:color w:val="auto"/>
        </w:rPr>
        <w:t>• Separately Managed Accounts</w:t>
      </w:r>
    </w:p>
    <w:p>
      <w:pPr>
        <w:spacing w:after="0" w:line="104" w:lineRule="exact"/>
        <w:rPr>
          <w:sz w:val="20"/>
          <w:szCs w:val="20"/>
          <w:color w:val="auto"/>
        </w:rPr>
      </w:pPr>
    </w:p>
    <w:p>
      <w:pPr>
        <w:sectPr>
          <w:pgSz w:w="11900" w:h="16838" w:orient="portrait"/>
          <w:cols w:equalWidth="0" w:num="2">
            <w:col w:w="4600" w:space="720"/>
            <w:col w:w="6100"/>
          </w:cols>
          <w:pgMar w:left="240" w:top="14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Structured Products</w:t>
      </w:r>
    </w:p>
    <w:p>
      <w:pPr>
        <w:spacing w:after="0" w:line="104" w:lineRule="exact"/>
        <w:rPr>
          <w:sz w:val="20"/>
          <w:szCs w:val="20"/>
          <w:color w:val="auto"/>
        </w:rPr>
      </w:pPr>
    </w:p>
    <w:p>
      <w:pPr>
        <w:sectPr>
          <w:pgSz w:w="11900" w:h="16838" w:orient="portrait"/>
          <w:cols w:equalWidth="0" w:num="2">
            <w:col w:w="4600" w:space="720"/>
            <w:col w:w="6100"/>
          </w:cols>
          <w:pgMar w:left="240" w:top="14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Unit Investment Trusts</w:t>
      </w:r>
    </w:p>
    <w:p>
      <w:pPr>
        <w:spacing w:after="0" w:line="104" w:lineRule="exact"/>
        <w:rPr>
          <w:sz w:val="20"/>
          <w:szCs w:val="20"/>
          <w:color w:val="auto"/>
        </w:rPr>
      </w:pPr>
    </w:p>
    <w:p>
      <w:pPr>
        <w:sectPr>
          <w:pgSz w:w="11900" w:h="16838" w:orient="portrait"/>
          <w:cols w:equalWidth="0" w:num="2">
            <w:col w:w="4600" w:space="720"/>
            <w:col w:w="6100"/>
          </w:cols>
          <w:pgMar w:left="240" w:top="14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Mutual Funds</w:t>
      </w:r>
    </w:p>
    <w:p>
      <w:pPr>
        <w:sectPr>
          <w:pgSz w:w="11900" w:h="16838" w:orient="portrait"/>
          <w:cols w:equalWidth="0" w:num="1">
            <w:col w:w="11420"/>
          </w:cols>
          <w:pgMar w:left="240" w:top="140" w:right="239" w:bottom="1440" w:gutter="0" w:footer="0" w:header="0"/>
          <w:type w:val="continuous"/>
        </w:sectPr>
      </w:pPr>
    </w:p>
    <w:p>
      <w:pPr>
        <w:spacing w:after="0" w:line="239"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w:t>
      </w:r>
    </w:p>
    <w:p>
      <w:pPr>
        <w:spacing w:after="0" w:line="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brokerage and advisory accounts.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type w:val="continuous"/>
        </w:sectPr>
      </w:pPr>
    </w:p>
    <w:bookmarkStart w:id="38" w:name="page39"/>
    <w:bookmarkEnd w:id="38"/>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Business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key metrics in evaluating the success of our business relationships and our resulting financial position and operating performance. Our key operating, business and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Operating and Business Metrics (dollars in billions)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57"/>
        </w:trPr>
        <w:tc>
          <w:tcPr>
            <w:tcW w:w="8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w:t>
            </w:r>
            <w:r>
              <w:rPr>
                <w:rFonts w:ascii="Arial" w:cs="Arial" w:eastAsia="Arial" w:hAnsi="Arial"/>
                <w:sz w:val="10"/>
                <w:szCs w:val="10"/>
                <w:color w:val="auto"/>
              </w:rPr>
              <w:t>(1)(2)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365.8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282.0</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Brokerage assets</w:t>
            </w:r>
            <w:r>
              <w:rPr>
                <w:rFonts w:ascii="Arial" w:cs="Arial" w:eastAsia="Arial" w:hAnsi="Arial"/>
                <w:sz w:val="10"/>
                <w:szCs w:val="10"/>
                <w:color w:val="auto"/>
              </w:rPr>
              <w:t>(1)(3)</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398.6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346.0</w:t>
            </w:r>
          </w:p>
        </w:tc>
      </w:tr>
      <w:tr>
        <w:trPr>
          <w:trHeight w:val="257"/>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Brokerage and Advisory Assets served</w:t>
            </w:r>
            <w:r>
              <w:rPr>
                <w:rFonts w:ascii="Arial" w:cs="Arial" w:eastAsia="Arial" w:hAnsi="Arial"/>
                <w:sz w:val="10"/>
                <w:szCs w:val="10"/>
                <w:b w:val="1"/>
                <w:bCs w:val="1"/>
                <w:color w:val="auto"/>
              </w:rPr>
              <w:t>(1)(4)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764.4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628.1</w:t>
            </w:r>
          </w:p>
        </w:tc>
      </w:tr>
      <w:tr>
        <w:trPr>
          <w:trHeight w:val="297"/>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8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new advisory assets</w:t>
            </w:r>
            <w:r>
              <w:rPr>
                <w:rFonts w:ascii="Arial" w:cs="Arial" w:eastAsia="Arial" w:hAnsi="Arial"/>
                <w:sz w:val="10"/>
                <w:szCs w:val="10"/>
                <w:color w:val="auto"/>
              </w:rPr>
              <w:t>(5)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27.6</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Net new brokerage assets</w:t>
            </w:r>
            <w:r>
              <w:rPr>
                <w:rFonts w:ascii="Arial" w:cs="Arial" w:eastAsia="Arial" w:hAnsi="Arial"/>
                <w:sz w:val="10"/>
                <w:szCs w:val="10"/>
                <w:color w:val="auto"/>
              </w:rPr>
              <w:t>(6)</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24.1</w:t>
            </w:r>
          </w:p>
        </w:tc>
      </w:tr>
      <w:tr>
        <w:trPr>
          <w:trHeight w:val="257"/>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Brokerage and Advisory Net New Assets</w:t>
            </w:r>
            <w:r>
              <w:rPr>
                <w:rFonts w:ascii="Arial" w:cs="Arial" w:eastAsia="Arial" w:hAnsi="Arial"/>
                <w:sz w:val="10"/>
                <w:szCs w:val="10"/>
                <w:b w:val="1"/>
                <w:bCs w:val="1"/>
                <w:color w:val="auto"/>
              </w:rPr>
              <w:t>(4)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51.6</w:t>
            </w:r>
          </w:p>
        </w:tc>
      </w:tr>
      <w:tr>
        <w:trPr>
          <w:trHeight w:val="297"/>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8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w:t>
            </w:r>
            <w:r>
              <w:rPr>
                <w:rFonts w:ascii="Arial" w:cs="Arial" w:eastAsia="Arial" w:hAnsi="Arial"/>
                <w:sz w:val="10"/>
                <w:szCs w:val="10"/>
                <w:color w:val="auto"/>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24.8</w:t>
            </w:r>
          </w:p>
        </w:tc>
      </w:tr>
      <w:tr>
        <w:trPr>
          <w:trHeight w:val="264"/>
        </w:trPr>
        <w:tc>
          <w:tcPr>
            <w:tcW w:w="8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Deposit cash account balances</w:t>
            </w:r>
            <w:r>
              <w:rPr>
                <w:rFonts w:ascii="Arial" w:cs="Arial" w:eastAsia="Arial" w:hAnsi="Arial"/>
                <w:sz w:val="10"/>
                <w:szCs w:val="10"/>
                <w:color w:val="auto"/>
              </w:rPr>
              <w:t>(1)</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w:t>
            </w:r>
          </w:p>
        </w:tc>
      </w:tr>
      <w:tr>
        <w:trPr>
          <w:trHeight w:val="257"/>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Insured Sweep Balances</w:t>
            </w:r>
            <w:r>
              <w:rPr>
                <w:rFonts w:ascii="Arial" w:cs="Arial" w:eastAsia="Arial" w:hAnsi="Arial"/>
                <w:sz w:val="10"/>
                <w:szCs w:val="10"/>
                <w:b w:val="1"/>
                <w:bCs w:val="1"/>
                <w:color w:val="auto"/>
              </w:rPr>
              <w:t>(4)</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29.9</w:t>
            </w:r>
          </w:p>
        </w:tc>
      </w:tr>
      <w:tr>
        <w:trPr>
          <w:trHeight w:val="260"/>
        </w:trPr>
        <w:tc>
          <w:tcPr>
            <w:tcW w:w="8440" w:type="dxa"/>
            <w:vAlign w:val="bottom"/>
          </w:tcPr>
          <w:p>
            <w:pPr>
              <w:ind w:left="80"/>
              <w:spacing w:after="0"/>
              <w:rPr>
                <w:sz w:val="20"/>
                <w:szCs w:val="20"/>
                <w:color w:val="auto"/>
              </w:rPr>
            </w:pPr>
            <w:r>
              <w:rPr>
                <w:rFonts w:ascii="Arial" w:cs="Arial" w:eastAsia="Arial" w:hAnsi="Arial"/>
                <w:sz w:val="16"/>
                <w:szCs w:val="16"/>
                <w:color w:val="auto"/>
              </w:rPr>
              <w:t>Money market account balances</w:t>
            </w:r>
            <w:r>
              <w:rPr>
                <w:rFonts w:ascii="Arial" w:cs="Arial" w:eastAsia="Arial" w:hAnsi="Arial"/>
                <w:sz w:val="10"/>
                <w:szCs w:val="10"/>
                <w:color w:val="auto"/>
              </w:rPr>
              <w:t>(1)</w:t>
            </w:r>
          </w:p>
        </w:tc>
        <w:tc>
          <w:tcPr>
            <w:tcW w:w="3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4.9</w:t>
            </w:r>
          </w:p>
        </w:tc>
      </w:tr>
      <w:tr>
        <w:trPr>
          <w:trHeight w:val="280"/>
        </w:trPr>
        <w:tc>
          <w:tcPr>
            <w:tcW w:w="8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Purchased money market fund balances</w:t>
            </w:r>
            <w:r>
              <w:rPr>
                <w:rFonts w:ascii="Arial" w:cs="Arial" w:eastAsia="Arial" w:hAnsi="Arial"/>
                <w:sz w:val="10"/>
                <w:szCs w:val="10"/>
                <w:color w:val="auto"/>
              </w:rPr>
              <w:t>(1)</w:t>
            </w: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40"/>
        </w:trPr>
        <w:tc>
          <w:tcPr>
            <w:tcW w:w="8440" w:type="dxa"/>
            <w:vAlign w:val="bottom"/>
          </w:tcPr>
          <w:p>
            <w:pPr>
              <w:ind w:left="200"/>
              <w:spacing w:after="0"/>
              <w:rPr>
                <w:sz w:val="20"/>
                <w:szCs w:val="20"/>
                <w:color w:val="auto"/>
              </w:rPr>
            </w:pPr>
            <w:r>
              <w:rPr>
                <w:rFonts w:ascii="Arial" w:cs="Arial" w:eastAsia="Arial" w:hAnsi="Arial"/>
                <w:sz w:val="16"/>
                <w:szCs w:val="16"/>
                <w:b w:val="1"/>
                <w:bCs w:val="1"/>
                <w:color w:val="auto"/>
              </w:rPr>
              <w:t>Total Client Cash Balances</w:t>
            </w:r>
            <w:r>
              <w:rPr>
                <w:rFonts w:ascii="Arial" w:cs="Arial" w:eastAsia="Arial" w:hAnsi="Arial"/>
                <w:sz w:val="10"/>
                <w:szCs w:val="10"/>
                <w:b w:val="1"/>
                <w:bCs w:val="1"/>
                <w:color w:val="auto"/>
              </w:rPr>
              <w:t>(4)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34.9</w:t>
            </w:r>
          </w:p>
        </w:tc>
      </w:tr>
      <w:tr>
        <w:trPr>
          <w:trHeight w:val="307"/>
        </w:trPr>
        <w:tc>
          <w:tcPr>
            <w:tcW w:w="8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1"/>
        </w:trPr>
        <w:tc>
          <w:tcPr>
            <w:tcW w:w="8440" w:type="dxa"/>
            <w:vAlign w:val="bottom"/>
          </w:tcPr>
          <w:p>
            <w:pPr>
              <w:ind w:left="80"/>
              <w:spacing w:after="0"/>
              <w:rPr>
                <w:sz w:val="20"/>
                <w:szCs w:val="20"/>
                <w:color w:val="auto"/>
              </w:rPr>
            </w:pPr>
            <w:r>
              <w:rPr>
                <w:rFonts w:ascii="Arial" w:cs="Arial" w:eastAsia="Arial" w:hAnsi="Arial"/>
                <w:sz w:val="16"/>
                <w:szCs w:val="16"/>
                <w:color w:val="auto"/>
              </w:rPr>
              <w:t>Advisors</w:t>
            </w:r>
          </w:p>
        </w:tc>
        <w:tc>
          <w:tcPr>
            <w:tcW w:w="34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16,464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16,109</w:t>
            </w:r>
          </w:p>
        </w:tc>
      </w:tr>
    </w:tbl>
    <w:p>
      <w:pPr>
        <w:spacing w:after="0" w:line="353"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Metrics (dollars in millions, except per share data)</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47"/>
        </w:trPr>
        <w:tc>
          <w:tcPr>
            <w:tcW w:w="8440" w:type="dxa"/>
            <w:vAlign w:val="bottom"/>
          </w:tcPr>
          <w:p>
            <w:pPr>
              <w:ind w:left="200"/>
              <w:spacing w:after="0"/>
              <w:rPr>
                <w:sz w:val="20"/>
                <w:szCs w:val="20"/>
                <w:color w:val="auto"/>
              </w:rPr>
            </w:pPr>
            <w:r>
              <w:rPr>
                <w:rFonts w:ascii="Arial" w:cs="Arial" w:eastAsia="Arial" w:hAnsi="Arial"/>
                <w:sz w:val="16"/>
                <w:szCs w:val="16"/>
                <w:color w:val="auto"/>
              </w:rPr>
              <w:t>Total net 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5,624.9</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5,188.4</w:t>
            </w: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Recurring gross profit rate (trailing twelve months)</w:t>
            </w:r>
            <w:r>
              <w:rPr>
                <w:rFonts w:ascii="Arial" w:cs="Arial" w:eastAsia="Arial" w:hAnsi="Arial"/>
                <w:sz w:val="10"/>
                <w:szCs w:val="10"/>
                <w:color w:val="auto"/>
              </w:rPr>
              <w:t>(7)</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Pre-tax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741.8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592.6</w:t>
            </w: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439.5</w:t>
            </w:r>
          </w:p>
        </w:tc>
      </w:tr>
      <w:tr>
        <w:trPr>
          <w:trHeight w:val="260"/>
        </w:trPr>
        <w:tc>
          <w:tcPr>
            <w:tcW w:w="844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4.85</w:t>
            </w:r>
          </w:p>
        </w:tc>
      </w:tr>
      <w:tr>
        <w:trPr>
          <w:trHeight w:val="307"/>
        </w:trPr>
        <w:tc>
          <w:tcPr>
            <w:tcW w:w="8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440" w:type="dxa"/>
            <w:vAlign w:val="bottom"/>
          </w:tcPr>
          <w:p>
            <w:pPr>
              <w:ind w:left="80"/>
              <w:spacing w:after="0"/>
              <w:rPr>
                <w:sz w:val="20"/>
                <w:szCs w:val="20"/>
                <w:color w:val="auto"/>
              </w:rPr>
            </w:pPr>
            <w:r>
              <w:rPr>
                <w:rFonts w:ascii="Arial" w:cs="Arial" w:eastAsia="Arial" w:hAnsi="Arial"/>
                <w:sz w:val="16"/>
                <w:szCs w:val="16"/>
                <w:color w:val="auto"/>
              </w:rPr>
              <w:t>Non-GAAP Financial Measures</w:t>
            </w:r>
            <w:r>
              <w:rPr>
                <w:rFonts w:ascii="Arial" w:cs="Arial" w:eastAsia="Arial" w:hAnsi="Arial"/>
                <w:sz w:val="10"/>
                <w:szCs w:val="10"/>
                <w:color w:val="auto"/>
              </w:rPr>
              <w:t>(8)</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w:t>
            </w:r>
            <w:r>
              <w:rPr>
                <w:rFonts w:ascii="Arial" w:cs="Arial" w:eastAsia="Arial" w:hAnsi="Arial"/>
                <w:sz w:val="10"/>
                <w:szCs w:val="10"/>
                <w:color w:val="auto"/>
              </w:rPr>
              <w:t>(9)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2,172.2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1,947.7</w:t>
            </w:r>
          </w:p>
        </w:tc>
      </w:tr>
      <w:tr>
        <w:trPr>
          <w:trHeight w:val="251"/>
        </w:trPr>
        <w:tc>
          <w:tcPr>
            <w:tcW w:w="8440" w:type="dxa"/>
            <w:vAlign w:val="bottom"/>
          </w:tcPr>
          <w:p>
            <w:pPr>
              <w:ind w:left="200"/>
              <w:spacing w:after="0"/>
              <w:rPr>
                <w:sz w:val="20"/>
                <w:szCs w:val="20"/>
                <w:color w:val="auto"/>
              </w:rPr>
            </w:pPr>
            <w:r>
              <w:rPr>
                <w:rFonts w:ascii="Arial" w:cs="Arial" w:eastAsia="Arial" w:hAnsi="Arial"/>
                <w:sz w:val="16"/>
                <w:szCs w:val="16"/>
                <w:color w:val="auto"/>
              </w:rPr>
              <w:t>Gross profit growth from prior period</w:t>
            </w:r>
            <w:r>
              <w:rPr>
                <w:rFonts w:ascii="Arial" w:cs="Arial" w:eastAsia="Arial" w:hAnsi="Arial"/>
                <w:sz w:val="10"/>
                <w:szCs w:val="10"/>
                <w:color w:val="auto"/>
              </w:rPr>
              <w:t>(9)</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70"/>
        </w:trPr>
        <w:tc>
          <w:tcPr>
            <w:tcW w:w="8440" w:type="dxa"/>
            <w:vAlign w:val="bottom"/>
          </w:tcPr>
          <w:p>
            <w:pPr>
              <w:ind w:left="200"/>
              <w:spacing w:after="0"/>
              <w:rPr>
                <w:sz w:val="20"/>
                <w:szCs w:val="20"/>
                <w:color w:val="auto"/>
              </w:rPr>
            </w:pPr>
            <w:r>
              <w:rPr>
                <w:rFonts w:ascii="Arial" w:cs="Arial" w:eastAsia="Arial" w:hAnsi="Arial"/>
                <w:sz w:val="16"/>
                <w:szCs w:val="16"/>
                <w:color w:val="auto"/>
              </w:rPr>
              <w:t>Gross profit as a % of net revenue</w:t>
            </w:r>
            <w:r>
              <w:rPr>
                <w:rFonts w:ascii="Arial" w:cs="Arial" w:eastAsia="Arial" w:hAnsi="Arial"/>
                <w:sz w:val="10"/>
                <w:szCs w:val="10"/>
                <w:color w:val="auto"/>
              </w:rPr>
              <w:t>(9)</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57" w:lineRule="exact"/>
        <w:rPr>
          <w:sz w:val="20"/>
          <w:szCs w:val="20"/>
          <w:color w:val="auto"/>
        </w:rPr>
      </w:pPr>
    </w:p>
    <w:p>
      <w:pPr>
        <w:ind w:left="500" w:right="580" w:hanging="492"/>
        <w:spacing w:after="0" w:line="250"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Brokerage and advisory assets are comprised of assets that are custodied, networked, and non-networked and reflect market movement in addition to new assets, inclusive of new business development and net of attrition. Insured cash account balances, deposit cash account balances, money market account balances and purchased money market fund balances are also included in brokerage and advisory assets served.</w:t>
      </w:r>
    </w:p>
    <w:p>
      <w:pPr>
        <w:spacing w:after="0" w:line="77" w:lineRule="exact"/>
        <w:rPr>
          <w:rFonts w:ascii="Arial" w:cs="Arial" w:eastAsia="Arial" w:hAnsi="Arial"/>
          <w:sz w:val="14"/>
          <w:szCs w:val="14"/>
          <w:color w:val="auto"/>
        </w:rPr>
      </w:pPr>
    </w:p>
    <w:p>
      <w:pPr>
        <w:ind w:left="500" w:hanging="492"/>
        <w:spacing w:after="0" w:line="279"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Advisory assets consists of total advisory assets under custody at our broker-dealer subsidiary, LPL Financial LLC (“LPL Financial”). See </w:t>
      </w:r>
      <w:r>
        <w:rPr>
          <w:rFonts w:ascii="Arial" w:cs="Arial" w:eastAsia="Arial" w:hAnsi="Arial"/>
          <w:sz w:val="14"/>
          <w:szCs w:val="14"/>
          <w:i w:val="1"/>
          <w:iCs w:val="1"/>
          <w:color w:val="auto"/>
        </w:rPr>
        <w:t>Results of Operations</w:t>
      </w:r>
      <w:r>
        <w:rPr>
          <w:rFonts w:ascii="Arial" w:cs="Arial" w:eastAsia="Arial" w:hAnsi="Arial"/>
          <w:sz w:val="14"/>
          <w:szCs w:val="14"/>
          <w:color w:val="auto"/>
        </w:rPr>
        <w:t xml:space="preserve"> for a tabular presentation of advisory assets.</w:t>
      </w:r>
    </w:p>
    <w:p>
      <w:pPr>
        <w:spacing w:after="0" w:line="71"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Brokerage assets consists of assets serviced by advisors licensed with LPL Financial.</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Balances may not foot due to rounding.</w:t>
      </w:r>
    </w:p>
    <w:p>
      <w:pPr>
        <w:spacing w:after="0" w:line="109" w:lineRule="exact"/>
        <w:rPr>
          <w:rFonts w:ascii="Arial" w:cs="Arial" w:eastAsia="Arial" w:hAnsi="Arial"/>
          <w:sz w:val="14"/>
          <w:szCs w:val="14"/>
          <w:color w:val="auto"/>
        </w:rPr>
      </w:pPr>
    </w:p>
    <w:p>
      <w:pPr>
        <w:ind w:left="500" w:right="440" w:hanging="492"/>
        <w:spacing w:after="0" w:line="258"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new advisory assets consists of total client deposits into custodied advisory accounts less total client withdrawals from custodied advisory accounts. We consider conversions from and to brokerage accounts as deposits and withdrawals, respectively.</w:t>
      </w:r>
    </w:p>
    <w:p>
      <w:pPr>
        <w:spacing w:after="0" w:line="86" w:lineRule="exact"/>
        <w:rPr>
          <w:rFonts w:ascii="Arial" w:cs="Arial" w:eastAsia="Arial" w:hAnsi="Arial"/>
          <w:sz w:val="14"/>
          <w:szCs w:val="14"/>
          <w:color w:val="auto"/>
        </w:rPr>
      </w:pPr>
    </w:p>
    <w:p>
      <w:pPr>
        <w:ind w:left="500" w:right="280" w:hanging="492"/>
        <w:spacing w:after="0" w:line="258"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new brokerage assets consists of total client deposits into brokerage accounts less total client withdrawals from brokerage accounts. We consider conversions from and to advisory accounts as deposits and withdrawals, respectively.</w:t>
      </w:r>
    </w:p>
    <w:p>
      <w:pPr>
        <w:spacing w:after="0" w:line="86" w:lineRule="exact"/>
        <w:rPr>
          <w:rFonts w:ascii="Arial" w:cs="Arial" w:eastAsia="Arial" w:hAnsi="Arial"/>
          <w:sz w:val="14"/>
          <w:szCs w:val="14"/>
          <w:color w:val="auto"/>
        </w:rPr>
      </w:pPr>
    </w:p>
    <w:p>
      <w:pPr>
        <w:ind w:left="500" w:right="40" w:hanging="492"/>
        <w:spacing w:after="0" w:line="244"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Recurring gross profit rate refers to the percentage of our gross profit, a non-GAAP financial measure, that was recurring for the period presented. We track recurring gross profit, a characterization of gross profit and a statistical measure, which is defined to include asset-based revenues, advisory revenues, trailing commission revenues, and certain other fee revenues that are based upon the number of client accounts and advisors, less the expenses associated with such revenues and certain other recurring expenses not specifically associated with a revenue line. We allocate other recurring expenses on a pro-rata basis against specific revenue lines at our discretion. Because certain sources of recurring gross profit are associated with asset balances, they will fluctuate depending on the market values and current interest rates. Accordingly, our recurring gross profit can be negatively impacted by adverse external market</w:t>
      </w:r>
    </w:p>
    <w:p>
      <w:pPr>
        <w:sectPr>
          <w:pgSz w:w="11900" w:h="16838" w:orient="portrait"/>
          <w:cols w:equalWidth="0" w:num="1">
            <w:col w:w="11420"/>
          </w:cols>
          <w:pgMar w:left="240" w:top="140" w:right="239" w:bottom="144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0" w:right="239" w:bottom="1440" w:gutter="0" w:footer="0" w:header="0"/>
          <w:type w:val="continuous"/>
        </w:sectPr>
      </w:pPr>
    </w:p>
    <w:bookmarkStart w:id="39" w:name="page40"/>
    <w:bookmarkEnd w:id="39"/>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11" w:lineRule="exact"/>
        <w:rPr>
          <w:sz w:val="20"/>
          <w:szCs w:val="20"/>
          <w:color w:val="auto"/>
        </w:rPr>
      </w:pPr>
    </w:p>
    <w:p>
      <w:pPr>
        <w:ind w:left="500" w:right="140"/>
        <w:spacing w:after="0" w:line="338" w:lineRule="auto"/>
        <w:rPr>
          <w:sz w:val="20"/>
          <w:szCs w:val="20"/>
          <w:color w:val="auto"/>
        </w:rPr>
      </w:pPr>
      <w:r>
        <w:rPr>
          <w:rFonts w:ascii="Arial" w:cs="Arial" w:eastAsia="Arial" w:hAnsi="Arial"/>
          <w:sz w:val="14"/>
          <w:szCs w:val="14"/>
          <w:color w:val="auto"/>
        </w:rPr>
        <w:t>conditions. However, we believe that recurring gross profit is meaningful despite these fluctuations because it is not dependent upon transaction volumes or other activity-based revenues, which are more difficult to predict, particularly in declining or volatile markets.</w:t>
      </w:r>
    </w:p>
    <w:p>
      <w:pPr>
        <w:spacing w:after="0" w:line="60" w:lineRule="exact"/>
        <w:rPr>
          <w:sz w:val="20"/>
          <w:szCs w:val="20"/>
          <w:color w:val="auto"/>
        </w:rPr>
      </w:pPr>
    </w:p>
    <w:p>
      <w:pPr>
        <w:ind w:left="500" w:right="320" w:hanging="492"/>
        <w:spacing w:after="0" w:line="247"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believe that presenting certain non-GAAP financial measures by excluding or including certain items can be helpful to investors and analysts who may wish to use some or all of this information to analyze our current performance, prospects, and valuation. Our management uses this non-GAAP information internally to evaluate operating performance and in formulating the budget for future periods. We believe that the non-GAAP financial measures and metrics presented above and discussed below are appropriate for evaluating the performance of the Company.</w:t>
      </w:r>
    </w:p>
    <w:p>
      <w:pPr>
        <w:spacing w:after="0" w:line="93" w:lineRule="exact"/>
        <w:rPr>
          <w:rFonts w:ascii="Arial" w:cs="Arial" w:eastAsia="Arial" w:hAnsi="Arial"/>
          <w:sz w:val="14"/>
          <w:szCs w:val="14"/>
          <w:color w:val="auto"/>
        </w:rPr>
      </w:pPr>
    </w:p>
    <w:p>
      <w:pPr>
        <w:ind w:left="500" w:right="20" w:hanging="492"/>
        <w:spacing w:after="0" w:line="245"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Set forth below is a calculation of gross profit (in millions), calculated as net revenues less commission and advisory expenses and brokerage, clearing, and exchange fees. All other expense categories, including depreciation and amortization of fixed assets and amortization of intangible assets, are considered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776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Gross Profit (in millions)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5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5,188.4</w:t>
            </w: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Commission and advisory expense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3,388.2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3,177.6</w:t>
            </w:r>
          </w:p>
        </w:tc>
      </w:tr>
      <w:tr>
        <w:trPr>
          <w:trHeight w:val="324"/>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Brokerage, clearing, and exchange fees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r>
      <w:tr>
        <w:trPr>
          <w:trHeight w:val="244"/>
        </w:trPr>
        <w:tc>
          <w:tcPr>
            <w:tcW w:w="7760" w:type="dxa"/>
            <w:vAlign w:val="bottom"/>
          </w:tcPr>
          <w:p>
            <w:pPr>
              <w:ind w:left="400"/>
              <w:spacing w:after="0"/>
              <w:rPr>
                <w:sz w:val="20"/>
                <w:szCs w:val="20"/>
                <w:color w:val="auto"/>
              </w:rPr>
            </w:pPr>
            <w:r>
              <w:rPr>
                <w:rFonts w:ascii="Arial" w:cs="Arial" w:eastAsia="Arial" w:hAnsi="Arial"/>
                <w:sz w:val="14"/>
                <w:szCs w:val="14"/>
                <w:b w:val="1"/>
                <w:bCs w:val="1"/>
                <w:color w:val="auto"/>
              </w:rPr>
              <w:t>Gross profit</w:t>
            </w:r>
            <w:r>
              <w:rPr>
                <w:rFonts w:ascii="Arial" w:cs="Arial" w:eastAsia="Arial" w:hAnsi="Arial"/>
                <w:sz w:val="8"/>
                <w:szCs w:val="8"/>
                <w:b w:val="1"/>
                <w:bCs w:val="1"/>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2,172.2</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1,947.7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0</wp:posOffset>
            </wp:positionV>
            <wp:extent cx="1637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2603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w:t>
      </w:r>
    </w:p>
    <w:p>
      <w:pPr>
        <w:spacing w:after="0" w:line="57"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Balances may not foot due to rounding.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 xml:space="preserve">As a regulated entity, we are subject to regulatory oversight and inquiries related to, among other items, our compliance and supervisory systems and procedures and other controls, as well as our disclosures, supervision and reporting. We review these items in the ordinary course of business in our effort to adhere to legal and regulatory requirements applicable to our operations. Nevertheless, the environment of additional regulation, increased regulatory compliance obligations, and enhanced regulatory enforcement has resulted, and may result in the future, in additional operational and compliance costs, as well as increased costs in the form of penalties and fines, investigatory and settlement costs, customer restitution, and remediation related to regulatory matters. For additional information, see the “Risks Related to Our Regulatory Environment” and the “Risks Related to Our Business and Industry” sections within Part I, “Item 1A. Risk Factors”.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 For more information, see Note 2. </w:t>
      </w:r>
      <w:r>
        <w:rPr>
          <w:rFonts w:ascii="Arial" w:cs="Arial" w:eastAsia="Arial" w:hAnsi="Arial"/>
          <w:sz w:val="18"/>
          <w:szCs w:val="18"/>
          <w:i w:val="1"/>
          <w:iCs w:val="1"/>
          <w:color w:val="auto"/>
        </w:rPr>
        <w:t>Summary of Significant Accounting Policies - “</w:t>
      </w:r>
      <w:r>
        <w:rPr>
          <w:rFonts w:ascii="Arial" w:cs="Arial" w:eastAsia="Arial" w:hAnsi="Arial"/>
          <w:sz w:val="18"/>
          <w:szCs w:val="18"/>
          <w:color w:val="auto"/>
        </w:rPr>
        <w:t>Commitments and Contingencies,” within the notes to the consolidated financial statements.</w:t>
      </w:r>
    </w:p>
    <w:p>
      <w:pPr>
        <w:spacing w:after="0" w:line="21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Assessing the probability of a loss occurring and the timing and amount of any loss related to a regulatory matter or a legal proceeding, whether or not covered by the Company’s captive insurance subsidiary, is inherently difficult and requires judgments based on a variety of factors and assumptions. There are particular uncertainties and complexities involved when assessing the adequacy of loss reserves for potential liabilities that are self-insured by our captive insurance subsidiary, which depends in part on historical claims experience, including the actual timing and costs of resolving matters that begin in one policy period and are resolved in a subsequent period.</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accruals, including those established through the captive insurance subsidiary at December 31, 2019, include estimated costs for significant regulatory matters, generally relating to the adequacy of our compliance and supervisory systems and procedures and other controls, for which we believe losses are both probable and reasonably estimable. For example, on May 1, 2018, we agreed to a settlement structure with the North American Securities Administrators Association that related to our historical compliance with certain state “blue sky” laws and resulted in aggregate fines of $26.4 million, all of which were covered by our captive insurance subsidiary loss reserves. As part of the settlement structure, we engaged independent third party consultants to conduct a historical review of securities transactions and an operational review of our systems for complying with blue sky securities registration requirements, each of which has been completed. We also agreed to offer customers remediation in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form of reimbursement for any actual losses, plus interest. As of the date of this annual report, customer remediation remains in process, although the cost is not expected to be material.</w:t>
      </w:r>
    </w:p>
    <w:p>
      <w:pPr>
        <w:spacing w:after="0" w:line="196"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the consolidated financial statements.</w:t>
      </w:r>
    </w:p>
    <w:p>
      <w:pPr>
        <w:spacing w:after="0" w:line="204"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In June 2018, the U.S. Court of Appeals for the Fifth Circuit issued a mandate invalidating regulations previously enacted by the U.S. Department of Labor (“DOL”) that expanded the definition of “fiduciary” and would have resulted in significant new restrictions on our servicing of certain retirement plan accounts subject to the Employee Retirement Income Security Act of 1974, as amended (“ERISA”), and individual retirement accounts (“IRAs”), including compliance with expanded prohibited transaction requirements under section 4975 of the Internal Revenue Code (the “DOL Rule”). The DOL has indicated that it may propose a new fiduciary rule with regard to such accounts. Because ERISA plans and IRAs comprise a significant portion of our business, we continue to expect that compliance with current and future laws and regulations with respect to retail retirement savings and reliance on prohibited transaction exemptions under such laws and regulations will require increased legal, compliance, information technology, and other costs and could lead to a greater risk of class action lawsuits and other litigation.</w:t>
      </w:r>
    </w:p>
    <w:p>
      <w:pPr>
        <w:spacing w:after="0" w:line="21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June 2019, the SEC adopted a new standard of conduct applicable to retail brokerage accounts (“Regulation BI”), with a compliance date of June 30, 2020. Regulation BI requires that broker-dealers act in the best interest of retail customers without placing their own financial or other interests ahead of the customer’s and imposes new obligations related to disclosure, duty of care, conflicts of interest and compliance. Certain state securities and insurance regulators have also adopted, proposed or are considering adopting similar laws and regulations. In addition, it is unclear how and whether other regulators - banking regulators, and the state securities and insurance regulators - may respond to or attempt to enforce similar issues addressed by the former DOL Rule and Regulation BI.</w:t>
      </w:r>
    </w:p>
    <w:p>
      <w:pPr>
        <w:spacing w:after="0" w:line="2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Uncertainty regarding pending and future laws and regulations, including with regard to the implementation of Regulation BI, a potential new rule proposed by the DOL and state rules, relating to the standards of conduct applicable to both retirement and non-retirement accounts, may have impacts on our business in ways which cannot be anticipated or planned for, and which may have further impact on our products and services,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w:t>
      </w:r>
    </w:p>
    <w:p>
      <w:pPr>
        <w:spacing w:after="0" w:line="1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August 2019, we acquired all of the outstanding equity interests of Allen &amp; Company of Florida, LLC (“Allen &amp; Company”), a broker-dealer and registered investment adviser, for a total purchase price of $34.9 million. Allen &amp; Company advisors and staff became employees of the Company.</w:t>
      </w:r>
    </w:p>
    <w:p>
      <w:pPr>
        <w:spacing w:after="0" w:line="20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December 2018, we acquired all of the outstanding common stock of AdvisoryWorld, a technology company, for a total purchase price of $28.1 million. AdvisoryWorld provides proposal generation, investment analytics and portfolio modeling capabilities in the wealth management industry.</w:t>
      </w:r>
    </w:p>
    <w:p>
      <w:pPr>
        <w:spacing w:after="0" w:line="9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During 2017, LPL Financial paid $ 325.0 million to acquire certain assets and rights of NPH, including business relationships with financial advisors. We completed the onboarding of NPH advisors and client assets in the first quarter of 2018.</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Acquisitions</w:t>
      </w:r>
      <w:r>
        <w:rPr>
          <w:rFonts w:ascii="Arial" w:cs="Arial" w:eastAsia="Arial" w:hAnsi="Arial"/>
          <w:sz w:val="18"/>
          <w:szCs w:val="18"/>
          <w:color w:val="auto"/>
        </w:rPr>
        <w:t>, within the notes to the consolidated financial statements for further detail.</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40" w:right="259" w:bottom="1440" w:gutter="0" w:footer="0" w:header="0"/>
        </w:sectPr>
      </w:pPr>
    </w:p>
    <w:bookmarkStart w:id="41" w:name="page42"/>
    <w:bookmarkEnd w:id="41"/>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the U.S. financial markets. According to the most recent estimate by the Bureau of Economic Analysis, real gross domestic product (“GDP”) grew at an annualized rate of 2.1% in the third quarter of 2019, with fourth quarter data consistent with continued growth at a similar rate, numbers that are roughly in line with the expansion average of 2.3%. Growth has generally moderated over the last several quarters from growth of over 3% in mid-2018, due in part to headwinds from slower global growth, uncertainty around trade policy, and the declining impact of fiscal stimulus. Forward expectations point to modest slowing in 2020: the Federal Reserve’s (“Fed”) most recent median GDP projections, released following its December 10-11, 2019 policy meeting, put expected U.S. growth at 2% in 2020, compared to 2.2% in 2019 (including fourth quarter projections). The U.S. economy continues to be supported by strong household spending, healthy labor markets, and low interest rates. Business investment, however, has remained soft amid trade uncertainty and manufacturing has slowed. Global growth, which has weakened over the past two years, has started to stabilize, while trade tensions have deescalated following the successful completion of an initial trade agreement between the United States and China.</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Equity markets posted solid gains in the fourth quarter. The S&amp;P 500 Index returned 9.1% over the quarter, pushing its total return for the year to 31.5%. The MSCI Emerging Markets Index outpaced the S&amp;P 500 over the fourth quarter, while the MSCI EAFE Index, a broad index of stocks in foreign developed economies, trailed the United States. Both international developed and emerging market stocks participated in a strong year overall for equities, but trailed U.S. stocks by a wide margin, posting gains of 22.7% and 18.9%, respectively. Bonds were near flat over the quarter hindered by a modest rise in yields, the benchmark 10-year Treasury yield climbing about 0.2% to just over 1.9% (bond prices rise when yields falls). The broad Bloomberg Barclays U.S. Aggregate Bond Index posted just a 0.2% gain over the fourth quarter, bringing its total return for the year to 8.7%.</w:t>
      </w:r>
    </w:p>
    <w:p>
      <w:pPr>
        <w:spacing w:after="0" w:line="20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Our business is also sensitive to current and expected short-term interest rates, which are largely driven by Fed policy. The Fed held the target range for federal funds rate steady at 1.5% - 1.75% at its December 2019 meeting after lowering the range by 0.25% at each of its previous three meetings. The policy statement released at the meeting’s conclusion characterized growth as rising at a moderate pace while removing language that appeared in the October 2019 statement that had highlighted uncertainty around the Fed’s outlook, signaling some decrease in concerns about downside risks. While signaling an intention not to reduce rates further, at his press conference following the meeting Fed Chair Jerome Powell indicated he would want to see a rise in inflation that is “significant” and “persistent” before considering a rate increase in the future. Please consult the “Risks Related to Our Business and Industry” section within Part I, “Item 1A. Risk Factors” for more information about the risks associated with significant interest rate changes, and the potential related effects on our profitability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i w:val="1"/>
          <w:iCs w:val="1"/>
          <w:color w:val="auto"/>
        </w:rPr>
        <w:t>A discussion of changes in our results of operations during the year ended December 31, 2018 compared to the year ended December 31, 2017 has been omitted from this Annual Report on Form 10-K, but may be found in “Item 7. Management’s Discussion and Analysis of Financial Condition and Results of Operations” in our Annual Report on Form 10-K for the fiscal year ended December 31, 2018, filed with the SEC on February 26, 2019.</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discussion presents an analysis of our results of operations for the years ended December 31, 2019 and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64"/>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Percentage Change</w:t>
            </w:r>
          </w:p>
        </w:tc>
      </w:tr>
      <w:tr>
        <w:trPr>
          <w:trHeight w:val="260"/>
        </w:trPr>
        <w:tc>
          <w:tcPr>
            <w:tcW w:w="6780" w:type="dxa"/>
            <w:vAlign w:val="bottom"/>
          </w:tcPr>
          <w:p>
            <w:pPr>
              <w:ind w:left="8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Commission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1,892,407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1,919,694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60"/>
        </w:trPr>
        <w:tc>
          <w:tcPr>
            <w:tcW w:w="6780" w:type="dxa"/>
            <w:vAlign w:val="bottom"/>
          </w:tcPr>
          <w:p>
            <w:pPr>
              <w:ind w:left="200"/>
              <w:spacing w:after="0"/>
              <w:rPr>
                <w:sz w:val="20"/>
                <w:szCs w:val="20"/>
                <w:color w:val="auto"/>
              </w:rPr>
            </w:pPr>
            <w:r>
              <w:rPr>
                <w:rFonts w:ascii="Arial" w:cs="Arial" w:eastAsia="Arial" w:hAnsi="Arial"/>
                <w:sz w:val="16"/>
                <w:szCs w:val="16"/>
                <w:color w:val="auto"/>
              </w:rPr>
              <w:t>Advisory</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1,982,869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1,793,493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10.6 %</w:t>
            </w: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Asset-based</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1,165,979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972,515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19.9 %</w:t>
            </w:r>
          </w:p>
        </w:tc>
      </w:tr>
      <w:tr>
        <w:trPr>
          <w:trHeight w:val="260"/>
        </w:trPr>
        <w:tc>
          <w:tcPr>
            <w:tcW w:w="6780" w:type="dxa"/>
            <w:vAlign w:val="bottom"/>
          </w:tcPr>
          <w:p>
            <w:pPr>
              <w:ind w:left="200"/>
              <w:spacing w:after="0"/>
              <w:rPr>
                <w:sz w:val="20"/>
                <w:szCs w:val="20"/>
                <w:color w:val="auto"/>
              </w:rPr>
            </w:pPr>
            <w:r>
              <w:rPr>
                <w:rFonts w:ascii="Arial" w:cs="Arial" w:eastAsia="Arial" w:hAnsi="Arial"/>
                <w:sz w:val="16"/>
                <w:szCs w:val="16"/>
                <w:color w:val="auto"/>
              </w:rPr>
              <w:t>Transaction and fee</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480,328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471,299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income, net of interest expense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40,210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64"/>
        </w:trPr>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56,765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744.3 %</w:t>
            </w:r>
          </w:p>
        </w:tc>
      </w:tr>
      <w:tr>
        <w:trPr>
          <w:trHeight w:val="257"/>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5,624,856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5,188,400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54"/>
        </w:trPr>
        <w:tc>
          <w:tcPr>
            <w:tcW w:w="6780" w:type="dxa"/>
            <w:vAlign w:val="bottom"/>
          </w:tcPr>
          <w:p>
            <w:pPr>
              <w:ind w:left="8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Commission and advisory</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3,388,186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3,177,576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60"/>
        </w:trPr>
        <w:tc>
          <w:tcPr>
            <w:tcW w:w="678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556,128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506,650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9.8 %</w:t>
            </w: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Promotional</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205,537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208,603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0"/>
        </w:trPr>
        <w:tc>
          <w:tcPr>
            <w:tcW w:w="67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95,779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87,656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9.3 %</w:t>
            </w: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60,252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60"/>
        </w:trPr>
        <w:tc>
          <w:tcPr>
            <w:tcW w:w="678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136,163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115,598</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17.8 %</w:t>
            </w: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73,887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60"/>
        </w:trPr>
        <w:tc>
          <w:tcPr>
            <w:tcW w:w="6780" w:type="dxa"/>
            <w:vAlign w:val="bottom"/>
          </w:tcPr>
          <w:p>
            <w:pPr>
              <w:ind w:left="200"/>
              <w:spacing w:after="0"/>
              <w:rPr>
                <w:sz w:val="20"/>
                <w:szCs w:val="20"/>
                <w:color w:val="auto"/>
              </w:rPr>
            </w:pPr>
            <w:r>
              <w:rPr>
                <w:rFonts w:ascii="Arial" w:cs="Arial" w:eastAsia="Arial" w:hAnsi="Arial"/>
                <w:sz w:val="16"/>
                <w:szCs w:val="16"/>
                <w:color w:val="auto"/>
              </w:rPr>
              <w:t>Brokerage, clearing, and exchange</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64,445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63,154</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2.0 %</w:t>
            </w:r>
          </w:p>
        </w:tc>
      </w:tr>
      <w:tr>
        <w:trPr>
          <w:trHeight w:val="280"/>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Communications and data processing</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46,322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64"/>
        </w:trPr>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114,546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119,278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w:t>
            </w:r>
          </w:p>
        </w:tc>
      </w:tr>
      <w:tr>
        <w:trPr>
          <w:trHeight w:val="250"/>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4,749,864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4,470,740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47"/>
        </w:trPr>
        <w:tc>
          <w:tcPr>
            <w:tcW w:w="6780" w:type="dxa"/>
            <w:vAlign w:val="bottom"/>
          </w:tcPr>
          <w:p>
            <w:pPr>
              <w:ind w:left="200"/>
              <w:spacing w:after="0"/>
              <w:rPr>
                <w:sz w:val="20"/>
                <w:szCs w:val="20"/>
                <w:color w:val="auto"/>
              </w:rPr>
            </w:pPr>
            <w:r>
              <w:rPr>
                <w:rFonts w:ascii="Arial" w:cs="Arial" w:eastAsia="Arial" w:hAnsi="Arial"/>
                <w:sz w:val="16"/>
                <w:szCs w:val="16"/>
                <w:color w:val="auto"/>
              </w:rPr>
              <w:t>Non-operating interest expense</w:t>
            </w: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130,001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125,023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4.0 %</w:t>
            </w:r>
          </w:p>
        </w:tc>
      </w:tr>
      <w:tr>
        <w:trPr>
          <w:trHeight w:val="273"/>
        </w:trPr>
        <w:tc>
          <w:tcPr>
            <w:tcW w:w="6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7"/>
        </w:trPr>
        <w:tc>
          <w:tcPr>
            <w:tcW w:w="67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741,835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592,637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25.2 %</w:t>
            </w:r>
          </w:p>
        </w:tc>
      </w:tr>
      <w:tr>
        <w:trPr>
          <w:trHeight w:val="273"/>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181,955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153,178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67"/>
        </w:trPr>
        <w:tc>
          <w:tcPr>
            <w:tcW w:w="6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559,880</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439,459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27.4 %</w:t>
            </w: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We generate two types of commission revenues: sales-based commissions and trailing commissions. Sales-based commission revenues, which occur when clients trade securities or purchase various types of investment products, primarily represent gross commissions generated by our advisors. The levels of sales-based commission revenues can vary from period to period based on the overall economic environment, number of trading days in the reporting period, and investment activity of our advisors’ clients. Trailing commission revenues, commissions that are paid over time, are recurring in nature and are earned based on the market value of investment holdings in trail-eligible assets. We earn trailing commission revenues primarily on mutual funds and variable annuities held by clients of our advisors. See Note 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Revenues, </w:t>
      </w:r>
      <w:r>
        <w:rPr>
          <w:rFonts w:ascii="Arial" w:cs="Arial" w:eastAsia="Arial" w:hAnsi="Arial"/>
          <w:sz w:val="18"/>
          <w:szCs w:val="18"/>
          <w:color w:val="auto"/>
        </w:rPr>
        <w:t>within the notes to the consolidated financial statements for further detail regarding our commission revenue by product category.</w:t>
      </w:r>
    </w:p>
    <w:p>
      <w:pPr>
        <w:spacing w:after="0" w:line="20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sales-based and trailing commission revenue, included in our consolidated statements of income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Years Ended December 31,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59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782,852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776,776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6,076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64"/>
        </w:trPr>
        <w:tc>
          <w:tcPr>
            <w:tcW w:w="5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1,109,555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1,142,918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commission revenue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1,892,407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1,919,694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increase in sales-based commission revenue in 2019 compared with 2018 was driven by market volatility that led to an increase in sales of mutual funds and fixed income, partially offset by a decrease in equities.</w:t>
      </w:r>
    </w:p>
    <w:p>
      <w:pPr>
        <w:spacing w:after="0" w:line="196"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The decrease in trailing revenues in 2019 compared with 2018 was primarily due to market volatility impacting the underlying market value of mutual funds.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activity in brokerage assets for the periods presented (in billions):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Years Ended December 31,</w:t>
            </w:r>
          </w:p>
        </w:tc>
        <w:tc>
          <w:tcPr>
            <w:tcW w:w="340" w:type="dxa"/>
            <w:vAlign w:val="bottom"/>
          </w:tcPr>
          <w:p>
            <w:pPr>
              <w:spacing w:after="0"/>
              <w:rPr>
                <w:sz w:val="19"/>
                <w:szCs w:val="19"/>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CEEFF"/>
            </w:tcBorders>
          </w:tcPr>
          <w:p>
            <w:pPr>
              <w:spacing w:after="0"/>
              <w:rPr>
                <w:sz w:val="22"/>
                <w:szCs w:val="22"/>
                <w:color w:val="auto"/>
              </w:rPr>
            </w:pPr>
          </w:p>
        </w:tc>
      </w:tr>
      <w:tr>
        <w:trPr>
          <w:trHeight w:val="257"/>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342.1</w:t>
            </w:r>
          </w:p>
        </w:tc>
        <w:tc>
          <w:tcPr>
            <w:tcW w:w="340" w:type="dxa"/>
            <w:vAlign w:val="bottom"/>
            <w:shd w:val="clear" w:color="auto" w:fill="CCEEFF"/>
          </w:tcPr>
          <w:p>
            <w:pPr>
              <w:spacing w:after="0"/>
              <w:rPr>
                <w:sz w:val="22"/>
                <w:szCs w:val="22"/>
                <w:color w:val="auto"/>
              </w:rPr>
            </w:pPr>
          </w:p>
        </w:tc>
      </w:tr>
      <w:tr>
        <w:trPr>
          <w:trHeight w:val="260"/>
        </w:trPr>
        <w:tc>
          <w:tcPr>
            <w:tcW w:w="8200" w:type="dxa"/>
            <w:vAlign w:val="bottom"/>
          </w:tcPr>
          <w:p>
            <w:pPr>
              <w:ind w:left="180"/>
              <w:spacing w:after="0"/>
              <w:rPr>
                <w:sz w:val="20"/>
                <w:szCs w:val="20"/>
                <w:color w:val="auto"/>
              </w:rPr>
            </w:pPr>
            <w:r>
              <w:rPr>
                <w:rFonts w:ascii="Arial" w:cs="Arial" w:eastAsia="Arial" w:hAnsi="Arial"/>
                <w:sz w:val="16"/>
                <w:szCs w:val="16"/>
                <w:color w:val="auto"/>
              </w:rPr>
              <w:t>Net new brokerage assets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(1)</w:t>
            </w:r>
          </w:p>
        </w:tc>
      </w:tr>
      <w:tr>
        <w:trPr>
          <w:trHeight w:val="273"/>
        </w:trPr>
        <w:tc>
          <w:tcPr>
            <w:tcW w:w="8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impact</w:t>
            </w:r>
            <w:r>
              <w:rPr>
                <w:rFonts w:ascii="Arial" w:cs="Arial" w:eastAsia="Arial" w:hAnsi="Arial"/>
                <w:sz w:val="10"/>
                <w:szCs w:val="10"/>
                <w:color w:val="auto"/>
              </w:rPr>
              <w:t>(2)</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340" w:type="dxa"/>
            <w:vAlign w:val="bottom"/>
            <w:shd w:val="clear" w:color="auto" w:fill="CCEEFF"/>
          </w:tcPr>
          <w:p>
            <w:pPr>
              <w:spacing w:after="0"/>
              <w:rPr>
                <w:sz w:val="23"/>
                <w:szCs w:val="23"/>
                <w:color w:val="auto"/>
              </w:rPr>
            </w:pPr>
          </w:p>
        </w:tc>
      </w:tr>
      <w:tr>
        <w:trPr>
          <w:trHeight w:val="240"/>
        </w:trPr>
        <w:tc>
          <w:tcPr>
            <w:tcW w:w="820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346.0</w:t>
            </w:r>
          </w:p>
        </w:tc>
        <w:tc>
          <w:tcPr>
            <w:tcW w:w="340" w:type="dxa"/>
            <w:vAlign w:val="bottom"/>
          </w:tcPr>
          <w:p>
            <w:pPr>
              <w:spacing w:after="0"/>
              <w:rPr>
                <w:sz w:val="20"/>
                <w:szCs w:val="20"/>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1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assets attributable to the NPH acquisition.</w:t>
      </w:r>
    </w:p>
    <w:p>
      <w:pPr>
        <w:spacing w:after="0" w:line="109" w:lineRule="exact"/>
        <w:rPr>
          <w:rFonts w:ascii="Arial" w:cs="Arial" w:eastAsia="Arial" w:hAnsi="Arial"/>
          <w:sz w:val="14"/>
          <w:szCs w:val="14"/>
          <w:color w:val="auto"/>
        </w:rPr>
      </w:pPr>
    </w:p>
    <w:p>
      <w:pPr>
        <w:ind w:left="500" w:right="460" w:hanging="492"/>
        <w:spacing w:after="0" w:line="258"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to clients of our advisors based on the value of their advisory assets. Advisory fees are billed to clients in advance, on a quarterly basis, and are recognized as revenue ratably during the quarter. The majority of our accounts are on a calendar quarter and are billed using values as of the last business day of the preceding quarter. The value of the assets in an advisory account on the billing date determines the amount billed, and accordingly, the revenues earned in the following three month period. Advisory revenues collected on our corporate advisory platform are proposed by the advisor and agreed to by the client and average 1.0% of the underlying assets with a maximum of 2.5% of the underlying assets as of December 31, 2019.</w:t>
      </w:r>
    </w:p>
    <w:p>
      <w:pPr>
        <w:spacing w:after="0" w:line="20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also support separate investment adviser firms (“Hybrid RIAs”), through our independent advisory platform, which allows advisors to engage us for technology, clearing, and custody services, as well as access to the capabilities of our investment platforms. The assets held under a Hybrid RIA’s investment advisory accounts custodied with LPL Financial are included in our brokerage and advisory assets, net new advisory assets, and advisory assets metrics. The advisory revenue generated by a Hybrid RIA is not included in our advisory revenues, although we charge separate fees to Hybrid RIAs for technology, clearing, administrative, oversight, and custody services. The administrative fees collected on our independent advisory platform vary and can reach a maximum of 0.2% of the underlying assets as of December 31, 2019.</w:t>
      </w:r>
    </w:p>
    <w:p>
      <w:pPr>
        <w:sectPr>
          <w:pgSz w:w="11900" w:h="16838" w:orient="portrait"/>
          <w:cols w:equalWidth="0" w:num="1">
            <w:col w:w="11420"/>
          </w:cols>
          <w:pgMar w:left="240" w:top="140" w:right="2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advisory assets for the periods presented (dollars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67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platform advisory assets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64"/>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platform advisory assets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4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advisory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activity in advisory assets for the periods presented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Years Ended December 31,</w:t>
            </w:r>
          </w:p>
        </w:tc>
        <w:tc>
          <w:tcPr>
            <w:tcW w:w="340" w:type="dxa"/>
            <w:vAlign w:val="bottom"/>
          </w:tcPr>
          <w:p>
            <w:pPr>
              <w:spacing w:after="0"/>
              <w:rPr>
                <w:sz w:val="19"/>
                <w:szCs w:val="19"/>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CEEFF"/>
            </w:tcBorders>
          </w:tcPr>
          <w:p>
            <w:pPr>
              <w:spacing w:after="0"/>
              <w:rPr>
                <w:sz w:val="22"/>
                <w:szCs w:val="22"/>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273.0</w:t>
            </w:r>
          </w:p>
        </w:tc>
        <w:tc>
          <w:tcPr>
            <w:tcW w:w="340" w:type="dxa"/>
            <w:vAlign w:val="bottom"/>
            <w:shd w:val="clear" w:color="auto" w:fill="CCEEFF"/>
          </w:tcPr>
          <w:p>
            <w:pPr>
              <w:spacing w:after="0"/>
              <w:rPr>
                <w:sz w:val="22"/>
                <w:szCs w:val="22"/>
                <w:color w:val="auto"/>
              </w:rPr>
            </w:pPr>
          </w:p>
        </w:tc>
      </w:tr>
      <w:tr>
        <w:trPr>
          <w:trHeight w:val="260"/>
        </w:trPr>
        <w:tc>
          <w:tcPr>
            <w:tcW w:w="8240" w:type="dxa"/>
            <w:vAlign w:val="bottom"/>
          </w:tcPr>
          <w:p>
            <w:pPr>
              <w:ind w:left="180"/>
              <w:spacing w:after="0"/>
              <w:rPr>
                <w:sz w:val="20"/>
                <w:szCs w:val="20"/>
                <w:color w:val="auto"/>
              </w:rPr>
            </w:pPr>
            <w:r>
              <w:rPr>
                <w:rFonts w:ascii="Arial" w:cs="Arial" w:eastAsia="Arial" w:hAnsi="Arial"/>
                <w:sz w:val="16"/>
                <w:szCs w:val="16"/>
                <w:color w:val="auto"/>
              </w:rPr>
              <w:t>Net new advisory assets</w:t>
            </w:r>
          </w:p>
        </w:tc>
        <w:tc>
          <w:tcPr>
            <w:tcW w:w="2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(1)</w:t>
            </w:r>
          </w:p>
        </w:tc>
      </w:tr>
      <w:tr>
        <w:trPr>
          <w:trHeight w:val="273"/>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impact</w:t>
            </w:r>
            <w:r>
              <w:rPr>
                <w:rFonts w:ascii="Arial" w:cs="Arial" w:eastAsia="Arial" w:hAnsi="Arial"/>
                <w:sz w:val="10"/>
                <w:szCs w:val="10"/>
                <w:color w:val="auto"/>
              </w:rPr>
              <w:t>(2)</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340" w:type="dxa"/>
            <w:vAlign w:val="bottom"/>
            <w:shd w:val="clear" w:color="auto" w:fill="CCEEFF"/>
          </w:tcPr>
          <w:p>
            <w:pPr>
              <w:spacing w:after="0"/>
              <w:rPr>
                <w:sz w:val="23"/>
                <w:szCs w:val="23"/>
                <w:color w:val="auto"/>
              </w:rPr>
            </w:pPr>
          </w:p>
        </w:tc>
      </w:tr>
      <w:tr>
        <w:trPr>
          <w:trHeight w:val="240"/>
        </w:trPr>
        <w:tc>
          <w:tcPr>
            <w:tcW w:w="824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282.0</w:t>
            </w:r>
          </w:p>
        </w:tc>
        <w:tc>
          <w:tcPr>
            <w:tcW w:w="340" w:type="dxa"/>
            <w:vAlign w:val="bottom"/>
          </w:tcPr>
          <w:p>
            <w:pPr>
              <w:spacing w:after="0"/>
              <w:rPr>
                <w:sz w:val="20"/>
                <w:szCs w:val="20"/>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1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assets attributable to the NPH acquisition.</w:t>
      </w:r>
    </w:p>
    <w:p>
      <w:pPr>
        <w:spacing w:after="0" w:line="109" w:lineRule="exact"/>
        <w:rPr>
          <w:rFonts w:ascii="Arial" w:cs="Arial" w:eastAsia="Arial" w:hAnsi="Arial"/>
          <w:sz w:val="14"/>
          <w:szCs w:val="14"/>
          <w:color w:val="auto"/>
        </w:rPr>
      </w:pPr>
    </w:p>
    <w:p>
      <w:pPr>
        <w:ind w:left="500" w:right="460" w:hanging="492"/>
        <w:spacing w:after="0" w:line="258"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new advisory assets in a particular quarter drive advisory revenue in future quarters, due to our advanced quarterly billings.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Therefore, the full impact of net new advisory assets to advisory revenue is not realized in the same period.</w:t>
      </w:r>
    </w:p>
    <w:p>
      <w:pPr>
        <w:spacing w:after="0" w:line="17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The growth in advisory revenue from 2018 to 2019 was due to net new advisory assets resulting from our recruiting efforts and strong advisor productivity, as well as market gains as represented by higher levels of the S&amp;P 500 index.</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Asset-based revenues are comprised of our sponsorship programs with financial product manufacturers, omnibus processing and networking services, collectively referred to as recordkeeping, and fees from our client cash programs. We receive fees from certain financial product manufacturers in connection with sponsorship programs that support our marketing and sales education and training efforts.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 Client cash-based revenues are generated on advisors’ clients’ cash balances in insured sweep accounts and money market programs at various banks. Pursuant to contractual arrangements, we receive fees based on account type and invested balances for administration and recordkeeping.</w:t>
      </w:r>
    </w:p>
    <w:p>
      <w:pPr>
        <w:spacing w:after="0" w:line="206"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Asset-based revenues for the year ended December 31, 2019 increased by $193.5 million compared to the same period in 2018, primarily due to increased revenues from our client cash programs, sponsorship programs and recordkeeping revenues.</w:t>
      </w:r>
    </w:p>
    <w:p>
      <w:pPr>
        <w:spacing w:after="0" w:line="19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Client cash revenues for the year ended December 31, 2019 increased compared to the same period in 2018 due to an increase in cash balances and the impact of a higher federal funds effective rate during the first half of 2019 offset by a decrease in the second half of 2019. For the year ended December 31, 2019, our average client cash balances increased to $31.0 billion compared to $29.4 billion for the year ended December 31, 2018. Revenues for our recordkeeping and sponsorship programs for the year ended December 31, 2019, which are largely based on the market value of the underlying assets, increased compared to the same period in 2018 due to the impact of market appreciation on the value of the underlying assets.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Transaction revenues primarily include fees we charge to our advisors and their clients for executing certain transactions in brokerage and fee-based advisory accounts. Fee revenues primarily include IRA custodian fees, contract and licensing fees, and other client account fees. In addition, we host certain advisor conferences that serve as training, education, sales, and marketing events, for which we charge a fee for attendance.</w:t>
      </w:r>
    </w:p>
    <w:p>
      <w:pPr>
        <w:spacing w:after="0" w:line="204"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Transaction and fee revenues for the year ended December 31, 2019 increased by $9.0 million compared to the same period in 2018, primarily due to the expansion of advisor and client-based fee revenue driven by advisor growth, offset by a decrease in revenue generating trade volumes.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500" w:firstLine="486"/>
        <w:spacing w:after="0" w:line="291" w:lineRule="auto"/>
        <w:rPr>
          <w:sz w:val="20"/>
          <w:szCs w:val="20"/>
          <w:color w:val="auto"/>
        </w:rPr>
      </w:pPr>
      <w:r>
        <w:rPr>
          <w:rFonts w:ascii="Arial" w:cs="Arial" w:eastAsia="Arial" w:hAnsi="Arial"/>
          <w:sz w:val="17"/>
          <w:szCs w:val="17"/>
          <w:color w:val="auto"/>
        </w:rPr>
        <w:t>We earn interest income from client margin accounts and cash equivalents, net of operating expense. Period-over-period variances correspond to changes in the average balances of assets in margin accounts and cash equivalents as well as changes in interest rates.</w:t>
      </w:r>
    </w:p>
    <w:p>
      <w:pPr>
        <w:spacing w:after="0" w:line="17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Interest Income, net of interest expense for the year ended December 31, 2019 increased by $6.3 million compared to the same period in 2018, primarily due to the increased client cash balances and higher average interest rates in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Other revenues primarily include mark-to-market gains or losses on assets held by us in our advisor non-qualified deferred compensation plan and model research portfolios, marketing allowances received from certain financial product manufacturers, primarily those who offer alternative investments, such as non-traded real estate investment trusts and business development companies, and other miscellaneous revenues.</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Other revenues for the year ended December 31, 2019 increased by $65.6 million compared to the same period in 2018, primarily due to unrealized gains on assets held in our advisor non-qualified deferred compensation plan, which are based on the market performance of the underlying investment allocations chosen by advisors in the plan, and increases in dividend income on assets held in our advisor non-qualified deferred compensation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and Advisory Expenses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Commission and advisory expenses are comprised of the following: base payout amounts that are earned by and paid out to advisors and institutions based on commission and advisory revenues earned on each client’s account; production based bonuses earned by advisors and institutions based on the levels of commission and advisory revenues they produce; the recognition of share-based compensation expense from equity awards granted to advisors and financial institutions based on the fair value of the awards at each reporting period; and the deferred commissions and advisory fee expenses associated with mark-to-market gains or losses on the non-qualified deferred compensation plan offered to our advisors.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components of our payout ratio, which is a statistical or operating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3000" w:type="dxa"/>
            <w:vAlign w:val="bottom"/>
            <w:gridSpan w:val="4"/>
          </w:tcPr>
          <w:p>
            <w:pPr>
              <w:ind w:left="420"/>
              <w:spacing w:after="0"/>
              <w:rPr>
                <w:sz w:val="20"/>
                <w:szCs w:val="20"/>
                <w:color w:val="auto"/>
              </w:rPr>
            </w:pPr>
            <w:r>
              <w:rPr>
                <w:rFonts w:ascii="Arial" w:cs="Arial" w:eastAsia="Arial" w:hAnsi="Arial"/>
                <w:sz w:val="16"/>
                <w:szCs w:val="16"/>
                <w:b w:val="1"/>
                <w:bCs w:val="1"/>
                <w:color w:val="auto"/>
              </w:rPr>
              <w:t>Years Ended December 31,</w:t>
            </w:r>
          </w:p>
        </w:tc>
        <w:tc>
          <w:tcPr>
            <w:tcW w:w="1560" w:type="dxa"/>
            <w:vAlign w:val="bottom"/>
          </w:tcPr>
          <w:p>
            <w:pPr>
              <w:spacing w:after="0"/>
              <w:rPr>
                <w:sz w:val="19"/>
                <w:szCs w:val="19"/>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r>
              <w:rPr>
                <w:rFonts w:ascii="Arial" w:cs="Arial" w:eastAsia="Arial" w:hAnsi="Arial"/>
                <w:sz w:val="10"/>
                <w:szCs w:val="10"/>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bps</w:t>
            </w:r>
          </w:p>
        </w:tc>
      </w:tr>
      <w:tr>
        <w:trPr>
          <w:trHeight w:val="26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bps</w:t>
            </w:r>
          </w:p>
        </w:tc>
      </w:tr>
      <w:tr>
        <w:trPr>
          <w:trHeight w:val="257"/>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bps</w:t>
            </w:r>
          </w:p>
        </w:tc>
      </w:tr>
      <w:tr>
        <w:trPr>
          <w:trHeight w:val="167"/>
        </w:trPr>
        <w:tc>
          <w:tcPr>
            <w:tcW w:w="6860" w:type="dxa"/>
            <w:vAlign w:val="bottom"/>
          </w:tcPr>
          <w:p>
            <w:pPr>
              <w:spacing w:after="0"/>
              <w:rPr>
                <w:sz w:val="20"/>
                <w:szCs w:val="20"/>
                <w:color w:val="auto"/>
              </w:rPr>
            </w:pPr>
            <w:r>
              <w:rPr>
                <w:rFonts w:ascii="Arial" w:cs="Arial" w:eastAsia="Arial" w:hAnsi="Arial"/>
                <w:sz w:val="11"/>
                <w:szCs w:val="11"/>
                <w:color w:val="auto"/>
              </w:rPr>
              <w:t>____________________</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189" w:lineRule="exact"/>
        <w:rPr>
          <w:sz w:val="20"/>
          <w:szCs w:val="20"/>
          <w:color w:val="auto"/>
        </w:rPr>
      </w:pPr>
    </w:p>
    <w:p>
      <w:pPr>
        <w:ind w:left="980" w:right="40" w:hanging="972"/>
        <w:spacing w:after="0" w:line="258" w:lineRule="auto"/>
        <w:tabs>
          <w:tab w:leader="none" w:pos="494"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base payout rate is calculated as commission and advisory expenses less production based bonuses and mark-to-market gains or losses on the non-qualified deferred compensation plan, divided by commission and advisory revenues.</w:t>
      </w:r>
    </w:p>
    <w:p>
      <w:pPr>
        <w:spacing w:after="0" w:line="134"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Our total payout ratio, a statistical or operating measure, increased for the year ended December 31, 2019 compared with the same period in 2018, primarily due to an increase in production based bonuses, driven by broader price reductions on our corporate advisory platform.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benefits and taxes for our employees (including share-based compensation), as well as compensation for temporary employees and consultants.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2980" w:type="dxa"/>
            <w:vAlign w:val="bottom"/>
            <w:gridSpan w:val="4"/>
          </w:tcPr>
          <w:p>
            <w:pPr>
              <w:ind w:left="400"/>
              <w:spacing w:after="0"/>
              <w:rPr>
                <w:sz w:val="20"/>
                <w:szCs w:val="20"/>
                <w:color w:val="auto"/>
              </w:rPr>
            </w:pPr>
            <w:r>
              <w:rPr>
                <w:rFonts w:ascii="Arial" w:cs="Arial" w:eastAsia="Arial" w:hAnsi="Arial"/>
                <w:sz w:val="16"/>
                <w:szCs w:val="16"/>
                <w:b w:val="1"/>
                <w:bCs w:val="1"/>
                <w:color w:val="auto"/>
              </w:rPr>
              <w:t>Years Ended December 31,</w:t>
            </w:r>
          </w:p>
        </w:tc>
        <w:tc>
          <w:tcPr>
            <w:tcW w:w="1360" w:type="dxa"/>
            <w:vAlign w:val="bottom"/>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number of employees</w:t>
            </w:r>
          </w:p>
        </w:tc>
        <w:tc>
          <w:tcPr>
            <w:tcW w:w="13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4,327</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4,007</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8.0%</w:t>
            </w:r>
          </w:p>
        </w:tc>
      </w:tr>
    </w:tbl>
    <w:p>
      <w:pPr>
        <w:spacing w:after="0" w:line="10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Compensation and benefits for the year ended December 31, 2019 increased by $49.5 million compared to the same period in 2018, primarily due to an increase in salary and employee benefit expenses resulting from an increase in headcount.</w:t>
      </w:r>
    </w:p>
    <w:p>
      <w:pPr>
        <w:sectPr>
          <w:pgSz w:w="11900" w:h="16838" w:orient="portrait"/>
          <w:cols w:equalWidth="0" w:num="1">
            <w:col w:w="11420"/>
          </w:cols>
          <w:pgMar w:left="240" w:top="140" w:right="239" w:bottom="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Expense</w:t>
      </w:r>
    </w:p>
    <w:p>
      <w:pPr>
        <w:sectPr>
          <w:pgSz w:w="11900" w:h="16838" w:orient="portrait"/>
          <w:cols w:equalWidth="0" w:num="1">
            <w:col w:w="11420"/>
          </w:cols>
          <w:pgMar w:left="240" w:top="140" w:right="239" w:bottom="0" w:gutter="0" w:footer="0" w:header="0"/>
          <w:type w:val="continuous"/>
        </w:sectPr>
      </w:pPr>
    </w:p>
    <w:bookmarkStart w:id="46" w:name="page47"/>
    <w:bookmarkEnd w:id="46"/>
    <w:p>
      <w:pPr>
        <w:ind w:right="120" w:firstLine="486"/>
        <w:spacing w:after="0" w:line="256" w:lineRule="auto"/>
        <w:rPr>
          <w:sz w:val="20"/>
          <w:szCs w:val="20"/>
          <w:color w:val="auto"/>
        </w:rPr>
      </w:pPr>
      <w:r>
        <w:rPr>
          <w:rFonts w:ascii="Arial" w:cs="Arial" w:eastAsia="Arial" w:hAnsi="Arial"/>
          <w:sz w:val="18"/>
          <w:szCs w:val="18"/>
          <w:color w:val="auto"/>
        </w:rPr>
        <w:t>Promotional expenses include costs related to our hosting of certain advisor conferences that serve as training, sales, and marketing events, as well as business development costs related to recruiting and retention, such as transition assistance and expenses associated with loans issued to advisors.</w:t>
      </w:r>
    </w:p>
    <w:p>
      <w:pPr>
        <w:spacing w:after="0" w:line="202"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Promotional expense for the year ended December 31, 2019 decreased by $3.1 million compared to the same period in 2018, primarily due to higher 2018 recruiter and advisor costs related to the onboarding of advisors from NPH, offset by an increase in expense associated with advisor loans.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fixed assets, which include internally developed software, hardware, leasehold improvements, and other equipment.</w:t>
      </w:r>
    </w:p>
    <w:p>
      <w:pPr>
        <w:spacing w:after="0" w:line="196"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Depreciation and amortization for the year ended December 31, 2019 increased by $8.1 million compared to the same period in 2018, primarily due to increases in internally developed software and computers, partially offset by decreases in building depreciation.</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47" w:right="259" w:bottom="1440" w:gutter="0" w:footer="0" w:header="0"/>
        </w:sectPr>
      </w:pPr>
    </w:p>
    <w:bookmarkStart w:id="47" w:name="page48"/>
    <w:bookmarkEnd w:id="47"/>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43" w:lineRule="exact"/>
        <w:rPr>
          <w:sz w:val="20"/>
          <w:szCs w:val="20"/>
          <w:color w:val="auto"/>
        </w:rPr>
      </w:pPr>
    </w:p>
    <w:p>
      <w:pPr>
        <w:ind w:right="780" w:firstLine="486"/>
        <w:spacing w:after="0" w:line="262" w:lineRule="auto"/>
        <w:rPr>
          <w:sz w:val="20"/>
          <w:szCs w:val="20"/>
          <w:color w:val="auto"/>
        </w:rPr>
      </w:pPr>
      <w:r>
        <w:rPr>
          <w:rFonts w:ascii="Arial" w:cs="Arial" w:eastAsia="Arial" w:hAnsi="Arial"/>
          <w:sz w:val="18"/>
          <w:szCs w:val="18"/>
          <w:color w:val="auto"/>
        </w:rPr>
        <w:t>Amortization of intangible assets represents the benefits received for using long-lived assets, which consist of intangible assets established through our acquisitions.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Amortization of intangible assets for the year ended December 31, 2019 increased by $5.1 million compared to the same period in 2018, primarily due to the intangible assets recorded as part of the AdvisoryWorld and Allen &amp; Company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Equipment Expense</w:t>
      </w:r>
    </w:p>
    <w:p>
      <w:pPr>
        <w:spacing w:after="0" w:line="24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Occupancy and equipment expense includes the costs of leasing and maintaining our office spaces, software licensing and maintenance costs, and maintenance expenses on computer hardware and other equipment.</w:t>
      </w:r>
    </w:p>
    <w:p>
      <w:pPr>
        <w:spacing w:after="0" w:line="19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Occupancy and equipment expense for the year ended December 31, 2019 increased by $20.6 million compared to the same period in 2018, primarily due to an increase in costs related to software licensing fees in support of our service and technology investments.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24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Professional services includes costs paid to outside firms for assistance with legal, accounting, technology, regulatory, marketing, and general corporate matters, as well as non-capitalized costs related to service and technology enhancements.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Professional services for the year ended December 31, 2019 decreased by $11.8 million compared to the same period in 2018, primarily due to a decrease in non-capitalized costs related to our service and technology projects during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Clearing, and Exchange Fees</w:t>
      </w:r>
    </w:p>
    <w:p>
      <w:pPr>
        <w:spacing w:after="0" w:line="243"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Brokerage, clearing, and exchange fees include expenses originating from trading or clearing operations as well as any exchange membership fees. Changes in brokerage, clearing and exchange fees fluctuate largely in line with the volume of sales and trading activity.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Brokerage, clearing, and exchange fees remained relatively flat for the year ended December 31, 2019 compared to the same period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and Data Processing</w:t>
      </w:r>
    </w:p>
    <w:p>
      <w:pPr>
        <w:spacing w:after="0" w:line="243"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Communications expense consists primarily of the cost of voice and data telecommunication lines supporting our business, including connectivity to data centers, exchanges, and markets. Data processing expense consists primarily of customer statement processing and postage costs.</w:t>
      </w:r>
    </w:p>
    <w:p>
      <w:pPr>
        <w:spacing w:after="0" w:line="202"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Communications and data processing expense remained relatively flat for the year ended December 31, 2019 compared to the same period in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4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Other expenses include the estimated costs of the investigation, settlement and resolution of regulatory matters (including customer restitution and remediation), licensing fees, insurance, broker-dealer regulator fees, and other miscellaneous expenses. Other expenses will depend in part on the size and timing of resolving regulatory matters and the availability of self-insurance coverage, which depends in part on the amount and timing of resolving historical claims. There are particular uncertainties and complexities involved when assessing the potential costs and timing of regulatory matters, including the adequacy of loss reserves for potential liabilities that are self-insured by our captive insurance subsidiary.</w:t>
      </w:r>
    </w:p>
    <w:p>
      <w:pPr>
        <w:spacing w:after="0" w:line="20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Other expenses for the year ended December 31, 2019 decreased by $4.7 million compared to the same period in 2018, primarily driven by lower costs associated with investigation and settlements and lower insurance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Interest Expense and Other</w:t>
      </w:r>
    </w:p>
    <w:p>
      <w:pPr>
        <w:spacing w:after="0" w:line="243"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Non-operating interest expense and other represents expense from our senior secured credit facilities, senior unsecured notes, finance leases and other non-operating expenses. Period over period increases correspond to higher LIBOR rates.</w:t>
      </w:r>
    </w:p>
    <w:p>
      <w:pPr>
        <w:sectPr>
          <w:pgSz w:w="11900" w:h="16838" w:orient="portrait"/>
          <w:cols w:equalWidth="0" w:num="1">
            <w:col w:w="11360"/>
          </w:cols>
          <w:pgMar w:left="240" w:top="140" w:right="299" w:bottom="1440" w:gutter="0" w:footer="0" w:header="0"/>
        </w:sect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60"/>
          </w:cols>
          <w:pgMar w:left="240" w:top="140" w:right="299" w:bottom="1440" w:gutter="0" w:footer="0" w:header="0"/>
          <w:type w:val="continuous"/>
        </w:sectPr>
      </w:pPr>
    </w:p>
    <w:bookmarkStart w:id="48" w:name="page49"/>
    <w:bookmarkEnd w:id="48"/>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November 12, 2019, we closed a refinancing transaction pursuant to which we increased the borrowing capacity of our existing senior revolving credit facility, issued senior unsecured high yield notes and paid down a portion of our senior secured term loan B (“Term Loan B”). In connection with the refinancing, we accelerated the recognition of $3.2 million of unamortized debt issuance costs as a loss on extinguishment of debt.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income tax rate was 24.5% and 25.8% for 2019 and 2018, respectively.</w:t>
      </w:r>
    </w:p>
    <w:p>
      <w:pPr>
        <w:spacing w:after="0" w:line="225"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decrease in our effective income tax rate for the year ended December 31, 2019 compared to the same period in 2018 was mainly due to a decrease in non-deductible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The objectives of these policies are to support our corporate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Years Ended December 31,</w:t>
            </w:r>
          </w:p>
        </w:tc>
      </w:tr>
      <w:tr>
        <w:trPr>
          <w:trHeight w:val="264"/>
        </w:trPr>
        <w:tc>
          <w:tcPr>
            <w:tcW w:w="8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60"/>
        </w:trPr>
        <w:tc>
          <w:tcPr>
            <w:tcW w:w="856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623,871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581,580</w:t>
            </w:r>
          </w:p>
        </w:tc>
      </w:tr>
      <w:tr>
        <w:trPr>
          <w:trHeight w:val="260"/>
        </w:trPr>
        <w:tc>
          <w:tcPr>
            <w:tcW w:w="856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(180,987)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(161,753)</w:t>
            </w:r>
          </w:p>
        </w:tc>
      </w:tr>
      <w:tr>
        <w:trPr>
          <w:trHeight w:val="273"/>
        </w:trPr>
        <w:tc>
          <w:tcPr>
            <w:tcW w:w="8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(533,225)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(483,363)</w:t>
            </w:r>
          </w:p>
        </w:tc>
      </w:tr>
      <w:tr>
        <w:trPr>
          <w:trHeight w:val="247"/>
        </w:trPr>
        <w:tc>
          <w:tcPr>
            <w:tcW w:w="856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(63,536)</w:t>
            </w:r>
          </w:p>
        </w:tc>
      </w:tr>
      <w:tr>
        <w:trPr>
          <w:trHeight w:val="273"/>
        </w:trPr>
        <w:tc>
          <w:tcPr>
            <w:tcW w:w="8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cash equivalents and restricted cash — beginning of year</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1,562,119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1,625,655</w:t>
            </w:r>
          </w:p>
        </w:tc>
      </w:tr>
      <w:tr>
        <w:trPr>
          <w:trHeight w:val="240"/>
        </w:trPr>
        <w:tc>
          <w:tcPr>
            <w:tcW w:w="8560" w:type="dxa"/>
            <w:vAlign w:val="bottom"/>
          </w:tcPr>
          <w:p>
            <w:pPr>
              <w:ind w:left="80"/>
              <w:spacing w:after="0"/>
              <w:rPr>
                <w:sz w:val="20"/>
                <w:szCs w:val="20"/>
                <w:color w:val="auto"/>
              </w:rPr>
            </w:pPr>
            <w:r>
              <w:rPr>
                <w:rFonts w:ascii="Arial" w:cs="Arial" w:eastAsia="Arial" w:hAnsi="Arial"/>
                <w:sz w:val="16"/>
                <w:szCs w:val="16"/>
                <w:color w:val="auto"/>
              </w:rPr>
              <w:t>Cash, cash equivalents and restricted cash —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1,471,778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1,562,119</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Net cash provided by operating activities includes net income and adjustments for non-cash expenses, changes in operating assets and liabilities, including balances related to the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increase in cash flows provided by operating activities for 2019 compared to 2018 was primarily due to increases in net income, cash provided by payables to client, receivables from clients and accounts payable and accrued liabilities, partially offset by an increase in outflows from advisor loans.</w:t>
      </w:r>
    </w:p>
    <w:p>
      <w:pPr>
        <w:spacing w:after="0" w:line="202"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The increase in cash flows used in investing activities for 2019 compared to 2018 was primarily attributable to an increase in capital expenditures.</w:t>
      </w:r>
    </w:p>
    <w:p>
      <w:pPr>
        <w:spacing w:after="0" w:line="196" w:lineRule="exact"/>
        <w:rPr>
          <w:sz w:val="20"/>
          <w:szCs w:val="20"/>
          <w:color w:val="auto"/>
        </w:rPr>
      </w:pPr>
    </w:p>
    <w:p>
      <w:pPr>
        <w:ind w:right="1040" w:firstLine="486"/>
        <w:spacing w:after="0" w:line="262" w:lineRule="auto"/>
        <w:rPr>
          <w:sz w:val="20"/>
          <w:szCs w:val="20"/>
          <w:color w:val="auto"/>
        </w:rPr>
      </w:pPr>
      <w:r>
        <w:rPr>
          <w:rFonts w:ascii="Arial" w:cs="Arial" w:eastAsia="Arial" w:hAnsi="Arial"/>
          <w:sz w:val="18"/>
          <w:szCs w:val="18"/>
          <w:color w:val="auto"/>
        </w:rPr>
        <w:t>The increase in cash flows used in financing activities for 2019 compared to 2018 was primarily attributable to an increase in repurchases of our common stock, offset by proceeds from our revolving line of credit.</w:t>
      </w:r>
    </w:p>
    <w:p>
      <w:pPr>
        <w:spacing w:after="0" w:line="19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the revolving credit facility established through our senior secured credit agreement (the “Credit Agreement”) and the committed revolving credit facility of LPL Financial, will be adequate to satisfy our working capital needs, the payment of all of our obligations, and the funding of anticipated capital expenditures for the foreseeable future. In addition, we have certain capital adequacy requirements related to our registered broker-dealer subsidiary and bank trust subsidiary and have met all such requirements and expect to continue to do so for the foreseeable future. We regularly</w:t>
      </w:r>
    </w:p>
    <w:p>
      <w:pPr>
        <w:sectPr>
          <w:pgSz w:w="11900" w:h="16838" w:orient="portrait"/>
          <w:cols w:equalWidth="0" w:num="1">
            <w:col w:w="11420"/>
          </w:cols>
          <w:pgMar w:left="240" w:top="140" w:right="2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40" w:right="239" w:bottom="1440" w:gutter="0" w:footer="0" w:header="0"/>
          <w:type w:val="continuous"/>
        </w:sectPr>
      </w:pPr>
    </w:p>
    <w:bookmarkStart w:id="49" w:name="page50"/>
    <w:bookmarkEnd w:id="49"/>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 xml:space="preserve">We engage in share repurchase programs, which are approved by our board of directors (the “Board of Directors”), pursuant to which we may repurchase our issued and outstanding shares of common stock from time to time. Purchases may be effected in open market or privately negotiated transactions, including transactions with our affiliates, with the timing of purchases and the amount of stock purchased generally determined at our discretion within the constraints of our Credit Agreement, the indentures governing our senior unsecured notes (the “Indentures”), and general liquidity needs. See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consolidated financial statements for additional information regarding our share repurchases.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 xml:space="preserve">The payment, timing, and amount of any dividends are subject to approval by the Board of Directors as well as certain limits under our Credit Agreement and the Indentures. See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consolidated financial statements for additional information regarding our dividends.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cash equivalents on hand, cash segregated under federal and other regulations, the committed revolving credit facility of LPL Financial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w:t>
      </w:r>
    </w:p>
    <w:p>
      <w:pPr>
        <w:spacing w:after="0" w:line="206"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Our other working capital needs are primarily related to advisor loans and timing associated with receivables and payables, which we have satisfied in the past from internally generated cash flows.</w:t>
      </w:r>
    </w:p>
    <w:p>
      <w:pPr>
        <w:spacing w:after="0" w:line="19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LPL Financial or under one of our revolving credit facilities.</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LPL Financial is subject to the Securities and Exchange Commission’s (“SEC”)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December 31, 2019, LPL Financial had net capital of $109.7 million with a minimum net capital requirement of $9.3 million.</w:t>
      </w:r>
    </w:p>
    <w:p>
      <w:pPr>
        <w:spacing w:after="0" w:line="204"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the Financial Industry Regulatory Authority (“FINRA”). In addition, payment of dividends is restricted if LPL Financial’s net capital would be less than 5.0% of aggregate customer debit balances.</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Net Capital Rule.</w:t>
      </w:r>
    </w:p>
    <w:p>
      <w:pPr>
        <w:spacing w:after="0" w:line="20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229" w:lineRule="exact"/>
        <w:rPr>
          <w:sz w:val="20"/>
          <w:szCs w:val="20"/>
          <w:color w:val="auto"/>
        </w:rPr>
      </w:pPr>
    </w:p>
    <w:p>
      <w:pPr>
        <w:ind w:right="340" w:firstLine="486"/>
        <w:spacing w:after="0" w:line="28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the consolidated financial statements for further detail regarding the Credit Agreement and the Indentures.</w:t>
      </w:r>
    </w:p>
    <w:p>
      <w:pPr>
        <w:spacing w:after="0" w:line="180"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Credit Agreement and the Indentures contain a number of covenants that, among other things, restrict, subject to certain exceptions, our ability to:</w:t>
      </w:r>
    </w:p>
    <w:p>
      <w:pPr>
        <w:spacing w:after="0" w:line="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or issue disqualified stock or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declare dividends, or other distributions to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repurchase equity interests;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redeem indebtedness that is subordinated in right of payment to certain debt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assets;</w:t>
      </w:r>
    </w:p>
    <w:p>
      <w:pPr>
        <w:sectPr>
          <w:pgSz w:w="11900" w:h="16838" w:orient="portrait"/>
          <w:cols w:equalWidth="0" w:num="1">
            <w:col w:w="11400"/>
          </w:cols>
          <w:pgMar w:left="240" w:top="140" w:right="259" w:bottom="0" w:gutter="0" w:footer="0" w:header="0"/>
        </w:sectPr>
      </w:pPr>
    </w:p>
    <w:bookmarkStart w:id="50" w:name="page51"/>
    <w:bookmarkEnd w:id="50"/>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 indebtedness;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71" w:lineRule="exact"/>
        <w:rPr>
          <w:sz w:val="20"/>
          <w:szCs w:val="20"/>
          <w:color w:val="auto"/>
        </w:rPr>
      </w:pPr>
    </w:p>
    <w:p>
      <w:pPr>
        <w:ind w:left="60" w:right="20" w:firstLine="486"/>
        <w:spacing w:after="0" w:line="252" w:lineRule="auto"/>
        <w:rPr>
          <w:sz w:val="20"/>
          <w:szCs w:val="20"/>
          <w:color w:val="auto"/>
        </w:rPr>
      </w:pPr>
      <w:r>
        <w:rPr>
          <w:rFonts w:ascii="Arial" w:cs="Arial" w:eastAsia="Arial" w:hAnsi="Arial"/>
          <w:sz w:val="18"/>
          <w:szCs w:val="18"/>
          <w:color w:val="auto"/>
        </w:rPr>
        <w:t>Our Credit Agreement and the Indentures prohibit us from paying dividends and distributions or repurchasing our capital stock except for limited purposes or in limited amounts. In addition, our revolving credit facility requires compliance with certain financial covenants as of the last day of each fiscal quarter. The financial covenants require the calculation of Credit Agreement EBITDA, defined in, and calculated by management in accordance with, the Credit Agreement as “Consolidated EBITDA,” which is Consolidated Net Income (as defined in the Credit Agreement) plus interest expense, tax expense, depreciation and amortization, and further adjusted to exclude certain non-cash charges and other adjustments (including unusual or non-recurring charges) and gains, and to include future expected cost savings, operating expense reductions or other synergies from certain transactions.</w:t>
      </w:r>
    </w:p>
    <w:p>
      <w:pPr>
        <w:spacing w:after="0" w:line="207" w:lineRule="exact"/>
        <w:rPr>
          <w:sz w:val="20"/>
          <w:szCs w:val="20"/>
          <w:color w:val="auto"/>
        </w:rPr>
      </w:pPr>
    </w:p>
    <w:p>
      <w:pPr>
        <w:ind w:left="60" w:right="60" w:firstLine="486"/>
        <w:spacing w:after="0" w:line="254" w:lineRule="auto"/>
        <w:rPr>
          <w:sz w:val="20"/>
          <w:szCs w:val="20"/>
          <w:color w:val="auto"/>
        </w:rPr>
      </w:pPr>
      <w:r>
        <w:rPr>
          <w:rFonts w:ascii="Arial" w:cs="Arial" w:eastAsia="Arial" w:hAnsi="Arial"/>
          <w:sz w:val="18"/>
          <w:szCs w:val="18"/>
          <w:color w:val="auto"/>
        </w:rPr>
        <w:t>As of December 31, 2019 we were in compliance with both of our financial covenants, a maximum Consolidated Total Debt to Consolidated EBITDA Ratio (“Leverage Test,” as defined in the Credit Agreement) and a minimum Consolidated EBITDA to Consolidated Interest Expense Ratio (“Interest Coverage,” as defined in the Credit Agreement). The breach of these financial covenants would be subject to certain equity cure rights. The required ratios under our financial covenants and actual ratios were as follows:</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December 31, 2019</w:t>
            </w:r>
          </w:p>
        </w:tc>
      </w:tr>
      <w:tr>
        <w:trPr>
          <w:trHeight w:val="198"/>
        </w:trPr>
        <w:tc>
          <w:tcPr>
            <w:tcW w:w="7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Covenant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Actual</w:t>
            </w:r>
          </w:p>
        </w:tc>
      </w:tr>
      <w:tr>
        <w:trPr>
          <w:trHeight w:val="228"/>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Ratio</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Ratio</w:t>
            </w:r>
          </w:p>
        </w:tc>
      </w:tr>
      <w:tr>
        <w:trPr>
          <w:trHeight w:val="25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Leverage Test (Maximum)</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2.05</w:t>
            </w:r>
          </w:p>
        </w:tc>
      </w:tr>
      <w:tr>
        <w:trPr>
          <w:trHeight w:val="251"/>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Interest Coverage (Minimum)</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3.0</w:t>
            </w: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8.89</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Company commitments to extend credit. For information on these arrangements, see Note 14</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and Note 21</w:t>
      </w:r>
      <w:r>
        <w:rPr>
          <w:rFonts w:ascii="Arial" w:cs="Arial" w:eastAsia="Arial" w:hAnsi="Arial"/>
          <w:sz w:val="18"/>
          <w:szCs w:val="18"/>
          <w:i w:val="1"/>
          <w:iCs w:val="1"/>
          <w:color w:val="auto"/>
        </w:rPr>
        <w:t xml:space="preserve">. Financial Instruments with Off-Balance-Sheet Credit Risk and Concentrations of Credit Risk, </w:t>
      </w:r>
      <w:r>
        <w:rPr>
          <w:rFonts w:ascii="Arial" w:cs="Arial" w:eastAsia="Arial" w:hAnsi="Arial"/>
          <w:sz w:val="18"/>
          <w:szCs w:val="18"/>
          <w:color w:val="auto"/>
        </w:rPr>
        <w:t>within the notes to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&lt; 1 Year</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1-3 Years</w:t>
            </w:r>
          </w:p>
        </w:tc>
        <w:tc>
          <w:tcPr>
            <w:tcW w:w="2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3-5 Years</w:t>
            </w:r>
          </w:p>
        </w:tc>
        <w:tc>
          <w:tcPr>
            <w:tcW w:w="22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&gt; 5 Years</w:t>
            </w:r>
          </w:p>
        </w:tc>
      </w:tr>
      <w:tr>
        <w:trPr>
          <w:trHeight w:val="257"/>
        </w:trPr>
        <w:tc>
          <w:tcPr>
            <w:tcW w:w="41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Operating leases</w:t>
            </w:r>
            <w:r>
              <w:rPr>
                <w:rFonts w:ascii="Arial" w:cs="Arial" w:eastAsia="Arial" w:hAnsi="Arial"/>
                <w:sz w:val="10"/>
                <w:szCs w:val="10"/>
                <w:color w:val="auto"/>
              </w:rPr>
              <w:t>(1)</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197,304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19,973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41,637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41,191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94,503</w:t>
            </w: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Finance leases</w:t>
            </w:r>
            <w:r>
              <w:rPr>
                <w:rFonts w:ascii="Arial" w:cs="Arial" w:eastAsia="Arial" w:hAnsi="Arial"/>
                <w:sz w:val="10"/>
                <w:szCs w:val="10"/>
                <w:color w:val="auto"/>
              </w:rPr>
              <w:t>(2)</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279,071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18,537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17,303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233,639</w:t>
            </w: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10"/>
                <w:szCs w:val="10"/>
                <w:color w:val="auto"/>
              </w:rPr>
              <w:t>(3)</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77,282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Long-term borrowings</w:t>
            </w:r>
            <w:r>
              <w:rPr>
                <w:rFonts w:ascii="Arial" w:cs="Arial" w:eastAsia="Arial" w:hAnsi="Arial"/>
                <w:sz w:val="10"/>
                <w:szCs w:val="10"/>
                <w:color w:val="auto"/>
              </w:rPr>
              <w:t>(4)</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2,415,000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55,700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21,400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2,316,500</w:t>
            </w: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payments</w:t>
            </w:r>
            <w:r>
              <w:rPr>
                <w:rFonts w:ascii="Arial" w:cs="Arial" w:eastAsia="Arial" w:hAnsi="Arial"/>
                <w:sz w:val="10"/>
                <w:szCs w:val="10"/>
                <w:color w:val="auto"/>
              </w:rPr>
              <w:t>(5)</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698,728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108,174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214,877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213,362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162,315</w:t>
            </w:r>
          </w:p>
        </w:tc>
      </w:tr>
      <w:tr>
        <w:trPr>
          <w:trHeight w:val="264"/>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Commitment and other fees</w:t>
            </w:r>
            <w:r>
              <w:rPr>
                <w:rFonts w:ascii="Arial" w:cs="Arial" w:eastAsia="Arial" w:hAnsi="Arial"/>
                <w:sz w:val="10"/>
                <w:szCs w:val="10"/>
                <w:color w:val="auto"/>
              </w:rPr>
              <w:t>(6)</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14,409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Total contractual cash obligations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3,681,794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241,723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332,330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300,282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2,807,459</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4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future payments under operating leases. See Note 12.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within the notes to the consolidated financial statements for further detail.</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future payments under finance leases. See Note 12. </w:t>
      </w:r>
      <w:r>
        <w:rPr>
          <w:rFonts w:ascii="Arial" w:cs="Arial" w:eastAsia="Arial" w:hAnsi="Arial"/>
          <w:sz w:val="14"/>
          <w:szCs w:val="14"/>
          <w:i w:val="1"/>
          <w:iCs w:val="1"/>
          <w:color w:val="auto"/>
        </w:rPr>
        <w:t>Leases</w:t>
      </w:r>
      <w:r>
        <w:rPr>
          <w:rFonts w:ascii="Arial" w:cs="Arial" w:eastAsia="Arial" w:hAnsi="Arial"/>
          <w:sz w:val="14"/>
          <w:szCs w:val="14"/>
          <w:color w:val="auto"/>
        </w:rPr>
        <w:t>, within the notes to the consolidated financial statements for further detail.</w:t>
      </w:r>
    </w:p>
    <w:p>
      <w:pPr>
        <w:spacing w:after="0" w:line="109" w:lineRule="exact"/>
        <w:rPr>
          <w:rFonts w:ascii="Arial" w:cs="Arial" w:eastAsia="Arial" w:hAnsi="Arial"/>
          <w:sz w:val="14"/>
          <w:szCs w:val="14"/>
          <w:color w:val="auto"/>
        </w:rPr>
      </w:pPr>
    </w:p>
    <w:p>
      <w:pPr>
        <w:ind w:left="500" w:right="160" w:hanging="492"/>
        <w:spacing w:after="0" w:line="279"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Includes future minimum payments under service, development, and agency contracts, and other contractual obligations. See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within the notes to consolidated financial statements for further detail on obligations under noncancelable service contracts.</w:t>
      </w:r>
    </w:p>
    <w:p>
      <w:pPr>
        <w:spacing w:after="0" w:line="57" w:lineRule="exact"/>
        <w:rPr>
          <w:rFonts w:ascii="Arial" w:cs="Arial" w:eastAsia="Arial" w:hAnsi="Arial"/>
          <w:sz w:val="14"/>
          <w:szCs w:val="14"/>
          <w:color w:val="auto"/>
        </w:rPr>
      </w:pPr>
    </w:p>
    <w:p>
      <w:pPr>
        <w:ind w:left="500" w:right="280" w:hanging="492"/>
        <w:spacing w:after="0" w:line="279"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principal payments under our Credit Agreement. This also includes $45.0 million borrowings under the revolving credit facility. See Note 11. </w:t>
      </w:r>
      <w:r>
        <w:rPr>
          <w:rFonts w:ascii="Arial" w:cs="Arial" w:eastAsia="Arial" w:hAnsi="Arial"/>
          <w:sz w:val="14"/>
          <w:szCs w:val="14"/>
          <w:i w:val="1"/>
          <w:iCs w:val="1"/>
          <w:color w:val="auto"/>
        </w:rPr>
        <w:t>Debt</w:t>
      </w:r>
      <w:r>
        <w:rPr>
          <w:rFonts w:ascii="Arial" w:cs="Arial" w:eastAsia="Arial" w:hAnsi="Arial"/>
          <w:sz w:val="14"/>
          <w:szCs w:val="14"/>
          <w:color w:val="auto"/>
        </w:rPr>
        <w:t>, within the notes to consolidated financial statements for further detail.</w:t>
      </w:r>
    </w:p>
    <w:p>
      <w:pPr>
        <w:spacing w:after="0" w:line="71" w:lineRule="exact"/>
        <w:rPr>
          <w:rFonts w:ascii="Arial" w:cs="Arial" w:eastAsia="Arial" w:hAnsi="Arial"/>
          <w:sz w:val="14"/>
          <w:szCs w:val="14"/>
          <w:color w:val="auto"/>
        </w:rPr>
      </w:pPr>
    </w:p>
    <w:p>
      <w:pPr>
        <w:ind w:left="500" w:right="60" w:hanging="492"/>
        <w:spacing w:after="0" w:line="250"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interest payments under our Credit Agreement, which includes a variable interest payment for our senior secured credit facilities and a fixed interest payment for senior unsecured notes. Variable interest payments assume the applicable interest rates at December 31, 2019 remain unchanged. See Note 11. </w:t>
      </w:r>
      <w:r>
        <w:rPr>
          <w:rFonts w:ascii="Arial" w:cs="Arial" w:eastAsia="Arial" w:hAnsi="Arial"/>
          <w:sz w:val="14"/>
          <w:szCs w:val="14"/>
          <w:i w:val="1"/>
          <w:iCs w:val="1"/>
          <w:color w:val="auto"/>
        </w:rPr>
        <w:t>Debt</w:t>
      </w:r>
      <w:r>
        <w:rPr>
          <w:rFonts w:ascii="Arial" w:cs="Arial" w:eastAsia="Arial" w:hAnsi="Arial"/>
          <w:sz w:val="14"/>
          <w:szCs w:val="14"/>
          <w:color w:val="auto"/>
        </w:rPr>
        <w:t>, within the notes to consolidated financial statements for further detail.</w:t>
      </w:r>
    </w:p>
    <w:p>
      <w:pPr>
        <w:spacing w:after="0" w:line="91" w:lineRule="exact"/>
        <w:rPr>
          <w:rFonts w:ascii="Arial" w:cs="Arial" w:eastAsia="Arial" w:hAnsi="Arial"/>
          <w:sz w:val="14"/>
          <w:szCs w:val="14"/>
          <w:color w:val="auto"/>
        </w:rPr>
      </w:pPr>
    </w:p>
    <w:p>
      <w:pPr>
        <w:ind w:left="500" w:right="60" w:hanging="492"/>
        <w:spacing w:after="0" w:line="258"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Represents commitment fees for unused borrowings on the revolving credit facility under our Credit Agreement and interest payments for our letters of credit. See Note 11. </w:t>
      </w:r>
      <w:r>
        <w:rPr>
          <w:rFonts w:ascii="Arial" w:cs="Arial" w:eastAsia="Arial" w:hAnsi="Arial"/>
          <w:sz w:val="14"/>
          <w:szCs w:val="14"/>
          <w:i w:val="1"/>
          <w:iCs w:val="1"/>
          <w:color w:val="auto"/>
        </w:rPr>
        <w:t>Debt</w:t>
      </w:r>
      <w:r>
        <w:rPr>
          <w:rFonts w:ascii="Arial" w:cs="Arial" w:eastAsia="Arial" w:hAnsi="Arial"/>
          <w:sz w:val="14"/>
          <w:szCs w:val="14"/>
          <w:color w:val="auto"/>
        </w:rPr>
        <w:t>, within the notes to consolidated financial statements for further detail.</w:t>
      </w:r>
    </w:p>
    <w:p>
      <w:pPr>
        <w:sectPr>
          <w:pgSz w:w="11900" w:h="16838" w:orient="portrait"/>
          <w:cols w:equalWidth="0" w:num="1">
            <w:col w:w="11420"/>
          </w:cols>
          <w:pgMar w:left="240" w:top="140" w:right="2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40" w:right="239" w:bottom="1440" w:gutter="0" w:footer="0" w:header="0"/>
          <w:type w:val="continuous"/>
        </w:sectPr>
      </w:pPr>
    </w:p>
    <w:bookmarkStart w:id="51" w:name="page52"/>
    <w:bookmarkEnd w:id="51"/>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As of December 31, 2019, we have a liability for unrecognized tax benefits of $52.1 million, which we have included in income taxes payable in the consolidated statements of financial condition. This amount has been excluded from the contractual obligations table because we are unable to reasonably predict the ultimate amount or timing of future tax payments.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 See Note 5</w:t>
      </w:r>
      <w:r>
        <w:rPr>
          <w:rFonts w:ascii="Arial" w:cs="Arial" w:eastAsia="Arial" w:hAnsi="Arial"/>
          <w:sz w:val="18"/>
          <w:szCs w:val="18"/>
          <w:i w:val="1"/>
          <w:iCs w:val="1"/>
          <w:color w:val="auto"/>
        </w:rPr>
        <w:t>. Fair Value Measurements,</w:t>
      </w:r>
      <w:r>
        <w:rPr>
          <w:rFonts w:ascii="Arial" w:cs="Arial" w:eastAsia="Arial" w:hAnsi="Arial"/>
          <w:sz w:val="18"/>
          <w:szCs w:val="18"/>
          <w:color w:val="auto"/>
        </w:rPr>
        <w:t xml:space="preserve"> within the notes to the consolidated financial statements for a detailed discussion regarding our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requires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Valuation of Goodwill and Other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3"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consolidated financial statements for discussion of each of these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consolidated financial statements for a discussion of recent accounting pronouncements or changes in accounting pronouncements that are of significance, or potential significance, to us.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40" w:right="299" w:bottom="1440" w:gutter="0" w:footer="0" w:header="0"/>
        </w:sectPr>
      </w:pPr>
    </w:p>
    <w:bookmarkStart w:id="52" w:name="page53"/>
    <w:bookmarkEnd w:id="5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and equity securities. Changes in the value of our trading securities may result from fluctuations in interest rates, credit ratings of the issuer, equity prices, or a combination of these factors.</w:t>
      </w:r>
    </w:p>
    <w:p>
      <w:pPr>
        <w:spacing w:after="0" w:line="20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facilitating client transactions, our securities owned and securities sold, but not yet purchased generally involve mutual funds, including dividend reinvestments. Our positions held are based upon the settlement of client transactions, which are monitored by our Service, Trading, and Operations (“STO”) department.</w:t>
      </w:r>
    </w:p>
    <w:p>
      <w:pPr>
        <w:spacing w:after="0" w:line="20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Positions held to meet clearing deposit requirements consist of U.S. government securities. The amount of securities deposited depends upon the requirements of the clearing organization. The level of securities deposited is monitored by the settlements group within our STO department.</w:t>
      </w:r>
    </w:p>
    <w:p>
      <w:pPr>
        <w:spacing w:after="0" w:line="202" w:lineRule="exact"/>
        <w:rPr>
          <w:sz w:val="20"/>
          <w:szCs w:val="20"/>
          <w:color w:val="auto"/>
        </w:rPr>
      </w:pPr>
    </w:p>
    <w:p>
      <w:pPr>
        <w:jc w:val="both"/>
        <w:ind w:right="400" w:firstLine="486"/>
        <w:spacing w:after="0" w:line="256" w:lineRule="auto"/>
        <w:rPr>
          <w:sz w:val="20"/>
          <w:szCs w:val="20"/>
          <w:color w:val="auto"/>
        </w:rPr>
      </w:pPr>
      <w:r>
        <w:rPr>
          <w:rFonts w:ascii="Arial" w:cs="Arial" w:eastAsia="Arial" w:hAnsi="Arial"/>
          <w:sz w:val="18"/>
          <w:szCs w:val="18"/>
          <w:color w:val="auto"/>
        </w:rPr>
        <w:t>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we are subject to market risk resulting from system incidences or interruptions and human error, which can require customer trade corrections. We also have market risk on the fees we earn that are based on the market value of brokerage and advisory assets along with assets on which trailing commissions are paid, and assets eligible for sponsor payments.</w:t>
      </w:r>
    </w:p>
    <w:p>
      <w:pPr>
        <w:spacing w:after="0" w:line="202" w:lineRule="exact"/>
        <w:rPr>
          <w:sz w:val="20"/>
          <w:szCs w:val="20"/>
          <w:color w:val="auto"/>
        </w:rPr>
      </w:pPr>
    </w:p>
    <w:p>
      <w:pPr>
        <w:ind w:right="220" w:firstLine="486"/>
        <w:spacing w:after="0" w:line="271" w:lineRule="auto"/>
        <w:rPr>
          <w:sz w:val="20"/>
          <w:szCs w:val="20"/>
          <w:color w:val="auto"/>
        </w:rPr>
      </w:pPr>
      <w:r>
        <w:rPr>
          <w:rFonts w:ascii="Arial" w:cs="Arial" w:eastAsia="Arial" w:hAnsi="Arial"/>
          <w:sz w:val="17"/>
          <w:szCs w:val="17"/>
          <w:color w:val="auto"/>
        </w:rPr>
        <w:t>As of December 31, 2019, the fair value of our trading securities owned was $46.4 million. Securities sold, but not yet purchased were $0.2 million as of December 31, 2019. The fair value of securities included within other assets was $278.1 million as of December 31, 2019. See Note 5</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within the notes to consolidated financial statements for information regarding the fair value of trading securities owned, securities sold, but not yet purchased and other assets associated with our client facilitation activities. See Note 6</w:t>
      </w:r>
      <w:r>
        <w:rPr>
          <w:rFonts w:ascii="Arial" w:cs="Arial" w:eastAsia="Arial" w:hAnsi="Arial"/>
          <w:sz w:val="17"/>
          <w:szCs w:val="17"/>
          <w:i w:val="1"/>
          <w:iCs w:val="1"/>
          <w:color w:val="auto"/>
        </w:rPr>
        <w:t>. Held-to-Maturity Securities</w:t>
      </w:r>
      <w:r>
        <w:rPr>
          <w:rFonts w:ascii="Arial" w:cs="Arial" w:eastAsia="Arial" w:hAnsi="Arial"/>
          <w:sz w:val="17"/>
          <w:szCs w:val="17"/>
          <w:color w:val="auto"/>
        </w:rPr>
        <w:t>, within the notes to consolidated financial statements for information regarding the fair value of securities held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jc w:val="both"/>
        <w:ind w:right="2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December 31, 2019, $ 1.1 billion of our outstanding debt under our Credit Agreement was subject to floating interest rate risk. While our senior secured term loan is subject to increases in interest rates, we do not believe that a short-term change in interest rates would have a material impact on our income before taxes given assets owned, which are generally subject to the same, but off-setting interest rate risk.</w:t>
      </w:r>
    </w:p>
    <w:p>
      <w:pPr>
        <w:spacing w:after="0" w:line="20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calculated using the projected average outstanding balance over the subsequent twelve-month period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Outstanding Variable</w:t>
            </w:r>
          </w:p>
        </w:tc>
        <w:tc>
          <w:tcPr>
            <w:tcW w:w="16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99"/>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4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Interest Rates at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10,660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Revolving Credit Facility</w:t>
            </w: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r>
              <w:rPr>
                <w:rFonts w:ascii="Arial" w:cs="Arial" w:eastAsia="Arial" w:hAnsi="Arial"/>
                <w:sz w:val="10"/>
                <w:szCs w:val="10"/>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1,115,000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11,110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Balances may not foot due to rounding.</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additional information.</w:t>
      </w:r>
    </w:p>
    <w:p>
      <w:pPr>
        <w:spacing w:after="0" w:line="24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interest rate for Term Loan B is locked in for one, two, three, six, or twelve months as allowed under the Credit Agreement. At the end of the selected periods the rates will be locked in at the then current rate. The effect of these interest rate locks are not included in the table above.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of December 31, 2019, we offered our advisors and their clients two primary cash sweep vehicles that are interest rate sensitive: our insured cash account (“ICA”) for individuals, trusts and sole proprietorships, and entities organized or operated to make a profit, such as corporations, partnerships, associations, business trusts, and other organizations, and an insured deposit cash account (“DCA”) for advisory individual retirement accounts. In addition, we offered our advisors and their clients a money market program, including money market accounts and purchased money market funds. While clients earn interest for balances on deposit in ICA and DCA, we earn a fee. Our fees from ICAs are based on prevailing interest rates in the current interest rate environment. The fees that we receive from the DCA vehicle are calculated as a per account fee; such fees increase as the federal funds target rate increases, subject to a cap. The fees we receive on cash balances in our advisors’ clients’ accounts in our money market program, including administrative and recordkeeping fees based on account type and the invested balances, are also sensitive to prevailing interest rates. Changes in interest rates and fees for the bank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insured bank deposit sweep vehicles relative to other products into which clients may move cash balances.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loans we extend to advisors to facilitate their transition to our platform or to fund their business development activities are not repaid in full or on time. Credit risk also includes the risk that collateral posted with LPL Financial by clients to support margin lending or derivative trading is insufficient to meet client’s contractual obligations to LPL Financial. We bear credit risk on the activities of our advisors’ clients, including the execution, settlement, and financing of various transactions on behalf of these clients.</w:t>
      </w:r>
    </w:p>
    <w:p>
      <w:pPr>
        <w:spacing w:after="0" w:line="209"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losses on margin accounts were immaterial during the years ended December 31, 2019 and 2018.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information technology systems, as well as third-party service providers and their systems, to manage a large volume of transactions and confidential information, including personally identifiable information, effectively and securely. These risks are less direct and quantifiable than credit and market risk, but managing them is critical, particularly in a rapidly changing operating environment with increasing transaction volumes and in light of increasing reliance on systems capabilities and performance, as well as third-party service providers. In the event of the breakdown, obsolescence, or improper operation of systems, malicious cyber activity or improper action by employees, advisors, or third-party service providers, we could suffer business disruptions, financial loss, data loss, regulatory sanctions, and damage to our reputation. Although we have developed business continuity and disaster recovery plans, those plans could be inadequate, disrupted, or otherwise unsuccessful in maintaining the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54" w:name="page55"/>
    <w:bookmarkEnd w:id="5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3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competitiveness, stability, security, or continuity of critical systems as a result of, among other things, obsolescence, improper operation, or other limitations of our current technology.</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order to assist in the mitigation and control of operational risk, we have an operational risk framework that is designed to enable assessment and reporting on operational risk across the firm. This framework aims to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and the “Risks Related to Our Business and Industry” sections within Part I, “Item 1A. Risk Factors” for more information about the risks associated with our technology, including risks related to security, our risk management policies and procedures, and the potential related effects on our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of this Annual Report on Form 10-K. In recent years, and during the period presented in this Annual Report on Form 10-K, we have observed the SEC, FINRA, DOL and state regulators broaden the scope, frequency, and depth of their examinations and inquiries to include greater emphasis on the quality, consistency and oversight of our compliance systems and programs. Please consult the “Risks Related to Our Regulatory Environment” and the “Risks Related to Our Business and Industry” sections within Part I, “Item 1A. Risk Factors” for more information about the risks associated with operating within our regulatory environment, pending regulatory matters and the potential related effects on our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operate a three lines of defense model whereby the primary ownership for risk and control processes is the responsibility of business and control owners who are the “first line” of defense in effectively managing risks. The first line is responsible for risk process ownership and is comprised of the business units, whose primary responsibility is for day-to-day compliance and risk management, including execution of desktop and supervisory procedures. These business owners and certain control owners implement and execute controls to manage risk, execute risk assessments, identify emerging risks, and comply with risk management policies. The second line of defense is comprised of certain departments within Compliance, Legal and Risk (“CLR”), STO, Technology, Finance, and Human Capital, and this second line of defense provides risk and control assessment and oversight. The third line of defense is independent verification of the effectiveness of internal controls and is conducted by the Internal Audit department or in third-party reviews.</w:t>
      </w:r>
    </w:p>
    <w:p>
      <w:pPr>
        <w:spacing w:after="0" w:line="206"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Our risk management governance approach includes the Board of Directors (the “Board”) and certain of its committees; the Risk Oversight Committee of LPL Financial (the “ROC”) and its subcommittees; the Internal Audit department and the CLR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generally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6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55" w:name="page56"/>
    <w:bookmarkEnd w:id="5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Compliance Officer of LPL Financial serves as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The members of the ROC include certain Managing Directors of LPL Financial, as well as other members of LPL Financial’s senior management team who serve as ex-officio members and represent key control areas of the Company.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20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Chief Legal Officer provides updates on pertinent ROC discussions to the Audit Committee on a regular basis and, if necessary or requested, to the Board.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operational risk; oversight of the approval of new and complex investment products offered to advisors’ clients; oversight of the firm’s technology; and issues and trends related to advisor compliance.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As the third line of defense, the Internal Audit department provides independent and objective assurance of the effectiveness of the Company’s governance, risk management and internal controls by conducting risk assessments and audits designed to identify and cover important risk categories. Internal Audit reports directly to the Audit Committee, which provides oversight of Internal Audit’s activities and approves its annual plan. The Internal Audit department provides regular updates to the ROC and reports to the Audit Committee at least as often as quarterly.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CLR department provides compliance oversight and guidance, and conducts various risk and other assessments to address regulatory and Company-specific risks and requirements. The CLR department includes the Chief Legal Officer, who reviews the results of the Company’s risk management process with the ROC, the Audit Committee, and the Board as necessary. STO and Technology each have risk management teams that identify, define, and remediate risk-related items within their respective groups. Additionally, the Internal Audit department is a control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STO and Technology, have dedicated personnel with responsibilities for monitoring and managing risk-related matters. Business lines are subject to oversight by the control groups, and the Finance, CLR, Technology,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Policies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regulations, and codes of conduct and ethics to govern employee and advisor conduct, among other matters.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0" w:right="259" w:bottom="1440" w:gutter="0" w:footer="0" w:header="0"/>
        </w:sectPr>
      </w:pPr>
    </w:p>
    <w:bookmarkStart w:id="56" w:name="page57"/>
    <w:bookmarkEnd w:id="56"/>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0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January 27, 2020, the Board declared a cash dividend of $0.25 per share on the Company’s outstanding common stock to be paid on March 31, 2020 to all stockholders of record on March 18,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2019,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20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 xml:space="preserve">As of December 31, 2019,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2019 was effective.</w:t>
      </w:r>
    </w:p>
    <w:p>
      <w:pPr>
        <w:spacing w:after="0" w:line="20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0" w:right="279" w:bottom="1440" w:gutter="0" w:footer="0" w:header="0"/>
        </w:sectPr>
      </w:pPr>
    </w:p>
    <w:bookmarkStart w:id="57" w:name="page58"/>
    <w:bookmarkEnd w:id="57"/>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7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internal control over financial reporting of LPL Financial Holdings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21, 2020, expressed an unqualified opinion on those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40" w:right="239" w:bottom="1440" w:gutter="0" w:footer="0" w:header="0"/>
          <w:type w:val="continuous"/>
        </w:sectPr>
      </w:pPr>
    </w:p>
    <w:bookmarkStart w:id="58" w:name="page59"/>
    <w:bookmarkEnd w:id="58"/>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Other than the information relating to our executive officers provided in Part I of this Annual Report on Form 10-K, the information required to be furnished pursuant to this item is incorporated by reference to the Company’s definitive proxy statement for the 2020 Annual Meeting of Stockholders.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information required by Items 11, 12, 13, and 14 is incorporated by reference from the Company’s definitive proxy statement for the</w:t>
      </w:r>
    </w:p>
    <w:p>
      <w:pPr>
        <w:spacing w:after="0" w:line="2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2020 Annual Meeting of Stockholders, which the Company intends to file with the SEC within 120 days of the end of the fiscal year end to which this report relates.</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140" w:right="379" w:bottom="1440" w:gutter="0" w:footer="0" w:header="0"/>
        </w:sectPr>
      </w:pPr>
    </w:p>
    <w:bookmarkStart w:id="59" w:name="page60"/>
    <w:bookmarkEnd w:id="59"/>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F-39 are incorporated herein by reference.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4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gridSpan w:val="3"/>
          </w:tcPr>
          <w:p>
            <w:pPr>
              <w:ind w:left="418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90"/>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0020" w:type="dxa"/>
            <w:vAlign w:val="bottom"/>
            <w:gridSpan w:val="3"/>
          </w:tcPr>
          <w:p>
            <w:pPr>
              <w:ind w:left="140"/>
              <w:spacing w:after="0"/>
              <w:rPr>
                <w:rFonts w:ascii="Arial" w:cs="Arial" w:eastAsia="Arial" w:hAnsi="Arial"/>
                <w:sz w:val="18"/>
                <w:szCs w:val="18"/>
                <w:color w:val="0000FF"/>
              </w:rPr>
            </w:pPr>
            <w:hyperlink r:id="rId14">
              <w:r>
                <w:rPr>
                  <w:rFonts w:ascii="Arial" w:cs="Arial" w:eastAsia="Arial" w:hAnsi="Arial"/>
                  <w:sz w:val="18"/>
                  <w:szCs w:val="18"/>
                  <w:color w:val="0000FF"/>
                </w:rPr>
                <w:t>Asset Purchase Agreement, by and among National Planning Holdings, Inc., SII Investments, Inc., National Planning</w:t>
              </w:r>
            </w:hyperlink>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gridSpan w:val="3"/>
          </w:tcPr>
          <w:p>
            <w:pPr>
              <w:ind w:left="140"/>
              <w:spacing w:after="0" w:line="202" w:lineRule="exact"/>
              <w:rPr>
                <w:rFonts w:ascii="Arial" w:cs="Arial" w:eastAsia="Arial" w:hAnsi="Arial"/>
                <w:sz w:val="18"/>
                <w:szCs w:val="18"/>
                <w:color w:val="0000FF"/>
                <w:w w:val="99"/>
              </w:rPr>
            </w:pPr>
            <w:hyperlink r:id="rId14">
              <w:r>
                <w:rPr>
                  <w:rFonts w:ascii="Arial" w:cs="Arial" w:eastAsia="Arial" w:hAnsi="Arial"/>
                  <w:sz w:val="18"/>
                  <w:szCs w:val="18"/>
                  <w:color w:val="0000FF"/>
                  <w:w w:val="99"/>
                </w:rPr>
                <w:t>Corporation, IFC Holdings, Inc., Investment Centers of America, Inc., LPL Financial LLC and Brooke Holdings LLC, dated as</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4">
              <w:r>
                <w:rPr>
                  <w:rFonts w:ascii="Arial" w:cs="Arial" w:eastAsia="Arial" w:hAnsi="Arial"/>
                  <w:sz w:val="18"/>
                  <w:szCs w:val="18"/>
                  <w:color w:val="0000FF"/>
                </w:rPr>
                <w:t>of August 15, 2017. (1)</w:t>
              </w:r>
            </w:hyperlink>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15">
              <w:r>
                <w:rPr>
                  <w:rFonts w:ascii="Arial" w:cs="Arial" w:eastAsia="Arial" w:hAnsi="Arial"/>
                  <w:sz w:val="18"/>
                  <w:szCs w:val="18"/>
                  <w:color w:val="0000FF"/>
                </w:rPr>
                <w:t xml:space="preserve">Amended and Restated Certificate of Incorporation of LPL Investment Holdings Inc., dated November 23, 2010. </w:t>
              </w:r>
            </w:hyperlink>
            <w:r>
              <w:rPr>
                <w:rFonts w:ascii="Arial" w:cs="Arial" w:eastAsia="Arial" w:hAnsi="Arial"/>
                <w:sz w:val="18"/>
                <w:szCs w:val="18"/>
                <w:color w:val="0000FF"/>
              </w:rPr>
              <w:t>(2)</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6">
              <w:r>
                <w:rPr>
                  <w:rFonts w:ascii="Arial" w:cs="Arial" w:eastAsia="Arial" w:hAnsi="Arial"/>
                  <w:sz w:val="18"/>
                  <w:szCs w:val="18"/>
                  <w:color w:val="0000FF"/>
                </w:rPr>
                <w:t>Certificate of Ownership and Merger Merging LPL Financial Holdings Inc. with and into LPL Investment Holdings Inc., dated</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6">
              <w:r>
                <w:rPr>
                  <w:rFonts w:ascii="Arial" w:cs="Arial" w:eastAsia="Arial" w:hAnsi="Arial"/>
                  <w:sz w:val="18"/>
                  <w:szCs w:val="18"/>
                  <w:color w:val="0000FF"/>
                </w:rPr>
                <w:t>June 14, 2012. (3)</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7">
              <w:r>
                <w:rPr>
                  <w:rFonts w:ascii="Arial" w:cs="Arial" w:eastAsia="Arial" w:hAnsi="Arial"/>
                  <w:sz w:val="18"/>
                  <w:szCs w:val="18"/>
                  <w:color w:val="0000FF"/>
                </w:rPr>
                <w:t>Certificate of Amendment to the Amended and Restated Certificate of Incorporation of LPL Financial Holdings Inc., dated</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7">
              <w:r>
                <w:rPr>
                  <w:rFonts w:ascii="Arial" w:cs="Arial" w:eastAsia="Arial" w:hAnsi="Arial"/>
                  <w:sz w:val="18"/>
                  <w:szCs w:val="18"/>
                  <w:color w:val="0000FF"/>
                </w:rPr>
                <w:t>May 8, 2014. (4)</w:t>
              </w:r>
            </w:hyperlink>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18">
              <w:r>
                <w:rPr>
                  <w:rFonts w:ascii="Arial" w:cs="Arial" w:eastAsia="Arial" w:hAnsi="Arial"/>
                  <w:sz w:val="18"/>
                  <w:szCs w:val="18"/>
                  <w:color w:val="0000FF"/>
                </w:rPr>
                <w:t xml:space="preserve">Fifth Amended and Restated Bylaws of LPL Financial Holdings Inc. </w:t>
              </w:r>
            </w:hyperlink>
            <w:r>
              <w:rPr>
                <w:rFonts w:ascii="Arial" w:cs="Arial" w:eastAsia="Arial" w:hAnsi="Arial"/>
                <w:sz w:val="18"/>
                <w:szCs w:val="18"/>
                <w:color w:val="0000FF"/>
              </w:rPr>
              <w:t>(5)</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9">
              <w:r>
                <w:rPr>
                  <w:rFonts w:ascii="Arial" w:cs="Arial" w:eastAsia="Arial" w:hAnsi="Arial"/>
                  <w:sz w:val="18"/>
                  <w:szCs w:val="18"/>
                  <w:color w:val="0000FF"/>
                </w:rPr>
                <w:t>Indenture, dated as of March 10, 2017, by and among LPL Holdings, Inc., the Guarantors listed thereto and U.S. Bank</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9">
              <w:r>
                <w:rPr>
                  <w:rFonts w:ascii="Arial" w:cs="Arial" w:eastAsia="Arial" w:hAnsi="Arial"/>
                  <w:sz w:val="18"/>
                  <w:szCs w:val="18"/>
                  <w:color w:val="0000FF"/>
                </w:rPr>
                <w:t>National Association, as Trustee. (6)</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20">
              <w:r>
                <w:rPr>
                  <w:rFonts w:ascii="Arial" w:cs="Arial" w:eastAsia="Arial" w:hAnsi="Arial"/>
                  <w:sz w:val="18"/>
                  <w:szCs w:val="18"/>
                  <w:color w:val="0000FF"/>
                </w:rPr>
                <w:t>First Supplemental Indenture, dated as of September 21, 2017, among LPL Holdings, Inc., certain subsidiaries of the</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0">
              <w:r>
                <w:rPr>
                  <w:rFonts w:ascii="Arial" w:cs="Arial" w:eastAsia="Arial" w:hAnsi="Arial"/>
                  <w:sz w:val="18"/>
                  <w:szCs w:val="18"/>
                  <w:color w:val="0000FF"/>
                </w:rPr>
                <w:t>Company as Guarantors and U.S. Bank National Association, as Trustee</w:t>
              </w:r>
              <w:r>
                <w:rPr>
                  <w:rFonts w:ascii="Arial" w:cs="Arial" w:eastAsia="Arial" w:hAnsi="Arial"/>
                  <w:sz w:val="18"/>
                  <w:szCs w:val="18"/>
                  <w:color w:val="000000"/>
                </w:rPr>
                <w:t>.</w:t>
              </w:r>
              <w:r>
                <w:rPr>
                  <w:rFonts w:ascii="Arial" w:cs="Arial" w:eastAsia="Arial" w:hAnsi="Arial"/>
                  <w:sz w:val="18"/>
                  <w:szCs w:val="18"/>
                  <w:color w:val="0000FF"/>
                </w:rPr>
                <w:t xml:space="preserve"> (7)</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21">
              <w:r>
                <w:rPr>
                  <w:rFonts w:ascii="Arial" w:cs="Arial" w:eastAsia="Arial" w:hAnsi="Arial"/>
                  <w:sz w:val="18"/>
                  <w:szCs w:val="18"/>
                  <w:color w:val="0000FF"/>
                </w:rPr>
                <w:t>Indenture, dated as of November 12, 2019, among LPL Holdings, U.S. Bank National Association, as trustee, and certain</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1">
              <w:r>
                <w:rPr>
                  <w:rFonts w:ascii="Arial" w:cs="Arial" w:eastAsia="Arial" w:hAnsi="Arial"/>
                  <w:sz w:val="18"/>
                  <w:szCs w:val="18"/>
                  <w:color w:val="0000FF"/>
                </w:rPr>
                <w:t>subsidiaries of LPL Holdings, as guarantors. (8)</w:t>
              </w:r>
            </w:hyperlink>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w:anchor="page104">
              <w:r>
                <w:rPr>
                  <w:rFonts w:ascii="Arial" w:cs="Arial" w:eastAsia="Arial" w:hAnsi="Arial"/>
                  <w:sz w:val="18"/>
                  <w:szCs w:val="18"/>
                  <w:color w:val="0000FF"/>
                </w:rPr>
                <w:t>Description of Registrant’s Securities.*</w:t>
              </w:r>
            </w:hyperlink>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2">
              <w:r>
                <w:rPr>
                  <w:rFonts w:ascii="Arial" w:cs="Arial" w:eastAsia="Arial" w:hAnsi="Arial"/>
                  <w:sz w:val="18"/>
                  <w:szCs w:val="18"/>
                  <w:color w:val="0000FF"/>
                </w:rPr>
                <w:t xml:space="preserve">Form of Indemnification Agreement. </w:t>
              </w:r>
            </w:hyperlink>
            <w:r>
              <w:rPr>
                <w:rFonts w:ascii="Arial" w:cs="Arial" w:eastAsia="Arial" w:hAnsi="Arial"/>
                <w:sz w:val="18"/>
                <w:szCs w:val="18"/>
                <w:color w:val="0000FF"/>
              </w:rPr>
              <w:t>(2)</w:t>
            </w:r>
          </w:p>
        </w:tc>
      </w:tr>
      <w:tr>
        <w:trPr>
          <w:trHeight w:val="270"/>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0020" w:type="dxa"/>
            <w:vAlign w:val="bottom"/>
            <w:gridSpan w:val="3"/>
          </w:tcPr>
          <w:p>
            <w:pPr>
              <w:ind w:left="140"/>
              <w:spacing w:after="0"/>
              <w:rPr>
                <w:rFonts w:ascii="Arial" w:cs="Arial" w:eastAsia="Arial" w:hAnsi="Arial"/>
                <w:sz w:val="18"/>
                <w:szCs w:val="18"/>
                <w:color w:val="0000FF"/>
              </w:rPr>
            </w:pPr>
            <w:hyperlink r:id="rId23">
              <w:r>
                <w:rPr>
                  <w:rFonts w:ascii="Arial" w:cs="Arial" w:eastAsia="Arial" w:hAnsi="Arial"/>
                  <w:sz w:val="18"/>
                  <w:szCs w:val="18"/>
                  <w:color w:val="0000FF"/>
                </w:rPr>
                <w:t xml:space="preserve">LPL Investment Holdings Inc. 2010 Omnibus Equity Incentive Plan. </w:t>
              </w:r>
            </w:hyperlink>
            <w:r>
              <w:rPr>
                <w:rFonts w:ascii="Arial" w:cs="Arial" w:eastAsia="Arial" w:hAnsi="Arial"/>
                <w:sz w:val="18"/>
                <w:szCs w:val="18"/>
                <w:color w:val="0000FF"/>
              </w:rPr>
              <w:t>(2)</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4">
              <w:r>
                <w:rPr>
                  <w:rFonts w:ascii="Arial" w:cs="Arial" w:eastAsia="Arial" w:hAnsi="Arial"/>
                  <w:sz w:val="18"/>
                  <w:szCs w:val="18"/>
                  <w:color w:val="0000FF"/>
                </w:rPr>
                <w:t>Form of Senior Management Stock Option Award granted under the LPL Investment Holdings Inc. 2010 Omnibus Equity</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4">
              <w:r>
                <w:rPr>
                  <w:rFonts w:ascii="Arial" w:cs="Arial" w:eastAsia="Arial" w:hAnsi="Arial"/>
                  <w:sz w:val="18"/>
                  <w:szCs w:val="18"/>
                  <w:color w:val="0000FF"/>
                </w:rPr>
                <w:t>Incentive Plan. (9)</w:t>
              </w:r>
            </w:hyperlink>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5">
              <w:r>
                <w:rPr>
                  <w:rFonts w:ascii="Arial" w:cs="Arial" w:eastAsia="Arial" w:hAnsi="Arial"/>
                  <w:sz w:val="18"/>
                  <w:szCs w:val="18"/>
                  <w:color w:val="0000FF"/>
                </w:rPr>
                <w:t>Form of Employee Stock Option Award granted under the LPL Financial Holdings Inc. Amended and Restated 2010</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5">
              <w:r>
                <w:rPr>
                  <w:rFonts w:ascii="Arial" w:cs="Arial" w:eastAsia="Arial" w:hAnsi="Arial"/>
                  <w:sz w:val="18"/>
                  <w:szCs w:val="18"/>
                  <w:color w:val="0000FF"/>
                </w:rPr>
                <w:t>Omnibus Equity Incentive Plan</w:t>
              </w:r>
              <w:r>
                <w:rPr>
                  <w:rFonts w:ascii="Arial" w:cs="Arial" w:eastAsia="Arial" w:hAnsi="Arial"/>
                  <w:sz w:val="18"/>
                  <w:szCs w:val="18"/>
                  <w:color w:val="000000"/>
                </w:rPr>
                <w:t>.</w:t>
              </w:r>
              <w:r>
                <w:rPr>
                  <w:rFonts w:ascii="Arial" w:cs="Arial" w:eastAsia="Arial" w:hAnsi="Arial"/>
                  <w:sz w:val="18"/>
                  <w:szCs w:val="18"/>
                  <w:color w:val="0000FF"/>
                </w:rPr>
                <w:t xml:space="preserve"> (10)</w:t>
              </w:r>
            </w:hyperlink>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6">
              <w:r>
                <w:rPr>
                  <w:rFonts w:ascii="Arial" w:cs="Arial" w:eastAsia="Arial" w:hAnsi="Arial"/>
                  <w:sz w:val="18"/>
                  <w:szCs w:val="18"/>
                  <w:color w:val="0000FF"/>
                </w:rPr>
                <w:t>Form of Employee Restricted Stock Unit Award granted under the LPL Financial Holdings Inc. Amended and Restated 2010</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6">
              <w:r>
                <w:rPr>
                  <w:rFonts w:ascii="Arial" w:cs="Arial" w:eastAsia="Arial" w:hAnsi="Arial"/>
                  <w:sz w:val="18"/>
                  <w:szCs w:val="18"/>
                  <w:color w:val="0000FF"/>
                </w:rPr>
                <w:t>Omnibus Equity Incentive Plan</w:t>
              </w:r>
              <w:r>
                <w:rPr>
                  <w:rFonts w:ascii="Arial" w:cs="Arial" w:eastAsia="Arial" w:hAnsi="Arial"/>
                  <w:sz w:val="18"/>
                  <w:szCs w:val="18"/>
                  <w:color w:val="000000"/>
                </w:rPr>
                <w:t>.</w:t>
              </w:r>
              <w:r>
                <w:rPr>
                  <w:rFonts w:ascii="Arial" w:cs="Arial" w:eastAsia="Arial" w:hAnsi="Arial"/>
                  <w:sz w:val="18"/>
                  <w:szCs w:val="18"/>
                  <w:color w:val="0000FF"/>
                </w:rPr>
                <w:t xml:space="preserve"> (10)</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27">
              <w:r>
                <w:rPr>
                  <w:rFonts w:ascii="Arial" w:cs="Arial" w:eastAsia="Arial" w:hAnsi="Arial"/>
                  <w:sz w:val="18"/>
                  <w:szCs w:val="18"/>
                  <w:color w:val="0000FF"/>
                </w:rPr>
                <w:t>Form of Employee Performance Stock Unit Award granted under the LPL Financial Holdings Inc. Amended and Restated</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7">
              <w:r>
                <w:rPr>
                  <w:rFonts w:ascii="Arial" w:cs="Arial" w:eastAsia="Arial" w:hAnsi="Arial"/>
                  <w:sz w:val="18"/>
                  <w:szCs w:val="18"/>
                  <w:color w:val="0000FF"/>
                </w:rPr>
                <w:t>2010 Omnibus Equity Incentive Plan</w:t>
              </w:r>
              <w:r>
                <w:rPr>
                  <w:rFonts w:ascii="Arial" w:cs="Arial" w:eastAsia="Arial" w:hAnsi="Arial"/>
                  <w:sz w:val="18"/>
                  <w:szCs w:val="18"/>
                  <w:color w:val="000000"/>
                </w:rPr>
                <w:t>.</w:t>
              </w:r>
              <w:r>
                <w:rPr>
                  <w:rFonts w:ascii="Arial" w:cs="Arial" w:eastAsia="Arial" w:hAnsi="Arial"/>
                  <w:sz w:val="18"/>
                  <w:szCs w:val="18"/>
                  <w:color w:val="0000FF"/>
                </w:rPr>
                <w:t xml:space="preserve"> (10)</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28">
              <w:r>
                <w:rPr>
                  <w:rFonts w:ascii="Arial" w:cs="Arial" w:eastAsia="Arial" w:hAnsi="Arial"/>
                  <w:sz w:val="18"/>
                  <w:szCs w:val="18"/>
                  <w:color w:val="0000FF"/>
                </w:rPr>
                <w:t>Form of Employee Stock Option Award granted under the LPL Financial Holdings Inc. Amended and Restated 2010</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8">
              <w:r>
                <w:rPr>
                  <w:rFonts w:ascii="Arial" w:cs="Arial" w:eastAsia="Arial" w:hAnsi="Arial"/>
                  <w:sz w:val="18"/>
                  <w:szCs w:val="18"/>
                  <w:color w:val="0000FF"/>
                </w:rPr>
                <w:t>Omnibus Equity Incentive Plan (11)</w:t>
              </w:r>
            </w:hyperlink>
          </w:p>
        </w:tc>
      </w:tr>
      <w:tr>
        <w:trPr>
          <w:trHeight w:val="445"/>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20" w:type="dxa"/>
            <w:vAlign w:val="bottom"/>
            <w:gridSpan w:val="3"/>
          </w:tcPr>
          <w:p>
            <w:pPr>
              <w:ind w:left="140"/>
              <w:spacing w:after="0"/>
              <w:rPr>
                <w:rFonts w:ascii="Arial" w:cs="Arial" w:eastAsia="Arial" w:hAnsi="Arial"/>
                <w:sz w:val="18"/>
                <w:szCs w:val="18"/>
                <w:color w:val="0000FF"/>
              </w:rPr>
            </w:pPr>
            <w:hyperlink r:id="rId29">
              <w:r>
                <w:rPr>
                  <w:rFonts w:ascii="Arial" w:cs="Arial" w:eastAsia="Arial" w:hAnsi="Arial"/>
                  <w:sz w:val="18"/>
                  <w:szCs w:val="18"/>
                  <w:color w:val="0000FF"/>
                </w:rPr>
                <w:t>Form of Employee Restricted Stock Unit Award granted under the LPL Financial Holdings Inc. Amended and Restated 2010</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9">
              <w:r>
                <w:rPr>
                  <w:rFonts w:ascii="Arial" w:cs="Arial" w:eastAsia="Arial" w:hAnsi="Arial"/>
                  <w:sz w:val="18"/>
                  <w:szCs w:val="18"/>
                  <w:color w:val="0000FF"/>
                </w:rPr>
                <w:t>Omnibus Equity Incentive Plan (11)</w:t>
              </w:r>
            </w:hyperlink>
          </w:p>
        </w:tc>
      </w:tr>
      <w:tr>
        <w:trPr>
          <w:trHeight w:val="458"/>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20" w:type="dxa"/>
            <w:vAlign w:val="bottom"/>
            <w:gridSpan w:val="3"/>
          </w:tcPr>
          <w:p>
            <w:pPr>
              <w:ind w:left="140"/>
              <w:spacing w:after="0"/>
              <w:rPr>
                <w:rFonts w:ascii="Arial" w:cs="Arial" w:eastAsia="Arial" w:hAnsi="Arial"/>
                <w:sz w:val="18"/>
                <w:szCs w:val="18"/>
                <w:color w:val="0000FF"/>
              </w:rPr>
            </w:pPr>
            <w:hyperlink r:id="rId30">
              <w:r>
                <w:rPr>
                  <w:rFonts w:ascii="Arial" w:cs="Arial" w:eastAsia="Arial" w:hAnsi="Arial"/>
                  <w:sz w:val="18"/>
                  <w:szCs w:val="18"/>
                  <w:color w:val="0000FF"/>
                </w:rPr>
                <w:t>Form of Advisor Restricted Stock Unit Award granted under the LPL Financial Holdings Inc. 2010 Omnibus Equity Incentive</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30">
              <w:r>
                <w:rPr>
                  <w:rFonts w:ascii="Arial" w:cs="Arial" w:eastAsia="Arial" w:hAnsi="Arial"/>
                  <w:sz w:val="18"/>
                  <w:szCs w:val="18"/>
                  <w:color w:val="0000FF"/>
                </w:rPr>
                <w:t>Plan. (11)</w:t>
              </w:r>
            </w:hyperlink>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10.10</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31">
              <w:r>
                <w:rPr>
                  <w:rFonts w:ascii="Arial" w:cs="Arial" w:eastAsia="Arial" w:hAnsi="Arial"/>
                  <w:sz w:val="18"/>
                  <w:szCs w:val="18"/>
                  <w:color w:val="0000FF"/>
                </w:rPr>
                <w:t>Form of Financial Institution Restricted Stock Unit Award granted under the LPL Financial Holdings Inc. 2010 Omnibus</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31">
              <w:r>
                <w:rPr>
                  <w:rFonts w:ascii="Arial" w:cs="Arial" w:eastAsia="Arial" w:hAnsi="Arial"/>
                  <w:sz w:val="18"/>
                  <w:szCs w:val="18"/>
                  <w:color w:val="0000FF"/>
                </w:rPr>
                <w:t>Equity Incentive Plan. (11)</w:t>
              </w:r>
            </w:hyperlink>
          </w:p>
        </w:tc>
      </w:tr>
    </w:tbl>
    <w:p>
      <w:pPr>
        <w:spacing w:after="0" w:line="40" w:lineRule="exact"/>
        <w:rPr>
          <w:sz w:val="20"/>
          <w:szCs w:val="20"/>
          <w:color w:val="auto"/>
        </w:rPr>
      </w:pPr>
    </w:p>
    <w:p>
      <w:pPr>
        <w:sectPr>
          <w:pgSz w:w="11900" w:h="16838" w:orient="portrait"/>
          <w:cols w:equalWidth="0" w:num="1">
            <w:col w:w="11300"/>
          </w:cols>
          <w:pgMar w:left="240" w:top="140" w:right="359" w:bottom="1440" w:gutter="0" w:footer="0" w:header="0"/>
        </w:sectPr>
      </w:pPr>
    </w:p>
    <w:p>
      <w:pPr>
        <w:ind w:left="480"/>
        <w:spacing w:after="0"/>
        <w:rPr>
          <w:sz w:val="20"/>
          <w:szCs w:val="20"/>
          <w:color w:val="auto"/>
        </w:rPr>
      </w:pPr>
      <w:r>
        <w:rPr>
          <w:rFonts w:ascii="Arial" w:cs="Arial" w:eastAsia="Arial" w:hAnsi="Arial"/>
          <w:sz w:val="17"/>
          <w:szCs w:val="17"/>
          <w:color w:val="auto"/>
        </w:rPr>
        <w:t>10.11</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10.12</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10.13</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10.14</w:t>
      </w:r>
    </w:p>
    <w:p>
      <w:pPr>
        <w:spacing w:after="0" w:line="20" w:lineRule="exact"/>
        <w:rPr>
          <w:sz w:val="20"/>
          <w:szCs w:val="20"/>
          <w:color w:val="auto"/>
        </w:rPr>
      </w:pPr>
      <w:r>
        <w:rPr>
          <w:sz w:val="20"/>
          <w:szCs w:val="20"/>
          <w:color w:val="auto"/>
        </w:rPr>
        <w:br w:type="column"/>
      </w:r>
    </w:p>
    <w:p>
      <w:pPr>
        <w:ind w:right="1980"/>
        <w:spacing w:after="0" w:line="313" w:lineRule="auto"/>
        <w:rPr>
          <w:rFonts w:ascii="Arial" w:cs="Arial" w:eastAsia="Arial" w:hAnsi="Arial"/>
          <w:sz w:val="18"/>
          <w:szCs w:val="18"/>
          <w:color w:val="0000FF"/>
        </w:rPr>
      </w:pPr>
      <w:hyperlink r:id="rId32">
        <w:r>
          <w:rPr>
            <w:rFonts w:ascii="Arial" w:cs="Arial" w:eastAsia="Arial" w:hAnsi="Arial"/>
            <w:sz w:val="18"/>
            <w:szCs w:val="18"/>
            <w:color w:val="0000FF"/>
          </w:rPr>
          <w:t xml:space="preserve">Amended and Restated LPL Financial Holdings Inc. 2010 Omnibus Equity Incentive Plan. </w:t>
        </w:r>
      </w:hyperlink>
      <w:r>
        <w:rPr>
          <w:rFonts w:ascii="Arial" w:cs="Arial" w:eastAsia="Arial" w:hAnsi="Arial"/>
          <w:sz w:val="18"/>
          <w:szCs w:val="18"/>
          <w:color w:val="0000FF"/>
        </w:rPr>
        <w:t xml:space="preserve">(12) </w:t>
      </w:r>
      <w:hyperlink r:id="rId33">
        <w:r>
          <w:rPr>
            <w:rFonts w:ascii="Arial" w:cs="Arial" w:eastAsia="Arial" w:hAnsi="Arial"/>
            <w:sz w:val="18"/>
            <w:szCs w:val="18"/>
            <w:color w:val="0000FF"/>
          </w:rPr>
          <w:t xml:space="preserve">LPL Financial LLC Executive Severance Plan, amended and restated as of February 23, 2017. </w:t>
        </w:r>
      </w:hyperlink>
      <w:r>
        <w:rPr>
          <w:rFonts w:ascii="Arial" w:cs="Arial" w:eastAsia="Arial" w:hAnsi="Arial"/>
          <w:sz w:val="18"/>
          <w:szCs w:val="18"/>
          <w:color w:val="0000FF"/>
        </w:rPr>
        <w:t xml:space="preserve">(10) </w:t>
      </w:r>
      <w:hyperlink w:anchor="page107">
        <w:r>
          <w:rPr>
            <w:rFonts w:ascii="Arial" w:cs="Arial" w:eastAsia="Arial" w:hAnsi="Arial"/>
            <w:sz w:val="18"/>
            <w:szCs w:val="18"/>
            <w:color w:val="0000FF"/>
          </w:rPr>
          <w:t>LPL Financial Holdings Inc. Non-Employee Director Compensation Policy.*</w:t>
        </w:r>
      </w:hyperlink>
    </w:p>
    <w:p>
      <w:pPr>
        <w:spacing w:after="0"/>
        <w:rPr>
          <w:rFonts w:ascii="Arial" w:cs="Arial" w:eastAsia="Arial" w:hAnsi="Arial"/>
          <w:sz w:val="18"/>
          <w:szCs w:val="18"/>
          <w:color w:val="0000FF"/>
        </w:rPr>
      </w:pPr>
      <w:hyperlink r:id="rId34">
        <w:r>
          <w:rPr>
            <w:rFonts w:ascii="Arial" w:cs="Arial" w:eastAsia="Arial" w:hAnsi="Arial"/>
            <w:sz w:val="18"/>
            <w:szCs w:val="18"/>
            <w:color w:val="0000FF"/>
          </w:rPr>
          <w:t xml:space="preserve">LPL Financial Holdings Inc. Non-Employee Director Deferred Compensation Plan. </w:t>
        </w:r>
      </w:hyperlink>
      <w:r>
        <w:rPr>
          <w:rFonts w:ascii="Arial" w:cs="Arial" w:eastAsia="Arial" w:hAnsi="Arial"/>
          <w:sz w:val="18"/>
          <w:szCs w:val="18"/>
          <w:color w:val="0000FF"/>
        </w:rPr>
        <w:t>(13)</w:t>
      </w:r>
    </w:p>
    <w:p>
      <w:pPr>
        <w:spacing w:after="0" w:line="50" w:lineRule="exact"/>
        <w:rPr>
          <w:rFonts w:ascii="Arial" w:cs="Arial" w:eastAsia="Arial" w:hAnsi="Arial"/>
          <w:sz w:val="18"/>
          <w:szCs w:val="18"/>
          <w:color w:val="0000FF"/>
        </w:rPr>
      </w:pPr>
    </w:p>
    <w:p>
      <w:pPr>
        <w:sectPr>
          <w:pgSz w:w="11900" w:h="16838" w:orient="portrait"/>
          <w:cols w:equalWidth="0" w:num="2">
            <w:col w:w="920" w:space="500"/>
            <w:col w:w="9880"/>
          </w:cols>
          <w:pgMar w:left="240" w:top="140" w:right="359" w:bottom="1440" w:gutter="0" w:footer="0" w:header="0"/>
          <w:type w:val="continuous"/>
        </w:sectPr>
      </w:pPr>
    </w:p>
    <w:p>
      <w:pPr>
        <w:jc w:val="both"/>
        <w:ind w:left="1420" w:right="20" w:hanging="940"/>
        <w:spacing w:after="0"/>
        <w:tabs>
          <w:tab w:leader="none" w:pos="140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35">
        <w:r>
          <w:rPr>
            <w:rFonts w:ascii="Arial" w:cs="Arial" w:eastAsia="Arial" w:hAnsi="Arial"/>
            <w:sz w:val="18"/>
            <w:szCs w:val="18"/>
            <w:color w:val="0000FF"/>
          </w:rPr>
          <w:t>Credit Agreement, dated as of March 29, 2012, by and among LPL Investment Holdings Inc., LPL Holdings, Inc., the several</w:t>
        </w:r>
      </w:hyperlink>
      <w:r>
        <w:rPr>
          <w:rFonts w:ascii="Arial" w:cs="Arial" w:eastAsia="Arial" w:hAnsi="Arial"/>
          <w:sz w:val="18"/>
          <w:szCs w:val="18"/>
          <w:color w:val="0000FF"/>
        </w:rPr>
        <w:t xml:space="preserve"> </w:t>
      </w:r>
      <w:hyperlink r:id="rId35">
        <w:r>
          <w:rPr>
            <w:rFonts w:ascii="Arial" w:cs="Arial" w:eastAsia="Arial" w:hAnsi="Arial"/>
            <w:sz w:val="18"/>
            <w:szCs w:val="18"/>
            <w:color w:val="0000FF"/>
          </w:rPr>
          <w:t>lenders from time to time party thereto, and Bank of America, N.A. as Administrative Agent Collateral Agent, Letter of Credit</w:t>
        </w:r>
      </w:hyperlink>
      <w:r>
        <w:rPr>
          <w:rFonts w:ascii="Arial" w:cs="Arial" w:eastAsia="Arial" w:hAnsi="Arial"/>
          <w:sz w:val="18"/>
          <w:szCs w:val="18"/>
          <w:color w:val="0000FF"/>
        </w:rPr>
        <w:t xml:space="preserve"> </w:t>
      </w:r>
      <w:hyperlink r:id="rId35">
        <w:r>
          <w:rPr>
            <w:rFonts w:ascii="Arial" w:cs="Arial" w:eastAsia="Arial" w:hAnsi="Arial"/>
            <w:sz w:val="18"/>
            <w:szCs w:val="18"/>
            <w:color w:val="0000FF"/>
          </w:rPr>
          <w:t>Issuer, and Swingline Lender. (14)</w:t>
        </w:r>
      </w:hyperlink>
    </w:p>
    <w:p>
      <w:pPr>
        <w:spacing w:after="0" w:line="243" w:lineRule="exact"/>
        <w:rPr>
          <w:rFonts w:ascii="Arial" w:cs="Arial" w:eastAsia="Arial" w:hAnsi="Arial"/>
          <w:sz w:val="18"/>
          <w:szCs w:val="18"/>
          <w:color w:val="0000FF"/>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140" w:right="359" w:bottom="1440" w:gutter="0" w:footer="0" w:header="0"/>
          <w:type w:val="continuous"/>
        </w:sectPr>
      </w:pPr>
    </w:p>
    <w:bookmarkStart w:id="60" w:name="page61"/>
    <w:bookmarkEnd w:id="60"/>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64" w:lineRule="exact"/>
        <w:rPr>
          <w:sz w:val="20"/>
          <w:szCs w:val="20"/>
          <w:color w:val="auto"/>
        </w:rPr>
      </w:pPr>
    </w:p>
    <w:p>
      <w:pPr>
        <w:ind w:left="220"/>
        <w:spacing w:after="0"/>
        <w:tabs>
          <w:tab w:leader="none" w:pos="54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 of Exhibit</w:t>
      </w:r>
    </w:p>
    <w:p>
      <w:pPr>
        <w:spacing w:after="0" w:line="99" w:lineRule="exact"/>
        <w:rPr>
          <w:sz w:val="20"/>
          <w:szCs w:val="20"/>
          <w:color w:val="auto"/>
        </w:rPr>
      </w:pPr>
    </w:p>
    <w:p>
      <w:pPr>
        <w:ind w:left="1420" w:hanging="940"/>
        <w:spacing w:after="0"/>
        <w:tabs>
          <w:tab w:leader="none" w:pos="14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36">
        <w:r>
          <w:rPr>
            <w:rFonts w:ascii="Arial" w:cs="Arial" w:eastAsia="Arial" w:hAnsi="Arial"/>
            <w:sz w:val="18"/>
            <w:szCs w:val="18"/>
            <w:color w:val="0000FF"/>
          </w:rPr>
          <w:t>First Amendment and Incremental Assumption Agreement, dated as of May 13, 2013, by and among LPL Financial Holdings</w:t>
        </w:r>
      </w:hyperlink>
      <w:r>
        <w:rPr>
          <w:rFonts w:ascii="Arial" w:cs="Arial" w:eastAsia="Arial" w:hAnsi="Arial"/>
          <w:sz w:val="18"/>
          <w:szCs w:val="18"/>
          <w:color w:val="0000FF"/>
        </w:rPr>
        <w:t xml:space="preserve"> </w:t>
      </w:r>
      <w:hyperlink r:id="rId36">
        <w:r>
          <w:rPr>
            <w:rFonts w:ascii="Arial" w:cs="Arial" w:eastAsia="Arial" w:hAnsi="Arial"/>
            <w:sz w:val="18"/>
            <w:szCs w:val="18"/>
            <w:color w:val="0000FF"/>
          </w:rPr>
          <w:t>Inc., LPL Holdings, Inc., certain subsidiaries of the Company, as Guarantors, the several lenders from time to time party</w:t>
        </w:r>
      </w:hyperlink>
      <w:r>
        <w:rPr>
          <w:rFonts w:ascii="Arial" w:cs="Arial" w:eastAsia="Arial" w:hAnsi="Arial"/>
          <w:sz w:val="18"/>
          <w:szCs w:val="18"/>
          <w:color w:val="0000FF"/>
        </w:rPr>
        <w:t xml:space="preserve"> </w:t>
      </w:r>
      <w:hyperlink r:id="rId36">
        <w:r>
          <w:rPr>
            <w:rFonts w:ascii="Arial" w:cs="Arial" w:eastAsia="Arial" w:hAnsi="Arial"/>
            <w:sz w:val="18"/>
            <w:szCs w:val="18"/>
            <w:color w:val="0000FF"/>
          </w:rPr>
          <w:t>thereto, and Bank of America, N.A. as Administrative Agent. (15)</w:t>
        </w:r>
      </w:hyperlink>
    </w:p>
    <w:p>
      <w:pPr>
        <w:spacing w:after="0" w:line="54" w:lineRule="exact"/>
        <w:rPr>
          <w:rFonts w:ascii="Arial" w:cs="Arial" w:eastAsia="Arial" w:hAnsi="Arial"/>
          <w:sz w:val="18"/>
          <w:szCs w:val="18"/>
          <w:color w:val="0000FF"/>
        </w:rPr>
      </w:pPr>
    </w:p>
    <w:p>
      <w:pPr>
        <w:ind w:left="1420" w:right="100" w:hanging="940"/>
        <w:spacing w:after="0" w:line="239"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37">
        <w:r>
          <w:rPr>
            <w:rFonts w:ascii="Arial" w:cs="Arial" w:eastAsia="Arial" w:hAnsi="Arial"/>
            <w:sz w:val="18"/>
            <w:szCs w:val="18"/>
            <w:color w:val="0000FF"/>
          </w:rPr>
          <w:t>Second Amendment, Extension and Incremental Assumption Agreement, dated as of October 1, 2014, by and among LPL</w:t>
        </w:r>
      </w:hyperlink>
      <w:r>
        <w:rPr>
          <w:rFonts w:ascii="Arial" w:cs="Arial" w:eastAsia="Arial" w:hAnsi="Arial"/>
          <w:sz w:val="18"/>
          <w:szCs w:val="18"/>
          <w:color w:val="0000FF"/>
        </w:rPr>
        <w:t xml:space="preserve"> </w:t>
      </w:r>
      <w:hyperlink r:id="rId37">
        <w:r>
          <w:rPr>
            <w:rFonts w:ascii="Arial" w:cs="Arial" w:eastAsia="Arial" w:hAnsi="Arial"/>
            <w:sz w:val="18"/>
            <w:szCs w:val="18"/>
            <w:color w:val="0000FF"/>
          </w:rPr>
          <w:t>Financial Holdings Inc., LPL Holdings, Inc., certain subsidiaries of the Company as Guarantors, the lenders and additional</w:t>
        </w:r>
      </w:hyperlink>
      <w:r>
        <w:rPr>
          <w:rFonts w:ascii="Arial" w:cs="Arial" w:eastAsia="Arial" w:hAnsi="Arial"/>
          <w:sz w:val="18"/>
          <w:szCs w:val="18"/>
          <w:color w:val="0000FF"/>
        </w:rPr>
        <w:t xml:space="preserve"> </w:t>
      </w:r>
      <w:hyperlink r:id="rId37">
        <w:r>
          <w:rPr>
            <w:rFonts w:ascii="Arial" w:cs="Arial" w:eastAsia="Arial" w:hAnsi="Arial"/>
            <w:sz w:val="18"/>
            <w:szCs w:val="18"/>
            <w:color w:val="0000FF"/>
          </w:rPr>
          <w:t>lenders party thereto, Bank of America, N.A. as Administrative Agent and Current Agent and JP Morgan Chase Bank, N.A.,</w:t>
        </w:r>
      </w:hyperlink>
      <w:r>
        <w:rPr>
          <w:rFonts w:ascii="Arial" w:cs="Arial" w:eastAsia="Arial" w:hAnsi="Arial"/>
          <w:sz w:val="18"/>
          <w:szCs w:val="18"/>
          <w:color w:val="0000FF"/>
        </w:rPr>
        <w:t xml:space="preserve"> </w:t>
      </w:r>
      <w:hyperlink r:id="rId37">
        <w:r>
          <w:rPr>
            <w:rFonts w:ascii="Arial" w:cs="Arial" w:eastAsia="Arial" w:hAnsi="Arial"/>
            <w:sz w:val="18"/>
            <w:szCs w:val="18"/>
            <w:color w:val="0000FF"/>
          </w:rPr>
          <w:t>as Future Agent. (16)</w:t>
        </w:r>
      </w:hyperlink>
    </w:p>
    <w:p>
      <w:pPr>
        <w:spacing w:after="0" w:line="40" w:lineRule="exact"/>
        <w:rPr>
          <w:rFonts w:ascii="Arial" w:cs="Arial" w:eastAsia="Arial" w:hAnsi="Arial"/>
          <w:sz w:val="18"/>
          <w:szCs w:val="18"/>
          <w:color w:val="0000FF"/>
        </w:rPr>
      </w:pPr>
    </w:p>
    <w:p>
      <w:pPr>
        <w:jc w:val="both"/>
        <w:ind w:left="1420" w:right="80" w:hanging="940"/>
        <w:spacing w:after="0"/>
        <w:tabs>
          <w:tab w:leader="none" w:pos="140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38">
        <w:r>
          <w:rPr>
            <w:rFonts w:ascii="Arial" w:cs="Arial" w:eastAsia="Arial" w:hAnsi="Arial"/>
            <w:sz w:val="18"/>
            <w:szCs w:val="18"/>
            <w:color w:val="0000FF"/>
          </w:rPr>
          <w:t>Third Amendment, Extension, and Incremental Assumption Agreement, dated as of November 20, 2015 by and among LPL</w:t>
        </w:r>
      </w:hyperlink>
      <w:r>
        <w:rPr>
          <w:rFonts w:ascii="Arial" w:cs="Arial" w:eastAsia="Arial" w:hAnsi="Arial"/>
          <w:sz w:val="18"/>
          <w:szCs w:val="18"/>
          <w:color w:val="0000FF"/>
        </w:rPr>
        <w:t xml:space="preserve"> </w:t>
      </w:r>
      <w:hyperlink r:id="rId38">
        <w:r>
          <w:rPr>
            <w:rFonts w:ascii="Arial" w:cs="Arial" w:eastAsia="Arial" w:hAnsi="Arial"/>
            <w:sz w:val="18"/>
            <w:szCs w:val="18"/>
            <w:color w:val="0000FF"/>
          </w:rPr>
          <w:t>Financial Holdings Inc., LPL Holdings, Inc., certain subsidiaries of the Company, as Guarantors, the lenders and additional</w:t>
        </w:r>
      </w:hyperlink>
      <w:r>
        <w:rPr>
          <w:rFonts w:ascii="Arial" w:cs="Arial" w:eastAsia="Arial" w:hAnsi="Arial"/>
          <w:sz w:val="18"/>
          <w:szCs w:val="18"/>
          <w:color w:val="0000FF"/>
        </w:rPr>
        <w:t xml:space="preserve"> </w:t>
      </w:r>
      <w:hyperlink r:id="rId38">
        <w:r>
          <w:rPr>
            <w:rFonts w:ascii="Arial" w:cs="Arial" w:eastAsia="Arial" w:hAnsi="Arial"/>
            <w:sz w:val="18"/>
            <w:szCs w:val="18"/>
            <w:color w:val="0000FF"/>
          </w:rPr>
          <w:t>lenders party thereto, and JPMorgan Chase Bank, N.A. as Administrative Agent. (13)</w:t>
        </w:r>
      </w:hyperlink>
    </w:p>
    <w:p>
      <w:pPr>
        <w:spacing w:after="0" w:line="41" w:lineRule="exact"/>
        <w:rPr>
          <w:rFonts w:ascii="Arial" w:cs="Arial" w:eastAsia="Arial" w:hAnsi="Arial"/>
          <w:sz w:val="18"/>
          <w:szCs w:val="18"/>
          <w:color w:val="0000FF"/>
        </w:rPr>
      </w:pPr>
    </w:p>
    <w:p>
      <w:pPr>
        <w:ind w:left="1420" w:right="40" w:hanging="940"/>
        <w:spacing w:after="0" w:line="239"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r:id="rId39">
        <w:r>
          <w:rPr>
            <w:rFonts w:ascii="Arial" w:cs="Arial" w:eastAsia="Arial" w:hAnsi="Arial"/>
            <w:sz w:val="18"/>
            <w:szCs w:val="18"/>
            <w:color w:val="0000FF"/>
          </w:rPr>
          <w:t>Fourth Amendment Agreement, dated as of March 10, 2017, among LPL Financial Holdings Inc., LPL Holdings, Inc., certain</w:t>
        </w:r>
      </w:hyperlink>
      <w:r>
        <w:rPr>
          <w:rFonts w:ascii="Arial" w:cs="Arial" w:eastAsia="Arial" w:hAnsi="Arial"/>
          <w:sz w:val="18"/>
          <w:szCs w:val="18"/>
          <w:color w:val="0000FF"/>
        </w:rPr>
        <w:t xml:space="preserve"> </w:t>
      </w:r>
      <w:hyperlink r:id="rId39">
        <w:r>
          <w:rPr>
            <w:rFonts w:ascii="Arial" w:cs="Arial" w:eastAsia="Arial" w:hAnsi="Arial"/>
            <w:sz w:val="18"/>
            <w:szCs w:val="18"/>
            <w:color w:val="0000FF"/>
          </w:rPr>
          <w:t>subsidiaries of the Company, as Guarantors, the lenders party thereto, JPMorgan Chase Bank, N.A., as Administrative</w:t>
        </w:r>
      </w:hyperlink>
      <w:r>
        <w:rPr>
          <w:rFonts w:ascii="Arial" w:cs="Arial" w:eastAsia="Arial" w:hAnsi="Arial"/>
          <w:sz w:val="18"/>
          <w:szCs w:val="18"/>
          <w:color w:val="0000FF"/>
        </w:rPr>
        <w:t xml:space="preserve"> </w:t>
      </w:r>
      <w:hyperlink r:id="rId39">
        <w:r>
          <w:rPr>
            <w:rFonts w:ascii="Arial" w:cs="Arial" w:eastAsia="Arial" w:hAnsi="Arial"/>
            <w:sz w:val="18"/>
            <w:szCs w:val="18"/>
            <w:color w:val="0000FF"/>
          </w:rPr>
          <w:t>Agent, Bank of America, N.A., JPMorgan Chase bank, N.A. and Morgan Stanley Bank, N.A., as Letter of Credit Issuers and</w:t>
        </w:r>
      </w:hyperlink>
      <w:r>
        <w:rPr>
          <w:rFonts w:ascii="Arial" w:cs="Arial" w:eastAsia="Arial" w:hAnsi="Arial"/>
          <w:sz w:val="18"/>
          <w:szCs w:val="18"/>
          <w:color w:val="0000FF"/>
        </w:rPr>
        <w:t xml:space="preserve"> </w:t>
      </w:r>
      <w:hyperlink r:id="rId39">
        <w:r>
          <w:rPr>
            <w:rFonts w:ascii="Arial" w:cs="Arial" w:eastAsia="Arial" w:hAnsi="Arial"/>
            <w:sz w:val="18"/>
            <w:szCs w:val="18"/>
            <w:color w:val="0000FF"/>
          </w:rPr>
          <w:t>JPMorgan Chase Bank, N.A. and Morgan Stanley Bank, N.A., as Swingline Lenders</w:t>
        </w:r>
        <w:r>
          <w:rPr>
            <w:rFonts w:ascii="Arial" w:cs="Arial" w:eastAsia="Arial" w:hAnsi="Arial"/>
            <w:sz w:val="18"/>
            <w:szCs w:val="18"/>
            <w:color w:val="000000"/>
          </w:rPr>
          <w:t>.</w:t>
        </w:r>
        <w:r>
          <w:rPr>
            <w:rFonts w:ascii="Arial" w:cs="Arial" w:eastAsia="Arial" w:hAnsi="Arial"/>
            <w:sz w:val="18"/>
            <w:szCs w:val="18"/>
            <w:color w:val="0000FF"/>
          </w:rPr>
          <w:t xml:space="preserve"> (6)</w:t>
        </w:r>
      </w:hyperlink>
    </w:p>
    <w:p>
      <w:pPr>
        <w:spacing w:after="0" w:line="40" w:lineRule="exact"/>
        <w:rPr>
          <w:rFonts w:ascii="Arial" w:cs="Arial" w:eastAsia="Arial" w:hAnsi="Arial"/>
          <w:sz w:val="18"/>
          <w:szCs w:val="18"/>
          <w:color w:val="0000FF"/>
        </w:rPr>
      </w:pPr>
    </w:p>
    <w:p>
      <w:pPr>
        <w:ind w:left="1420" w:right="2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10.20</w:t>
      </w:r>
      <w:r>
        <w:rPr>
          <w:sz w:val="20"/>
          <w:szCs w:val="20"/>
          <w:color w:val="auto"/>
        </w:rPr>
        <w:tab/>
      </w:r>
      <w:hyperlink r:id="rId40">
        <w:r>
          <w:rPr>
            <w:rFonts w:ascii="Arial" w:cs="Arial" w:eastAsia="Arial" w:hAnsi="Arial"/>
            <w:sz w:val="18"/>
            <w:szCs w:val="18"/>
            <w:color w:val="0000FF"/>
          </w:rPr>
          <w:t>Amendment Agreement, dated June 20, 2017, among LPL Holdings, Inc., LPL Financial Holdings Inc. and JPMorgan Chase</w:t>
        </w:r>
      </w:hyperlink>
      <w:r>
        <w:rPr>
          <w:rFonts w:ascii="Arial" w:cs="Arial" w:eastAsia="Arial" w:hAnsi="Arial"/>
          <w:sz w:val="18"/>
          <w:szCs w:val="18"/>
          <w:color w:val="0000FF"/>
        </w:rPr>
        <w:t xml:space="preserve"> </w:t>
      </w:r>
      <w:hyperlink r:id="rId40">
        <w:r>
          <w:rPr>
            <w:rFonts w:ascii="Arial" w:cs="Arial" w:eastAsia="Arial" w:hAnsi="Arial"/>
            <w:sz w:val="18"/>
            <w:szCs w:val="18"/>
            <w:color w:val="0000FF"/>
          </w:rPr>
          <w:t>Bank, N.A. as Administrative Agent</w:t>
        </w:r>
        <w:r>
          <w:rPr>
            <w:rFonts w:ascii="Arial" w:cs="Arial" w:eastAsia="Arial" w:hAnsi="Arial"/>
            <w:sz w:val="18"/>
            <w:szCs w:val="18"/>
            <w:color w:val="000000"/>
          </w:rPr>
          <w:t>.</w:t>
        </w:r>
        <w:r>
          <w:rPr>
            <w:rFonts w:ascii="Arial" w:cs="Arial" w:eastAsia="Arial" w:hAnsi="Arial"/>
            <w:sz w:val="18"/>
            <w:szCs w:val="18"/>
            <w:color w:val="0000FF"/>
          </w:rPr>
          <w:t xml:space="preserve"> (17)</w:t>
        </w:r>
      </w:hyperlink>
    </w:p>
    <w:p>
      <w:pPr>
        <w:spacing w:after="0" w:line="35" w:lineRule="exact"/>
        <w:rPr>
          <w:sz w:val="20"/>
          <w:szCs w:val="20"/>
          <w:color w:val="auto"/>
        </w:rPr>
      </w:pPr>
    </w:p>
    <w:p>
      <w:pPr>
        <w:ind w:left="1420" w:right="140" w:hanging="940"/>
        <w:spacing w:after="0" w:line="238"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10.21</w:t>
      </w:r>
      <w:r>
        <w:rPr>
          <w:sz w:val="20"/>
          <w:szCs w:val="20"/>
          <w:color w:val="auto"/>
        </w:rPr>
        <w:tab/>
      </w:r>
      <w:hyperlink r:id="rId41">
        <w:r>
          <w:rPr>
            <w:rFonts w:ascii="Arial" w:cs="Arial" w:eastAsia="Arial" w:hAnsi="Arial"/>
            <w:sz w:val="18"/>
            <w:szCs w:val="18"/>
            <w:color w:val="0000FF"/>
          </w:rPr>
          <w:t>Second Amendment, dated as of September 21, 2017, among LPL Financial Holdings Inc., LPL Holdings Inc., certain</w:t>
        </w:r>
      </w:hyperlink>
      <w:r>
        <w:rPr>
          <w:rFonts w:ascii="Arial" w:cs="Arial" w:eastAsia="Arial" w:hAnsi="Arial"/>
          <w:sz w:val="18"/>
          <w:szCs w:val="18"/>
          <w:color w:val="0000FF"/>
        </w:rPr>
        <w:t xml:space="preserve"> </w:t>
      </w:r>
      <w:hyperlink r:id="rId41">
        <w:r>
          <w:rPr>
            <w:rFonts w:ascii="Arial" w:cs="Arial" w:eastAsia="Arial" w:hAnsi="Arial"/>
            <w:sz w:val="18"/>
            <w:szCs w:val="18"/>
            <w:color w:val="0000FF"/>
          </w:rPr>
          <w:t>subsidiaries of the Company, as Guarantors, the incremental lenders party thereto, JPMorgan Chase Bank, N.A., as</w:t>
        </w:r>
      </w:hyperlink>
      <w:r>
        <w:rPr>
          <w:rFonts w:ascii="Arial" w:cs="Arial" w:eastAsia="Arial" w:hAnsi="Arial"/>
          <w:sz w:val="18"/>
          <w:szCs w:val="18"/>
          <w:color w:val="0000FF"/>
        </w:rPr>
        <w:t xml:space="preserve"> </w:t>
      </w:r>
      <w:hyperlink r:id="rId41">
        <w:r>
          <w:rPr>
            <w:rFonts w:ascii="Arial" w:cs="Arial" w:eastAsia="Arial" w:hAnsi="Arial"/>
            <w:sz w:val="18"/>
            <w:szCs w:val="18"/>
            <w:color w:val="0000FF"/>
          </w:rPr>
          <w:t>Administrative Agent, Bank of America, N.A., JPMorgan Chase bank, N.A. and Morgan Stanley Bank, N.A., as Letter of</w:t>
        </w:r>
      </w:hyperlink>
      <w:r>
        <w:rPr>
          <w:rFonts w:ascii="Arial" w:cs="Arial" w:eastAsia="Arial" w:hAnsi="Arial"/>
          <w:sz w:val="18"/>
          <w:szCs w:val="18"/>
          <w:color w:val="0000FF"/>
        </w:rPr>
        <w:t xml:space="preserve"> </w:t>
      </w:r>
      <w:hyperlink r:id="rId41">
        <w:r>
          <w:rPr>
            <w:rFonts w:ascii="Arial" w:cs="Arial" w:eastAsia="Arial" w:hAnsi="Arial"/>
            <w:sz w:val="18"/>
            <w:szCs w:val="18"/>
            <w:color w:val="0000FF"/>
          </w:rPr>
          <w:t>Credit Issuers and JPMorgan Chase Bank, N.A., Morgan Stanley Bank, N.A. and Goldman Sachs Bank USA, as Swingline</w:t>
        </w:r>
      </w:hyperlink>
      <w:r>
        <w:rPr>
          <w:rFonts w:ascii="Arial" w:cs="Arial" w:eastAsia="Arial" w:hAnsi="Arial"/>
          <w:sz w:val="18"/>
          <w:szCs w:val="18"/>
          <w:color w:val="0000FF"/>
        </w:rPr>
        <w:t xml:space="preserve"> </w:t>
      </w:r>
      <w:hyperlink r:id="rId41">
        <w:r>
          <w:rPr>
            <w:rFonts w:ascii="Arial" w:cs="Arial" w:eastAsia="Arial" w:hAnsi="Arial"/>
            <w:sz w:val="18"/>
            <w:szCs w:val="18"/>
            <w:color w:val="0000FF"/>
          </w:rPr>
          <w:t>Lenders</w:t>
        </w:r>
        <w:r>
          <w:rPr>
            <w:rFonts w:ascii="Arial" w:cs="Arial" w:eastAsia="Arial" w:hAnsi="Arial"/>
            <w:sz w:val="18"/>
            <w:szCs w:val="18"/>
            <w:color w:val="000000"/>
          </w:rPr>
          <w:t>.</w:t>
        </w:r>
        <w:r>
          <w:rPr>
            <w:rFonts w:ascii="Arial" w:cs="Arial" w:eastAsia="Arial" w:hAnsi="Arial"/>
            <w:sz w:val="18"/>
            <w:szCs w:val="18"/>
            <w:color w:val="0000FF"/>
          </w:rPr>
          <w:t xml:space="preserve"> (7)</w:t>
        </w:r>
      </w:hyperlink>
    </w:p>
    <w:p>
      <w:pPr>
        <w:spacing w:after="0" w:line="41" w:lineRule="exact"/>
        <w:rPr>
          <w:rFonts w:ascii="Arial" w:cs="Arial" w:eastAsia="Arial" w:hAnsi="Arial"/>
          <w:sz w:val="18"/>
          <w:szCs w:val="18"/>
          <w:color w:val="0000FF"/>
        </w:rPr>
      </w:pPr>
    </w:p>
    <w:p>
      <w:pPr>
        <w:ind w:left="1420" w:right="80" w:hanging="940"/>
        <w:spacing w:after="0" w:line="239"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10.22</w:t>
      </w:r>
      <w:r>
        <w:rPr>
          <w:sz w:val="20"/>
          <w:szCs w:val="20"/>
          <w:color w:val="auto"/>
        </w:rPr>
        <w:tab/>
      </w:r>
      <w:hyperlink r:id="rId42">
        <w:r>
          <w:rPr>
            <w:rFonts w:ascii="Arial" w:cs="Arial" w:eastAsia="Arial" w:hAnsi="Arial"/>
            <w:sz w:val="18"/>
            <w:szCs w:val="18"/>
            <w:color w:val="0000FF"/>
          </w:rPr>
          <w:t>Third Amendment, dated as of April 25, 2019, among LPL Financial Holdings Inc., LPL Holdings Inc., certain subsidiaries of</w:t>
        </w:r>
      </w:hyperlink>
      <w:r>
        <w:rPr>
          <w:rFonts w:ascii="Arial" w:cs="Arial" w:eastAsia="Arial" w:hAnsi="Arial"/>
          <w:sz w:val="18"/>
          <w:szCs w:val="18"/>
          <w:color w:val="0000FF"/>
        </w:rPr>
        <w:t xml:space="preserve"> </w:t>
      </w:r>
      <w:hyperlink r:id="rId42">
        <w:r>
          <w:rPr>
            <w:rFonts w:ascii="Arial" w:cs="Arial" w:eastAsia="Arial" w:hAnsi="Arial"/>
            <w:sz w:val="18"/>
            <w:szCs w:val="18"/>
            <w:color w:val="0000FF"/>
          </w:rPr>
          <w:t>the Company, as Guarantors, the incremental lenders party thereto, JPMorgan Chase Bank, N.A., as Administrative Agent,</w:t>
        </w:r>
      </w:hyperlink>
      <w:r>
        <w:rPr>
          <w:rFonts w:ascii="Arial" w:cs="Arial" w:eastAsia="Arial" w:hAnsi="Arial"/>
          <w:sz w:val="18"/>
          <w:szCs w:val="18"/>
          <w:color w:val="0000FF"/>
        </w:rPr>
        <w:t xml:space="preserve"> </w:t>
      </w:r>
      <w:hyperlink r:id="rId42">
        <w:r>
          <w:rPr>
            <w:rFonts w:ascii="Arial" w:cs="Arial" w:eastAsia="Arial" w:hAnsi="Arial"/>
            <w:sz w:val="18"/>
            <w:szCs w:val="18"/>
            <w:color w:val="0000FF"/>
          </w:rPr>
          <w:t>Bank of America, N.A., JPMorgan Chase Bank, N.A. and Morgan Stanley Bank, N.A., as Letter of Credit Issuers and</w:t>
        </w:r>
      </w:hyperlink>
      <w:r>
        <w:rPr>
          <w:rFonts w:ascii="Arial" w:cs="Arial" w:eastAsia="Arial" w:hAnsi="Arial"/>
          <w:sz w:val="18"/>
          <w:szCs w:val="18"/>
          <w:color w:val="0000FF"/>
        </w:rPr>
        <w:t xml:space="preserve"> </w:t>
      </w:r>
      <w:hyperlink r:id="rId42">
        <w:r>
          <w:rPr>
            <w:rFonts w:ascii="Arial" w:cs="Arial" w:eastAsia="Arial" w:hAnsi="Arial"/>
            <w:sz w:val="18"/>
            <w:szCs w:val="18"/>
            <w:color w:val="0000FF"/>
          </w:rPr>
          <w:t>JPMorgan Chase Bank, N.A., Morgan Stanley Bank, N.A. and Goldman Sachs Bank USA, as Swingline Lenders. (18)</w:t>
        </w:r>
      </w:hyperlink>
    </w:p>
    <w:p>
      <w:pPr>
        <w:spacing w:after="0" w:line="40" w:lineRule="exact"/>
        <w:rPr>
          <w:rFonts w:ascii="Arial" w:cs="Arial" w:eastAsia="Arial" w:hAnsi="Arial"/>
          <w:sz w:val="18"/>
          <w:szCs w:val="18"/>
          <w:color w:val="0000FF"/>
        </w:rPr>
      </w:pPr>
    </w:p>
    <w:p>
      <w:pPr>
        <w:ind w:left="1420" w:right="140" w:hanging="940"/>
        <w:spacing w:after="0" w:line="238"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10.23</w:t>
      </w:r>
      <w:r>
        <w:rPr>
          <w:sz w:val="20"/>
          <w:szCs w:val="20"/>
          <w:color w:val="auto"/>
        </w:rPr>
        <w:tab/>
      </w:r>
      <w:hyperlink r:id="rId43">
        <w:r>
          <w:rPr>
            <w:rFonts w:ascii="Arial" w:cs="Arial" w:eastAsia="Arial" w:hAnsi="Arial"/>
            <w:sz w:val="18"/>
            <w:szCs w:val="18"/>
            <w:color w:val="0000FF"/>
          </w:rPr>
          <w:t>Fourth Amendment, dated as of November 12, 2019, among LPL Financial Holdings Inc., LPL Holdings Inc., certain</w:t>
        </w:r>
      </w:hyperlink>
      <w:r>
        <w:rPr>
          <w:rFonts w:ascii="Arial" w:cs="Arial" w:eastAsia="Arial" w:hAnsi="Arial"/>
          <w:sz w:val="18"/>
          <w:szCs w:val="18"/>
          <w:color w:val="0000FF"/>
        </w:rPr>
        <w:t xml:space="preserve"> </w:t>
      </w:r>
      <w:hyperlink r:id="rId43">
        <w:r>
          <w:rPr>
            <w:rFonts w:ascii="Arial" w:cs="Arial" w:eastAsia="Arial" w:hAnsi="Arial"/>
            <w:sz w:val="18"/>
            <w:szCs w:val="18"/>
            <w:color w:val="0000FF"/>
          </w:rPr>
          <w:t>subsidiaries of the Company, as Guarantors, the incremental lenders party thereto, JPMorgan Chase Bank, N.A., as</w:t>
        </w:r>
      </w:hyperlink>
      <w:r>
        <w:rPr>
          <w:rFonts w:ascii="Arial" w:cs="Arial" w:eastAsia="Arial" w:hAnsi="Arial"/>
          <w:sz w:val="18"/>
          <w:szCs w:val="18"/>
          <w:color w:val="0000FF"/>
        </w:rPr>
        <w:t xml:space="preserve"> </w:t>
      </w:r>
      <w:hyperlink r:id="rId43">
        <w:r>
          <w:rPr>
            <w:rFonts w:ascii="Arial" w:cs="Arial" w:eastAsia="Arial" w:hAnsi="Arial"/>
            <w:sz w:val="18"/>
            <w:szCs w:val="18"/>
            <w:color w:val="0000FF"/>
          </w:rPr>
          <w:t>Administrative Agent, Bank of America, N.A., JPMorgan Chase Bank, N.A. and Morgan Stanley Bank, N.A., as Letter of</w:t>
        </w:r>
      </w:hyperlink>
      <w:r>
        <w:rPr>
          <w:rFonts w:ascii="Arial" w:cs="Arial" w:eastAsia="Arial" w:hAnsi="Arial"/>
          <w:sz w:val="18"/>
          <w:szCs w:val="18"/>
          <w:color w:val="0000FF"/>
        </w:rPr>
        <w:t xml:space="preserve"> </w:t>
      </w:r>
      <w:hyperlink r:id="rId43">
        <w:r>
          <w:rPr>
            <w:rFonts w:ascii="Arial" w:cs="Arial" w:eastAsia="Arial" w:hAnsi="Arial"/>
            <w:sz w:val="18"/>
            <w:szCs w:val="18"/>
            <w:color w:val="0000FF"/>
          </w:rPr>
          <w:t>Credit Issuers and JPMorgan Chase Bank, N.A., Morgan Stanley Bank, N.A. and Goldman Sachs Bank USA, as Swingline</w:t>
        </w:r>
      </w:hyperlink>
      <w:r>
        <w:rPr>
          <w:rFonts w:ascii="Arial" w:cs="Arial" w:eastAsia="Arial" w:hAnsi="Arial"/>
          <w:sz w:val="18"/>
          <w:szCs w:val="18"/>
          <w:color w:val="0000FF"/>
        </w:rPr>
        <w:t xml:space="preserve"> </w:t>
      </w:r>
      <w:hyperlink r:id="rId43">
        <w:r>
          <w:rPr>
            <w:rFonts w:ascii="Arial" w:cs="Arial" w:eastAsia="Arial" w:hAnsi="Arial"/>
            <w:sz w:val="18"/>
            <w:szCs w:val="18"/>
            <w:color w:val="0000FF"/>
          </w:rPr>
          <w:t>Lenders. (8)</w:t>
        </w:r>
      </w:hyperlink>
    </w:p>
    <w:p>
      <w:pPr>
        <w:spacing w:after="0" w:line="41" w:lineRule="exact"/>
        <w:rPr>
          <w:rFonts w:ascii="Arial" w:cs="Arial" w:eastAsia="Arial" w:hAnsi="Arial"/>
          <w:sz w:val="18"/>
          <w:szCs w:val="18"/>
          <w:color w:val="0000FF"/>
        </w:rPr>
      </w:pPr>
    </w:p>
    <w:p>
      <w:pPr>
        <w:ind w:left="142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10.24</w:t>
      </w:r>
      <w:r>
        <w:rPr>
          <w:sz w:val="20"/>
          <w:szCs w:val="20"/>
          <w:color w:val="auto"/>
        </w:rPr>
        <w:tab/>
      </w:r>
      <w:hyperlink w:anchor="page109">
        <w:r>
          <w:rPr>
            <w:rFonts w:ascii="Arial" w:cs="Arial" w:eastAsia="Arial" w:hAnsi="Arial"/>
            <w:sz w:val="18"/>
            <w:szCs w:val="18"/>
            <w:color w:val="0000FF"/>
          </w:rPr>
          <w:t>BETAHost Master Subscription Agreement dated as of January 5, 2009 between LPL Financial Corporation and Refinitiv US</w:t>
        </w:r>
      </w:hyperlink>
      <w:r>
        <w:rPr>
          <w:rFonts w:ascii="Arial" w:cs="Arial" w:eastAsia="Arial" w:hAnsi="Arial"/>
          <w:sz w:val="18"/>
          <w:szCs w:val="18"/>
          <w:color w:val="0000FF"/>
        </w:rPr>
        <w:t xml:space="preserve"> </w:t>
      </w:r>
      <w:hyperlink w:anchor="page109">
        <w:r>
          <w:rPr>
            <w:rFonts w:ascii="Arial" w:cs="Arial" w:eastAsia="Arial" w:hAnsi="Arial"/>
            <w:sz w:val="18"/>
            <w:szCs w:val="18"/>
            <w:color w:val="0000FF"/>
          </w:rPr>
          <w:t>LLC (f/k/a Thomson Financial LLC), as amended.*</w:t>
        </w:r>
        <w:r>
          <w:rPr>
            <w:rFonts w:ascii="Arial" w:cs="Arial" w:eastAsia="Arial" w:hAnsi="Arial"/>
            <w:sz w:val="18"/>
            <w:szCs w:val="18"/>
            <w:color w:val="000000"/>
          </w:rPr>
          <w:t>†</w:t>
        </w:r>
      </w:hyperlink>
    </w:p>
    <w:p>
      <w:pPr>
        <w:sectPr>
          <w:pgSz w:w="11900" w:h="16838" w:orient="portrait"/>
          <w:cols w:equalWidth="0" w:num="1">
            <w:col w:w="11300"/>
          </w:cols>
          <w:pgMar w:left="240" w:top="140" w:right="359" w:bottom="1440" w:gutter="0" w:footer="0" w:header="0"/>
        </w:sectPr>
      </w:pP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rFonts w:ascii="Arial" w:cs="Arial" w:eastAsia="Arial" w:hAnsi="Arial"/>
          <w:sz w:val="18"/>
          <w:szCs w:val="18"/>
          <w:color w:val="0000FF"/>
        </w:rPr>
      </w:pPr>
      <w:hyperlink w:anchor="page139">
        <w:r>
          <w:rPr>
            <w:rFonts w:ascii="Arial" w:cs="Arial" w:eastAsia="Arial" w:hAnsi="Arial"/>
            <w:sz w:val="18"/>
            <w:szCs w:val="18"/>
            <w:color w:val="0000FF"/>
          </w:rPr>
          <w:t>List of Subsidiaries of LPL Financial Holdings Inc.*</w:t>
        </w:r>
      </w:hyperlink>
    </w:p>
    <w:p>
      <w:pPr>
        <w:spacing w:after="0" w:line="63" w:lineRule="exact"/>
        <w:rPr>
          <w:sz w:val="20"/>
          <w:szCs w:val="20"/>
          <w:color w:val="auto"/>
        </w:rPr>
      </w:pPr>
    </w:p>
    <w:p>
      <w:pPr>
        <w:spacing w:after="0"/>
        <w:rPr>
          <w:rFonts w:ascii="Arial" w:cs="Arial" w:eastAsia="Arial" w:hAnsi="Arial"/>
          <w:sz w:val="17"/>
          <w:szCs w:val="17"/>
          <w:color w:val="0000FF"/>
        </w:rPr>
      </w:pPr>
      <w:hyperlink w:anchor="page140">
        <w:r>
          <w:rPr>
            <w:rFonts w:ascii="Arial" w:cs="Arial" w:eastAsia="Arial" w:hAnsi="Arial"/>
            <w:sz w:val="17"/>
            <w:szCs w:val="17"/>
            <w:color w:val="0000FF"/>
          </w:rPr>
          <w:t>Consent of Deloitte &amp; Touche LLP, independent registered public accounting firm.*</w:t>
        </w:r>
      </w:hyperlink>
    </w:p>
    <w:p>
      <w:pPr>
        <w:spacing w:after="0" w:line="75" w:lineRule="exact"/>
        <w:rPr>
          <w:sz w:val="20"/>
          <w:szCs w:val="20"/>
          <w:color w:val="auto"/>
        </w:rPr>
      </w:pPr>
    </w:p>
    <w:p>
      <w:pPr>
        <w:spacing w:after="0"/>
        <w:rPr>
          <w:rFonts w:ascii="Arial" w:cs="Arial" w:eastAsia="Arial" w:hAnsi="Arial"/>
          <w:sz w:val="18"/>
          <w:szCs w:val="18"/>
          <w:color w:val="0000FF"/>
        </w:rPr>
      </w:pPr>
      <w:hyperlink w:anchor="page141">
        <w:r>
          <w:rPr>
            <w:rFonts w:ascii="Arial" w:cs="Arial" w:eastAsia="Arial" w:hAnsi="Arial"/>
            <w:sz w:val="18"/>
            <w:szCs w:val="18"/>
            <w:color w:val="0000FF"/>
          </w:rPr>
          <w:t>Certification of the Chief Executive Officer pursuant to Rule 13a-14(a).*</w:t>
        </w:r>
      </w:hyperlink>
    </w:p>
    <w:p>
      <w:pPr>
        <w:spacing w:after="0" w:line="63" w:lineRule="exact"/>
        <w:rPr>
          <w:sz w:val="20"/>
          <w:szCs w:val="20"/>
          <w:color w:val="auto"/>
        </w:rPr>
      </w:pPr>
    </w:p>
    <w:p>
      <w:pPr>
        <w:spacing w:after="0"/>
        <w:rPr>
          <w:rFonts w:ascii="Arial" w:cs="Arial" w:eastAsia="Arial" w:hAnsi="Arial"/>
          <w:sz w:val="18"/>
          <w:szCs w:val="18"/>
          <w:color w:val="0000FF"/>
        </w:rPr>
      </w:pPr>
      <w:hyperlink w:anchor="page142">
        <w:r>
          <w:rPr>
            <w:rFonts w:ascii="Arial" w:cs="Arial" w:eastAsia="Arial" w:hAnsi="Arial"/>
            <w:sz w:val="18"/>
            <w:szCs w:val="18"/>
            <w:color w:val="0000FF"/>
          </w:rPr>
          <w:t>Certification of the Chief Financial Officer pursuant to Rule 13a-14(a).*</w:t>
        </w:r>
      </w:hyperlink>
    </w:p>
    <w:p>
      <w:pPr>
        <w:spacing w:after="0" w:line="50" w:lineRule="exact"/>
        <w:rPr>
          <w:sz w:val="20"/>
          <w:szCs w:val="20"/>
          <w:color w:val="auto"/>
        </w:rPr>
      </w:pPr>
    </w:p>
    <w:p>
      <w:pPr>
        <w:sectPr>
          <w:pgSz w:w="11900" w:h="16838" w:orient="portrait"/>
          <w:cols w:equalWidth="0" w:num="2">
            <w:col w:w="880" w:space="540"/>
            <w:col w:w="9880"/>
          </w:cols>
          <w:pgMar w:left="240" w:top="140" w:right="35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32.1</w:t>
            </w:r>
          </w:p>
        </w:tc>
        <w:tc>
          <w:tcPr>
            <w:tcW w:w="9820" w:type="dxa"/>
            <w:vAlign w:val="bottom"/>
          </w:tcPr>
          <w:p>
            <w:pPr>
              <w:ind w:left="180"/>
              <w:spacing w:after="0"/>
              <w:rPr>
                <w:rFonts w:ascii="Arial" w:cs="Arial" w:eastAsia="Arial" w:hAnsi="Arial"/>
                <w:sz w:val="18"/>
                <w:szCs w:val="18"/>
                <w:color w:val="0000FF"/>
                <w:w w:val="99"/>
              </w:rPr>
            </w:pPr>
            <w:hyperlink w:anchor="page143">
              <w:r>
                <w:rPr>
                  <w:rFonts w:ascii="Arial" w:cs="Arial" w:eastAsia="Arial" w:hAnsi="Arial"/>
                  <w:sz w:val="18"/>
                  <w:szCs w:val="18"/>
                  <w:color w:val="0000FF"/>
                  <w:w w:val="99"/>
                </w:rPr>
                <w:t>Certification of the Chief Executive Officer pursuant to 18 U.S.C. Section 1350, as adopted pursuant to Section 906 of the</w:t>
              </w:r>
            </w:hyperlink>
          </w:p>
        </w:tc>
      </w:tr>
      <w:tr>
        <w:trPr>
          <w:trHeight w:val="217"/>
        </w:trPr>
        <w:tc>
          <w:tcPr>
            <w:tcW w:w="900" w:type="dxa"/>
            <w:vAlign w:val="bottom"/>
          </w:tcPr>
          <w:p>
            <w:pPr>
              <w:spacing w:after="0"/>
              <w:rPr>
                <w:sz w:val="18"/>
                <w:szCs w:val="18"/>
                <w:color w:val="auto"/>
              </w:rPr>
            </w:pPr>
          </w:p>
        </w:tc>
        <w:tc>
          <w:tcPr>
            <w:tcW w:w="9820" w:type="dxa"/>
            <w:vAlign w:val="bottom"/>
          </w:tcPr>
          <w:p>
            <w:pPr>
              <w:ind w:left="180"/>
              <w:spacing w:after="0"/>
              <w:rPr>
                <w:rFonts w:ascii="Arial" w:cs="Arial" w:eastAsia="Arial" w:hAnsi="Arial"/>
                <w:sz w:val="18"/>
                <w:szCs w:val="18"/>
                <w:color w:val="0000FF"/>
              </w:rPr>
            </w:pPr>
            <w:hyperlink w:anchor="page143">
              <w:r>
                <w:rPr>
                  <w:rFonts w:ascii="Arial" w:cs="Arial" w:eastAsia="Arial" w:hAnsi="Arial"/>
                  <w:sz w:val="18"/>
                  <w:szCs w:val="18"/>
                  <w:color w:val="0000FF"/>
                </w:rPr>
                <w:t>Sarbanes-Oxley Act of 2002.*</w:t>
              </w:r>
            </w:hyperlink>
          </w:p>
        </w:tc>
      </w:tr>
      <w:tr>
        <w:trPr>
          <w:trHeight w:val="25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32.2</w:t>
            </w:r>
          </w:p>
        </w:tc>
        <w:tc>
          <w:tcPr>
            <w:tcW w:w="9820" w:type="dxa"/>
            <w:vAlign w:val="bottom"/>
          </w:tcPr>
          <w:p>
            <w:pPr>
              <w:ind w:left="180"/>
              <w:spacing w:after="0"/>
              <w:rPr>
                <w:rFonts w:ascii="Arial" w:cs="Arial" w:eastAsia="Arial" w:hAnsi="Arial"/>
                <w:sz w:val="18"/>
                <w:szCs w:val="18"/>
                <w:color w:val="0000FF"/>
              </w:rPr>
            </w:pPr>
            <w:hyperlink w:anchor="page144">
              <w:r>
                <w:rPr>
                  <w:rFonts w:ascii="Arial" w:cs="Arial" w:eastAsia="Arial" w:hAnsi="Arial"/>
                  <w:sz w:val="18"/>
                  <w:szCs w:val="18"/>
                  <w:color w:val="0000FF"/>
                </w:rPr>
                <w:t>Certification of the Chief Financial Officer pursuant to 18 U.S.C. Section 1350, as adopted pursuant to Section 906 of the</w:t>
              </w:r>
            </w:hyperlink>
          </w:p>
        </w:tc>
      </w:tr>
      <w:tr>
        <w:trPr>
          <w:trHeight w:val="217"/>
        </w:trPr>
        <w:tc>
          <w:tcPr>
            <w:tcW w:w="900" w:type="dxa"/>
            <w:vAlign w:val="bottom"/>
          </w:tcPr>
          <w:p>
            <w:pPr>
              <w:spacing w:after="0"/>
              <w:rPr>
                <w:sz w:val="18"/>
                <w:szCs w:val="18"/>
                <w:color w:val="auto"/>
              </w:rPr>
            </w:pPr>
          </w:p>
        </w:tc>
        <w:tc>
          <w:tcPr>
            <w:tcW w:w="9820" w:type="dxa"/>
            <w:vAlign w:val="bottom"/>
          </w:tcPr>
          <w:p>
            <w:pPr>
              <w:ind w:left="180"/>
              <w:spacing w:after="0"/>
              <w:rPr>
                <w:rFonts w:ascii="Arial" w:cs="Arial" w:eastAsia="Arial" w:hAnsi="Arial"/>
                <w:sz w:val="18"/>
                <w:szCs w:val="18"/>
                <w:color w:val="0000FF"/>
              </w:rPr>
            </w:pPr>
            <w:hyperlink w:anchor="page144">
              <w:r>
                <w:rPr>
                  <w:rFonts w:ascii="Arial" w:cs="Arial" w:eastAsia="Arial" w:hAnsi="Arial"/>
                  <w:sz w:val="18"/>
                  <w:szCs w:val="18"/>
                  <w:color w:val="0000FF"/>
                </w:rPr>
                <w:t>Sarbanes-Oxley Act of 2002.*</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57"/>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104</w:t>
            </w:r>
          </w:p>
        </w:tc>
        <w:tc>
          <w:tcPr>
            <w:tcW w:w="9820" w:type="dxa"/>
            <w:vAlign w:val="bottom"/>
          </w:tcPr>
          <w:p>
            <w:pPr>
              <w:ind w:left="1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140" w:right="359" w:bottom="1440" w:gutter="0" w:footer="0" w:header="0"/>
          <w:type w:val="continuous"/>
        </w:sectPr>
      </w:pPr>
    </w:p>
    <w:bookmarkStart w:id="61" w:name="page62"/>
    <w:bookmarkEnd w:id="61"/>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3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left="680" w:right="60" w:hanging="151"/>
        <w:spacing w:after="0" w:line="246"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17 C.F.R. §§230.406 and 230.83, the confidential portions of this exhibit have been omitted and are marked accordingly.</w:t>
      </w:r>
    </w:p>
    <w:p>
      <w:pPr>
        <w:spacing w:after="0" w:line="35" w:lineRule="exact"/>
        <w:rPr>
          <w:sz w:val="20"/>
          <w:szCs w:val="20"/>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August 15, 2017 (File No. 001-34963).</w:t>
      </w:r>
    </w:p>
    <w:p>
      <w:pPr>
        <w:spacing w:after="0" w:line="49" w:lineRule="exact"/>
        <w:rPr>
          <w:rFonts w:ascii="Arial" w:cs="Arial" w:eastAsia="Arial" w:hAnsi="Arial"/>
          <w:sz w:val="18"/>
          <w:szCs w:val="18"/>
          <w:color w:val="auto"/>
        </w:rPr>
      </w:pPr>
    </w:p>
    <w:p>
      <w:pPr>
        <w:ind w:left="680" w:hanging="271"/>
        <w:spacing w:after="0" w:line="246"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 (File No. 333-167325).</w:t>
      </w:r>
    </w:p>
    <w:p>
      <w:pPr>
        <w:spacing w:after="0" w:line="34"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 (File No. 001-34963).</w:t>
      </w:r>
    </w:p>
    <w:p>
      <w:pPr>
        <w:spacing w:after="0" w:line="49"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 (File No. 001-34963).</w:t>
      </w:r>
    </w:p>
    <w:p>
      <w:pPr>
        <w:spacing w:after="0" w:line="49"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 (File No. 001-34963).</w:t>
      </w:r>
    </w:p>
    <w:p>
      <w:pPr>
        <w:spacing w:after="0" w:line="49"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10, 2017 (File No. 001-34963).</w:t>
      </w:r>
    </w:p>
    <w:p>
      <w:pPr>
        <w:spacing w:after="0" w:line="49"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September 21, 2017 (File No. 001-34963).</w:t>
      </w:r>
    </w:p>
    <w:p>
      <w:pPr>
        <w:spacing w:after="0" w:line="49"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November 12, 2019 (File No. 001-34963).</w:t>
      </w:r>
    </w:p>
    <w:p>
      <w:pPr>
        <w:spacing w:after="0" w:line="49" w:lineRule="exact"/>
        <w:rPr>
          <w:rFonts w:ascii="Arial" w:cs="Arial" w:eastAsia="Arial" w:hAnsi="Arial"/>
          <w:sz w:val="18"/>
          <w:szCs w:val="18"/>
          <w:color w:val="auto"/>
        </w:rPr>
      </w:pPr>
    </w:p>
    <w:p>
      <w:pPr>
        <w:ind w:left="680" w:hanging="2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2013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24, 2017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2014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15, 2015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25, 2016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April 2, 2012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13, 2013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October 30, 2014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August 1, 2017 (File No. 001-34963).</w:t>
      </w:r>
    </w:p>
    <w:p>
      <w:pPr>
        <w:spacing w:after="0" w:line="49" w:lineRule="exact"/>
        <w:rPr>
          <w:rFonts w:ascii="Arial" w:cs="Arial" w:eastAsia="Arial" w:hAnsi="Arial"/>
          <w:sz w:val="18"/>
          <w:szCs w:val="18"/>
          <w:color w:val="auto"/>
        </w:rPr>
      </w:pPr>
    </w:p>
    <w:p>
      <w:pPr>
        <w:ind w:left="680" w:hanging="37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July 30, 2019 (File No. 001-34963).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60"/>
          </w:cols>
          <w:pgMar w:left="240" w:top="140" w:right="1399" w:bottom="1440" w:gutter="0" w:footer="0" w:header="0"/>
        </w:sectPr>
      </w:pPr>
    </w:p>
    <w:bookmarkStart w:id="62" w:name="page63"/>
    <w:bookmarkEnd w:id="62"/>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2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LPL Financial Holdings Inc.</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1758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Dan H. Arnold</w:t>
      </w:r>
    </w:p>
    <w:p>
      <w:pPr>
        <w:spacing w:after="0" w:line="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w:t>
      </w:r>
    </w:p>
    <w:p>
      <w:pPr>
        <w:ind w:left="6660"/>
        <w:spacing w:after="0"/>
        <w:rPr>
          <w:sz w:val="20"/>
          <w:szCs w:val="20"/>
          <w:color w:val="auto"/>
        </w:rPr>
      </w:pPr>
      <w:r>
        <w:rPr>
          <w:rFonts w:ascii="Arial" w:cs="Arial" w:eastAsia="Arial" w:hAnsi="Arial"/>
          <w:sz w:val="18"/>
          <w:szCs w:val="18"/>
          <w:color w:val="auto"/>
        </w:rPr>
        <w:t>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79" w:lineRule="exact"/>
        <w:rPr>
          <w:sz w:val="20"/>
          <w:szCs w:val="20"/>
          <w:color w:val="auto"/>
        </w:rPr>
      </w:pPr>
    </w:p>
    <w:p>
      <w:pPr>
        <w:ind w:right="200" w:firstLine="392"/>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8"/>
              </w:rPr>
              <w:t>Signature</w:t>
            </w:r>
          </w:p>
        </w:tc>
        <w:tc>
          <w:tcPr>
            <w:tcW w:w="2600" w:type="dxa"/>
            <w:vAlign w:val="bottom"/>
          </w:tcPr>
          <w:p>
            <w:pPr>
              <w:spacing w:after="0"/>
              <w:rPr>
                <w:sz w:val="17"/>
                <w:szCs w:val="17"/>
                <w:color w:val="auto"/>
              </w:rPr>
            </w:pPr>
          </w:p>
        </w:tc>
        <w:tc>
          <w:tcPr>
            <w:tcW w:w="2920" w:type="dxa"/>
            <w:vAlign w:val="bottom"/>
            <w:gridSpan w:val="2"/>
          </w:tcPr>
          <w:p>
            <w:pPr>
              <w:jc w:val="center"/>
              <w:ind w:right="2560"/>
              <w:spacing w:after="0"/>
              <w:rPr>
                <w:sz w:val="20"/>
                <w:szCs w:val="20"/>
                <w:color w:val="auto"/>
              </w:rPr>
            </w:pPr>
            <w:r>
              <w:rPr>
                <w:rFonts w:ascii="Arial" w:cs="Arial" w:eastAsia="Arial" w:hAnsi="Arial"/>
                <w:sz w:val="18"/>
                <w:szCs w:val="18"/>
                <w:b w:val="1"/>
                <w:bCs w:val="1"/>
                <w:color w:val="auto"/>
                <w:w w:val="97"/>
              </w:rPr>
              <w:t>Title</w:t>
            </w:r>
          </w:p>
        </w:tc>
        <w:tc>
          <w:tcPr>
            <w:tcW w:w="780" w:type="dxa"/>
            <w:vAlign w:val="bottom"/>
          </w:tcPr>
          <w:p>
            <w:pPr>
              <w:spacing w:after="0"/>
              <w:rPr>
                <w:sz w:val="17"/>
                <w:szCs w:val="17"/>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95"/>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Dan H. Arnold</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3280" w:type="dxa"/>
            <w:vAlign w:val="bottom"/>
            <w:gridSpan w:val="3"/>
          </w:tcPr>
          <w:p>
            <w:pPr>
              <w:jc w:val="center"/>
              <w:spacing w:after="0"/>
              <w:rPr>
                <w:sz w:val="20"/>
                <w:szCs w:val="20"/>
                <w:color w:val="auto"/>
              </w:rPr>
            </w:pPr>
            <w:r>
              <w:rPr>
                <w:rFonts w:ascii="Arial" w:cs="Arial" w:eastAsia="Arial" w:hAnsi="Arial"/>
                <w:sz w:val="18"/>
                <w:szCs w:val="18"/>
                <w:color w:val="auto"/>
              </w:rPr>
              <w:t>Dan H. Arnold</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Matthew J. Audette</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Matthew J. Audette</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Chief Financial Officer (Principal Financial Officer and Principal</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Accounting Officer)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Paulett Eberhart</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Paulett Eberhart</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William F. Glavin Jr.</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8"/>
              </w:rPr>
              <w:t>William F. Glavin Jr.</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Allison Mnookin</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Allison Mnookin</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Anne M. Mulcahy</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Anne M. Mulcahy</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James S. Putnam</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James S. Putnam</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James S. Riepe</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James S. Riepe</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Richard P. Schifter</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7"/>
              </w:rPr>
              <w:t>Richard P. Schifter</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Corey E. Thomas</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Corey E. Thomas</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21, 2020</w:t>
            </w:r>
          </w:p>
        </w:tc>
      </w:tr>
    </w:tbl>
    <w:p>
      <w:pPr>
        <w:spacing w:after="0" w:line="200" w:lineRule="exact"/>
        <w:rPr>
          <w:sz w:val="20"/>
          <w:szCs w:val="20"/>
          <w:color w:val="auto"/>
        </w:rPr>
      </w:pPr>
    </w:p>
    <w:p>
      <w:pPr>
        <w:sectPr>
          <w:pgSz w:w="11900" w:h="16838" w:orient="portrait"/>
          <w:cols w:equalWidth="0" w:num="1">
            <w:col w:w="11240"/>
          </w:cols>
          <w:pgMar w:left="240" w:top="140" w:right="41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240" w:top="140" w:right="419" w:bottom="1440" w:gutter="0" w:footer="0" w:header="0"/>
          <w:type w:val="continuous"/>
        </w:sectPr>
      </w:pPr>
    </w:p>
    <w:bookmarkStart w:id="63" w:name="page64"/>
    <w:bookmarkEnd w:id="63"/>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LPL FINANCIAL HOLDINGS INC.</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consolidated financial statements of LPL Financial Holdings Inc. are included in response to Item 8:</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b w:val="1"/>
                <w:bCs w:val="1"/>
                <w:color w:val="auto"/>
              </w:rPr>
              <w:t>Page</w:t>
            </w:r>
          </w:p>
        </w:tc>
      </w:tr>
      <w:tr>
        <w:trPr>
          <w:trHeight w:val="257"/>
        </w:trPr>
        <w:tc>
          <w:tcPr>
            <w:tcW w:w="954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1220" w:type="dxa"/>
            <w:vAlign w:val="bottom"/>
          </w:tcPr>
          <w:p>
            <w:pPr>
              <w:jc w:val="center"/>
              <w:ind w:left="690"/>
              <w:spacing w:after="0"/>
              <w:rPr>
                <w:rFonts w:ascii="Arial" w:cs="Arial" w:eastAsia="Arial" w:hAnsi="Arial"/>
                <w:sz w:val="18"/>
                <w:szCs w:val="18"/>
                <w:color w:val="0000EE"/>
              </w:rPr>
            </w:pPr>
            <w:hyperlink w:anchor="page65">
              <w:r>
                <w:rPr>
                  <w:rFonts w:ascii="Arial" w:cs="Arial" w:eastAsia="Arial" w:hAnsi="Arial"/>
                  <w:sz w:val="18"/>
                  <w:szCs w:val="18"/>
                  <w:color w:val="0000EE"/>
                </w:rPr>
                <w:t>F-2</w:t>
              </w:r>
            </w:hyperlink>
          </w:p>
        </w:tc>
      </w:tr>
      <w:tr>
        <w:trPr>
          <w:trHeight w:val="257"/>
        </w:trPr>
        <w:tc>
          <w:tcPr>
            <w:tcW w:w="954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Income for the years ended December 31, 2019, 2018, and 2017</w:t>
              </w:r>
            </w:hyperlink>
          </w:p>
        </w:tc>
        <w:tc>
          <w:tcPr>
            <w:tcW w:w="1220" w:type="dxa"/>
            <w:vAlign w:val="bottom"/>
          </w:tcPr>
          <w:p>
            <w:pPr>
              <w:jc w:val="center"/>
              <w:ind w:left="690"/>
              <w:spacing w:after="0"/>
              <w:rPr>
                <w:rFonts w:ascii="Arial" w:cs="Arial" w:eastAsia="Arial" w:hAnsi="Arial"/>
                <w:sz w:val="18"/>
                <w:szCs w:val="18"/>
                <w:color w:val="0000EE"/>
              </w:rPr>
            </w:pPr>
            <w:hyperlink w:anchor="page67">
              <w:r>
                <w:rPr>
                  <w:rFonts w:ascii="Arial" w:cs="Arial" w:eastAsia="Arial" w:hAnsi="Arial"/>
                  <w:sz w:val="18"/>
                  <w:szCs w:val="18"/>
                  <w:color w:val="0000EE"/>
                </w:rPr>
                <w:t>F-4</w:t>
              </w:r>
            </w:hyperlink>
          </w:p>
        </w:tc>
      </w:tr>
      <w:tr>
        <w:trPr>
          <w:trHeight w:val="257"/>
        </w:trPr>
        <w:tc>
          <w:tcPr>
            <w:tcW w:w="9540" w:type="dxa"/>
            <w:vAlign w:val="bottom"/>
            <w:gridSpan w:val="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Comprehensive Income for the years ended December 31, 2019, 2018, and 2017</w:t>
              </w:r>
            </w:hyperlink>
          </w:p>
        </w:tc>
        <w:tc>
          <w:tcPr>
            <w:tcW w:w="1220" w:type="dxa"/>
            <w:vAlign w:val="bottom"/>
          </w:tcPr>
          <w:p>
            <w:pPr>
              <w:jc w:val="center"/>
              <w:ind w:left="690"/>
              <w:spacing w:after="0"/>
              <w:rPr>
                <w:rFonts w:ascii="Arial" w:cs="Arial" w:eastAsia="Arial" w:hAnsi="Arial"/>
                <w:sz w:val="18"/>
                <w:szCs w:val="18"/>
                <w:color w:val="0000EE"/>
              </w:rPr>
            </w:pPr>
            <w:hyperlink w:anchor="page68">
              <w:r>
                <w:rPr>
                  <w:rFonts w:ascii="Arial" w:cs="Arial" w:eastAsia="Arial" w:hAnsi="Arial"/>
                  <w:sz w:val="18"/>
                  <w:szCs w:val="18"/>
                  <w:color w:val="0000EE"/>
                </w:rPr>
                <w:t>F-5</w:t>
              </w:r>
            </w:hyperlink>
          </w:p>
        </w:tc>
      </w:tr>
      <w:tr>
        <w:trPr>
          <w:trHeight w:val="257"/>
        </w:trPr>
        <w:tc>
          <w:tcPr>
            <w:tcW w:w="9540" w:type="dxa"/>
            <w:vAlign w:val="bottom"/>
            <w:gridSpan w:val="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Financial Condition as of December 31, 2019 and 2018</w:t>
              </w:r>
            </w:hyperlink>
          </w:p>
        </w:tc>
        <w:tc>
          <w:tcPr>
            <w:tcW w:w="1220" w:type="dxa"/>
            <w:vAlign w:val="bottom"/>
          </w:tcPr>
          <w:p>
            <w:pPr>
              <w:jc w:val="center"/>
              <w:ind w:left="690"/>
              <w:spacing w:after="0"/>
              <w:rPr>
                <w:rFonts w:ascii="Arial" w:cs="Arial" w:eastAsia="Arial" w:hAnsi="Arial"/>
                <w:sz w:val="18"/>
                <w:szCs w:val="18"/>
                <w:color w:val="0000EE"/>
              </w:rPr>
            </w:pPr>
            <w:hyperlink w:anchor="page69">
              <w:r>
                <w:rPr>
                  <w:rFonts w:ascii="Arial" w:cs="Arial" w:eastAsia="Arial" w:hAnsi="Arial"/>
                  <w:sz w:val="18"/>
                  <w:szCs w:val="18"/>
                  <w:color w:val="0000EE"/>
                </w:rPr>
                <w:t>F-6</w:t>
              </w:r>
            </w:hyperlink>
          </w:p>
        </w:tc>
      </w:tr>
      <w:tr>
        <w:trPr>
          <w:trHeight w:val="257"/>
        </w:trPr>
        <w:tc>
          <w:tcPr>
            <w:tcW w:w="9540" w:type="dxa"/>
            <w:vAlign w:val="bottom"/>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Stockholders’ Equity for the years ended December 31, 2019, 2018, and 2017</w:t>
              </w:r>
            </w:hyperlink>
          </w:p>
        </w:tc>
        <w:tc>
          <w:tcPr>
            <w:tcW w:w="1220" w:type="dxa"/>
            <w:vAlign w:val="bottom"/>
          </w:tcPr>
          <w:p>
            <w:pPr>
              <w:jc w:val="center"/>
              <w:ind w:left="690"/>
              <w:spacing w:after="0"/>
              <w:rPr>
                <w:rFonts w:ascii="Arial" w:cs="Arial" w:eastAsia="Arial" w:hAnsi="Arial"/>
                <w:sz w:val="18"/>
                <w:szCs w:val="18"/>
                <w:color w:val="0000EE"/>
              </w:rPr>
            </w:pPr>
            <w:hyperlink w:anchor="page70">
              <w:r>
                <w:rPr>
                  <w:rFonts w:ascii="Arial" w:cs="Arial" w:eastAsia="Arial" w:hAnsi="Arial"/>
                  <w:sz w:val="18"/>
                  <w:szCs w:val="18"/>
                  <w:color w:val="0000EE"/>
                </w:rPr>
                <w:t>F-7</w:t>
              </w:r>
            </w:hyperlink>
          </w:p>
        </w:tc>
      </w:tr>
      <w:tr>
        <w:trPr>
          <w:trHeight w:val="257"/>
        </w:trPr>
        <w:tc>
          <w:tcPr>
            <w:tcW w:w="954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the years ended December 31, 2019, 2018, and 2017</w:t>
              </w:r>
            </w:hyperlink>
          </w:p>
        </w:tc>
        <w:tc>
          <w:tcPr>
            <w:tcW w:w="1220" w:type="dxa"/>
            <w:vAlign w:val="bottom"/>
          </w:tcPr>
          <w:p>
            <w:pPr>
              <w:jc w:val="center"/>
              <w:ind w:left="690"/>
              <w:spacing w:after="0"/>
              <w:rPr>
                <w:rFonts w:ascii="Arial" w:cs="Arial" w:eastAsia="Arial" w:hAnsi="Arial"/>
                <w:sz w:val="18"/>
                <w:szCs w:val="18"/>
                <w:color w:val="0000EE"/>
              </w:rPr>
            </w:pPr>
            <w:hyperlink w:anchor="page71">
              <w:r>
                <w:rPr>
                  <w:rFonts w:ascii="Arial" w:cs="Arial" w:eastAsia="Arial" w:hAnsi="Arial"/>
                  <w:sz w:val="18"/>
                  <w:szCs w:val="18"/>
                  <w:color w:val="0000EE"/>
                </w:rPr>
                <w:t>F-8</w:t>
              </w:r>
            </w:hyperlink>
          </w:p>
        </w:tc>
      </w:tr>
      <w:tr>
        <w:trPr>
          <w:trHeight w:val="257"/>
        </w:trPr>
        <w:tc>
          <w:tcPr>
            <w:tcW w:w="9540" w:type="dxa"/>
            <w:vAlign w:val="bottom"/>
            <w:gridSpan w:val="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F-10</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c>
          <w:tcPr>
            <w:tcW w:w="8960" w:type="dxa"/>
            <w:vAlign w:val="bottom"/>
            <w:gridSpan w:val="2"/>
          </w:tcPr>
          <w:p>
            <w:pPr>
              <w:ind w:left="20"/>
              <w:spacing w:after="0"/>
              <w:rPr>
                <w:rFonts w:ascii="Arial" w:cs="Arial" w:eastAsia="Arial" w:hAnsi="Arial"/>
                <w:sz w:val="18"/>
                <w:szCs w:val="18"/>
                <w:color w:val="0000EE"/>
              </w:rPr>
            </w:pPr>
            <w:hyperlink w:anchor="page74">
              <w:r>
                <w:rPr>
                  <w:rFonts w:ascii="Arial" w:cs="Arial" w:eastAsia="Arial" w:hAnsi="Arial"/>
                  <w:sz w:val="18"/>
                  <w:szCs w:val="18"/>
                  <w:color w:val="0000EE"/>
                </w:rPr>
                <w:t>Organization and Description of the Company</w:t>
              </w:r>
            </w:hyperlink>
          </w:p>
        </w:tc>
        <w:tc>
          <w:tcPr>
            <w:tcW w:w="1220" w:type="dxa"/>
            <w:vAlign w:val="bottom"/>
          </w:tcPr>
          <w:p>
            <w:pPr>
              <w:jc w:val="center"/>
              <w:ind w:left="690"/>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F-10</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74">
              <w:r>
                <w:rPr>
                  <w:rFonts w:ascii="Arial" w:cs="Arial" w:eastAsia="Arial" w:hAnsi="Arial"/>
                  <w:sz w:val="18"/>
                  <w:szCs w:val="18"/>
                  <w:color w:val="0000EE"/>
                </w:rPr>
                <w:t>2.</w:t>
              </w:r>
            </w:hyperlink>
          </w:p>
        </w:tc>
        <w:tc>
          <w:tcPr>
            <w:tcW w:w="8960" w:type="dxa"/>
            <w:vAlign w:val="bottom"/>
            <w:gridSpan w:val="2"/>
          </w:tcPr>
          <w:p>
            <w:pPr>
              <w:ind w:left="20"/>
              <w:spacing w:after="0"/>
              <w:rPr>
                <w:rFonts w:ascii="Arial" w:cs="Arial" w:eastAsia="Arial" w:hAnsi="Arial"/>
                <w:sz w:val="18"/>
                <w:szCs w:val="18"/>
                <w:color w:val="0000EE"/>
              </w:rPr>
            </w:pPr>
            <w:hyperlink w:anchor="page74">
              <w:r>
                <w:rPr>
                  <w:rFonts w:ascii="Arial" w:cs="Arial" w:eastAsia="Arial" w:hAnsi="Arial"/>
                  <w:sz w:val="18"/>
                  <w:szCs w:val="18"/>
                  <w:color w:val="0000EE"/>
                </w:rPr>
                <w:t>Summary of Significant Accounting Practices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F-10</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1">
              <w:r>
                <w:rPr>
                  <w:rFonts w:ascii="Arial" w:cs="Arial" w:eastAsia="Arial" w:hAnsi="Arial"/>
                  <w:sz w:val="18"/>
                  <w:szCs w:val="18"/>
                  <w:color w:val="0000EE"/>
                </w:rPr>
                <w:t>3.</w:t>
              </w:r>
            </w:hyperlink>
          </w:p>
        </w:tc>
        <w:tc>
          <w:tcPr>
            <w:tcW w:w="8960" w:type="dxa"/>
            <w:vAlign w:val="bottom"/>
            <w:gridSpan w:val="2"/>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Revenues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F-17</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5">
              <w:r>
                <w:rPr>
                  <w:rFonts w:ascii="Arial" w:cs="Arial" w:eastAsia="Arial" w:hAnsi="Arial"/>
                  <w:sz w:val="18"/>
                  <w:szCs w:val="18"/>
                  <w:color w:val="0000EE"/>
                </w:rPr>
                <w:t>4.</w:t>
              </w:r>
            </w:hyperlink>
          </w:p>
        </w:tc>
        <w:tc>
          <w:tcPr>
            <w:tcW w:w="8960" w:type="dxa"/>
            <w:vAlign w:val="bottom"/>
            <w:gridSpan w:val="2"/>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Acquisitions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5">
              <w:r>
                <w:rPr>
                  <w:rFonts w:ascii="Arial" w:cs="Arial" w:eastAsia="Arial" w:hAnsi="Arial"/>
                  <w:sz w:val="18"/>
                  <w:szCs w:val="18"/>
                  <w:color w:val="0000EE"/>
                  <w:w w:val="97"/>
                </w:rPr>
                <w:t>F-21</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5">
              <w:r>
                <w:rPr>
                  <w:rFonts w:ascii="Arial" w:cs="Arial" w:eastAsia="Arial" w:hAnsi="Arial"/>
                  <w:sz w:val="18"/>
                  <w:szCs w:val="18"/>
                  <w:color w:val="0000EE"/>
                </w:rPr>
                <w:t>5.</w:t>
              </w:r>
            </w:hyperlink>
          </w:p>
        </w:tc>
        <w:tc>
          <w:tcPr>
            <w:tcW w:w="8960" w:type="dxa"/>
            <w:vAlign w:val="bottom"/>
            <w:gridSpan w:val="2"/>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Fair Value Measurements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5">
              <w:r>
                <w:rPr>
                  <w:rFonts w:ascii="Arial" w:cs="Arial" w:eastAsia="Arial" w:hAnsi="Arial"/>
                  <w:sz w:val="18"/>
                  <w:szCs w:val="18"/>
                  <w:color w:val="0000EE"/>
                  <w:w w:val="97"/>
                </w:rPr>
                <w:t>F-21</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7">
              <w:r>
                <w:rPr>
                  <w:rFonts w:ascii="Arial" w:cs="Arial" w:eastAsia="Arial" w:hAnsi="Arial"/>
                  <w:sz w:val="18"/>
                  <w:szCs w:val="18"/>
                  <w:color w:val="0000EE"/>
                </w:rPr>
                <w:t>6.</w:t>
              </w:r>
            </w:hyperlink>
          </w:p>
        </w:tc>
        <w:tc>
          <w:tcPr>
            <w:tcW w:w="8960" w:type="dxa"/>
            <w:vAlign w:val="bottom"/>
            <w:gridSpan w:val="2"/>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Held-to-Maturity Securities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F-23</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8">
              <w:r>
                <w:rPr>
                  <w:rFonts w:ascii="Arial" w:cs="Arial" w:eastAsia="Arial" w:hAnsi="Arial"/>
                  <w:sz w:val="18"/>
                  <w:szCs w:val="18"/>
                  <w:color w:val="0000EE"/>
                </w:rPr>
                <w:t>7.</w:t>
              </w:r>
            </w:hyperlink>
          </w:p>
        </w:tc>
        <w:tc>
          <w:tcPr>
            <w:tcW w:w="8960" w:type="dxa"/>
            <w:vAlign w:val="bottom"/>
            <w:gridSpan w:val="2"/>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Receivables and Payables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F-24</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8">
              <w:r>
                <w:rPr>
                  <w:rFonts w:ascii="Arial" w:cs="Arial" w:eastAsia="Arial" w:hAnsi="Arial"/>
                  <w:sz w:val="18"/>
                  <w:szCs w:val="18"/>
                  <w:color w:val="0000EE"/>
                </w:rPr>
                <w:t>8.</w:t>
              </w:r>
            </w:hyperlink>
          </w:p>
        </w:tc>
        <w:tc>
          <w:tcPr>
            <w:tcW w:w="8960" w:type="dxa"/>
            <w:vAlign w:val="bottom"/>
            <w:gridSpan w:val="2"/>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Fixed Assets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F-24</w:t>
              </w:r>
            </w:hyperlink>
          </w:p>
        </w:tc>
      </w:tr>
      <w:tr>
        <w:trPr>
          <w:trHeight w:val="257"/>
        </w:trPr>
        <w:tc>
          <w:tcPr>
            <w:tcW w:w="580" w:type="dxa"/>
            <w:vAlign w:val="bottom"/>
          </w:tcPr>
          <w:p>
            <w:pPr>
              <w:ind w:left="400"/>
              <w:spacing w:after="0"/>
              <w:rPr>
                <w:rFonts w:ascii="Arial" w:cs="Arial" w:eastAsia="Arial" w:hAnsi="Arial"/>
                <w:sz w:val="18"/>
                <w:szCs w:val="18"/>
                <w:color w:val="0000EE"/>
              </w:rPr>
            </w:pPr>
            <w:hyperlink w:anchor="page89">
              <w:r>
                <w:rPr>
                  <w:rFonts w:ascii="Arial" w:cs="Arial" w:eastAsia="Arial" w:hAnsi="Arial"/>
                  <w:sz w:val="18"/>
                  <w:szCs w:val="18"/>
                  <w:color w:val="0000EE"/>
                </w:rPr>
                <w:t>9.</w:t>
              </w:r>
            </w:hyperlink>
          </w:p>
        </w:tc>
        <w:tc>
          <w:tcPr>
            <w:tcW w:w="8960" w:type="dxa"/>
            <w:vAlign w:val="bottom"/>
            <w:gridSpan w:val="2"/>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Goodwill and Other Intangible Assets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F-25</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0">
              <w:r>
                <w:rPr>
                  <w:rFonts w:ascii="Arial" w:cs="Arial" w:eastAsia="Arial" w:hAnsi="Arial"/>
                  <w:sz w:val="18"/>
                  <w:szCs w:val="18"/>
                  <w:color w:val="0000EE"/>
                </w:rPr>
                <w:t>10.</w:t>
              </w:r>
            </w:hyperlink>
          </w:p>
        </w:tc>
        <w:tc>
          <w:tcPr>
            <w:tcW w:w="8860" w:type="dxa"/>
            <w:vAlign w:val="bottom"/>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Accounts Payable and Accrued Liabilities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F-26</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0">
              <w:r>
                <w:rPr>
                  <w:rFonts w:ascii="Arial" w:cs="Arial" w:eastAsia="Arial" w:hAnsi="Arial"/>
                  <w:sz w:val="18"/>
                  <w:szCs w:val="18"/>
                  <w:color w:val="0000EE"/>
                </w:rPr>
                <w:t>11.</w:t>
              </w:r>
            </w:hyperlink>
          </w:p>
        </w:tc>
        <w:tc>
          <w:tcPr>
            <w:tcW w:w="8860" w:type="dxa"/>
            <w:vAlign w:val="bottom"/>
          </w:tcPr>
          <w:p>
            <w:pPr>
              <w:ind w:left="20"/>
              <w:spacing w:after="0"/>
              <w:rPr>
                <w:rFonts w:ascii="Arial" w:cs="Arial" w:eastAsia="Arial" w:hAnsi="Arial"/>
                <w:sz w:val="18"/>
                <w:szCs w:val="18"/>
                <w:color w:val="0000EE"/>
              </w:rPr>
            </w:pPr>
            <w:hyperlink w:anchor="page90">
              <w:r>
                <w:rPr>
                  <w:rFonts w:ascii="Arial" w:cs="Arial" w:eastAsia="Arial" w:hAnsi="Arial"/>
                  <w:sz w:val="18"/>
                  <w:szCs w:val="18"/>
                  <w:color w:val="0000EE"/>
                </w:rPr>
                <w:t>Debt</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F-26</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2">
              <w:r>
                <w:rPr>
                  <w:rFonts w:ascii="Arial" w:cs="Arial" w:eastAsia="Arial" w:hAnsi="Arial"/>
                  <w:sz w:val="18"/>
                  <w:szCs w:val="18"/>
                  <w:color w:val="0000EE"/>
                </w:rPr>
                <w:t>12.</w:t>
              </w:r>
            </w:hyperlink>
          </w:p>
        </w:tc>
        <w:tc>
          <w:tcPr>
            <w:tcW w:w="8860" w:type="dxa"/>
            <w:vAlign w:val="bottom"/>
          </w:tcPr>
          <w:p>
            <w:pPr>
              <w:ind w:left="20"/>
              <w:spacing w:after="0"/>
              <w:rPr>
                <w:rFonts w:ascii="Arial" w:cs="Arial" w:eastAsia="Arial" w:hAnsi="Arial"/>
                <w:sz w:val="18"/>
                <w:szCs w:val="18"/>
                <w:color w:val="0000EE"/>
              </w:rPr>
            </w:pPr>
            <w:hyperlink w:anchor="page92">
              <w:r>
                <w:rPr>
                  <w:rFonts w:ascii="Arial" w:cs="Arial" w:eastAsia="Arial" w:hAnsi="Arial"/>
                  <w:sz w:val="18"/>
                  <w:szCs w:val="18"/>
                  <w:color w:val="0000EE"/>
                </w:rPr>
                <w:t>Leases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2">
              <w:r>
                <w:rPr>
                  <w:rFonts w:ascii="Arial" w:cs="Arial" w:eastAsia="Arial" w:hAnsi="Arial"/>
                  <w:sz w:val="18"/>
                  <w:szCs w:val="18"/>
                  <w:color w:val="0000EE"/>
                  <w:w w:val="97"/>
                </w:rPr>
                <w:t>F-28</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4">
              <w:r>
                <w:rPr>
                  <w:rFonts w:ascii="Arial" w:cs="Arial" w:eastAsia="Arial" w:hAnsi="Arial"/>
                  <w:sz w:val="18"/>
                  <w:szCs w:val="18"/>
                  <w:color w:val="0000EE"/>
                </w:rPr>
                <w:t>13.</w:t>
              </w:r>
            </w:hyperlink>
          </w:p>
        </w:tc>
        <w:tc>
          <w:tcPr>
            <w:tcW w:w="8860" w:type="dxa"/>
            <w:vAlign w:val="bottom"/>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Income Taxes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F-30</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6">
              <w:r>
                <w:rPr>
                  <w:rFonts w:ascii="Arial" w:cs="Arial" w:eastAsia="Arial" w:hAnsi="Arial"/>
                  <w:sz w:val="18"/>
                  <w:szCs w:val="18"/>
                  <w:color w:val="0000EE"/>
                </w:rPr>
                <w:t>14.</w:t>
              </w:r>
            </w:hyperlink>
          </w:p>
        </w:tc>
        <w:tc>
          <w:tcPr>
            <w:tcW w:w="8860" w:type="dxa"/>
            <w:vAlign w:val="bottom"/>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Commitments and Contingencies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F-32</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8">
              <w:r>
                <w:rPr>
                  <w:rFonts w:ascii="Arial" w:cs="Arial" w:eastAsia="Arial" w:hAnsi="Arial"/>
                  <w:sz w:val="18"/>
                  <w:szCs w:val="18"/>
                  <w:color w:val="0000EE"/>
                </w:rPr>
                <w:t>15.</w:t>
              </w:r>
            </w:hyperlink>
          </w:p>
        </w:tc>
        <w:tc>
          <w:tcPr>
            <w:tcW w:w="8860" w:type="dxa"/>
            <w:vAlign w:val="bottom"/>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Stockholders’ Equity</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F-34</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98">
              <w:r>
                <w:rPr>
                  <w:rFonts w:ascii="Arial" w:cs="Arial" w:eastAsia="Arial" w:hAnsi="Arial"/>
                  <w:sz w:val="18"/>
                  <w:szCs w:val="18"/>
                  <w:color w:val="0000EE"/>
                </w:rPr>
                <w:t>16.</w:t>
              </w:r>
            </w:hyperlink>
          </w:p>
        </w:tc>
        <w:tc>
          <w:tcPr>
            <w:tcW w:w="8860" w:type="dxa"/>
            <w:vAlign w:val="bottom"/>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Share-based Compensation</w:t>
              </w:r>
            </w:hyperlink>
          </w:p>
        </w:tc>
        <w:tc>
          <w:tcPr>
            <w:tcW w:w="1220" w:type="dxa"/>
            <w:vAlign w:val="bottom"/>
          </w:tcPr>
          <w:p>
            <w:pPr>
              <w:jc w:val="center"/>
              <w:ind w:left="690"/>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F-34</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0">
              <w:r>
                <w:rPr>
                  <w:rFonts w:ascii="Arial" w:cs="Arial" w:eastAsia="Arial" w:hAnsi="Arial"/>
                  <w:sz w:val="18"/>
                  <w:szCs w:val="18"/>
                  <w:color w:val="0000EE"/>
                </w:rPr>
                <w:t>17.</w:t>
              </w:r>
            </w:hyperlink>
          </w:p>
        </w:tc>
        <w:tc>
          <w:tcPr>
            <w:tcW w:w="8860" w:type="dxa"/>
            <w:vAlign w:val="bottom"/>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Earnings per Share</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F-36</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1">
              <w:r>
                <w:rPr>
                  <w:rFonts w:ascii="Arial" w:cs="Arial" w:eastAsia="Arial" w:hAnsi="Arial"/>
                  <w:sz w:val="18"/>
                  <w:szCs w:val="18"/>
                  <w:color w:val="0000EE"/>
                </w:rPr>
                <w:t>18.</w:t>
              </w:r>
            </w:hyperlink>
          </w:p>
        </w:tc>
        <w:tc>
          <w:tcPr>
            <w:tcW w:w="8860" w:type="dxa"/>
            <w:vAlign w:val="bottom"/>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Employee and Advisor Benefit Plans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F-37</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1">
              <w:r>
                <w:rPr>
                  <w:rFonts w:ascii="Arial" w:cs="Arial" w:eastAsia="Arial" w:hAnsi="Arial"/>
                  <w:sz w:val="18"/>
                  <w:szCs w:val="18"/>
                  <w:color w:val="0000EE"/>
                </w:rPr>
                <w:t>19.</w:t>
              </w:r>
            </w:hyperlink>
          </w:p>
        </w:tc>
        <w:tc>
          <w:tcPr>
            <w:tcW w:w="8860" w:type="dxa"/>
            <w:vAlign w:val="bottom"/>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Related Party Transactions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F-37</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1">
              <w:r>
                <w:rPr>
                  <w:rFonts w:ascii="Arial" w:cs="Arial" w:eastAsia="Arial" w:hAnsi="Arial"/>
                  <w:sz w:val="18"/>
                  <w:szCs w:val="18"/>
                  <w:color w:val="0000EE"/>
                </w:rPr>
                <w:t>20.</w:t>
              </w:r>
            </w:hyperlink>
          </w:p>
        </w:tc>
        <w:tc>
          <w:tcPr>
            <w:tcW w:w="8860" w:type="dxa"/>
            <w:vAlign w:val="bottom"/>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Net Capital and Regulatory Requirements</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F-37</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2">
              <w:r>
                <w:rPr>
                  <w:rFonts w:ascii="Arial" w:cs="Arial" w:eastAsia="Arial" w:hAnsi="Arial"/>
                  <w:sz w:val="18"/>
                  <w:szCs w:val="18"/>
                  <w:color w:val="0000EE"/>
                </w:rPr>
                <w:t>21.</w:t>
              </w:r>
            </w:hyperlink>
          </w:p>
        </w:tc>
        <w:tc>
          <w:tcPr>
            <w:tcW w:w="8860" w:type="dxa"/>
            <w:vAlign w:val="bottom"/>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Financial Instruments with Off-Balance-Sheet Credit Risk and Concentration of Credit Risk</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F-38</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2">
              <w:r>
                <w:rPr>
                  <w:rFonts w:ascii="Arial" w:cs="Arial" w:eastAsia="Arial" w:hAnsi="Arial"/>
                  <w:sz w:val="18"/>
                  <w:szCs w:val="18"/>
                  <w:color w:val="0000EE"/>
                </w:rPr>
                <w:t>22.</w:t>
              </w:r>
            </w:hyperlink>
          </w:p>
        </w:tc>
        <w:tc>
          <w:tcPr>
            <w:tcW w:w="8860" w:type="dxa"/>
            <w:vAlign w:val="bottom"/>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Selected Quarterly Financial Data</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F-38</w:t>
              </w:r>
            </w:hyperlink>
          </w:p>
        </w:tc>
      </w:tr>
      <w:tr>
        <w:trPr>
          <w:trHeight w:val="257"/>
        </w:trPr>
        <w:tc>
          <w:tcPr>
            <w:tcW w:w="680" w:type="dxa"/>
            <w:vAlign w:val="bottom"/>
            <w:gridSpan w:val="2"/>
          </w:tcPr>
          <w:p>
            <w:pPr>
              <w:ind w:left="400"/>
              <w:spacing w:after="0"/>
              <w:rPr>
                <w:rFonts w:ascii="Arial" w:cs="Arial" w:eastAsia="Arial" w:hAnsi="Arial"/>
                <w:sz w:val="18"/>
                <w:szCs w:val="18"/>
                <w:color w:val="0000EE"/>
              </w:rPr>
            </w:pPr>
            <w:hyperlink w:anchor="page103">
              <w:r>
                <w:rPr>
                  <w:rFonts w:ascii="Arial" w:cs="Arial" w:eastAsia="Arial" w:hAnsi="Arial"/>
                  <w:sz w:val="18"/>
                  <w:szCs w:val="18"/>
                  <w:color w:val="0000EE"/>
                </w:rPr>
                <w:t>23.</w:t>
              </w:r>
            </w:hyperlink>
          </w:p>
        </w:tc>
        <w:tc>
          <w:tcPr>
            <w:tcW w:w="8860" w:type="dxa"/>
            <w:vAlign w:val="bottom"/>
          </w:tcPr>
          <w:p>
            <w:pPr>
              <w:ind w:left="20"/>
              <w:spacing w:after="0"/>
              <w:rPr>
                <w:rFonts w:ascii="Arial" w:cs="Arial" w:eastAsia="Arial" w:hAnsi="Arial"/>
                <w:sz w:val="18"/>
                <w:szCs w:val="18"/>
                <w:color w:val="0000EE"/>
              </w:rPr>
            </w:pPr>
            <w:hyperlink w:anchor="page103">
              <w:r>
                <w:rPr>
                  <w:rFonts w:ascii="Arial" w:cs="Arial" w:eastAsia="Arial" w:hAnsi="Arial"/>
                  <w:sz w:val="18"/>
                  <w:szCs w:val="18"/>
                  <w:color w:val="0000EE"/>
                </w:rPr>
                <w:t>Subsequent Event</w:t>
              </w:r>
            </w:hyperlink>
          </w:p>
        </w:tc>
        <w:tc>
          <w:tcPr>
            <w:tcW w:w="1220" w:type="dxa"/>
            <w:vAlign w:val="bottom"/>
          </w:tcPr>
          <w:p>
            <w:pPr>
              <w:jc w:val="center"/>
              <w:ind w:left="690"/>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F-39</w:t>
              </w:r>
            </w:hyperlink>
          </w:p>
        </w:tc>
      </w:tr>
      <w:tr>
        <w:trPr>
          <w:trHeight w:val="87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60" w:type="dxa"/>
            <w:vAlign w:val="bottom"/>
          </w:tcPr>
          <w:p>
            <w:pPr>
              <w:ind w:left="4820"/>
              <w:spacing w:after="0"/>
              <w:rPr>
                <w:sz w:val="20"/>
                <w:szCs w:val="20"/>
                <w:color w:val="auto"/>
              </w:rPr>
            </w:pPr>
            <w:r>
              <w:rPr>
                <w:rFonts w:ascii="Arial" w:cs="Arial" w:eastAsia="Arial" w:hAnsi="Arial"/>
                <w:sz w:val="18"/>
                <w:szCs w:val="18"/>
                <w:color w:val="auto"/>
              </w:rPr>
              <w:t>F-1</w:t>
            </w:r>
          </w:p>
        </w:tc>
        <w:tc>
          <w:tcPr>
            <w:tcW w:w="1220" w:type="dxa"/>
            <w:vAlign w:val="bottom"/>
          </w:tcPr>
          <w:p>
            <w:pPr>
              <w:spacing w:after="0"/>
              <w:rPr>
                <w:sz w:val="24"/>
                <w:szCs w:val="24"/>
                <w:color w:val="auto"/>
              </w:rPr>
            </w:pPr>
          </w:p>
        </w:tc>
      </w:tr>
    </w:tbl>
    <w:p>
      <w:pPr>
        <w:sectPr>
          <w:pgSz w:w="11900" w:h="16838" w:orient="portrait"/>
          <w:cols w:equalWidth="0" w:num="1">
            <w:col w:w="10840"/>
          </w:cols>
          <w:pgMar w:left="240" w:top="140" w:right="819" w:bottom="1440" w:gutter="0" w:footer="0" w:header="0"/>
        </w:sectPr>
      </w:pPr>
    </w:p>
    <w:bookmarkStart w:id="64" w:name="page65"/>
    <w:bookmarkEnd w:id="6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2019 and 2018, the related consolidated statements of income, comprehensive income,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Company's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2" w:lineRule="exact"/>
        <w:rPr>
          <w:sz w:val="20"/>
          <w:szCs w:val="20"/>
          <w:color w:val="auto"/>
        </w:rPr>
      </w:pPr>
    </w:p>
    <w:p>
      <w:pPr>
        <w:ind w:right="3360"/>
        <w:spacing w:after="0" w:line="419" w:lineRule="auto"/>
        <w:rPr>
          <w:sz w:val="20"/>
          <w:szCs w:val="20"/>
          <w:color w:val="auto"/>
        </w:rPr>
      </w:pPr>
      <w:r>
        <w:rPr>
          <w:rFonts w:ascii="Arial" w:cs="Arial" w:eastAsia="Arial" w:hAnsi="Arial"/>
          <w:sz w:val="18"/>
          <w:szCs w:val="18"/>
          <w:b w:val="1"/>
          <w:bCs w:val="1"/>
          <w:color w:val="auto"/>
        </w:rPr>
        <w:t xml:space="preserve">Revenues - Trailing Commission Revenue Accrual - Refer to Note 3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trailing commission revenues are generally received in arrears and therefore estimated and accrued at year-end. The estimate is based on commission revenues received in prior periods, adjusted using change factors based on market performance and the payment frequency for each investment product type and sponsor. Because of the volume of investment product types and sponsors and variability in the corresponding payment frequencies, the Company performs manual calculations and exercises judgment in determining the revenue estimate.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the Company’s trailing commission revenue accrual as a critical audit matter because of the judgments necessary for management to estimate the revenue accrual. This required an increased extent of audit effort and a high degree of auditor judgment when performing audit procedures to evaluate the inputs and judgments related to the revenue accrual and evaluating the results of those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audit procedures related to the inputs and judgments used by management to estimate the year-end accrual for trailing commission revenues included the following, among others:</w:t>
      </w:r>
    </w:p>
    <w:p>
      <w:pPr>
        <w:spacing w:after="0" w:line="88" w:lineRule="exact"/>
        <w:rPr>
          <w:sz w:val="20"/>
          <w:szCs w:val="20"/>
          <w:color w:val="auto"/>
        </w:rPr>
      </w:pP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accrual for trailing commission revenues, including those over the inputs and judgments used by management in the calculation of the accrual and the historical lookback analysis comparing monthly accruals to subsequent cash receipts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compared management’s market performance data to external sources and challenged their methodology for potential management bias by evaluating the sensitivity of changes in market factors on the accrual</w:t>
      </w: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compared the accrual to actual trailing commission revenue received subsequent to year-end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historical cash receipts used to estimate the year-end accrual by comparing them to bank statements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evaluated the payment frequency assumption used by management in the estimation of the accrual for a sample of investment product types and sponsors by comparing the assumption to the actual cash receipts frequency</w:t>
      </w: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mathematical accuracy of the 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40" w:right="239" w:bottom="1440" w:gutter="0" w:footer="0" w:header="0"/>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5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5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15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1,892,407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1,919,694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1,670,824</w:t>
            </w: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1,982,869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1,793,493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1,409,247</w:t>
            </w: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1,165,979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972,515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708,333</w:t>
            </w: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480,328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471,299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424,667</w:t>
            </w: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24,473</w:t>
            </w: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56,765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43,937</w:t>
            </w:r>
          </w:p>
        </w:tc>
      </w:tr>
      <w:tr>
        <w:trPr>
          <w:trHeight w:val="257"/>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1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5,624,856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5,188,400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4,281,481</w:t>
            </w:r>
          </w:p>
        </w:tc>
      </w:tr>
      <w:tr>
        <w:trPr>
          <w:trHeight w:val="254"/>
        </w:trPr>
        <w:tc>
          <w:tcPr>
            <w:tcW w:w="52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3,388,186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3,177,576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2,669,599</w:t>
            </w: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556,128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506,650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456,918</w:t>
            </w: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205,537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208,603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171,661</w:t>
            </w: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95,779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87,656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84,071</w:t>
            </w: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38,293</w:t>
            </w: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Occupancy and equipment</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136,163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115,598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97,332</w:t>
            </w: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73,887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71,407</w:t>
            </w: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64,445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63,154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57,047</w:t>
            </w: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 and data processing</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46,322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44,941</w:t>
            </w: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114,546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119,278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96,210</w:t>
            </w:r>
          </w:p>
        </w:tc>
      </w:tr>
      <w:tr>
        <w:trPr>
          <w:trHeight w:val="250"/>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1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4,749,864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4,470,740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3,787,479</w:t>
            </w:r>
          </w:p>
        </w:tc>
      </w:tr>
      <w:tr>
        <w:trPr>
          <w:trHeight w:val="247"/>
        </w:trPr>
        <w:tc>
          <w:tcPr>
            <w:tcW w:w="5220" w:type="dxa"/>
            <w:vAlign w:val="bottom"/>
          </w:tcPr>
          <w:p>
            <w:pPr>
              <w:ind w:left="360"/>
              <w:spacing w:after="0"/>
              <w:rPr>
                <w:sz w:val="20"/>
                <w:szCs w:val="20"/>
                <w:color w:val="auto"/>
              </w:rPr>
            </w:pPr>
            <w:r>
              <w:rPr>
                <w:rFonts w:ascii="Arial" w:cs="Arial" w:eastAsia="Arial" w:hAnsi="Arial"/>
                <w:sz w:val="16"/>
                <w:szCs w:val="16"/>
                <w:color w:val="auto"/>
              </w:rPr>
              <w:t>Non-operating interest expense and other</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125,023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107,025</w:t>
            </w:r>
          </w:p>
        </w:tc>
      </w:tr>
      <w:tr>
        <w:trPr>
          <w:trHeight w:val="273"/>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1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22,407</w:t>
            </w:r>
          </w:p>
        </w:tc>
      </w:tr>
      <w:tr>
        <w:trPr>
          <w:trHeight w:val="247"/>
        </w:trPr>
        <w:tc>
          <w:tcPr>
            <w:tcW w:w="52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11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741,835</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592,637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364,570</w:t>
            </w:r>
          </w:p>
        </w:tc>
      </w:tr>
      <w:tr>
        <w:trPr>
          <w:trHeight w:val="273"/>
        </w:trPr>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11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181,955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153,178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125,707</w:t>
            </w:r>
          </w:p>
        </w:tc>
      </w:tr>
      <w:tr>
        <w:trPr>
          <w:trHeight w:val="307"/>
        </w:trPr>
        <w:tc>
          <w:tcPr>
            <w:tcW w:w="52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15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559,880</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439,459</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238,863</w:t>
            </w:r>
          </w:p>
        </w:tc>
      </w:tr>
      <w:tr>
        <w:trPr>
          <w:trHeight w:val="254"/>
        </w:trPr>
        <w:tc>
          <w:tcPr>
            <w:tcW w:w="52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EARNINGS PER SHARE (Note 17)</w:t>
            </w:r>
          </w:p>
        </w:tc>
        <w:tc>
          <w:tcPr>
            <w:tcW w:w="11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9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Earnings per share, basic</w:t>
            </w:r>
          </w:p>
        </w:tc>
        <w:tc>
          <w:tcPr>
            <w:tcW w:w="11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w:t>
            </w:r>
          </w:p>
        </w:tc>
      </w:tr>
      <w:tr>
        <w:trPr>
          <w:trHeight w:val="224"/>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Earnings per share, diluted</w:t>
            </w:r>
          </w:p>
        </w:tc>
        <w:tc>
          <w:tcPr>
            <w:tcW w:w="15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82,552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88,119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90,002</w:t>
            </w:r>
          </w:p>
        </w:tc>
      </w:tr>
      <w:tr>
        <w:trPr>
          <w:trHeight w:val="224"/>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1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90,619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92,115</w:t>
            </w: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14" w:right="259"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559,880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238,863</w:t>
            </w:r>
          </w:p>
        </w:tc>
      </w:tr>
      <w:tr>
        <w:trPr>
          <w:trHeight w:val="260"/>
        </w:trPr>
        <w:tc>
          <w:tcPr>
            <w:tcW w:w="74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8"/>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Unrealized gain on cash flow hedges, net of tax expense of $0, $0, and $187 for the years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4"/>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ended December 31, 2019, 2018, and 2017, respectively</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r>
      <w:tr>
        <w:trPr>
          <w:trHeight w:val="218"/>
        </w:trPr>
        <w:tc>
          <w:tcPr>
            <w:tcW w:w="7420" w:type="dxa"/>
            <w:vAlign w:val="bottom"/>
          </w:tcPr>
          <w:p>
            <w:pPr>
              <w:ind w:left="520"/>
              <w:spacing w:after="0"/>
              <w:rPr>
                <w:sz w:val="20"/>
                <w:szCs w:val="20"/>
                <w:color w:val="auto"/>
              </w:rPr>
            </w:pPr>
            <w:r>
              <w:rPr>
                <w:rFonts w:ascii="Arial" w:cs="Arial" w:eastAsia="Arial" w:hAnsi="Arial"/>
                <w:sz w:val="16"/>
                <w:szCs w:val="16"/>
                <w:color w:val="auto"/>
              </w:rPr>
              <w:t>Reclassification adjustment for realized gain on cash flow hedges included in professional</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7420" w:type="dxa"/>
            <w:vAlign w:val="bottom"/>
          </w:tcPr>
          <w:p>
            <w:pPr>
              <w:ind w:left="520"/>
              <w:spacing w:after="0"/>
              <w:rPr>
                <w:sz w:val="20"/>
                <w:szCs w:val="20"/>
                <w:color w:val="auto"/>
              </w:rPr>
            </w:pPr>
            <w:r>
              <w:rPr>
                <w:rFonts w:ascii="Arial" w:cs="Arial" w:eastAsia="Arial" w:hAnsi="Arial"/>
                <w:sz w:val="16"/>
                <w:szCs w:val="16"/>
                <w:color w:val="auto"/>
              </w:rPr>
              <w:t>services in the consolidated statements of income, net of tax expense of $0, $0, and $406 for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8"/>
        </w:trPr>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the years ended December 31, 2019, 2018, and 2017, respectively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250"/>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comprehensive loss, net of tax</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40"/>
        </w:trPr>
        <w:tc>
          <w:tcPr>
            <w:tcW w:w="74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559,880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238,548</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314" w:right="259" w:bottom="1440" w:gutter="0" w:footer="0" w:header="0"/>
        </w:sectPr>
      </w:pPr>
    </w:p>
    <w:bookmarkStart w:id="68" w:name="page69"/>
    <w:bookmarkEnd w:id="6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5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590,209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511,096</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Cash segregated under federal and other regulations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822,697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985,195</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65,828</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Receivables from:</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Clients,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433,986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412,944</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177,654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166,793</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Advisor loans,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441,743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298,821</w:t>
            </w:r>
          </w:p>
        </w:tc>
        <w:tc>
          <w:tcPr>
            <w:tcW w:w="0" w:type="dxa"/>
            <w:vAlign w:val="bottom"/>
          </w:tcPr>
          <w:p>
            <w:pPr>
              <w:spacing w:after="0"/>
              <w:rPr>
                <w:sz w:val="1"/>
                <w:szCs w:val="1"/>
                <w:color w:val="auto"/>
              </w:rPr>
            </w:pPr>
          </w:p>
        </w:tc>
      </w:tr>
      <w:tr>
        <w:trPr>
          <w:trHeight w:val="260"/>
        </w:trPr>
        <w:tc>
          <w:tcPr>
            <w:tcW w:w="8520" w:type="dxa"/>
            <w:vAlign w:val="bottom"/>
          </w:tcPr>
          <w:p>
            <w:pPr>
              <w:ind w:left="100"/>
              <w:spacing w:after="0"/>
              <w:rPr>
                <w:sz w:val="20"/>
                <w:szCs w:val="20"/>
                <w:color w:val="auto"/>
              </w:rPr>
            </w:pPr>
            <w:r>
              <w:rPr>
                <w:rFonts w:ascii="Arial" w:cs="Arial" w:eastAsia="Arial" w:hAnsi="Arial"/>
                <w:sz w:val="16"/>
                <w:szCs w:val="16"/>
                <w:color w:val="auto"/>
              </w:rPr>
              <w:t>Others, net</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298,790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248,711</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Trading — at fair value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46,447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29,267</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Held-to-maturity</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Securities borrowed</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4,829</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533,044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461,418</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102,477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1,503,648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1,490,247</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439,838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484,171</w:t>
            </w:r>
          </w:p>
        </w:tc>
        <w:tc>
          <w:tcPr>
            <w:tcW w:w="0" w:type="dxa"/>
            <w:vAlign w:val="bottom"/>
          </w:tcPr>
          <w:p>
            <w:pPr>
              <w:spacing w:after="0"/>
              <w:rPr>
                <w:sz w:val="1"/>
                <w:szCs w:val="1"/>
                <w:color w:val="auto"/>
              </w:rPr>
            </w:pPr>
          </w:p>
        </w:tc>
      </w:tr>
      <w:tr>
        <w:trPr>
          <w:trHeight w:val="27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401,343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305,147</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5,880,238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5,477,468</w:t>
            </w:r>
          </w:p>
        </w:tc>
        <w:tc>
          <w:tcPr>
            <w:tcW w:w="0" w:type="dxa"/>
            <w:vAlign w:val="bottom"/>
          </w:tcPr>
          <w:p>
            <w:pPr>
              <w:spacing w:after="0"/>
              <w:rPr>
                <w:sz w:val="1"/>
                <w:szCs w:val="1"/>
                <w:color w:val="auto"/>
              </w:rPr>
            </w:pPr>
          </w:p>
        </w:tc>
      </w:tr>
      <w:tr>
        <w:trPr>
          <w:trHeight w:val="20"/>
        </w:trPr>
        <w:tc>
          <w:tcPr>
            <w:tcW w:w="85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5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Drafts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218,636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225,034</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Payables to clients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1,058,873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950,946</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92,002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76,180</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174,330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164,211</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557,969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478,644</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20,129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32,990</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Unearned revenue</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82,842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80,524</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borrowings,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2,398,818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2,371,808</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141,900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Finance lease liabilities</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108,592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Leasehold financing and capital lease obligations</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104,564</w:t>
            </w:r>
          </w:p>
        </w:tc>
        <w:tc>
          <w:tcPr>
            <w:tcW w:w="0" w:type="dxa"/>
            <w:vAlign w:val="bottom"/>
          </w:tcPr>
          <w:p>
            <w:pPr>
              <w:spacing w:after="0"/>
              <w:rPr>
                <w:sz w:val="1"/>
                <w:szCs w:val="1"/>
                <w:color w:val="auto"/>
              </w:rPr>
            </w:pPr>
          </w:p>
        </w:tc>
      </w:tr>
      <w:tr>
        <w:trPr>
          <w:trHeight w:val="273"/>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 net</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18,325</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4,856,365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4,503,395</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Common stock, $0.001 par value; 600,000,000 shares authorized; 126,494,028 shares and 124,909,796 shares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at December 31, 2019 and 2018, respectively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0"/>
        </w:trPr>
        <w:tc>
          <w:tcPr>
            <w:tcW w:w="85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1,703,973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1,634,337</w:t>
            </w: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46,259,989 shares and 39,820,646 shares at December 31, 2019 and 2018,</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(2,234,793)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(1,730,535)</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1,554,567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1,070,146</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1,023,873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974,073</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5,880,238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5,477,468</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3980"/>
              <w:spacing w:after="0"/>
              <w:rPr>
                <w:sz w:val="20"/>
                <w:szCs w:val="20"/>
                <w:color w:val="auto"/>
              </w:rPr>
            </w:pPr>
            <w:r>
              <w:rPr>
                <w:rFonts w:ascii="Arial" w:cs="Arial" w:eastAsia="Arial" w:hAnsi="Arial"/>
                <w:sz w:val="16"/>
                <w:szCs w:val="16"/>
                <w:color w:val="auto"/>
              </w:rPr>
              <w:t>See notes to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314" w:right="259" w:bottom="1440" w:gutter="0" w:footer="0" w:header="0"/>
        </w:sectPr>
      </w:pP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360"/>
          </w:cols>
          <w:pgMar w:left="280" w:top="314" w:right="259" w:bottom="1440" w:gutter="0" w:footer="0" w:header="0"/>
          <w:type w:val="continuous"/>
        </w:sectPr>
      </w:pPr>
    </w:p>
    <w:bookmarkStart w:id="69" w:name="page70"/>
    <w:bookmarkEnd w:id="69"/>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0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Accumulated 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Income (Loss)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2016</w:t>
            </w:r>
          </w:p>
        </w:tc>
        <w:tc>
          <w:tcPr>
            <w:tcW w:w="9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119,918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1,445,256</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(1,194,645)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569,949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820,995</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loss, net of tax expense</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238,863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238,548</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(113,728)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(113,728)</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(90,273)</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940" w:type="dxa"/>
            <w:vAlign w:val="bottom"/>
          </w:tcPr>
          <w:p>
            <w:pPr>
              <w:jc w:val="right"/>
              <w:ind w:right="44"/>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82,339</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84,405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28,522</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28,522</w:t>
            </w: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4"/>
                <w:szCs w:val="14"/>
                <w:color w:val="auto"/>
              </w:rPr>
              <w:t>BALANCE — December 31, 2017</w:t>
            </w:r>
          </w:p>
        </w:tc>
        <w:tc>
          <w:tcPr>
            <w:tcW w:w="940" w:type="dxa"/>
            <w:vAlign w:val="bottom"/>
          </w:tcPr>
          <w:p>
            <w:pPr>
              <w:jc w:val="right"/>
              <w:ind w:right="44"/>
              <w:spacing w:after="0"/>
              <w:rPr>
                <w:sz w:val="20"/>
                <w:szCs w:val="20"/>
                <w:color w:val="auto"/>
              </w:rPr>
            </w:pPr>
            <w:r>
              <w:rPr>
                <w:rFonts w:ascii="Arial" w:cs="Arial" w:eastAsia="Arial" w:hAnsi="Arial"/>
                <w:sz w:val="14"/>
                <w:szCs w:val="14"/>
                <w:color w:val="auto"/>
              </w:rPr>
              <w:t>123,030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4"/>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1,556,117</w:t>
            </w:r>
          </w:p>
        </w:tc>
        <w:tc>
          <w:tcPr>
            <w:tcW w:w="1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33,262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(1,309,568)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718,336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965,008</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net of tax expense</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439,459</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Issuance of common stock to settle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restricted stock units</w:t>
            </w:r>
          </w:p>
        </w:tc>
        <w:tc>
          <w:tcPr>
            <w:tcW w:w="940" w:type="dxa"/>
            <w:vAlign w:val="bottom"/>
          </w:tcPr>
          <w:p>
            <w:pPr>
              <w:jc w:val="right"/>
              <w:ind w:right="44"/>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(4,843)</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(417,891)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(88,360)</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49,058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51,538</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29,162</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29,162</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2018</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124,910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1,634,337</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(1,730,535)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1,070,146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974,073</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net of tax expense</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559,880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559,880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effect of accounting</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w:t>
            </w: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Issuance of common stock to settle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restricted stock units</w:t>
            </w:r>
          </w:p>
        </w:tc>
        <w:tc>
          <w:tcPr>
            <w:tcW w:w="940" w:type="dxa"/>
            <w:vAlign w:val="bottom"/>
          </w:tcPr>
          <w:p>
            <w:pPr>
              <w:jc w:val="right"/>
              <w:ind w:right="44"/>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(5,863)</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(500,370)</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(82,597)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(82,597)</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36,772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40,162</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32,864</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32,864</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2019</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126,494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1,703,973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(2,234,793)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1,554,567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1,023,873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14" w:right="239"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7100" w:type="dxa"/>
            <w:vAlign w:val="bottom"/>
            <w:vMerge w:val="restart"/>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559,880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238,863</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95,779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87,656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84,071</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65,334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38,293</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28,522</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6,698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2,789</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22,407</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92,502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71,520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53,660</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5,447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(8,295)</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(21,085)</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Advisor loans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(235,499)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(152,227)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(79,703)</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(32,618)</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Operating leases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(23,156)</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39,105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(12,910)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99,126</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15,822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18,619</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87,210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66,404</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9,437</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623,871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581,580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453,306</w:t>
            </w:r>
          </w:p>
        </w:tc>
        <w:tc>
          <w:tcPr>
            <w:tcW w:w="0" w:type="dxa"/>
            <w:vAlign w:val="bottom"/>
          </w:tcPr>
          <w:p>
            <w:pPr>
              <w:spacing w:after="0"/>
              <w:rPr>
                <w:sz w:val="1"/>
                <w:szCs w:val="1"/>
                <w:color w:val="auto"/>
              </w:rPr>
            </w:pPr>
          </w:p>
        </w:tc>
      </w:tr>
      <w:tr>
        <w:trPr>
          <w:trHeight w:val="324"/>
        </w:trPr>
        <w:tc>
          <w:tcPr>
            <w:tcW w:w="7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(160,321)</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(5,969)</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64"/>
        </w:trPr>
        <w:tc>
          <w:tcPr>
            <w:tcW w:w="7100" w:type="dxa"/>
            <w:vAlign w:val="bottom"/>
          </w:tcPr>
          <w:p>
            <w:pPr>
              <w:ind w:left="360"/>
              <w:spacing w:after="0"/>
              <w:rPr>
                <w:sz w:val="20"/>
                <w:szCs w:val="20"/>
                <w:color w:val="auto"/>
              </w:rPr>
            </w:pPr>
            <w:r>
              <w:rPr>
                <w:rFonts w:ascii="Arial" w:cs="Arial" w:eastAsia="Arial" w:hAnsi="Arial"/>
                <w:sz w:val="16"/>
                <w:szCs w:val="16"/>
                <w:color w:val="auto"/>
              </w:rPr>
              <w:t>National Planning Holdings acquisition</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(162,500)</w:t>
            </w:r>
          </w:p>
        </w:tc>
        <w:tc>
          <w:tcPr>
            <w:tcW w:w="0" w:type="dxa"/>
            <w:vAlign w:val="bottom"/>
          </w:tcPr>
          <w:p>
            <w:pPr>
              <w:spacing w:after="0"/>
              <w:rPr>
                <w:sz w:val="1"/>
                <w:szCs w:val="1"/>
                <w:color w:val="auto"/>
              </w:rPr>
            </w:pPr>
          </w:p>
        </w:tc>
      </w:tr>
      <w:tr>
        <w:trPr>
          <w:trHeight w:val="257"/>
        </w:trPr>
        <w:tc>
          <w:tcPr>
            <w:tcW w:w="71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(180,987)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(161,753)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(437,688)</w:t>
            </w:r>
          </w:p>
        </w:tc>
        <w:tc>
          <w:tcPr>
            <w:tcW w:w="0" w:type="dxa"/>
            <w:vAlign w:val="bottom"/>
          </w:tcPr>
          <w:p>
            <w:pPr>
              <w:spacing w:after="0"/>
              <w:rPr>
                <w:sz w:val="1"/>
                <w:szCs w:val="1"/>
                <w:color w:val="auto"/>
              </w:rPr>
            </w:pPr>
          </w:p>
        </w:tc>
      </w:tr>
      <w:tr>
        <w:trPr>
          <w:trHeight w:val="213"/>
        </w:trPr>
        <w:tc>
          <w:tcPr>
            <w:tcW w:w="7100" w:type="dxa"/>
            <w:vAlign w:val="bottom"/>
          </w:tcPr>
          <w:p>
            <w:pPr>
              <w:ind w:left="4700"/>
              <w:spacing w:after="0"/>
              <w:rPr>
                <w:sz w:val="20"/>
                <w:szCs w:val="20"/>
                <w:color w:val="auto"/>
              </w:rPr>
            </w:pPr>
            <w:r>
              <w:rPr>
                <w:rFonts w:ascii="Arial" w:cs="Arial" w:eastAsia="Arial" w:hAnsi="Arial"/>
                <w:sz w:val="16"/>
                <w:szCs w:val="16"/>
                <w:color w:val="auto"/>
              </w:rPr>
              <w:t>Continued on following page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523,000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(411,250)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(2,405,360)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senior secured term loans and senior notes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2,611,593</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Payment of debt issuance costs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(23,798)</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(500,370)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(417,891)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(113,728)</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(90,273)</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40,162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51,538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84,405</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 of finance leases and obligations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314" w:right="2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(483,363)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51,429</w:t>
            </w:r>
          </w:p>
        </w:tc>
        <w:tc>
          <w:tcPr>
            <w:tcW w:w="0" w:type="dxa"/>
            <w:vAlign w:val="bottom"/>
          </w:tcPr>
          <w:p>
            <w:pPr>
              <w:spacing w:after="0"/>
              <w:rPr>
                <w:sz w:val="1"/>
                <w:szCs w:val="1"/>
                <w:color w:val="auto"/>
              </w:rPr>
            </w:pPr>
          </w:p>
        </w:tc>
      </w:tr>
      <w:tr>
        <w:trPr>
          <w:trHeight w:val="47"/>
        </w:trPr>
        <w:tc>
          <w:tcPr>
            <w:tcW w:w="7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67,047</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CASH EQUIVALENTS AND RESTRICTED CASH — Beginning of year</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1,562,119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1,625,655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1,558,608</w:t>
            </w: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CASH EQUIVALENTS AND RESTRICTED CASH — End of year</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1,471,778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1,562,119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1,625,655</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126,949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123,623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Income taxes paid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213,339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122,215</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139,200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13,736</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20,634</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16,096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and capital lease obligations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Lease assets obtained in exchange for operating lease liabilities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108,879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Fixed assets obtained in exchange for finance lease liabilities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7100" w:type="dxa"/>
            <w:vAlign w:val="bottom"/>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5,040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1" w:right="239"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provides a reconciliation of cash, cash equivalent, and restricted cash reported within the consolidated statements of financial condition that sum to the total of the same such amounts shown in the consolidated statements of cash flows.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7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590,209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511,096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811,136</w:t>
            </w:r>
          </w:p>
        </w:tc>
        <w:tc>
          <w:tcPr>
            <w:tcW w:w="0" w:type="dxa"/>
            <w:vAlign w:val="bottom"/>
          </w:tcPr>
          <w:p>
            <w:pPr>
              <w:spacing w:after="0"/>
              <w:rPr>
                <w:sz w:val="1"/>
                <w:szCs w:val="1"/>
                <w:color w:val="auto"/>
              </w:rPr>
            </w:pPr>
          </w:p>
        </w:tc>
      </w:tr>
      <w:tr>
        <w:trPr>
          <w:trHeight w:val="224"/>
        </w:trPr>
        <w:tc>
          <w:tcPr>
            <w:tcW w:w="7100" w:type="dxa"/>
            <w:vAlign w:val="bottom"/>
          </w:tcPr>
          <w:p>
            <w:pPr>
              <w:ind w:left="40"/>
              <w:spacing w:after="0"/>
              <w:rPr>
                <w:sz w:val="20"/>
                <w:szCs w:val="20"/>
                <w:color w:val="auto"/>
              </w:rPr>
            </w:pPr>
            <w:r>
              <w:rPr>
                <w:rFonts w:ascii="Arial" w:cs="Arial" w:eastAsia="Arial" w:hAnsi="Arial"/>
                <w:sz w:val="16"/>
                <w:szCs w:val="16"/>
                <w:color w:val="auto"/>
              </w:rPr>
              <w:t>Cash segregated under federal and other regulations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822,697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985,195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763,831</w:t>
            </w: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58,872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65,828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50,688</w:t>
            </w:r>
          </w:p>
        </w:tc>
        <w:tc>
          <w:tcPr>
            <w:tcW w:w="0" w:type="dxa"/>
            <w:vAlign w:val="bottom"/>
          </w:tcPr>
          <w:p>
            <w:pPr>
              <w:spacing w:after="0"/>
              <w:rPr>
                <w:sz w:val="1"/>
                <w:szCs w:val="1"/>
                <w:color w:val="auto"/>
              </w:rPr>
            </w:pPr>
          </w:p>
        </w:tc>
      </w:tr>
      <w:tr>
        <w:trPr>
          <w:trHeight w:val="198"/>
        </w:trPr>
        <w:tc>
          <w:tcPr>
            <w:tcW w:w="7100" w:type="dxa"/>
            <w:vAlign w:val="bottom"/>
          </w:tcPr>
          <w:p>
            <w:pPr>
              <w:ind w:left="360"/>
              <w:spacing w:after="0"/>
              <w:rPr>
                <w:sz w:val="20"/>
                <w:szCs w:val="20"/>
                <w:color w:val="auto"/>
              </w:rPr>
            </w:pPr>
            <w:r>
              <w:rPr>
                <w:rFonts w:ascii="Arial" w:cs="Arial" w:eastAsia="Arial" w:hAnsi="Arial"/>
                <w:sz w:val="16"/>
                <w:szCs w:val="16"/>
                <w:color w:val="auto"/>
              </w:rPr>
              <w:t>Total cash, cash equivalents, and restricted cash shown in the consolidated statements of</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1,471,778</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1,562,119</w:t>
            </w:r>
          </w:p>
        </w:tc>
        <w:tc>
          <w:tcPr>
            <w:tcW w:w="120" w:type="dxa"/>
            <w:vAlign w:val="bottom"/>
          </w:tcPr>
          <w:p>
            <w:pPr>
              <w:spacing w:after="0"/>
              <w:rPr>
                <w:sz w:val="17"/>
                <w:szCs w:val="17"/>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1,625,655</w:t>
            </w:r>
          </w:p>
        </w:tc>
        <w:tc>
          <w:tcPr>
            <w:tcW w:w="0" w:type="dxa"/>
            <w:vAlign w:val="bottom"/>
          </w:tcPr>
          <w:p>
            <w:pPr>
              <w:spacing w:after="0"/>
              <w:rPr>
                <w:sz w:val="1"/>
                <w:szCs w:val="1"/>
                <w:color w:val="auto"/>
              </w:rPr>
            </w:pPr>
          </w:p>
        </w:tc>
      </w:tr>
      <w:tr>
        <w:trPr>
          <w:trHeight w:val="203"/>
        </w:trPr>
        <w:tc>
          <w:tcPr>
            <w:tcW w:w="7100" w:type="dxa"/>
            <w:vAlign w:val="bottom"/>
          </w:tcPr>
          <w:p>
            <w:pPr>
              <w:ind w:left="520"/>
              <w:spacing w:after="0"/>
              <w:rPr>
                <w:sz w:val="20"/>
                <w:szCs w:val="20"/>
                <w:color w:val="auto"/>
              </w:rPr>
            </w:pPr>
            <w:r>
              <w:rPr>
                <w:rFonts w:ascii="Arial" w:cs="Arial" w:eastAsia="Arial" w:hAnsi="Arial"/>
                <w:sz w:val="16"/>
                <w:szCs w:val="16"/>
                <w:color w:val="auto"/>
              </w:rPr>
              <w:t>cash flows</w:t>
            </w: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14" w:right="239" w:bottom="1440" w:gutter="0" w:footer="0" w:header="0"/>
        </w:sectPr>
      </w:pPr>
    </w:p>
    <w:bookmarkStart w:id="73" w:name="page74"/>
    <w:bookmarkEnd w:id="73"/>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provides an integrated platform of brokerage and investment advisory services to independent financial advisors and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advisors at financial institutions (collectively, “advisors”) in the United States. Through its custody and clearing platform, using both proprietary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third-party technology, the Company provides access to diversified financial products and services, enabling its advisors to offer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financial advice and brokerage services to retail investors (their “clients”).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234" w:lineRule="exact"/>
        <w:rPr>
          <w:sz w:val="20"/>
          <w:szCs w:val="20"/>
          <w:color w:val="auto"/>
        </w:rPr>
      </w:pPr>
    </w:p>
    <w:p>
      <w:pPr>
        <w:ind w:right="320" w:firstLine="486"/>
        <w:spacing w:after="0" w:line="255"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(“LPL Financial”), AW Subsidiary, Inc., LPL Employee Services, LLC, Fortigent Holdings Company, Inc. and LPL Insurance Associates, Inc. (“LPLIA”), as well as a series captive insurance subsidiary (the “Captive Insurance Subsidiary”) that underwrites insurance for various legal and regulatory risks of the Company.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w:t>
      </w:r>
    </w:p>
    <w:p>
      <w:pPr>
        <w:spacing w:after="0" w:line="20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LPL Financial, with primary offices in San Diego, California; Fort Mill, South Carolina; and Boston, Massachusetts,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20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Fortigent Holdings Company, Inc. and its subsidiaries provide solutions and consulting services to registered investment advisers, banks, and trust companies serving high-net-worth clients.</w:t>
      </w:r>
    </w:p>
    <w:p>
      <w:pPr>
        <w:spacing w:after="0" w:line="196"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and disability insurance products and services for LPL Financial advisors.</w:t>
      </w:r>
    </w:p>
    <w:p>
      <w:pPr>
        <w:spacing w:after="0" w:line="1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AW Subsidiary, Inc. is a holding company for AdvisoryWorld, which offers technology products, including proposal generation, investment analytics and portfolio modeling, to both the Company’s advisors and external clients in the wealth management industry.</w:t>
      </w:r>
    </w:p>
    <w:p>
      <w:pPr>
        <w:spacing w:after="0" w:line="18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(“IRA”) custodial services for LPL Financial.</w:t>
      </w:r>
    </w:p>
    <w:p>
      <w:pPr>
        <w:spacing w:after="0" w:line="195"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LPL Employee Services, LLC is a holding company for Allen &amp; Company of Florida, LLC (“Allen &amp; Company”), a broker-dealer and registered investment adviser.</w:t>
      </w:r>
    </w:p>
    <w:p>
      <w:pPr>
        <w:spacing w:after="0" w:line="228"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These consolidated financial statements are prepared in accordance with accounting principles generally accepted in the United States (“GAAP”), which require the Company to make estimates and assumptions regarding the valuation of certain financial instruments, intangible assets, allowance for doubtful accounts,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These consolidated financial statements include the accounts of LPLFH and its subsidiaries. Intercompany transactions and balances have been eliminated.</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314" w:right="259" w:bottom="1440" w:gutter="0" w:footer="0" w:header="0"/>
        </w:sectPr>
      </w:pPr>
    </w:p>
    <w:bookmarkStart w:id="74" w:name="page75"/>
    <w:bookmarkEnd w:id="74"/>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Management has determined that the Company operates in one segment, given the similarities in economic characteristics between its operations and the common nature of its products and services, production and distribution process, and regulatory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 xml:space="preserve">Revenues are recognized when control of the promised services is transferred to customers, in an amount that reflects the consideration the Company expects to be entitled to in exchange for those services. For additional information, see Note 3.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records compensation and benefits expense for all cash and deferred compensation, benefits, and related taxes as earned by its employees. Compensation and benefits expense also includes fees earned by temporary employees and contractors who perform similar services to those performed by the Company’s employees, primarily software development and project management activities.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00" w:firstLine="486"/>
        <w:spacing w:after="0" w:line="250" w:lineRule="auto"/>
        <w:rPr>
          <w:sz w:val="20"/>
          <w:szCs w:val="20"/>
          <w:color w:val="auto"/>
        </w:rPr>
      </w:pPr>
      <w:r>
        <w:rPr>
          <w:rFonts w:ascii="Arial" w:cs="Arial" w:eastAsia="Arial" w:hAnsi="Arial"/>
          <w:sz w:val="18"/>
          <w:szCs w:val="18"/>
          <w:color w:val="auto"/>
        </w:rPr>
        <w:t>Certain employees, officers, directors, advisors, and financial institutions of the Company participate in various long-term incentive plans that provide for granting stock options, warrants, restricted stock awards, restricted stock units, deferred stock units and performance stock units. Stock options, warrants and restricted stock units generally vest in equal increments over a three-year period and expire on the</w:t>
      </w:r>
    </w:p>
    <w:p>
      <w:pPr>
        <w:spacing w:after="0" w:line="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tenth anniversary following the date of grant. Restricted stock awards and deferred stock units generally vest over a one-year period, and performance stock units generally vest in full at the end of a three-year performance period.</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compensation and benefits expense on the consolidated statements of income. The fair value of stock options is estimated using a Black-Scholes valuation model on the date of grant. The fair value of restricted stock awards, restricted stock units, and deferred stock units is equal to the closing price of the Company’s stock on the date of grant. The fair value of performance stock units is estimated using a Monte-Carlo simulation model on the date of grant. Share-based compensation is recognized over the requisite service period of the individual awards, which generally equals the vesting period.</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recognizes share -based compensation for equity awards granted to advisors and financial institutions as commissions and advisory expense on the consolidated statements of income. The fair value of restricted stock units is equal to the closing price of the Company’s stock on the date of grant. Share-based compensation is recognized over the requisite service period of the individual awards, which generally equals the vesting period.</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The Company also makes assumptions regarding the number of stock options, warrants, restricted stock awards, restricted stock units, deferred stock units and performance stock units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 See Note 16.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additional information regarding share-based compensation for equity awards granted.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common shareholders by the basic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preparing the consolidated financial statements, the Company estimates income tax expense based on various jurisdictions where it conducts business. The Company then must assess the likelihood that the deferred tax assets will be realized. A valuation allowance is established to the extent that it is more-likely-than-not that such</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314" w:right="239" w:bottom="1440" w:gutter="0" w:footer="0" w:header="0"/>
        </w:sectPr>
      </w:pPr>
    </w:p>
    <w:bookmarkStart w:id="75" w:name="page76"/>
    <w:bookmarkEnd w:id="75"/>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deferred tax assets will not be realized. When the Company establishes a valuation allowance or modifies the existing allowance in a certain reporting period, it generally records a corresponding increase or decrease to tax expense in the consolidated statements of income.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 Income tax credits are accounted for using the flow-through method as a reduction of income tax in the years utilized.</w:t>
      </w:r>
    </w:p>
    <w:p>
      <w:pPr>
        <w:spacing w:after="0" w:line="206"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Cash equivalents are highly liquid investments with an original maturity of 90 days or less that are not required to be segregated under federal or other regulations. The Company’s cash and cash equivalents are composed of interest and noninterest-bearing deposits, money market funds, and U.S. government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Segregated Under Federal and Other Regulations</w:t>
      </w:r>
    </w:p>
    <w:p>
      <w:pPr>
        <w:spacing w:after="0" w:line="24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Company’s subsidiary, LPL Financial, is required to maintain cash or qualified securities in a segregated reserve account for the exclusive benefit of its customers in accordance with Rule 15c3-3 of the Securities Exchange Act of 1934, as amended (the “Exchange Act”), and other regulations. Held within this account is approximately $100,000 for the proprietary accounts of broker-dealers.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cash primarily represents cash held by and for use by the Captive Insurance Subsidiary.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and Payables to Clients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Receivables from clients include amounts due on cash and margin transactions. The Company extends credit to clients of its advisors to finance their purchases of securities on margin and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The Company pays interest on certain client payable balances. At December 31, 2019 and 2018, $1,014.7 million and $935.5 million, respectively, of the balance represent free credit balances that are held pending re-investment by the clients.</w:t>
      </w:r>
    </w:p>
    <w:p>
      <w:pPr>
        <w:spacing w:after="0" w:line="209"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Receivables from clients are generally fully secured by securities held in the clients’ account. To the extent that margin loans and other receivables from clients are not fully collateralized by client securities, management establishes an allowance that it believes is sufficient to cover any probable losses. When establishing this allowance, management considers a number of factors, including its ability to collect from the client or the client’s advisor and the Company’s historical experience in collecting on such transactions.</w:t>
      </w:r>
    </w:p>
    <w:p>
      <w:pPr>
        <w:spacing w:after="0" w:line="20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64"/>
        </w:trPr>
        <w:tc>
          <w:tcPr>
            <w:tcW w:w="84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257"/>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r>
      <w:tr>
        <w:trPr>
          <w:trHeight w:val="260"/>
        </w:trPr>
        <w:tc>
          <w:tcPr>
            <w:tcW w:w="8420" w:type="dxa"/>
            <w:vAlign w:val="bottom"/>
          </w:tcPr>
          <w:p>
            <w:pPr>
              <w:ind w:left="180"/>
              <w:spacing w:after="0"/>
              <w:rPr>
                <w:sz w:val="20"/>
                <w:szCs w:val="20"/>
                <w:color w:val="auto"/>
              </w:rPr>
            </w:pPr>
            <w:r>
              <w:rPr>
                <w:rFonts w:ascii="Arial" w:cs="Arial" w:eastAsia="Arial" w:hAnsi="Arial"/>
                <w:sz w:val="16"/>
                <w:szCs w:val="16"/>
                <w:color w:val="auto"/>
              </w:rPr>
              <w:t>Provision for bad debts, net of recoveries</w:t>
            </w: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3"/>
        </w:trPr>
        <w:tc>
          <w:tcPr>
            <w:tcW w:w="8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r>
      <w:tr>
        <w:trPr>
          <w:trHeight w:val="240"/>
        </w:trPr>
        <w:tc>
          <w:tcPr>
            <w:tcW w:w="8420" w:type="dxa"/>
            <w:vAlign w:val="bottom"/>
          </w:tcPr>
          <w:p>
            <w:pPr>
              <w:ind w:left="40"/>
              <w:spacing w:after="0"/>
              <w:rPr>
                <w:sz w:val="20"/>
                <w:szCs w:val="20"/>
                <w:color w:val="auto"/>
              </w:rPr>
            </w:pPr>
            <w:r>
              <w:rPr>
                <w:rFonts w:ascii="Arial" w:cs="Arial" w:eastAsia="Arial" w:hAnsi="Arial"/>
                <w:sz w:val="16"/>
                <w:szCs w:val="16"/>
                <w:color w:val="auto"/>
              </w:rPr>
              <w:t>Ending balance — December 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466</w:t>
            </w:r>
          </w:p>
        </w:tc>
      </w:tr>
      <w:tr>
        <w:trPr>
          <w:trHeight w:val="20"/>
        </w:trPr>
        <w:tc>
          <w:tcPr>
            <w:tcW w:w="8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14" w:right="27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314" w:right="279" w:bottom="1440" w:gutter="0" w:footer="0" w:header="0"/>
          <w:type w:val="continuous"/>
        </w:sectPr>
      </w:pPr>
    </w:p>
    <w:bookmarkStart w:id="76" w:name="page77"/>
    <w:bookmarkEnd w:id="76"/>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Loans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periodically extends credit to its advisors in the form of recruiting loans, commission advances, and other loans. The decisions to extend credit to advisors are generally based on the advisors’ credit history and their ability to generate future commissions. Certain loans made in connection with recruiting are forgivable over terms of up to ten years provided that the advisor remains licensed through LPL Financial. At December 31, 2019, $ 338.0 million of the advisor loan balance was forgivable. If an advisor terminates their arrangement with the Company prior to the forgivable loan term date, the remaining balance becomes due immediately. An allowance for uncollectible amounts is recorded using an analysis that takes into account the advisors’ registration status and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20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for advisor loans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64"/>
        </w:trPr>
        <w:tc>
          <w:tcPr>
            <w:tcW w:w="84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257"/>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1,852</w:t>
            </w:r>
          </w:p>
        </w:tc>
      </w:tr>
      <w:tr>
        <w:trPr>
          <w:trHeight w:val="260"/>
        </w:trPr>
        <w:tc>
          <w:tcPr>
            <w:tcW w:w="8460" w:type="dxa"/>
            <w:vAlign w:val="bottom"/>
          </w:tcPr>
          <w:p>
            <w:pPr>
              <w:ind w:left="180"/>
              <w:spacing w:after="0"/>
              <w:rPr>
                <w:sz w:val="20"/>
                <w:szCs w:val="20"/>
                <w:color w:val="auto"/>
              </w:rPr>
            </w:pPr>
            <w:r>
              <w:rPr>
                <w:rFonts w:ascii="Arial" w:cs="Arial" w:eastAsia="Arial" w:hAnsi="Arial"/>
                <w:sz w:val="16"/>
                <w:szCs w:val="16"/>
                <w:color w:val="auto"/>
              </w:rPr>
              <w:t>Provision for bad debts, net of recoveries</w:t>
            </w:r>
          </w:p>
        </w:tc>
        <w:tc>
          <w:tcPr>
            <w:tcW w:w="2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951</w:t>
            </w:r>
          </w:p>
        </w:tc>
      </w:tr>
      <w:tr>
        <w:trPr>
          <w:trHeight w:val="280"/>
        </w:trPr>
        <w:tc>
          <w:tcPr>
            <w:tcW w:w="8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w:t>
            </w:r>
          </w:p>
        </w:tc>
      </w:tr>
      <w:tr>
        <w:trPr>
          <w:trHeight w:val="264"/>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Reclassification from receivables from others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3,375</w:t>
            </w:r>
          </w:p>
        </w:tc>
      </w:tr>
      <w:tr>
        <w:trPr>
          <w:trHeight w:val="24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For the year ended December 31, 2017, the Company reclassified the provision for bad debt for advisor loans out of the provision for bad debt for receivables from others.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Others</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Receivables from others primarily consist of accrued fees from product sponsors and amounts due from advisors. Management maintains an allowance for uncollectible amounts using an aging analysis that takes into account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204"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64"/>
        </w:trPr>
        <w:tc>
          <w:tcPr>
            <w:tcW w:w="84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12,851</w:t>
            </w:r>
          </w:p>
        </w:tc>
      </w:tr>
      <w:tr>
        <w:trPr>
          <w:trHeight w:val="260"/>
        </w:trPr>
        <w:tc>
          <w:tcPr>
            <w:tcW w:w="8440" w:type="dxa"/>
            <w:vAlign w:val="bottom"/>
          </w:tcPr>
          <w:p>
            <w:pPr>
              <w:ind w:left="180"/>
              <w:spacing w:after="0"/>
              <w:rPr>
                <w:sz w:val="20"/>
                <w:szCs w:val="20"/>
                <w:color w:val="auto"/>
              </w:rPr>
            </w:pPr>
            <w:r>
              <w:rPr>
                <w:rFonts w:ascii="Arial" w:cs="Arial" w:eastAsia="Arial" w:hAnsi="Arial"/>
                <w:sz w:val="16"/>
                <w:szCs w:val="16"/>
                <w:color w:val="auto"/>
              </w:rPr>
              <w:t>Provision for bad debts, net of recoveries</w:t>
            </w:r>
          </w:p>
        </w:tc>
        <w:tc>
          <w:tcPr>
            <w:tcW w:w="20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1,853</w:t>
            </w:r>
          </w:p>
        </w:tc>
      </w:tr>
      <w:tr>
        <w:trPr>
          <w:trHeight w:val="280"/>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w:t>
            </w:r>
          </w:p>
        </w:tc>
      </w:tr>
      <w:tr>
        <w:trPr>
          <w:trHeight w:val="264"/>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Reclassification to advisor loans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r>
      <w:tr>
        <w:trPr>
          <w:trHeight w:val="24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Owned and Securities Sold, But Not Yet Purchased</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Securities owned and securities sold, but not yet purchased include trading and held-to-maturity securities. The Company generally classifies its investments in debt and equity instruments (including mutual funds, annuities, corporate bonds, government bonds, and municipal bonds) as trading securities, except for U.S. government notes held by PTC, which are classified as held-to-maturity securities. The Company has not classified any investments as available-for-sale. Investment classifications are subject to ongoing review and can change.</w:t>
      </w:r>
    </w:p>
    <w:p>
      <w:pPr>
        <w:spacing w:after="0" w:line="204"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Securities classified as trading are carried at fair value, while securities classified as held-to-maturity are carried at amortized cost. The Company uses prices obtained from independent third-party pricing services to measure the fair value of its trading securities. Prices received from the pricing services are validated using various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314" w:right="239" w:bottom="1440" w:gutter="0" w:footer="0" w:header="0"/>
        </w:sectPr>
      </w:pPr>
    </w:p>
    <w:bookmarkStart w:id="77" w:name="page78"/>
    <w:bookmarkEnd w:id="77"/>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2019, the Company did not adjust prices received from the independent third-party pricing services.</w:t>
      </w:r>
    </w:p>
    <w:p>
      <w:pPr>
        <w:spacing w:after="0" w:line="20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Interest income is accrued as earned. Premiums and discounts are amortized using a method that approximates the effective yield method over the term of the security and are recorded as an adjustment to the investment yield. The Company makes estimates about the fair value of investments and the timing for recognizing losses based on market conditions and other factors. If these estimates change, the Company may recognize additional losses. Both unrealized and realized gains and losses on trading securities are recognized in other revenue on a net basis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Securities borrowed are accounted for as collateralized financings and are recorded at contract value, representing the amount of cash provided for securities borrowed transactions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is adjusted when considered necessary to minimize the risk associated with this activity.</w:t>
      </w:r>
    </w:p>
    <w:p>
      <w:pPr>
        <w:spacing w:after="0" w:line="206"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auto"/>
        </w:rPr>
        <w:t>As of December 31, 2019, the contract and collateral market values of borrowed securities were $ 17.7 million and $ 17.2 million, respectively. As of December 31, 2018, the contract and collateral market values of borrowed securities were $4.8 million and $5.0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Internally developed software, leasehold improvements, computers and software, and furniture and equipment are recorded at historical cost, net of accumulated depreciation and amortization. Depreciation is recognized using the straight-line method over the estimated useful lives of the assets. The Company charges software development costs to operations as incurred during the preliminary project stage, while capitalizing costs at the point at which the conceptual formulation, design, and testing of possible software project alternatives are complete and management authorizes and commits to funding the project. The costs of internally developed software that qualify for capitalization are capitalized as fixed assets and subsequently amortized over the estimated useful life of the software, which is generally three years. The Company does not capitalize pilot projects or projects for which it believes that the future economic benefits are less than probable. Leasehold improvements are amortized over the lesser of their useful lives or the terms of the underlying leases. Computers and software, as well as furniture and equipment, are depreciated over a period of three to seven years. Land is not depreciated.</w:t>
      </w:r>
    </w:p>
    <w:p>
      <w:pPr>
        <w:spacing w:after="0" w:line="21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Management reviews fixed assets for impairment whenever events or changes in circumstances indicate the carrying amount of the assets may not be recoverable. No impairment occurred for the years ended December 31, 2019, 2018, and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these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314" w:right="259" w:bottom="1440" w:gutter="0" w:footer="0" w:header="0"/>
        </w:sectPr>
      </w:pPr>
    </w:p>
    <w:bookmarkStart w:id="78" w:name="page79"/>
    <w:bookmarkEnd w:id="78"/>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liabilities assumed, and pre-acquisition contingencies. These assumptions are based in part on historical experience, market data, and information obtained from the management of the acquired companies and are inherently uncertain. Examples of critical estimates in valuing certain of the intangible assets the Company has acquired include, but are not limited to: (i) future expected cash flows from assets and advisor relationships; and (ii) discount rates.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asset is more likely than not (i.e., a likelihood of more than 50%) less than its carrying amount, a quantitative impairment test will be performed. If goodwill or other indefinite-lived intangible assets are quantitatively assessed for impairment, a two-step approach is applied. The Company first compares the estimated fair value of the reporting unit or indefinite-lived intangible asset to its carrying value. The second step, if necessary, measures the amount of such impairment by comparing the implied fair value of the asset to its carrying value. No impairment of goodwill or other indefinite-lived intangible assets was recognized for the years ended December 31, 2019, 2018, or 2017.</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Intangible assets that are deemed to have definite lives are amortized over their useful lives, generally ranging from 5 to 20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 There was no impairment of definite-lived intangible assets recognized for the years ended December 31, 2019, 2018, or 2017. See Note 9.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additional information regarding the Company’s goodwill and other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Debt issuance and amendment costs have been capitalized and are being amortized as additional interest expense over the expected terms of the related debt agreements. Debt issuance costs are presented as a direct deduction from the carrying amount of the related debt liability. Costs incurred while obtaining the revolving credit facility are included in other assets and subsequently amortized ratably over the term of the revolving credit facility, regardless of whether there are any outstanding borrowings on the revolving credit facility.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which are carried at amortized cost. The Company measures the implied fair value of its debt instruments using trading levels obtained from a third-party service provider. Accordingly, the debt instruments qualify as Level 2 fair value measurements. See Note 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 regarding the Company’s fair value measurements. As of December 31, 2019, the carrying amount and fair value of the Company’s indebtedness was approximately $2,415.0 million and $2,476.0 million, respectively. As of December 31, 2018, the carrying amount and fair value was approximately $2,381.3 million and $2,271.9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 The Company has established an accrual for those legal proceedings and regulatory matters for which a loss is both probable and the amount can be reasonably estimated.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314" w:right="259" w:bottom="1440" w:gutter="0" w:footer="0" w:header="0"/>
        </w:sectPr>
      </w:pPr>
    </w:p>
    <w:bookmarkStart w:id="79" w:name="page80"/>
    <w:bookmarkEnd w:id="79"/>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The Company also accrues for losses at its Captive Insurance Subsidiary for those matters covered by self-insurance. The Captive Insurance Subsidiary records losses and loss reserve liabilities based on actuarially determined estimates of losses incurred, but not yet reported to the Company as well as specific reserves for proceedings and matters that are probable and estimable. The Captive Insurance Subsidiary is funded by payments from the Company’s other subsidiaries and has cash reserves to cover losses. Assessing the probability of a loss occurring and the timing and amount of any loss related to a legal proceeding or regulatory matter is inherently difficult and requires management to make significant judgments. For additional information,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“Legal &amp; Regulatory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 xml:space="preserve">Lease assets and lease liabilities are recognized based on the present value of the future lease payments over the lease term at the lease commencement date. The Company estimates its incremental borrowing rate based on information available at the commencement date in determining the present value of future payments. For additional information, see Note 12.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8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Prior to the adoption of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Company was involved in a build-to-suit lease arrangement in Fort Mill, South Carolina, under which it served as the construction agent on behalf of the landlord and bore substantially all of the risks and rewards of ownership. The Company was required to report the landlord’s costs of construction as a fixed asset during the construction period as if the Company owned such asset and an equal and off-setting leasehold financing obligation on the consolidated statements of financial condition. The construction was completed in October 2016 and it was determined that the asset did not qualify for sale-leaseback accounting treatment. As such, the Company accounted for this arrangement as a capital lease in which the asset was depreciated and the lease payments were recognized as a reduction of the financing obligation and interest expense over the lease term on the consolidated statements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entities to measure all expected credit losses for financial assets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reporting date based on historical experience, current conditions, and reasonable and supportable forecasts. ASU 2016-13 also requires additional disclosures regarding significant estimates and judgments used in estimating credit losses, as well as the credit quality and underwriting standards of an entity’s portfolio. The Company adopted the provisions of this guidance on January 1, 2020. The adoption had no material impact on the Company’s recognition of credit losses but will impact the Company’s disclosures.</w:t>
      </w:r>
    </w:p>
    <w:p>
      <w:pPr>
        <w:spacing w:after="0" w:line="23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ASU 2018-13 removes or modifies certain current disclosures, and requires additional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changes are meant to provide more relevant information regarding valuation techniques and inputs used to arrive at measures of fair value, uncertainty in the fair value measurements, and how changes in fair value measurements impact an entity’s performance and cash flows. Certain disclosures in ASU 2018-13 will need to be applied on a retrospective basis and others on a prospective basis. The Company adopted the provisions of this guidance on January 1, 2020. The adoption will not have a material impact on the Company’s related disclosures.</w:t>
      </w:r>
    </w:p>
    <w:p>
      <w:pPr>
        <w:spacing w:after="0" w:line="243"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 xml:space="preserve">In August 2018, the FASB issued ASU 2018 -15, </w:t>
      </w:r>
      <w:r>
        <w:rPr>
          <w:rFonts w:ascii="Arial" w:cs="Arial" w:eastAsia="Arial" w:hAnsi="Arial"/>
          <w:sz w:val="18"/>
          <w:szCs w:val="18"/>
          <w:i w:val="1"/>
          <w:iCs w:val="1"/>
          <w:color w:val="auto"/>
        </w:rPr>
        <w:t>Intangibles-Goodwill and Other-Internal-Use Software (Topic 350):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aligns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implement a cloud computing arrangement that is a service with the guidance on capitalizing costs for developing or obtaining internal-use software. The Company prospectively adopted the provisions of this guidance on January 1, 2020. The adoption had no material impact on the Company’s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new standard also requires disclosures that</w:t>
      </w:r>
    </w:p>
    <w:p>
      <w:pPr>
        <w:sectPr>
          <w:pgSz w:w="11900" w:h="16838" w:orient="portrait"/>
          <w:cols w:equalWidth="0" w:num="1">
            <w:col w:w="11420"/>
          </w:cols>
          <w:pgMar w:left="240" w:top="314"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314" w:right="239" w:bottom="1440" w:gutter="0" w:footer="0" w:header="0"/>
          <w:type w:val="continuous"/>
        </w:sectPr>
      </w:pPr>
    </w:p>
    <w:bookmarkStart w:id="80" w:name="page81"/>
    <w:bookmarkEnd w:id="80"/>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provide additional information on recorded lease arrangements. In July 2018, the FASB issued ASU 2018-11, </w:t>
      </w:r>
      <w:r>
        <w:rPr>
          <w:rFonts w:ascii="Arial" w:cs="Arial" w:eastAsia="Arial" w:hAnsi="Arial"/>
          <w:sz w:val="18"/>
          <w:szCs w:val="18"/>
          <w:i w:val="1"/>
          <w:iCs w:val="1"/>
          <w:color w:val="auto"/>
        </w:rPr>
        <w:t>Leases –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w:t>
      </w:r>
      <w:r>
        <w:rPr>
          <w:rFonts w:ascii="Arial" w:cs="Arial" w:eastAsia="Arial" w:hAnsi="Arial"/>
          <w:sz w:val="18"/>
          <w:szCs w:val="18"/>
          <w:color w:val="auto"/>
        </w:rPr>
        <w:t>which provides an optional transition method that allows entities to initially apply the new lease standard at the adoption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recognize a cumulative-effect adjustment to the opening balance of retained earnings in the period of adoption. The Company adopted the provisions of this guidance, including the optional transition method, on January 1, 2019. Operating lease assets and corresponding lease liabilities were recognized on the Company’s consolidated statements of financial condition. There was no material impact to its consolidated statements of income. Refer to Note 12.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disclosure and significant accounting policies affecting leases.</w:t>
      </w:r>
    </w:p>
    <w:p>
      <w:pPr>
        <w:spacing w:after="0" w:line="237"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expands the scope of Topic 718 to include share-based payments granted to non-employees. 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for employee share-based payment awards, non-employee share-based payment awards within the scope of Topic 718 will be measured at grant-date fair value of the equity instruments. The Company adopted the provisions of this guidance on January 1, 2019 and no longer adjusts the fair value of advisor and financial institution equity awards in the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Revenue</w:t>
      </w:r>
    </w:p>
    <w:p>
      <w:pPr>
        <w:spacing w:after="0" w:line="247" w:lineRule="exact"/>
        <w:rPr>
          <w:sz w:val="20"/>
          <w:szCs w:val="20"/>
          <w:color w:val="auto"/>
        </w:rPr>
      </w:pPr>
    </w:p>
    <w:p>
      <w:pPr>
        <w:ind w:right="520" w:firstLine="486"/>
        <w:spacing w:after="0" w:line="256" w:lineRule="auto"/>
        <w:rPr>
          <w:sz w:val="20"/>
          <w:szCs w:val="20"/>
          <w:color w:val="auto"/>
        </w:rPr>
      </w:pPr>
      <w:r>
        <w:rPr>
          <w:rFonts w:ascii="Arial" w:cs="Arial" w:eastAsia="Arial" w:hAnsi="Arial"/>
          <w:sz w:val="18"/>
          <w:szCs w:val="18"/>
          <w:color w:val="auto"/>
        </w:rPr>
        <w:t>Commission revenue represents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spacing w:after="0" w:line="202"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The Company is the principal for commission revenue, as it is responsible for the execution of the clients’ purchases and sales, and maintains relationships with the product sponsors. Advisors assist the Company in performing its obligations. Accordingly, total commission revenues are reported on a gross basis.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total commission revenue disaggregated by investment product category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60"/>
        </w:trPr>
        <w:tc>
          <w:tcPr>
            <w:tcW w:w="7080" w:type="dxa"/>
            <w:vAlign w:val="bottom"/>
          </w:tcPr>
          <w:p>
            <w:pPr>
              <w:ind w:left="80"/>
              <w:spacing w:after="0"/>
              <w:rPr>
                <w:sz w:val="20"/>
                <w:szCs w:val="20"/>
                <w:color w:val="auto"/>
              </w:rPr>
            </w:pPr>
            <w:r>
              <w:rPr>
                <w:rFonts w:ascii="Arial" w:cs="Arial" w:eastAsia="Arial" w:hAnsi="Arial"/>
                <w:sz w:val="16"/>
                <w:szCs w:val="16"/>
                <w:b w:val="1"/>
                <w:bCs w:val="1"/>
                <w:color w:val="auto"/>
              </w:rPr>
              <w:t>Commission revenue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Annuities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1,000,806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999,689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853,963</w:t>
            </w:r>
          </w:p>
        </w:tc>
      </w:tr>
      <w:tr>
        <w:trPr>
          <w:trHeight w:val="260"/>
        </w:trPr>
        <w:tc>
          <w:tcPr>
            <w:tcW w:w="7080" w:type="dxa"/>
            <w:vAlign w:val="bottom"/>
          </w:tcPr>
          <w:p>
            <w:pPr>
              <w:ind w:left="30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589,411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616,445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534,639</w:t>
            </w:r>
          </w:p>
        </w:tc>
      </w:tr>
      <w:tr>
        <w:trPr>
          <w:trHeight w:val="280"/>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Fixed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126,127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104,037</w:t>
            </w:r>
          </w:p>
        </w:tc>
      </w:tr>
      <w:tr>
        <w:trPr>
          <w:trHeight w:val="260"/>
        </w:trPr>
        <w:tc>
          <w:tcPr>
            <w:tcW w:w="7080" w:type="dxa"/>
            <w:vAlign w:val="bottom"/>
          </w:tcPr>
          <w:p>
            <w:pPr>
              <w:ind w:left="300"/>
              <w:spacing w:after="0"/>
              <w:rPr>
                <w:sz w:val="20"/>
                <w:szCs w:val="20"/>
                <w:color w:val="auto"/>
              </w:rPr>
            </w:pPr>
            <w:r>
              <w:rPr>
                <w:rFonts w:ascii="Arial" w:cs="Arial" w:eastAsia="Arial" w:hAnsi="Arial"/>
                <w:sz w:val="16"/>
                <w:szCs w:val="16"/>
                <w:color w:val="auto"/>
              </w:rPr>
              <w:t>Equities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79,446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84,823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79,180</w:t>
            </w:r>
          </w:p>
        </w:tc>
      </w:tr>
      <w:tr>
        <w:trPr>
          <w:trHeight w:val="280"/>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96,617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96,168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99,005</w:t>
            </w:r>
          </w:p>
        </w:tc>
      </w:tr>
      <w:tr>
        <w:trPr>
          <w:trHeight w:val="234"/>
        </w:trPr>
        <w:tc>
          <w:tcPr>
            <w:tcW w:w="7080" w:type="dxa"/>
            <w:vAlign w:val="bottom"/>
          </w:tcPr>
          <w:p>
            <w:pPr>
              <w:ind w:left="440"/>
              <w:spacing w:after="0"/>
              <w:rPr>
                <w:sz w:val="20"/>
                <w:szCs w:val="20"/>
                <w:color w:val="auto"/>
              </w:rPr>
            </w:pPr>
            <w:r>
              <w:rPr>
                <w:rFonts w:ascii="Arial" w:cs="Arial" w:eastAsia="Arial" w:hAnsi="Arial"/>
                <w:sz w:val="16"/>
                <w:szCs w:val="16"/>
                <w:b w:val="1"/>
                <w:bCs w:val="1"/>
                <w:color w:val="auto"/>
              </w:rPr>
              <w:t>Total commission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1,892,407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1,919,694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1,670,824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generates two types of commission revenue: sales-based commission revenue that is recognized at the point of sale on the trade date and trailing commission revenue that is recognized over time as earned. Sales-based commission revenue varies by investment product and is based on a percentage of an investment product’s current market value at the time of purchase. Trailing commission revenue is generally based on a percentage of the current market value of clients’ investment holdings in trail-eligible assets, and is recognized over the period during which services, such as ongoing support, are performed. As trailing commission revenue is based on the market value of clients’ investment holdings, the consideration is variable and an estimate of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314" w:right="239" w:bottom="1440" w:gutter="0" w:footer="0" w:header="0"/>
        </w:sectPr>
      </w:pPr>
    </w:p>
    <w:bookmarkStart w:id="81" w:name="page82"/>
    <w:bookmarkEnd w:id="81"/>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variable consideration is constrained due to dependence on unpredictable market impacts. The constraint is removed once the investment holdings value can be determined.</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sales-based and trailing commission revenues disaggregated by product category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Commission revenue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b w:val="1"/>
                <w:bCs w:val="1"/>
                <w:color w:val="auto"/>
              </w:rPr>
              <w:t>Sales-based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Annuities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380,317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327,888</w:t>
            </w: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146,695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141,597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134,327</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102,391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98,091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80,919</w:t>
            </w: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Equities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79,446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84,823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79,180</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74,003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73,013</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80,256</w:t>
            </w:r>
          </w:p>
        </w:tc>
      </w:tr>
      <w:tr>
        <w:trPr>
          <w:trHeight w:val="240"/>
        </w:trPr>
        <w:tc>
          <w:tcPr>
            <w:tcW w:w="7080" w:type="dxa"/>
            <w:vAlign w:val="bottom"/>
          </w:tcPr>
          <w:p>
            <w:pPr>
              <w:ind w:left="520"/>
              <w:spacing w:after="0"/>
              <w:rPr>
                <w:sz w:val="20"/>
                <w:szCs w:val="20"/>
                <w:color w:val="auto"/>
              </w:rPr>
            </w:pPr>
            <w:r>
              <w:rPr>
                <w:rFonts w:ascii="Arial" w:cs="Arial" w:eastAsia="Arial" w:hAnsi="Arial"/>
                <w:sz w:val="16"/>
                <w:szCs w:val="16"/>
                <w:b w:val="1"/>
                <w:bCs w:val="1"/>
                <w:color w:val="auto"/>
              </w:rPr>
              <w:t>Total sales-based 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782,852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776,776</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702,570</w:t>
            </w:r>
          </w:p>
        </w:tc>
      </w:tr>
      <w:tr>
        <w:trPr>
          <w:trHeight w:val="28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Trailing</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Annuities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620,489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620,437</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526,075</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442,716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400,312</w:t>
            </w:r>
          </w:p>
        </w:tc>
      </w:tr>
      <w:tr>
        <w:trPr>
          <w:trHeight w:val="260"/>
        </w:trPr>
        <w:tc>
          <w:tcPr>
            <w:tcW w:w="7080" w:type="dxa"/>
            <w:vAlign w:val="bottom"/>
          </w:tcPr>
          <w:p>
            <w:pPr>
              <w:ind w:left="380"/>
              <w:spacing w:after="0"/>
              <w:rPr>
                <w:sz w:val="20"/>
                <w:szCs w:val="20"/>
                <w:color w:val="auto"/>
              </w:rPr>
            </w:pPr>
            <w:r>
              <w:rPr>
                <w:rFonts w:ascii="Arial" w:cs="Arial" w:eastAsia="Arial" w:hAnsi="Arial"/>
                <w:sz w:val="16"/>
                <w:szCs w:val="16"/>
                <w:color w:val="auto"/>
              </w:rPr>
              <w:t>Fixed income</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23,736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24,478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23,118</w:t>
            </w:r>
          </w:p>
        </w:tc>
      </w:tr>
      <w:tr>
        <w:trPr>
          <w:trHeight w:val="280"/>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22,614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23,155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18,749</w:t>
            </w:r>
          </w:p>
        </w:tc>
      </w:tr>
      <w:tr>
        <w:trPr>
          <w:trHeight w:val="244"/>
        </w:trPr>
        <w:tc>
          <w:tcPr>
            <w:tcW w:w="708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Total trailing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1,109,555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1,142,918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968,254</w:t>
            </w:r>
          </w:p>
        </w:tc>
      </w:tr>
      <w:tr>
        <w:trPr>
          <w:trHeight w:val="240"/>
        </w:trPr>
        <w:tc>
          <w:tcPr>
            <w:tcW w:w="7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 commission revenue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1,892,407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1,919,694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1,670,824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Revenue</w:t>
      </w:r>
    </w:p>
    <w:p>
      <w:pPr>
        <w:spacing w:after="0" w:line="23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Advisory revenue represents fees charged to advisors’ clients’ accounts on the Company’s corporate advisory platform. The Company provides ongoing investment advice and acts as a custodian, providing brokerage and execution services on transactions, and performs administrative services for these accounts. This series of performance obligations transfers control of the services to the client over time as the services are performed. This revenue is recognized ratably over time to match the continued delivery of the performance obligations to the client over the life of the contract. The advisory revenue generated from the Company’s corporate advisory platform is based on a percentage of the market value of the eligible assets in the clients’ advisory accounts. As such, the consideration for this revenue is variable and an estimate of the variable consideration is constrained due to dependence on unpredictable market impacts on client portfolio values. The constraint is removed once the portfolio value can be determined.</w:t>
      </w:r>
    </w:p>
    <w:p>
      <w:pPr>
        <w:spacing w:after="0" w:line="206"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Company provides advisory services to clients on its corporate advisory platform through the advisor. The Company is the principal in these arrangements and recognizes advisory revenue on a gross basis, as the Company is responsible for satisfying the performance obligations and has control over determining the fees.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Asset-Based Revenue</w:t>
      </w:r>
    </w:p>
    <w:p>
      <w:pPr>
        <w:spacing w:after="0" w:line="355"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Asset-based revenue is comprised of fees from the Company’s client cash programs, which consist of fees from its money market programs and insured cash sweep vehicles, sponsorship programs, and recordkeeping.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Cash Revenue</w:t>
      </w:r>
    </w:p>
    <w:p>
      <w:pPr>
        <w:spacing w:after="0" w:line="17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Client cash revenues are generated based on advisors’ clients’ cash balances in insured sweep accounts and money market programs at various banks. The Company receives fees based on account type and invested balances for administration and recordkeeping. These fees are paid and recognized over time.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314" w:right="239" w:bottom="1440" w:gutter="0" w:footer="0" w:header="0"/>
        </w:sectPr>
      </w:pPr>
    </w:p>
    <w:bookmarkStart w:id="82" w:name="page83"/>
    <w:bookmarkEnd w:id="82"/>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Sponsorship Programs</w:t>
      </w:r>
    </w:p>
    <w:p>
      <w:pPr>
        <w:spacing w:after="0" w:line="17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receives fees from product sponsors, primarily mutual fund and annuity companies, for marketing support and sales force education and training efforts. Compensation for these performance obligations is either a fixed fee, a percentage of the average annual amount of product sponsor assets held in advisors’ clients’ accounts, a percentage of new sales, or some combination. As the value of product sponsor assets held in advisor’s clients’ accounts is susceptible to unpredictable market changes, this revenue includes variable consideration and is constrained until the date that the fees are determinable.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Recordkeeping</w:t>
      </w:r>
    </w:p>
    <w:p>
      <w:pPr>
        <w:spacing w:after="0" w:line="17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Company generates this revenue by providing recordkeeping, account maintenance, reporting and other related services to product sponsors. This includes revenue from omnibus processing in which the Company establishes and maintains sub-account records for its clients to reflect the purchase, exchange and redemption of mutual fund shares, and consolidates clients’ trades within a mutual fund. Omnibus processing fees are paid to the Company by the mutual fund or its affiliates and are based on the value of mutual fund assets in accounts for which the Company provides omnibus processing services and the number of accounts in which the related mutual fund positions are held. Recordkeeping revenue also includes revenues from networking recordkeeping services. Networking revenues on brokerage assets are correlated to the number of positions or value of assets that the Company administers and are paid by mutual fund and annuity product manufacturers. These recordkeeping revenues are recognized over time as the Company fulfills its performance obligations. As recordkeeping fees are susceptible to unpredictable market changes that influence market value and fund positions, these revenues include variable consideration and are constrained until the date that the fees are determinable.</w:t>
      </w:r>
    </w:p>
    <w:p>
      <w:pPr>
        <w:spacing w:after="0" w:line="21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Depending on the contract, the Company is either principal or agent for recordkeeping revenue. In instances in which the Company is providing services to financial product manufacturers on behalf of third parties and does not have ultimate control of the service before transfer to the customer, the Company is considered to be an agent and reports revenues on a net basis. In other cases, where the Company uses a sub-contractor to provide services and is responsible for unperformed services, the Company is considered principal and reports revenues on a gross basis.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asset-based revenue at a disaggregated level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Asset-based revenue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7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Client cash</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652,793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500,418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301,448</w:t>
            </w:r>
          </w:p>
        </w:tc>
      </w:tr>
      <w:tr>
        <w:trPr>
          <w:trHeight w:val="260"/>
        </w:trPr>
        <w:tc>
          <w:tcPr>
            <w:tcW w:w="7080" w:type="dxa"/>
            <w:vAlign w:val="bottom"/>
          </w:tcPr>
          <w:p>
            <w:pPr>
              <w:ind w:left="260"/>
              <w:spacing w:after="0"/>
              <w:rPr>
                <w:sz w:val="20"/>
                <w:szCs w:val="20"/>
                <w:color w:val="auto"/>
              </w:rPr>
            </w:pPr>
            <w:r>
              <w:rPr>
                <w:rFonts w:ascii="Arial" w:cs="Arial" w:eastAsia="Arial" w:hAnsi="Arial"/>
                <w:sz w:val="16"/>
                <w:szCs w:val="16"/>
                <w:color w:val="auto"/>
              </w:rPr>
              <w:t>Sponsorship programs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251,899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224,726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193,190</w:t>
            </w:r>
          </w:p>
        </w:tc>
      </w:tr>
      <w:tr>
        <w:trPr>
          <w:trHeight w:val="280"/>
        </w:trPr>
        <w:tc>
          <w:tcPr>
            <w:tcW w:w="7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Recordkeeping</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261,287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247,371</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213,695</w:t>
            </w:r>
          </w:p>
        </w:tc>
      </w:tr>
      <w:tr>
        <w:trPr>
          <w:trHeight w:val="234"/>
        </w:trPr>
        <w:tc>
          <w:tcPr>
            <w:tcW w:w="7080" w:type="dxa"/>
            <w:vAlign w:val="bottom"/>
          </w:tcPr>
          <w:p>
            <w:pPr>
              <w:ind w:left="380"/>
              <w:spacing w:after="0"/>
              <w:rPr>
                <w:sz w:val="20"/>
                <w:szCs w:val="20"/>
                <w:color w:val="auto"/>
              </w:rPr>
            </w:pPr>
            <w:r>
              <w:rPr>
                <w:rFonts w:ascii="Arial" w:cs="Arial" w:eastAsia="Arial" w:hAnsi="Arial"/>
                <w:sz w:val="16"/>
                <w:szCs w:val="16"/>
                <w:b w:val="1"/>
                <w:bCs w:val="1"/>
                <w:color w:val="auto"/>
              </w:rPr>
              <w:t>Total asset-based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1,165,979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972,515</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708,333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Fee Revenue</w:t>
      </w:r>
    </w:p>
    <w:p>
      <w:pPr>
        <w:spacing w:after="0" w:line="247"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Transaction revenue primarily includes fees the Company charges to advisors and their clients for executing certain transactions in brokerage and fee-based advisory accounts. Transaction revenue is recognized at the point-in-time that a transaction is executed, which is generally the trade-date. Fee revenue may be generated from advisors or their clients. Fee revenues primarily include IRA custodian fees, contract and licensing fees, and other client account fees. In addition, the Company hosts certain advisor conferences that serve as training, education, sales, and marketing events, for which a fee is charged for attendance. Fee revenue is recognized when the Company satisfies its performance obligations. Recognition varies from point-in-time to over time depending on whether the service is provided once at an identifiable point-in-time or if the service is provided continually over the contract life.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314" w:right="239" w:bottom="1440" w:gutter="0" w:footer="0" w:header="0"/>
        </w:sectPr>
      </w:pPr>
    </w:p>
    <w:bookmarkStart w:id="83" w:name="page84"/>
    <w:bookmarkEnd w:id="83"/>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transaction and fee revenue disaggregated by recognition pattern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Transaction and fee revenue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Point-in-time</w:t>
            </w:r>
            <w:r>
              <w:rPr>
                <w:rFonts w:ascii="Arial" w:cs="Arial" w:eastAsia="Arial" w:hAnsi="Arial"/>
                <w:sz w:val="10"/>
                <w:szCs w:val="10"/>
                <w:color w:val="auto"/>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215,234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221,265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187,655</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Over time</w:t>
            </w:r>
            <w:r>
              <w:rPr>
                <w:rFonts w:ascii="Arial" w:cs="Arial" w:eastAsia="Arial" w:hAnsi="Arial"/>
                <w:sz w:val="10"/>
                <w:szCs w:val="10"/>
                <w:color w:val="auto"/>
              </w:rPr>
              <w:t>(2)</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265,094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250,034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237,012</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transaction and fee revenue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480,328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471,299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424,667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Transaction and fee revenue recognized point-in-time includes revenue such as transaction fees, IRA termination fees, and conference service fees.</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Transaction and fee revenue recognized over time includes revenue such as error and omission insurance fees, IRA custodian fees, and technology fees.</w:t>
      </w:r>
    </w:p>
    <w:p>
      <w:pPr>
        <w:spacing w:after="0" w:line="10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Company is the principal and recognizes transaction and fee revenue on a gross basis as it is primarily responsible for delivering the respective services being provided, which is demonstrated by the Company’s ability to control the fee amounts charged to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 of Interest Expense</w:t>
      </w:r>
    </w:p>
    <w:p>
      <w:pPr>
        <w:spacing w:after="0" w:line="35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earns interest income from client margin accounts and cash equivalents, less interest expense on related transactions. This revenue is not generated from contracts with customers. Interest expense incurred in connection with cash equivalents and client margin balances is completely offset by revenue on related transactions; therefore, the Company considers such interest to be an operating expense. Interest expense from operations for the years ended December 31, 2019, 2018, and 2017 was not 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35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Other revenue primarily includes unrealized gains and losses on assets held by the Company for its advisor non-qualified deferred compensation plan and model research portfolios, marketing allowances received from certain financial product manufacturers, primarily those who offer alternative investments, such as non-traded real estate investment trusts and business development companies, and other miscellaneous revenues. These revenues are not generated from contracts with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Multiple Performance Obligations</w:t>
      </w:r>
    </w:p>
    <w:p>
      <w:pPr>
        <w:spacing w:after="0" w:line="35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Company’s contracts with customers may include multiple performance obligations. Contracts with customers that include multiple performance obligations have performance obligations that follow the same revenue recognition pattern and are recorded in the same financial statement line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35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records unearned revenue when cash payments are received or due in advance of the Company’s performance obligations, including amounts which are refundable. The increase in the unearned revenue balance for the year ended December 31, 2019 is primarily driven by cash payments received or due in advance of satisfying the Company’s performance obligations, offset by $80.4 million of revenues recognized that were included in the unearned revenue balance as of December 31, 2018.</w:t>
      </w:r>
    </w:p>
    <w:p>
      <w:pPr>
        <w:spacing w:after="0" w:line="204"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The Company receives cash revenues for advisory services not yet performed and conferences not yet held. For advisory services, revenue is recognized as the Company provides the administration, brokerage and execution services over time to satisfy the performance obligations. For conference revenue, the Company recognizes revenue as the conferences are held.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314" w:right="239" w:bottom="1440" w:gutter="0" w:footer="0" w:header="0"/>
        </w:sectPr>
      </w:pPr>
    </w:p>
    <w:bookmarkStart w:id="84" w:name="page85"/>
    <w:bookmarkEnd w:id="84"/>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August 1, 2019, the Company acquired all of the outstanding equity interests of Allen &amp; Company. Under the transaction structure, Allen &amp; Company advisors and staff became employees of the Company, and Allen &amp; Company will maintain its operations and brand. The Company paid approximately $24.9 million at closing and also agreed to a potential contingent payment of up to $10.0 million (“Contingent Payment”), payable approximately six months after the closing date based on the percentage of assets retained by Allen &amp; Company advisors. The fair value of the Contingent Payment is included in accounts payable and accrued liabilities on the consolidated statements of financial condition. See Note 5</w:t>
      </w:r>
      <w:r>
        <w:rPr>
          <w:rFonts w:ascii="Arial" w:cs="Arial" w:eastAsia="Arial" w:hAnsi="Arial"/>
          <w:sz w:val="18"/>
          <w:szCs w:val="18"/>
          <w:i w:val="1"/>
          <w:iCs w:val="1"/>
          <w:color w:val="auto"/>
        </w:rPr>
        <w:t>. Fair Value Measurements</w:t>
      </w:r>
      <w:r>
        <w:rPr>
          <w:rFonts w:ascii="Arial" w:cs="Arial" w:eastAsia="Arial" w:hAnsi="Arial"/>
          <w:sz w:val="18"/>
          <w:szCs w:val="18"/>
          <w:color w:val="auto"/>
        </w:rPr>
        <w:t>, for additional information.</w:t>
      </w:r>
    </w:p>
    <w:p>
      <w:pPr>
        <w:spacing w:after="0" w:line="101" w:lineRule="exact"/>
        <w:rPr>
          <w:sz w:val="20"/>
          <w:szCs w:val="20"/>
          <w:color w:val="auto"/>
        </w:rPr>
      </w:pPr>
    </w:p>
    <w:p>
      <w:pPr>
        <w:ind w:right="660" w:firstLine="486"/>
        <w:spacing w:after="0" w:line="256" w:lineRule="auto"/>
        <w:rPr>
          <w:sz w:val="20"/>
          <w:szCs w:val="20"/>
          <w:color w:val="auto"/>
        </w:rPr>
      </w:pPr>
      <w:r>
        <w:rPr>
          <w:rFonts w:ascii="Arial" w:cs="Arial" w:eastAsia="Arial" w:hAnsi="Arial"/>
          <w:sz w:val="18"/>
          <w:szCs w:val="18"/>
          <w:color w:val="auto"/>
        </w:rPr>
        <w:t>On December 3, 2018, the Company acquired all of the outstanding common stock of AdvisoryWorld, to enhance the Company’s technology capabilities. The Company paid $28.1 million at the closing of the transaction and allocated the purchase price primarily to intangible assets and goodwill in the consolidated statements of financial condition.</w:t>
      </w:r>
    </w:p>
    <w:p>
      <w:pPr>
        <w:spacing w:after="0" w:line="9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 xml:space="preserve">During 2017, the Company entered into an asset purchase agreement with National Planning Holdings, Inc. (“NPH”) and its four broker-dealer subsidiaries to acquire certain assets and rights, including business relationships with financial advisors. In accordance with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control transferred when the Company onboarded NPH advisors and client assets onto its platform, which occurred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two waves. The Company recorded intangible assets of $112.7 million in advisor relationships and $49.0 million in goodwill in the first quarter of 2018, following the completion of the second wave.</w:t>
      </w:r>
    </w:p>
    <w:p>
      <w:pPr>
        <w:spacing w:after="0" w:line="238"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ind w:left="500" w:right="200"/>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years ended December 31, 2019 and 2018.</w:t>
      </w:r>
    </w:p>
    <w:p>
      <w:pPr>
        <w:spacing w:after="0" w:line="196"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2019 and December 31, 2018, the Company had the following financial assets and liabilities that are measured at fair value on a recurring basis:</w:t>
      </w:r>
    </w:p>
    <w:p>
      <w:pPr>
        <w:spacing w:after="0" w:line="184" w:lineRule="exact"/>
        <w:rPr>
          <w:sz w:val="20"/>
          <w:szCs w:val="20"/>
          <w:color w:val="auto"/>
        </w:rPr>
      </w:pPr>
    </w:p>
    <w:p>
      <w:pPr>
        <w:ind w:left="500" w:right="84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162"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198"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314" w:right="259" w:bottom="1440" w:gutter="0" w:footer="0" w:header="0"/>
        </w:sectPr>
      </w:pPr>
    </w:p>
    <w:bookmarkStart w:id="85" w:name="page86"/>
    <w:bookmarkEnd w:id="85"/>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certificates of deposit and treasury securities, the Company utilizes market-based inputs, including observable market interest rates that correspond to the remaining maturities or the next interest reset dates. At December 31, 2019 and December 31, 2018, the Company did not adjust prices received from the independent third-party pricing services.</w:t>
      </w:r>
    </w:p>
    <w:p>
      <w:pPr>
        <w:spacing w:after="0" w:line="184" w:lineRule="exact"/>
        <w:rPr>
          <w:sz w:val="20"/>
          <w:szCs w:val="20"/>
          <w:color w:val="auto"/>
        </w:rPr>
      </w:pPr>
    </w:p>
    <w:p>
      <w:pPr>
        <w:ind w:left="500" w:right="100"/>
        <w:spacing w:after="0" w:line="261"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and (2) certain non-traded real estate investment trusts and auction rate notes, which are valued using quoted prices for identical or similar securities and other inputs that are observable or can be corroborated by observable market data.</w:t>
      </w:r>
    </w:p>
    <w:p>
      <w:pPr>
        <w:spacing w:after="0" w:line="180"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measured using Level 3 inputs.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Recurring Fair Value Measurements</w:t>
      </w:r>
    </w:p>
    <w:p>
      <w:pPr>
        <w:spacing w:after="0" w:line="139"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The Company determines the fair value for its contingent consideration obligations using a scenario based approach whereby the Company assesses the expected retention percentage of the acquired assets under management. The contingent payment is estimated by applying a discount rate to the expected payment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17,426</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17,426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25,202</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20,446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20,446</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46,296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46,447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267,740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278,133</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331,462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342,006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10,176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314" w:right="239" w:bottom="1440" w:gutter="0" w:footer="0" w:header="0"/>
        </w:sectPr>
      </w:pPr>
    </w:p>
    <w:bookmarkStart w:id="86" w:name="page87"/>
    <w:bookmarkEnd w:id="86"/>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26,657</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7,434</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1,931</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6"/>
                <w:szCs w:val="16"/>
                <w:color w:val="auto"/>
              </w:rPr>
              <w:t>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19,707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19,707</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29,266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29,267</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181,974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9,420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191,394</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237,897</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9,421</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247,318</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169</w:t>
            </w: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(loss), and fair value of securities held-to-maturity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11,806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4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11,889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12,945</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2019,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Within one year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five years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ten years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11,806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5,096</w:t>
            </w:r>
          </w:p>
        </w:tc>
        <w:tc>
          <w:tcPr>
            <w:tcW w:w="10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6,793</w:t>
            </w:r>
          </w:p>
        </w:tc>
        <w:tc>
          <w:tcPr>
            <w:tcW w:w="10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11,889</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314" w:right="239" w:bottom="1440" w:gutter="0" w:footer="0" w:header="0"/>
        </w:sectPr>
      </w:pPr>
    </w:p>
    <w:bookmarkStart w:id="87" w:name="page88"/>
    <w:bookmarkEnd w:id="87"/>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right="100" w:hanging="492"/>
        <w:spacing w:after="0" w:line="287" w:lineRule="auto"/>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75" w:lineRule="exact"/>
        <w:rPr>
          <w:sz w:val="20"/>
          <w:szCs w:val="20"/>
          <w:color w:val="auto"/>
        </w:rPr>
      </w:pPr>
    </w:p>
    <w:p>
      <w:pPr>
        <w:ind w:right="1080"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4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Commissions receivable from product sponsors and others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138,258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135,161</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Receivable from clearing organizations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20,281</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from broker-dealers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Securities failed-to-deliver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receivables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177,654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166,793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Payables: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 to clearing organizations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24,818</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Payable to broker-dealers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58,130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37,583</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failed-to-receive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18,608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13,779</w:t>
            </w:r>
          </w:p>
        </w:tc>
        <w:tc>
          <w:tcPr>
            <w:tcW w:w="0" w:type="dxa"/>
            <w:vAlign w:val="bottom"/>
          </w:tcPr>
          <w:p>
            <w:pPr>
              <w:spacing w:after="0"/>
              <w:rPr>
                <w:sz w:val="1"/>
                <w:szCs w:val="1"/>
                <w:color w:val="auto"/>
              </w:rPr>
            </w:pPr>
          </w:p>
        </w:tc>
      </w:tr>
      <w:tr>
        <w:trPr>
          <w:trHeight w:val="237"/>
        </w:trPr>
        <w:tc>
          <w:tcPr>
            <w:tcW w:w="8800" w:type="dxa"/>
            <w:vAlign w:val="bottom"/>
          </w:tcPr>
          <w:p>
            <w:pPr>
              <w:ind w:left="360"/>
              <w:spacing w:after="0"/>
              <w:rPr>
                <w:sz w:val="20"/>
                <w:szCs w:val="20"/>
                <w:color w:val="auto"/>
              </w:rPr>
            </w:pPr>
            <w:r>
              <w:rPr>
                <w:rFonts w:ascii="Arial" w:cs="Arial" w:eastAsia="Arial" w:hAnsi="Arial"/>
                <w:sz w:val="16"/>
                <w:szCs w:val="16"/>
                <w:color w:val="auto"/>
              </w:rPr>
              <w:t>Total payables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92,002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76,180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fixed assets were as follows at December 31, 2019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Accumulated</w:t>
            </w:r>
          </w:p>
        </w:tc>
        <w:tc>
          <w:tcPr>
            <w:tcW w:w="26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Depreciation and</w:t>
            </w:r>
          </w:p>
        </w:tc>
        <w:tc>
          <w:tcPr>
            <w:tcW w:w="26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327,585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(187,494)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140,091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171,099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(124,248)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46,851</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107,895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104,018</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83,543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57,888</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and equipment</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79,970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32,889</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4,678</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r>
              <w:rPr>
                <w:rFonts w:ascii="Arial" w:cs="Arial" w:eastAsia="Arial" w:hAnsi="Arial"/>
                <w:sz w:val="10"/>
                <w:szCs w:val="10"/>
                <w:color w:val="auto"/>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146,629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146,629</w:t>
            </w:r>
          </w:p>
        </w:tc>
      </w:tr>
      <w:tr>
        <w:trPr>
          <w:trHeight w:val="240"/>
        </w:trPr>
        <w:tc>
          <w:tcPr>
            <w:tcW w:w="6740" w:type="dxa"/>
            <w:vAlign w:val="bottom"/>
          </w:tcPr>
          <w:p>
            <w:pPr>
              <w:ind w:left="200"/>
              <w:spacing w:after="0"/>
              <w:rPr>
                <w:sz w:val="20"/>
                <w:szCs w:val="20"/>
                <w:color w:val="auto"/>
              </w:rPr>
            </w:pPr>
            <w:r>
              <w:rPr>
                <w:rFonts w:ascii="Arial" w:cs="Arial" w:eastAsia="Arial" w:hAnsi="Arial"/>
                <w:sz w:val="16"/>
                <w:szCs w:val="16"/>
                <w:color w:val="auto"/>
              </w:rPr>
              <w:t>Total fixed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921,399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(388,355)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533,044</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Construction in progress includes internal software in development of $133.3 million at December 31, 2019.</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fixed assets were as follows at December 31, 2018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Accumulated</w:t>
            </w:r>
          </w:p>
        </w:tc>
        <w:tc>
          <w:tcPr>
            <w:tcW w:w="26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Depreciation and</w:t>
            </w:r>
          </w:p>
        </w:tc>
        <w:tc>
          <w:tcPr>
            <w:tcW w:w="26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260,957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(147,330)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113,627</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147,163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(90,655)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56,508</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105,939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94,071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83,339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62,357</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and equipment</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36,635</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4,678</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r>
              <w:rPr>
                <w:rFonts w:ascii="Arial" w:cs="Arial" w:eastAsia="Arial" w:hAnsi="Arial"/>
                <w:sz w:val="10"/>
                <w:szCs w:val="10"/>
                <w:color w:val="auto"/>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93,542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93,542</w:t>
            </w:r>
          </w:p>
        </w:tc>
      </w:tr>
      <w:tr>
        <w:trPr>
          <w:trHeight w:val="240"/>
        </w:trPr>
        <w:tc>
          <w:tcPr>
            <w:tcW w:w="6740" w:type="dxa"/>
            <w:vAlign w:val="bottom"/>
          </w:tcPr>
          <w:p>
            <w:pPr>
              <w:ind w:left="200"/>
              <w:spacing w:after="0"/>
              <w:rPr>
                <w:sz w:val="20"/>
                <w:szCs w:val="20"/>
                <w:color w:val="auto"/>
              </w:rPr>
            </w:pPr>
            <w:r>
              <w:rPr>
                <w:rFonts w:ascii="Arial" w:cs="Arial" w:eastAsia="Arial" w:hAnsi="Arial"/>
                <w:sz w:val="16"/>
                <w:szCs w:val="16"/>
                <w:color w:val="auto"/>
              </w:rPr>
              <w:t>Total fixed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769,573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(308,155)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461,418</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11"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Construction in progress includes internal software in development of $85.0 million at December 31, 2018.</w:t>
      </w:r>
    </w:p>
    <w:p>
      <w:pPr>
        <w:sectPr>
          <w:pgSz w:w="11900" w:h="16838" w:orient="portrait"/>
          <w:cols w:equalWidth="0" w:num="1">
            <w:col w:w="11420"/>
          </w:cols>
          <w:pgMar w:left="240" w:top="314"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314" w:right="239" w:bottom="1440" w:gutter="0" w:footer="0" w:header="0"/>
          <w:type w:val="continuous"/>
        </w:sectPr>
      </w:pPr>
    </w:p>
    <w:bookmarkStart w:id="88" w:name="page89"/>
    <w:bookmarkEnd w:id="88"/>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Depreciation and amortization expense was $95.8 million, $87.7 million, and $84.1 million for the years ended December 31, 2019, 2018, and 2017, respectively.</w:t>
      </w: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Goodwill and Other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1,427,769</w:t>
            </w:r>
          </w:p>
        </w:tc>
        <w:tc>
          <w:tcPr>
            <w:tcW w:w="0" w:type="dxa"/>
            <w:vAlign w:val="bottom"/>
          </w:tcPr>
          <w:p>
            <w:pPr>
              <w:spacing w:after="0"/>
              <w:rPr>
                <w:sz w:val="1"/>
                <w:szCs w:val="1"/>
                <w:color w:val="auto"/>
              </w:rPr>
            </w:pPr>
          </w:p>
        </w:tc>
      </w:tr>
      <w:tr>
        <w:trPr>
          <w:trHeight w:val="237"/>
        </w:trPr>
        <w:tc>
          <w:tcPr>
            <w:tcW w:w="10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Goodwill acquired </w:t>
            </w:r>
            <w:r>
              <w:rPr>
                <w:rFonts w:ascii="Arial" w:cs="Arial" w:eastAsia="Arial" w:hAnsi="Arial"/>
                <w:sz w:val="8"/>
                <w:szCs w:val="8"/>
                <w:color w:val="auto"/>
              </w:rPr>
              <w:t>(1)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62,478</w:t>
            </w:r>
          </w:p>
        </w:tc>
        <w:tc>
          <w:tcPr>
            <w:tcW w:w="0" w:type="dxa"/>
            <w:vAlign w:val="bottom"/>
          </w:tcPr>
          <w:p>
            <w:pPr>
              <w:spacing w:after="0"/>
              <w:rPr>
                <w:sz w:val="1"/>
                <w:szCs w:val="1"/>
                <w:color w:val="auto"/>
              </w:rPr>
            </w:pPr>
          </w:p>
        </w:tc>
      </w:t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1,490,247</w:t>
            </w:r>
          </w:p>
        </w:tc>
        <w:tc>
          <w:tcPr>
            <w:tcW w:w="0" w:type="dxa"/>
            <w:vAlign w:val="bottom"/>
          </w:tcPr>
          <w:p>
            <w:pPr>
              <w:spacing w:after="0"/>
              <w:rPr>
                <w:sz w:val="1"/>
                <w:szCs w:val="1"/>
                <w:color w:val="auto"/>
              </w:rPr>
            </w:pPr>
          </w:p>
        </w:tc>
      </w:tr>
      <w:tr>
        <w:trPr>
          <w:trHeight w:val="237"/>
        </w:trPr>
        <w:tc>
          <w:tcPr>
            <w:tcW w:w="10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Goodwill acquired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13,401</w:t>
            </w:r>
          </w:p>
        </w:tc>
        <w:tc>
          <w:tcPr>
            <w:tcW w:w="0" w:type="dxa"/>
            <w:vAlign w:val="bottom"/>
          </w:tcPr>
          <w:p>
            <w:pPr>
              <w:spacing w:after="0"/>
              <w:rPr>
                <w:sz w:val="1"/>
                <w:szCs w:val="1"/>
                <w:color w:val="auto"/>
              </w:rPr>
            </w:pP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1,503,648</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Goodwill acquired during 2018 included $49.0 million from the NPH acquisition and $13.5 million from the AdvisoryWorld acquisition.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were as follows at December 31, 2019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651,642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286,172</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(161,435)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72,651</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26,957</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360" w:type="dxa"/>
            <w:vAlign w:val="bottom"/>
          </w:tcPr>
          <w:p>
            <w:pPr>
              <w:jc w:val="center"/>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13,959</w:t>
            </w: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80"/>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944,672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(544,653)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400,019</w:t>
            </w:r>
          </w:p>
        </w:tc>
      </w:tr>
      <w:tr>
        <w:trPr>
          <w:trHeight w:val="22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439,838</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were as follows at December 31, 2018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651,642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335,489</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84,561</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8,392</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360" w:type="dxa"/>
            <w:vAlign w:val="bottom"/>
          </w:tcPr>
          <w:p>
            <w:pPr>
              <w:jc w:val="center"/>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15,510</w:t>
            </w: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80"/>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923,671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(479,319)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444,352</w:t>
            </w:r>
          </w:p>
        </w:tc>
      </w:tr>
      <w:tr>
        <w:trPr>
          <w:trHeight w:val="22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484,171</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14"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314" w:right="239" w:bottom="1440" w:gutter="0" w:footer="0" w:header="0"/>
          <w:type w:val="continuous"/>
        </w:sectPr>
      </w:pPr>
    </w:p>
    <w:bookmarkStart w:id="89" w:name="page90"/>
    <w:bookmarkEnd w:id="89"/>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80" w:type="dxa"/>
            <w:vAlign w:val="bottom"/>
          </w:tcPr>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580" w:type="dxa"/>
            <w:vAlign w:val="bottom"/>
          </w:tcPr>
          <w:p>
            <w:pPr>
              <w:ind w:left="384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9"/>
        </w:trPr>
        <w:tc>
          <w:tcPr>
            <w:tcW w:w="11420" w:type="dxa"/>
            <w:vAlign w:val="bottom"/>
            <w:gridSpan w:val="6"/>
          </w:tcPr>
          <w:p>
            <w:pPr>
              <w:ind w:left="500"/>
              <w:spacing w:after="0"/>
              <w:rPr>
                <w:sz w:val="20"/>
                <w:szCs w:val="20"/>
                <w:color w:val="auto"/>
              </w:rPr>
            </w:pPr>
            <w:r>
              <w:rPr>
                <w:rFonts w:ascii="Arial" w:cs="Arial" w:eastAsia="Arial" w:hAnsi="Arial"/>
                <w:sz w:val="18"/>
                <w:szCs w:val="18"/>
                <w:color w:val="auto"/>
              </w:rPr>
              <w:t>Total amortization expense of intangible assets was $65.3 million, $60.3 million, and $38.3 million for the years ended December 31,</w:t>
            </w:r>
          </w:p>
        </w:tc>
        <w:tc>
          <w:tcPr>
            <w:tcW w:w="0" w:type="dxa"/>
            <w:vAlign w:val="bottom"/>
          </w:tcPr>
          <w:p>
            <w:pPr>
              <w:spacing w:after="0"/>
              <w:rPr>
                <w:sz w:val="1"/>
                <w:szCs w:val="1"/>
                <w:color w:val="auto"/>
              </w:rPr>
            </w:pPr>
          </w:p>
        </w:tc>
      </w:tr>
      <w:tr>
        <w:trPr>
          <w:trHeight w:val="217"/>
        </w:trPr>
        <w:tc>
          <w:tcPr>
            <w:tcW w:w="8580" w:type="dxa"/>
            <w:vAlign w:val="bottom"/>
          </w:tcPr>
          <w:p>
            <w:pPr>
              <w:spacing w:after="0"/>
              <w:rPr>
                <w:sz w:val="20"/>
                <w:szCs w:val="20"/>
                <w:color w:val="auto"/>
              </w:rPr>
            </w:pPr>
            <w:r>
              <w:rPr>
                <w:rFonts w:ascii="Arial" w:cs="Arial" w:eastAsia="Arial" w:hAnsi="Arial"/>
                <w:sz w:val="18"/>
                <w:szCs w:val="18"/>
                <w:color w:val="auto"/>
              </w:rPr>
              <w:t>2019, 2018, and 2017, respectively. Future amortization expense is estimated as follows (in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jc w:val="right"/>
              <w:ind w:right="8096"/>
              <w:spacing w:after="0"/>
              <w:rPr>
                <w:sz w:val="20"/>
                <w:szCs w:val="20"/>
                <w:color w:val="auto"/>
              </w:rPr>
            </w:pPr>
            <w:r>
              <w:rPr>
                <w:rFonts w:ascii="Arial" w:cs="Arial" w:eastAsia="Arial" w:hAnsi="Arial"/>
                <w:sz w:val="16"/>
                <w:szCs w:val="16"/>
                <w:color w:val="auto"/>
              </w:rPr>
              <w:t>2020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66,139</w:t>
            </w:r>
          </w:p>
        </w:tc>
        <w:tc>
          <w:tcPr>
            <w:tcW w:w="0" w:type="dxa"/>
            <w:vAlign w:val="bottom"/>
          </w:tcPr>
          <w:p>
            <w:pPr>
              <w:spacing w:after="0"/>
              <w:rPr>
                <w:sz w:val="1"/>
                <w:szCs w:val="1"/>
                <w:color w:val="auto"/>
              </w:rPr>
            </w:pPr>
          </w:p>
        </w:tc>
      </w:tr>
      <w:tr>
        <w:trPr>
          <w:trHeight w:val="233"/>
        </w:trPr>
        <w:tc>
          <w:tcPr>
            <w:tcW w:w="8580" w:type="dxa"/>
            <w:vAlign w:val="bottom"/>
          </w:tcPr>
          <w:p>
            <w:pPr>
              <w:jc w:val="right"/>
              <w:ind w:right="8096"/>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65,982</w:t>
            </w:r>
          </w:p>
        </w:tc>
        <w:tc>
          <w:tcPr>
            <w:tcW w:w="0" w:type="dxa"/>
            <w:vAlign w:val="bottom"/>
          </w:tcPr>
          <w:p>
            <w:pPr>
              <w:spacing w:after="0"/>
              <w:rPr>
                <w:sz w:val="1"/>
                <w:szCs w:val="1"/>
                <w:color w:val="auto"/>
              </w:rPr>
            </w:pPr>
          </w:p>
        </w:tc>
      </w:tr>
      <w:tr>
        <w:trPr>
          <w:trHeight w:val="253"/>
        </w:trPr>
        <w:tc>
          <w:tcPr>
            <w:tcW w:w="8580" w:type="dxa"/>
            <w:vAlign w:val="bottom"/>
            <w:shd w:val="clear" w:color="auto" w:fill="CCEEFF"/>
          </w:tcPr>
          <w:p>
            <w:pPr>
              <w:jc w:val="right"/>
              <w:ind w:right="8096"/>
              <w:spacing w:after="0"/>
              <w:rPr>
                <w:sz w:val="20"/>
                <w:szCs w:val="20"/>
                <w:color w:val="auto"/>
              </w:rPr>
            </w:pPr>
            <w:r>
              <w:rPr>
                <w:rFonts w:ascii="Arial" w:cs="Arial" w:eastAsia="Arial" w:hAnsi="Arial"/>
                <w:sz w:val="16"/>
                <w:szCs w:val="16"/>
                <w:color w:val="auto"/>
              </w:rPr>
              <w:t>2022</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65,182</w:t>
            </w:r>
          </w:p>
        </w:tc>
        <w:tc>
          <w:tcPr>
            <w:tcW w:w="0" w:type="dxa"/>
            <w:vAlign w:val="bottom"/>
          </w:tcPr>
          <w:p>
            <w:pPr>
              <w:spacing w:after="0"/>
              <w:rPr>
                <w:sz w:val="1"/>
                <w:szCs w:val="1"/>
                <w:color w:val="auto"/>
              </w:rPr>
            </w:pPr>
          </w:p>
        </w:tc>
      </w:tr>
      <w:tr>
        <w:trPr>
          <w:trHeight w:val="233"/>
        </w:trPr>
        <w:tc>
          <w:tcPr>
            <w:tcW w:w="8580" w:type="dxa"/>
            <w:vAlign w:val="bottom"/>
          </w:tcPr>
          <w:p>
            <w:pPr>
              <w:jc w:val="right"/>
              <w:ind w:right="8096"/>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61,086</w:t>
            </w:r>
          </w:p>
        </w:tc>
        <w:tc>
          <w:tcPr>
            <w:tcW w:w="0" w:type="dxa"/>
            <w:vAlign w:val="bottom"/>
          </w:tcPr>
          <w:p>
            <w:pPr>
              <w:spacing w:after="0"/>
              <w:rPr>
                <w:sz w:val="1"/>
                <w:szCs w:val="1"/>
                <w:color w:val="auto"/>
              </w:rPr>
            </w:pPr>
          </w:p>
        </w:tc>
      </w:tr>
      <w:tr>
        <w:trPr>
          <w:trHeight w:val="253"/>
        </w:trPr>
        <w:tc>
          <w:tcPr>
            <w:tcW w:w="8580" w:type="dxa"/>
            <w:vAlign w:val="bottom"/>
            <w:shd w:val="clear" w:color="auto" w:fill="CCEEFF"/>
          </w:tcPr>
          <w:p>
            <w:pPr>
              <w:jc w:val="right"/>
              <w:ind w:right="8096"/>
              <w:spacing w:after="0"/>
              <w:rPr>
                <w:sz w:val="20"/>
                <w:szCs w:val="20"/>
                <w:color w:val="auto"/>
              </w:rPr>
            </w:pPr>
            <w:r>
              <w:rPr>
                <w:rFonts w:ascii="Arial" w:cs="Arial" w:eastAsia="Arial" w:hAnsi="Arial"/>
                <w:sz w:val="16"/>
                <w:szCs w:val="16"/>
                <w:color w:val="auto"/>
              </w:rPr>
              <w:t>2024</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60,314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81,316</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400,019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10.  Accounts Payable and Accrued Liabilities</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 deferred compensation plan liability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269,289</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182,351</w:t>
            </w:r>
          </w:p>
        </w:tc>
        <w:tc>
          <w:tcPr>
            <w:tcW w:w="0" w:type="dxa"/>
            <w:vAlign w:val="bottom"/>
          </w:tcPr>
          <w:p>
            <w:pPr>
              <w:spacing w:after="0"/>
              <w:rPr>
                <w:sz w:val="1"/>
                <w:szCs w:val="1"/>
                <w:color w:val="auto"/>
              </w:rPr>
            </w:pP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77,202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70,093</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40,772</w:t>
            </w:r>
          </w:p>
        </w:tc>
        <w:tc>
          <w:tcPr>
            <w:tcW w:w="0" w:type="dxa"/>
            <w:vAlign w:val="bottom"/>
          </w:tcPr>
          <w:p>
            <w:pPr>
              <w:spacing w:after="0"/>
              <w:rPr>
                <w:sz w:val="1"/>
                <w:szCs w:val="1"/>
                <w:color w:val="auto"/>
              </w:rPr>
            </w:pP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68,436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53,077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143,042</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132,351</w:t>
            </w:r>
          </w:p>
        </w:tc>
        <w:tc>
          <w:tcPr>
            <w:tcW w:w="0" w:type="dxa"/>
            <w:vAlign w:val="bottom"/>
          </w:tcPr>
          <w:p>
            <w:pPr>
              <w:spacing w:after="0"/>
              <w:rPr>
                <w:sz w:val="1"/>
                <w:szCs w:val="1"/>
                <w:color w:val="auto"/>
              </w:rPr>
            </w:pPr>
          </w:p>
        </w:tc>
      </w:tr>
      <w:tr>
        <w:trPr>
          <w:trHeight w:val="234"/>
        </w:trPr>
        <w:tc>
          <w:tcPr>
            <w:tcW w:w="8580" w:type="dxa"/>
            <w:vAlign w:val="bottom"/>
          </w:tcPr>
          <w:p>
            <w:pPr>
              <w:ind w:left="360"/>
              <w:spacing w:after="0"/>
              <w:rPr>
                <w:sz w:val="20"/>
                <w:szCs w:val="20"/>
                <w:color w:val="auto"/>
              </w:rPr>
            </w:pPr>
            <w:r>
              <w:rPr>
                <w:rFonts w:ascii="Arial" w:cs="Arial" w:eastAsia="Arial" w:hAnsi="Arial"/>
                <w:sz w:val="16"/>
                <w:szCs w:val="16"/>
                <w:b w:val="1"/>
                <w:bCs w:val="1"/>
                <w:color w:val="auto"/>
              </w:rPr>
              <w:t>Total accounts payable and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557,969</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478,644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On November 12, 2019, LPLFH and LPLH entered into a fourth amendment agreement (the “Amendment”) to the Company’s amended and restated credit agreement (“Credit Agreement”), and repriced its senior secured Term Loan B facility (“Term Loan B”), increased the size of its senior secured revolving credit facility from $500.0 million to $750.0 million, extended the maturity dates applicable to its Term Loan B and its senior secured revolving credit facility, and made certain other changes to its credit agreement. Additionally, LPLH raised $400.0 million in aggregate principal amount of 4.625% senior unsecured notes which were issued at par (“2027 Notes”). The proceeds from the 2027 Notes were used to pay down the Term Loan B principal balance to $1,070.0 million. In connection with the execution of the Amendment, the Company incurred $13.5 million in costs which are capitalized as debt issuance costs in the consolidated statements of financial condition, and accelerated the recognition of $3.2 million of unamortized debt issuance costs as a loss on extinguishment of debt in the consolidated statements of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4.625% Senior Notes due 2027</w:t>
      </w:r>
    </w:p>
    <w:p>
      <w:pPr>
        <w:spacing w:after="0" w:line="24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2027 Notes are unsecured obligations, governed by an indenture, that will mature on November 15, 2027, and bear interest at the rate of 4.625% per year, with interest payable semi-annually, beginning on May 15, 2020. The Company may redeem all or part of the 2027 Notes at any time prior to November 15, 2022 (subject to a customary “equity claw” redemption right) at 100% of the principal amount redeemed plus a “make-whole” premium. Thereafter the Company may redeem all or part of the 2027 Notes at annually declining redemption premiums until November 15, 2024, at and after which date the redemption price will be equal to 100% of the principal amount redeemed plus any accrued and unpaid interest thereon.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5.75% Senior Notes due 2025</w:t>
      </w:r>
    </w:p>
    <w:p>
      <w:pPr>
        <w:spacing w:after="0" w:line="243" w:lineRule="exact"/>
        <w:rPr>
          <w:sz w:val="20"/>
          <w:szCs w:val="20"/>
          <w:color w:val="auto"/>
        </w:rPr>
      </w:pPr>
    </w:p>
    <w:p>
      <w:pPr>
        <w:jc w:val="both"/>
        <w:ind w:right="400" w:firstLine="486"/>
        <w:spacing w:after="0" w:line="250" w:lineRule="auto"/>
        <w:rPr>
          <w:sz w:val="20"/>
          <w:szCs w:val="20"/>
          <w:color w:val="auto"/>
        </w:rPr>
      </w:pPr>
      <w:r>
        <w:rPr>
          <w:rFonts w:ascii="Arial" w:cs="Arial" w:eastAsia="Arial" w:hAnsi="Arial"/>
          <w:sz w:val="18"/>
          <w:szCs w:val="18"/>
          <w:color w:val="auto"/>
        </w:rPr>
        <w:t>LPLH issued $500.0 million aggregate principal amount of 5.75% senior notes on March 10, 2017 (the “Original Notes”) and $400.0 million aggregate principal amount of 5.75% senior notes on September 21, 2017 (together with the Original Notes, the “2025 Notes”). The 2025 Notes are unsecured obligations, governed by an indenture, that will mature on September 15, 2025, and bear interest at the rate of</w:t>
      </w:r>
    </w:p>
    <w:p>
      <w:pPr>
        <w:spacing w:after="0" w:line="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5.75% per year, with interest payable semi-annually, beginning September 15, 2017. The Company may redeem all or part of the 2025 Notes at any time prior to March 15, 2020 (subject to a customary “equity claw” redemption right) at 100% of the principal amount redeemed plus a “make-whole” premium. Thereafter the Company may redeem all or part of the 2025</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314" w:right="239" w:bottom="1440" w:gutter="0" w:footer="0" w:header="0"/>
        </w:sectPr>
      </w:pPr>
    </w:p>
    <w:bookmarkStart w:id="90" w:name="page91"/>
    <w:bookmarkEnd w:id="90"/>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Notes at annually declining redemption premiums until March 15, 2023, at and after which date the redemption price will be equal to 100% of the principal amount redeemed.</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December 31, 2018</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Applicable Margin</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Applicable Margin</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Revolving Credit Facility</w:t>
            </w:r>
            <w:r>
              <w:rPr>
                <w:rFonts w:ascii="Arial" w:cs="Arial" w:eastAsia="Arial" w:hAnsi="Arial"/>
                <w:sz w:val="8"/>
                <w:szCs w:val="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ABR+25bps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LIBOR+125bps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11/12/2024</w:t>
            </w:r>
          </w:p>
        </w:tc>
        <w:tc>
          <w:tcPr>
            <w:tcW w:w="0" w:type="dxa"/>
            <w:vAlign w:val="bottom"/>
          </w:tcPr>
          <w:p>
            <w:pPr>
              <w:spacing w:after="0"/>
              <w:rPr>
                <w:sz w:val="1"/>
                <w:szCs w:val="1"/>
                <w:color w:val="auto"/>
              </w:rPr>
            </w:pPr>
          </w:p>
        </w:tc>
      </w:tr>
      <w:tr>
        <w:trPr>
          <w:trHeight w:val="264"/>
        </w:trPr>
        <w:tc>
          <w:tcPr>
            <w:tcW w:w="3080" w:type="dxa"/>
            <w:vAlign w:val="bottom"/>
          </w:tcPr>
          <w:p>
            <w:pPr>
              <w:ind w:left="280"/>
              <w:spacing w:after="0"/>
              <w:rPr>
                <w:sz w:val="20"/>
                <w:szCs w:val="20"/>
                <w:color w:val="auto"/>
              </w:rPr>
            </w:pPr>
            <w:r>
              <w:rPr>
                <w:rFonts w:ascii="Arial" w:cs="Arial" w:eastAsia="Arial" w:hAnsi="Arial"/>
                <w:sz w:val="14"/>
                <w:szCs w:val="14"/>
                <w:color w:val="auto"/>
              </w:rPr>
              <w:t>Senior Secured Term Loan B</w:t>
            </w:r>
            <w:r>
              <w:rPr>
                <w:rFonts w:ascii="Arial" w:cs="Arial" w:eastAsia="Arial" w:hAnsi="Arial"/>
                <w:sz w:val="8"/>
                <w:szCs w:val="8"/>
                <w:color w:val="auto"/>
              </w:rPr>
              <w:t>(2)</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1,070,000</w:t>
            </w: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LIBOR+175 bps</w:t>
            </w: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1,481,250</w:t>
            </w: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LIBOR+225 bps</w:t>
            </w:r>
          </w:p>
        </w:tc>
        <w:tc>
          <w:tcPr>
            <w:tcW w:w="96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11/12/2026</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Senior Unsecured Notes</w:t>
            </w:r>
            <w:r>
              <w:rPr>
                <w:rFonts w:ascii="Arial" w:cs="Arial" w:eastAsia="Arial" w:hAnsi="Arial"/>
                <w:sz w:val="8"/>
                <w:szCs w:val="8"/>
                <w:color w:val="auto"/>
              </w:rPr>
              <w:t>(2)(3)</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900,000</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Fixed Rate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900,000</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Fixed Rate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9/15/2025</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Senior Unsecured Notes</w:t>
            </w:r>
            <w:r>
              <w:rPr>
                <w:rFonts w:ascii="Arial" w:cs="Arial" w:eastAsia="Arial" w:hAnsi="Arial"/>
                <w:sz w:val="8"/>
                <w:szCs w:val="8"/>
                <w:color w:val="auto"/>
              </w:rPr>
              <w:t>(2)(4)</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400,000</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rPr>
              <w:t>Fixed Rate</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11/15/2027</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long-term borrowings</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2,415,000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2,381,250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80" w:type="dxa"/>
            <w:vAlign w:val="bottom"/>
          </w:tcPr>
          <w:p>
            <w:pPr>
              <w:ind w:left="260"/>
              <w:spacing w:after="0"/>
              <w:rPr>
                <w:sz w:val="20"/>
                <w:szCs w:val="20"/>
                <w:color w:val="auto"/>
              </w:rPr>
            </w:pPr>
            <w:r>
              <w:rPr>
                <w:rFonts w:ascii="Arial" w:cs="Arial" w:eastAsia="Arial" w:hAnsi="Arial"/>
                <w:sz w:val="14"/>
                <w:szCs w:val="14"/>
                <w:color w:val="auto"/>
              </w:rPr>
              <w:t>Plus: Unamortized Premium</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8,583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10,083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Unamortized Debt Issuance Cost</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(19,525)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80"/>
              <w:spacing w:after="0"/>
              <w:rPr>
                <w:sz w:val="20"/>
                <w:szCs w:val="20"/>
                <w:color w:val="auto"/>
              </w:rPr>
            </w:pPr>
            <w:r>
              <w:rPr>
                <w:rFonts w:ascii="Arial" w:cs="Arial" w:eastAsia="Arial" w:hAnsi="Arial"/>
                <w:sz w:val="14"/>
                <w:szCs w:val="14"/>
                <w:color w:val="auto"/>
              </w:rPr>
              <w:t>Net Carrying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2,398,818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2,371,808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alternate base rate (ABR) was the effective PRIME rate on December 31, 2019, the date of the borrowing.</w:t>
      </w:r>
    </w:p>
    <w:p>
      <w:pPr>
        <w:spacing w:after="0" w:line="109" w:lineRule="exact"/>
        <w:rPr>
          <w:rFonts w:ascii="Arial" w:cs="Arial" w:eastAsia="Arial" w:hAnsi="Arial"/>
          <w:sz w:val="14"/>
          <w:szCs w:val="14"/>
          <w:color w:val="auto"/>
        </w:rPr>
      </w:pPr>
    </w:p>
    <w:p>
      <w:pPr>
        <w:ind w:left="500" w:hanging="492"/>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 leverage or interest coverage maintenance covenants.</w:t>
      </w:r>
    </w:p>
    <w:p>
      <w:pPr>
        <w:spacing w:after="0" w:line="109" w:lineRule="exact"/>
        <w:rPr>
          <w:rFonts w:ascii="Arial" w:cs="Arial" w:eastAsia="Arial" w:hAnsi="Arial"/>
          <w:sz w:val="14"/>
          <w:szCs w:val="14"/>
          <w:color w:val="auto"/>
        </w:rPr>
      </w:pPr>
    </w:p>
    <w:p>
      <w:pPr>
        <w:ind w:left="500" w:right="100" w:hanging="492"/>
        <w:spacing w:after="0" w:line="258" w:lineRule="auto"/>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2025 Notes were issued in two separate transactions; $500.0 million in original notes were issued in March 2017 at par; $400.0 million in additional notes were issued in September 2017 and priced at 103.0% of the aggregate principal amount.</w:t>
      </w:r>
    </w:p>
    <w:p>
      <w:pPr>
        <w:spacing w:after="0" w:line="86" w:lineRule="exact"/>
        <w:rPr>
          <w:rFonts w:ascii="Arial" w:cs="Arial" w:eastAsia="Arial" w:hAnsi="Arial"/>
          <w:sz w:val="14"/>
          <w:szCs w:val="14"/>
          <w:color w:val="auto"/>
        </w:rPr>
      </w:pPr>
    </w:p>
    <w:p>
      <w:pPr>
        <w:ind w:left="500" w:hanging="492"/>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2027 Notes were issued in November 2019 at par.</w:t>
      </w:r>
    </w:p>
    <w:p>
      <w:pPr>
        <w:spacing w:after="0" w:line="158"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 Company is required to make quarterly payments on the Term Loan B facility equal to 0.25% of the aggregate principal amount of the loans under the Term Loan B facility.</w:t>
      </w:r>
    </w:p>
    <w:p>
      <w:pPr>
        <w:spacing w:after="0" w:line="19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Borrowings under the Term Loan B facility bear interest at a rate per annum of 175 basis points over the Eurodollar Rate or 75 basis points over the base rate (as defined in the Credit Agreement), and have no leverage or interest coverage maintenance covenants. Borrowings under the revolving credit facility bear interest at a rate per annum ranging from 125 to 175 basis points over the Eurodollar Rate or 25 to 75 basis points over the base rate, depending on the Consolidated Secured Debt to Consolidated EBITDA Ratio (as defined in the Credit Agreement). The Eurodollar Rate option is the one-, two-, three-, or six-month LIBOR rate, as selected by LPLH, or, with the approval of the applicable lenders, twelve-month LIBOR rate or the LIBOR rate for another period acceptable to the Administrative Agent (including a shorter period). The LIBOR rate, on which the Eurodollar Rate is based, is expected to be discontinued by the end of 2021. The Credit Agreement permits LPLH to agree with the administrative agent for the Credit Agreement on a replacement benchmark rate subject to certain conditions (including that a majority of the lenders do not object to such replacement rate within a specified period of time following notice thereof from the administrative agent).</w:t>
      </w:r>
    </w:p>
    <w:p>
      <w:pPr>
        <w:spacing w:after="0" w:line="21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As of December 31, 2019, the Company had $3.7 million of irrevocable letters of credit, with an applicable interest rate margin of 1.25%, which were supported by the credit facility.</w:t>
      </w:r>
    </w:p>
    <w:p>
      <w:pPr>
        <w:spacing w:after="0" w:line="196"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December 31, 2019, the Company was in compliance with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Credit Facility</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July 31, 2019, LPL Financial, the Company’s broker-dealer subsidiary, entered into a committed, unsecured revolving credit facility that matures on July 31, 2024 and allows for a maximum borrowing of up to $ 300.0 million (the “LPL Financial Credit Facility”). LPL Financial incurred approximately $1.5 million in debt issuance costs. Borrowings under the LPL Financial Credit Facility bear interest at a rate per annum ranging from 112.5 to 137.5 basis points over the Federal Funds Rate or Eurodollar Rate, depending on the Parent Leverage Ratio (each as defined in the credit agreement related to the LPL Financial Credit Facility). The credit agreement related to the LPL Financial Credit Facility subjects LPL Financial to certain financial and non-financial covenants. LPL Financial was in compliance with such covenants, and there were no borrowings outstanding on this credit facility, as of December 31, 2019.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314" w:right="239" w:bottom="1440" w:gutter="0" w:footer="0" w:header="0"/>
        </w:sectPr>
      </w:pPr>
    </w:p>
    <w:bookmarkStart w:id="91" w:name="page92"/>
    <w:bookmarkEnd w:id="91"/>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 maintained three uncommitted lines of credit as of December 31, 2019. Two of the lines have unspecified limits, which are primarily dependent on the Company’s ability to provide sufficient collateral. The third line has a $150.0 million limit and allows for both collateralized and uncollateralized borrowings. There were no balances outstanding as of December 31, 2019 or December 31, 2018.</w:t>
      </w:r>
    </w:p>
    <w:p>
      <w:pPr>
        <w:spacing w:after="0" w:line="202" w:lineRule="exact"/>
        <w:rPr>
          <w:sz w:val="20"/>
          <w:szCs w:val="20"/>
          <w:color w:val="auto"/>
        </w:rPr>
      </w:pPr>
    </w:p>
    <w:p>
      <w:pPr>
        <w:ind w:right="980" w:firstLine="486"/>
        <w:spacing w:after="0" w:line="262" w:lineRule="auto"/>
        <w:rPr>
          <w:sz w:val="20"/>
          <w:szCs w:val="20"/>
          <w:color w:val="auto"/>
        </w:rPr>
      </w:pPr>
      <w:r>
        <w:rPr>
          <w:rFonts w:ascii="Arial" w:cs="Arial" w:eastAsia="Arial" w:hAnsi="Arial"/>
          <w:sz w:val="18"/>
          <w:szCs w:val="18"/>
          <w:color w:val="auto"/>
        </w:rPr>
        <w:t>The minimum calendar year payments and maturities of the long-term borrowings as of December 31, 2019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55,700</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10,700</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10,700</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10,700</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10,700</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2,316,500</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2,415,000</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842, Leases</w:t>
      </w:r>
    </w:p>
    <w:p>
      <w:pPr>
        <w:spacing w:after="0" w:line="24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On January 1, 2019, the Company adopted ASC Topic 842, Leases (“Topic 842”). Results for reporting periods beginning after January 1, 2019 are presented under Topic 842, while prior period amounts are not adjusted and continue to be reported in accordance with historic accounting guidance, ASC Topic 840.</w:t>
      </w:r>
    </w:p>
    <w:p>
      <w:pPr>
        <w:spacing w:after="0" w:line="20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The Company previously recorded a build-to-suit related asset and liability for a lease in Fort Mill, South Carolina. The asset and liability were derecognized and reevaluated as a result of the adoption. The Fort Mill lease was determined to be a finance lease under Topic 842 and the changes in values from the derecognition and reevaluation were recorded to retained earnings under cumulative effect of accounting change in the consolidated statements of stockholders’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Recognition</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Company has operating and finance leases for corporate offices and equipment with remaining lease terms of 2 years to 17 years, some of which include options to extend the lease for up to 20 years. For leases with renewal options, the lease term is extended to reflect renewal options the Company is reasonably certain to exercise.</w:t>
      </w:r>
    </w:p>
    <w:p>
      <w:pPr>
        <w:spacing w:after="0" w:line="204"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Operating lease assets and operating lease liabilities are recognized based on the present value of the future lease payments over the lease term at the commencement date. As most of the Company’s leases do not provide an implicit rate, the Company estimates its incremental borrowing rate based on information available at the commencement date in determining the present value of future payments. Lease expense for net present value of payments is recognized on a straight-line basis over the lease term.</w:t>
      </w:r>
    </w:p>
    <w:p>
      <w:pPr>
        <w:spacing w:after="0" w:line="96"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Finance lease assets are included in fixed assets in the consolidated statements of financial condition and at December 31, 2019 were $107.4 million.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17,610</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6"/>
                <w:szCs w:val="16"/>
                <w:color w:val="auto"/>
              </w:rPr>
              <w:t>Finance lease cost:</w:t>
            </w:r>
          </w:p>
        </w:tc>
        <w:tc>
          <w:tcPr>
            <w:tcW w:w="2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7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4,786</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on lease liabilities</w:t>
            </w: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4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finance lease cost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13,173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14"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314" w:right="239" w:bottom="1440" w:gutter="0" w:footer="0" w:header="0"/>
          <w:type w:val="continuous"/>
        </w:sectPr>
      </w:pPr>
    </w:p>
    <w:bookmarkStart w:id="92" w:name="page93"/>
    <w:bookmarkEnd w:id="92"/>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00" w:type="dxa"/>
            <w:vAlign w:val="bottom"/>
            <w:gridSpan w:val="2"/>
          </w:tcPr>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57"/>
        </w:trPr>
        <w:tc>
          <w:tcPr>
            <w:tcW w:w="8700" w:type="dxa"/>
            <w:vAlign w:val="bottom"/>
            <w:gridSpan w:val="2"/>
          </w:tcPr>
          <w:p>
            <w:pPr>
              <w:ind w:left="384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662"/>
        </w:trPr>
        <w:tc>
          <w:tcPr>
            <w:tcW w:w="870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9"/>
        </w:trPr>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 Ended December 31,</w:t>
            </w:r>
          </w:p>
        </w:tc>
      </w:tr>
      <w:tr>
        <w:trPr>
          <w:trHeight w:val="250"/>
        </w:trPr>
        <w:tc>
          <w:tcPr>
            <w:tcW w:w="8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2019</w:t>
            </w:r>
          </w:p>
        </w:tc>
      </w:tr>
      <w:tr>
        <w:trPr>
          <w:trHeight w:val="26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3"/>
        </w:trPr>
        <w:tc>
          <w:tcPr>
            <w:tcW w:w="8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19,117</w:t>
            </w:r>
          </w:p>
        </w:tc>
      </w:tr>
      <w:tr>
        <w:trPr>
          <w:trHeight w:val="233"/>
        </w:trPr>
        <w:tc>
          <w:tcPr>
            <w:tcW w:w="8700" w:type="dxa"/>
            <w:vAlign w:val="bottom"/>
            <w:gridSpan w:val="2"/>
          </w:tcPr>
          <w:p>
            <w:pPr>
              <w:ind w:left="280"/>
              <w:spacing w:after="0"/>
              <w:rPr>
                <w:sz w:val="20"/>
                <w:szCs w:val="20"/>
                <w:color w:val="auto"/>
              </w:rPr>
            </w:pPr>
            <w:r>
              <w:rPr>
                <w:rFonts w:ascii="Arial" w:cs="Arial" w:eastAsia="Arial" w:hAnsi="Arial"/>
                <w:sz w:val="16"/>
                <w:szCs w:val="16"/>
                <w:color w:val="auto"/>
              </w:rPr>
              <w:t>Operating cash flows from finance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8,387</w:t>
            </w:r>
          </w:p>
        </w:tc>
      </w:tr>
      <w:tr>
        <w:trPr>
          <w:trHeight w:val="253"/>
        </w:trPr>
        <w:tc>
          <w:tcPr>
            <w:tcW w:w="87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Financing cash flows from finance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r>
      <w:tr>
        <w:trPr>
          <w:trHeight w:val="540"/>
        </w:trPr>
        <w:tc>
          <w:tcPr>
            <w:tcW w:w="8700" w:type="dxa"/>
            <w:vAlign w:val="bottom"/>
            <w:gridSpan w:val="2"/>
          </w:tcPr>
          <w:p>
            <w:pPr>
              <w:ind w:left="660"/>
              <w:spacing w:after="0"/>
              <w:rPr>
                <w:sz w:val="20"/>
                <w:szCs w:val="20"/>
                <w:color w:val="auto"/>
              </w:rPr>
            </w:pPr>
            <w:r>
              <w:rPr>
                <w:rFonts w:ascii="Arial" w:cs="Arial" w:eastAsia="Arial" w:hAnsi="Arial"/>
                <w:sz w:val="18"/>
                <w:szCs w:val="18"/>
                <w:color w:val="auto"/>
              </w:rPr>
              <w:t>Supplemental weighted-average information related to leases was as follows:</w:t>
            </w: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9"/>
        </w:trPr>
        <w:tc>
          <w:tcPr>
            <w:tcW w:w="8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85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2019</w:t>
            </w:r>
          </w:p>
        </w:tc>
      </w:tr>
      <w:tr>
        <w:trPr>
          <w:trHeight w:val="26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Weighted-average remaining lease term (years):</w:t>
            </w: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3"/>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40" w:type="dxa"/>
            <w:vAlign w:val="bottom"/>
            <w:shd w:val="clear" w:color="auto" w:fill="CCEEFF"/>
          </w:tcPr>
          <w:p>
            <w:pPr>
              <w:spacing w:after="0"/>
              <w:rPr>
                <w:sz w:val="21"/>
                <w:szCs w:val="21"/>
                <w:color w:val="auto"/>
              </w:rPr>
            </w:pPr>
          </w:p>
        </w:tc>
        <w:tc>
          <w:tcPr>
            <w:tcW w:w="2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26.2</w:t>
            </w:r>
          </w:p>
        </w:tc>
      </w:tr>
      <w:tr>
        <w:trPr>
          <w:trHeight w:val="233"/>
        </w:trPr>
        <w:tc>
          <w:tcPr>
            <w:tcW w:w="8700" w:type="dxa"/>
            <w:vAlign w:val="bottom"/>
            <w:gridSpan w:val="2"/>
          </w:tcPr>
          <w:p>
            <w:pPr>
              <w:ind w:left="18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0"/>
                <w:szCs w:val="20"/>
                <w:color w:val="auto"/>
              </w:rPr>
            </w:pPr>
          </w:p>
        </w:tc>
        <w:tc>
          <w:tcPr>
            <w:tcW w:w="2480" w:type="dxa"/>
            <w:vAlign w:val="bottom"/>
          </w:tcPr>
          <w:p>
            <w:pPr>
              <w:jc w:val="right"/>
              <w:ind w:right="239"/>
              <w:spacing w:after="0"/>
              <w:rPr>
                <w:sz w:val="20"/>
                <w:szCs w:val="20"/>
                <w:color w:val="auto"/>
              </w:rPr>
            </w:pPr>
            <w:r>
              <w:rPr>
                <w:rFonts w:ascii="Arial" w:cs="Arial" w:eastAsia="Arial" w:hAnsi="Arial"/>
                <w:sz w:val="16"/>
                <w:szCs w:val="16"/>
                <w:color w:val="auto"/>
              </w:rPr>
              <w:t>9.1</w:t>
            </w:r>
          </w:p>
        </w:tc>
      </w:tr>
      <w:tr>
        <w:trPr>
          <w:trHeight w:val="280"/>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discount rate:</w:t>
            </w:r>
          </w:p>
        </w:tc>
        <w:tc>
          <w:tcPr>
            <w:tcW w:w="24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r>
      <w:tr>
        <w:trPr>
          <w:trHeight w:val="233"/>
        </w:trPr>
        <w:tc>
          <w:tcPr>
            <w:tcW w:w="8700" w:type="dxa"/>
            <w:vAlign w:val="bottom"/>
            <w:gridSpan w:val="2"/>
          </w:tcPr>
          <w:p>
            <w:pPr>
              <w:ind w:left="180"/>
              <w:spacing w:after="0"/>
              <w:rPr>
                <w:sz w:val="20"/>
                <w:szCs w:val="20"/>
                <w:color w:val="auto"/>
              </w:rPr>
            </w:pPr>
            <w:r>
              <w:rPr>
                <w:rFonts w:ascii="Arial" w:cs="Arial" w:eastAsia="Arial" w:hAnsi="Arial"/>
                <w:sz w:val="16"/>
                <w:szCs w:val="16"/>
                <w:color w:val="auto"/>
              </w:rPr>
              <w:t>Finance leases</w:t>
            </w:r>
          </w:p>
        </w:tc>
        <w:tc>
          <w:tcPr>
            <w:tcW w:w="240" w:type="dxa"/>
            <w:vAlign w:val="bottom"/>
          </w:tcPr>
          <w:p>
            <w:pPr>
              <w:spacing w:after="0"/>
              <w:rPr>
                <w:sz w:val="20"/>
                <w:szCs w:val="20"/>
                <w:color w:val="auto"/>
              </w:rPr>
            </w:pPr>
          </w:p>
        </w:tc>
        <w:tc>
          <w:tcPr>
            <w:tcW w:w="2480" w:type="dxa"/>
            <w:vAlign w:val="bottom"/>
          </w:tcPr>
          <w:p>
            <w:pPr>
              <w:jc w:val="right"/>
              <w:ind w:right="79"/>
              <w:spacing w:after="0"/>
              <w:rPr>
                <w:sz w:val="20"/>
                <w:szCs w:val="20"/>
                <w:color w:val="auto"/>
              </w:rPr>
            </w:pPr>
            <w:r>
              <w:rPr>
                <w:rFonts w:ascii="Arial" w:cs="Arial" w:eastAsia="Arial" w:hAnsi="Arial"/>
                <w:sz w:val="16"/>
                <w:szCs w:val="16"/>
                <w:color w:val="auto"/>
              </w:rPr>
              <w:t>7.75%</w:t>
            </w:r>
          </w:p>
        </w:tc>
      </w:tr>
      <w:tr>
        <w:trPr>
          <w:trHeight w:val="253"/>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21"/>
                <w:szCs w:val="21"/>
                <w:color w:val="auto"/>
              </w:rPr>
            </w:pPr>
          </w:p>
        </w:tc>
        <w:tc>
          <w:tcPr>
            <w:tcW w:w="2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7.27%</w:t>
            </w: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as of December 31, 2019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Operating Leases</w:t>
            </w:r>
          </w:p>
        </w:tc>
        <w:tc>
          <w:tcPr>
            <w:tcW w:w="300" w:type="dxa"/>
            <w:vAlign w:val="bottom"/>
          </w:tcPr>
          <w:p>
            <w:pPr>
              <w:spacing w:after="0"/>
              <w:rPr>
                <w:sz w:val="19"/>
                <w:szCs w:val="19"/>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b w:val="1"/>
                <w:bCs w:val="1"/>
                <w:color w:val="auto"/>
              </w:rPr>
              <w:t>Finance Leases</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19,973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9,592</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22"/>
                <w:szCs w:val="22"/>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20,553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9,735</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8,802</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2"/>
                <w:szCs w:val="22"/>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20,706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8,576</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8,727</w:t>
            </w: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94,503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233,639</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197,304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279,071</w:t>
            </w:r>
          </w:p>
        </w:tc>
      </w:tr>
      <w:tr>
        <w:trPr>
          <w:trHeight w:val="264"/>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imputed interest</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55,404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170,479</w:t>
            </w:r>
          </w:p>
        </w:tc>
      </w:tr>
      <w:tr>
        <w:trPr>
          <w:trHeight w:val="24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141,900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108,592</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as of December 31, 2018 under ASC Topic 840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30,010</w:t>
            </w:r>
          </w:p>
        </w:tc>
        <w:tc>
          <w:tcPr>
            <w:tcW w:w="0" w:type="dxa"/>
            <w:vAlign w:val="bottom"/>
          </w:tcPr>
          <w:p>
            <w:pPr>
              <w:spacing w:after="0"/>
              <w:rPr>
                <w:sz w:val="1"/>
                <w:szCs w:val="1"/>
                <w:color w:val="auto"/>
              </w:rPr>
            </w:pPr>
          </w:p>
        </w:tc>
      </w:tr>
      <w:tr>
        <w:trPr>
          <w:trHeight w:val="233"/>
        </w:trPr>
        <w:tc>
          <w:tcPr>
            <w:tcW w:w="9140" w:type="dxa"/>
            <w:vAlign w:val="bottom"/>
          </w:tcPr>
          <w:p>
            <w:pPr>
              <w:ind w:left="40"/>
              <w:spacing w:after="0"/>
              <w:rPr>
                <w:sz w:val="20"/>
                <w:szCs w:val="20"/>
                <w:color w:val="auto"/>
              </w:rPr>
            </w:pPr>
            <w:r>
              <w:rPr>
                <w:rFonts w:ascii="Arial" w:cs="Arial" w:eastAsia="Arial" w:hAnsi="Arial"/>
                <w:sz w:val="16"/>
                <w:szCs w:val="16"/>
                <w:color w:val="auto"/>
              </w:rPr>
              <w:t>2020</w:t>
            </w:r>
          </w:p>
        </w:tc>
        <w:tc>
          <w:tcPr>
            <w:tcW w:w="8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30,731</w:t>
            </w:r>
          </w:p>
        </w:tc>
        <w:tc>
          <w:tcPr>
            <w:tcW w:w="0" w:type="dxa"/>
            <w:vAlign w:val="bottom"/>
          </w:tcPr>
          <w:p>
            <w:pPr>
              <w:spacing w:after="0"/>
              <w:rPr>
                <w:sz w:val="1"/>
                <w:szCs w:val="1"/>
                <w:color w:val="auto"/>
              </w:rPr>
            </w:pPr>
          </w:p>
        </w:tc>
      </w:tr>
      <w:tr>
        <w:trPr>
          <w:trHeight w:val="253"/>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8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30,590</w:t>
            </w:r>
          </w:p>
        </w:tc>
        <w:tc>
          <w:tcPr>
            <w:tcW w:w="0" w:type="dxa"/>
            <w:vAlign w:val="bottom"/>
          </w:tcPr>
          <w:p>
            <w:pPr>
              <w:spacing w:after="0"/>
              <w:rPr>
                <w:sz w:val="1"/>
                <w:szCs w:val="1"/>
                <w:color w:val="auto"/>
              </w:rPr>
            </w:pPr>
          </w:p>
        </w:tc>
      </w:tr>
      <w:tr>
        <w:trPr>
          <w:trHeight w:val="233"/>
        </w:trPr>
        <w:tc>
          <w:tcPr>
            <w:tcW w:w="9140" w:type="dxa"/>
            <w:vAlign w:val="bottom"/>
          </w:tcPr>
          <w:p>
            <w:pPr>
              <w:ind w:left="40"/>
              <w:spacing w:after="0"/>
              <w:rPr>
                <w:sz w:val="20"/>
                <w:szCs w:val="20"/>
                <w:color w:val="auto"/>
              </w:rPr>
            </w:pPr>
            <w:r>
              <w:rPr>
                <w:rFonts w:ascii="Arial" w:cs="Arial" w:eastAsia="Arial" w:hAnsi="Arial"/>
                <w:sz w:val="16"/>
                <w:szCs w:val="16"/>
                <w:color w:val="auto"/>
              </w:rPr>
              <w:t>2022</w:t>
            </w:r>
          </w:p>
        </w:tc>
        <w:tc>
          <w:tcPr>
            <w:tcW w:w="8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31,238</w:t>
            </w:r>
          </w:p>
        </w:tc>
        <w:tc>
          <w:tcPr>
            <w:tcW w:w="0" w:type="dxa"/>
            <w:vAlign w:val="bottom"/>
          </w:tcPr>
          <w:p>
            <w:pPr>
              <w:spacing w:after="0"/>
              <w:rPr>
                <w:sz w:val="1"/>
                <w:szCs w:val="1"/>
                <w:color w:val="auto"/>
              </w:rPr>
            </w:pPr>
          </w:p>
        </w:tc>
      </w:tr>
      <w:tr>
        <w:trPr>
          <w:trHeight w:val="253"/>
        </w:trPr>
        <w:tc>
          <w:tcPr>
            <w:tcW w:w="9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8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30,265</w:t>
            </w:r>
          </w:p>
        </w:tc>
        <w:tc>
          <w:tcPr>
            <w:tcW w:w="0" w:type="dxa"/>
            <w:vAlign w:val="bottom"/>
          </w:tcPr>
          <w:p>
            <w:pPr>
              <w:spacing w:after="0"/>
              <w:rPr>
                <w:sz w:val="1"/>
                <w:szCs w:val="1"/>
                <w:color w:val="auto"/>
              </w:rPr>
            </w:pPr>
          </w:p>
        </w:tc>
      </w:tr>
      <w:tr>
        <w:trPr>
          <w:trHeight w:val="23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239,118</w:t>
            </w:r>
          </w:p>
        </w:tc>
        <w:tc>
          <w:tcPr>
            <w:tcW w:w="0" w:type="dxa"/>
            <w:vAlign w:val="bottom"/>
          </w:tcPr>
          <w:p>
            <w:pPr>
              <w:spacing w:after="0"/>
              <w:rPr>
                <w:sz w:val="1"/>
                <w:szCs w:val="1"/>
                <w:color w:val="auto"/>
              </w:rPr>
            </w:pPr>
          </w:p>
        </w:tc>
      </w:tr>
      <w:tr>
        <w:trPr>
          <w:trHeight w:val="24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r>
              <w:rPr>
                <w:rFonts w:ascii="Arial" w:cs="Arial" w:eastAsia="Arial" w:hAnsi="Arial"/>
                <w:sz w:val="10"/>
                <w:szCs w:val="10"/>
                <w:color w:val="auto"/>
              </w:rPr>
              <w:t>(1)</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391,952</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1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140" w:hanging="332"/>
        <w:spacing w:after="0" w:line="279"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above exclude $75.7 million related to non-lease commitments from the schedule included in Note 13</w:t>
      </w:r>
      <w:r>
        <w:rPr>
          <w:rFonts w:ascii="Arial" w:cs="Arial" w:eastAsia="Arial" w:hAnsi="Arial"/>
          <w:sz w:val="14"/>
          <w:szCs w:val="14"/>
          <w:i w:val="1"/>
          <w:iCs w:val="1"/>
          <w:color w:val="auto"/>
        </w:rPr>
        <w:t>. Commitments and Contingencies</w:t>
      </w:r>
      <w:r>
        <w:rPr>
          <w:rFonts w:ascii="Arial" w:cs="Arial" w:eastAsia="Arial" w:hAnsi="Arial"/>
          <w:sz w:val="14"/>
          <w:szCs w:val="14"/>
          <w:color w:val="auto"/>
        </w:rPr>
        <w:t>, in the Company’s audited consolidated financial statements and the related notes in the 2018 Annual Report on Form 10-K.</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314" w:right="239" w:bottom="1440" w:gutter="0" w:footer="0" w:header="0"/>
        </w:sectPr>
      </w:pPr>
    </w:p>
    <w:bookmarkStart w:id="93" w:name="page94"/>
    <w:bookmarkEnd w:id="93"/>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Income Taxes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provision for income taxes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Current provision: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156,378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120,211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117,745</w:t>
            </w:r>
          </w:p>
        </w:tc>
      </w:tr>
      <w:tr>
        <w:trPr>
          <w:trHeight w:val="264"/>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44,192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17,353</w:t>
            </w:r>
          </w:p>
        </w:tc>
      </w:tr>
      <w:tr>
        <w:trPr>
          <w:trHeight w:val="25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provision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200,570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154,932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135,098</w:t>
            </w:r>
          </w:p>
        </w:tc>
      </w:tr>
      <w:tr>
        <w:trPr>
          <w:trHeight w:val="254"/>
        </w:trPr>
        <w:tc>
          <w:tcPr>
            <w:tcW w:w="7440" w:type="dxa"/>
            <w:vAlign w:val="bottom"/>
          </w:tcPr>
          <w:p>
            <w:pPr>
              <w:ind w:left="40"/>
              <w:spacing w:after="0"/>
              <w:rPr>
                <w:sz w:val="20"/>
                <w:szCs w:val="20"/>
                <w:color w:val="auto"/>
              </w:rPr>
            </w:pPr>
            <w:r>
              <w:rPr>
                <w:rFonts w:ascii="Arial" w:cs="Arial" w:eastAsia="Arial" w:hAnsi="Arial"/>
                <w:sz w:val="16"/>
                <w:szCs w:val="16"/>
                <w:color w:val="auto"/>
              </w:rPr>
              <w:t>Deferred benefit:</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(8,951)</w:t>
            </w:r>
          </w:p>
        </w:tc>
      </w:tr>
      <w:tr>
        <w:trPr>
          <w:trHeight w:val="264"/>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deferred benefit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(9,391)</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181,955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153,178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125,707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rates to the Company’s effective income tax rates is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326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statutory income tax rates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State income taxes, net of federal benefit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3.0</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Non-deductible expenses</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(0.9)</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Cuts and Jobs Act of 2017</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Domestic production activities deduction</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(0.9)</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&amp; development credits</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r>
      <w:tr>
        <w:trPr>
          <w:trHeight w:val="264"/>
        </w:trPr>
        <w:tc>
          <w:tcPr>
            <w:tcW w:w="7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0.5</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income tax rates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34.5 %</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Company’s effective income tax rate differs from the federal corporate tax rate of 21.0%, primarily as a result of state taxes, settlement contingencies, tax credits and other permanent differences in tax deductibility of certain expenses. These items resulted in effective tax rates of 24.5%, 25.8%, and 34.5% for the years ended December 31, 2019, 2018, and 2017, respectively.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the Company’s effective income tax rate in 2019 compared to 2018 was due to decreases in non-deductible expenses.</w:t>
      </w:r>
    </w:p>
    <w:p>
      <w:pPr>
        <w:spacing w:after="0" w:line="225"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decrease in the Company’s effective income tax rate in 2018 compared to 2017 was due to the tax benefit associated with the federal corporate income tax rate reduction from 35% to 21% under the Tax Cuts and Jobs Act of 2017.</w:t>
      </w:r>
    </w:p>
    <w:p>
      <w:pPr>
        <w:spacing w:after="0" w:line="8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December 22, 2017, the Tax Cuts and Jobs Act of 2017 (H.R. 1), the tax reform bill (the "Tax Act"), was signed into law. The Tax Act provided a permanent reduction in the Company's federal corporate income tax rate from 35% to 21% effective January 1, 2018. During the quarter ended December 31, 2018, the Company finalized its accounting of the Tax Act pursuant to SEC Staff Accounting Bulletin No. 118. No significant impacts were recorded by the Company as a result of finalizing the accounting.</w:t>
      </w:r>
    </w:p>
    <w:p>
      <w:pPr>
        <w:spacing w:after="0" w:line="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314" w:right="239" w:bottom="1440" w:gutter="0" w:footer="0" w:header="0"/>
        </w:sectPr>
      </w:pPr>
    </w:p>
    <w:bookmarkStart w:id="94" w:name="page95"/>
    <w:bookmarkEnd w:id="94"/>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components of the net deferred income taxes included in the consolidated statements of financial condition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82,105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58,265</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14,823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16,832</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7,044</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37,580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32,376</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3,919</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Forgivable loans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9,938</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Captive insurance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r>
      <w:tr>
        <w:trPr>
          <w:trHeight w:val="264"/>
        </w:trPr>
        <w:tc>
          <w:tcPr>
            <w:tcW w:w="8800" w:type="dxa"/>
            <w:vAlign w:val="bottom"/>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4,788</w:t>
            </w:r>
          </w:p>
        </w:tc>
      </w:tr>
      <w:tr>
        <w:trPr>
          <w:trHeight w:val="257"/>
        </w:trPr>
        <w:tc>
          <w:tcPr>
            <w:tcW w:w="8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deferred tax assets</w:t>
            </w: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186,485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135,130</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(77,037)</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Depreciation of fixed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(87,739)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(76,418)</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8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(153,455)</w:t>
            </w:r>
          </w:p>
        </w:tc>
      </w:tr>
      <w:tr>
        <w:trPr>
          <w:trHeight w:val="254"/>
        </w:trPr>
        <w:tc>
          <w:tcPr>
            <w:tcW w:w="880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(18,325)</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 Beginning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39,766</w:t>
            </w: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Increases for tax positions taken during the current year</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7,815</w:t>
            </w:r>
          </w:p>
        </w:tc>
      </w:tr>
      <w:tr>
        <w:trPr>
          <w:trHeight w:val="273"/>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Reductions as a result of a lapse of the applicable statute of limitations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(4,924)</w:t>
            </w:r>
          </w:p>
        </w:tc>
      </w:tr>
      <w:tr>
        <w:trPr>
          <w:trHeight w:val="240"/>
        </w:trPr>
        <w:tc>
          <w:tcPr>
            <w:tcW w:w="7440" w:type="dxa"/>
            <w:vAlign w:val="bottom"/>
          </w:tcPr>
          <w:p>
            <w:pPr>
              <w:ind w:left="80"/>
              <w:spacing w:after="0"/>
              <w:rPr>
                <w:sz w:val="20"/>
                <w:szCs w:val="20"/>
                <w:color w:val="auto"/>
              </w:rPr>
            </w:pPr>
            <w:r>
              <w:rPr>
                <w:rFonts w:ascii="Arial" w:cs="Arial" w:eastAsia="Arial" w:hAnsi="Arial"/>
                <w:sz w:val="16"/>
                <w:szCs w:val="16"/>
                <w:color w:val="auto"/>
              </w:rPr>
              <w:t>Balance —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52,098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46,287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42,657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40" w:firstLine="486"/>
        <w:spacing w:after="0" w:line="262" w:lineRule="auto"/>
        <w:rPr>
          <w:sz w:val="20"/>
          <w:szCs w:val="20"/>
          <w:color w:val="auto"/>
        </w:rPr>
      </w:pPr>
      <w:r>
        <w:rPr>
          <w:rFonts w:ascii="Arial" w:cs="Arial" w:eastAsia="Arial" w:hAnsi="Arial"/>
          <w:sz w:val="18"/>
          <w:szCs w:val="18"/>
          <w:color w:val="auto"/>
        </w:rPr>
        <w:t>At December 31, 2019 and 2018, there were $46.1 million and $40.7 million, respectively, of unrecognized tax benefits that if recognized, would favorably affect the effective income tax rate in any future periods.</w:t>
      </w:r>
    </w:p>
    <w:p>
      <w:pPr>
        <w:spacing w:after="0" w:line="1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December 31, 2019 and 2018, the liability for unrecognized tax benefits included accrued interest of $6.4 million and $5.1 million, respectively, and penalties of $4.4 million and $4.3 million, respectively.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income tax matters for years through 2011 and all state income tax matters for years through 2007.</w:t>
      </w:r>
    </w:p>
    <w:p>
      <w:pPr>
        <w:spacing w:after="0" w:line="202"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tax years of 2012 to 2018 remain open to examination in the federal jurisdiction. The tax years of 2008 to 2018 remain open to examination in the state jurisdictions. In the next 12 months, it is reasonably possible that the Company expects a reduction in unrecognized tax benefits of $3.7 million primarily related to the statute of limitations expiration in various state jurisdictions.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314" w:right="239" w:bottom="1440" w:gutter="0" w:footer="0" w:header="0"/>
        </w:sectPr>
      </w:pPr>
    </w:p>
    <w:bookmarkStart w:id="95" w:name="page96"/>
    <w:bookmarkEnd w:id="95"/>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Future minimum payments under service, development, and agency contracts, and other contractual obligations with initial terms greater than one year were as follows at December 31, 2019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45,272</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20,375</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9,499</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1,118</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77,282</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Company occasionally enters into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December 31,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314" w:right="239" w:bottom="1440" w:gutter="0" w:footer="0" w:header="0"/>
        </w:sectPr>
      </w:pPr>
    </w:p>
    <w:bookmarkStart w:id="96" w:name="page97"/>
    <w:bookmarkEnd w:id="96"/>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those amounts can be reasonably determined. The Company has established an accrual for those legal proceedings and regulatory matters for which a loss is both probable and the amount can be reasonably estimated.</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May 1, 2018 the Company agreed to a settlement structure with the North American Securities Administrators Association that related to the Company’s historical compliance with certain state “blue sky” laws and resulted in aggregate fines of approximately $26.4 million, all of which were covered by the Captive Insurance Subsidiary’s loss reserves. As part of the settlement structure, the Company engaged independent third party consultants to conduct a historical review of securities transactions and an operational review of the Company’s systems for complying with blue sky securities registration requirements, each of which has been completed. The Company also agreed to offer customers remediation in the form of reimbursement for any actual losses, plus interest. As of the date of this annual report, customer remediation remains in process, although the cost is not expected to be material.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24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through the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As of December 31, 2019 and 2018, these self-insurance liabilities are included in accounts payable and accrued liabilities in the consolidated statements of financial condition. Self-insurance related charges are included in other expenses in the consolidated statements of income for the years ended December 31, 2019, 2018, and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As of December 31, 2019, the Company had approximately $347.9 million of client margin loans that were collateralized with securities having a fair value of approximately $487.1 million that it can repledge, loan, or sell. Of these securities, approximately $71.8 million were client-owned securities pledged to the Options Clearing Corporation as collateral to secure client obligations related to options positions. As of December 31, 2019, there were no restrictions that materially limited the Company’s ability to repledge, loan, or sell the remaining $415.3 million of client collateral.</w:t>
      </w:r>
    </w:p>
    <w:p>
      <w:pPr>
        <w:spacing w:after="0" w:line="206" w:lineRule="exact"/>
        <w:rPr>
          <w:sz w:val="20"/>
          <w:szCs w:val="20"/>
          <w:color w:val="auto"/>
        </w:rPr>
      </w:pPr>
    </w:p>
    <w:p>
      <w:pPr>
        <w:jc w:val="both"/>
        <w:ind w:right="440" w:firstLine="486"/>
        <w:spacing w:after="0" w:line="256" w:lineRule="auto"/>
        <w:rPr>
          <w:sz w:val="20"/>
          <w:szCs w:val="20"/>
          <w:color w:val="auto"/>
        </w:rPr>
      </w:pPr>
      <w:r>
        <w:rPr>
          <w:rFonts w:ascii="Arial" w:cs="Arial" w:eastAsia="Arial" w:hAnsi="Arial"/>
          <w:sz w:val="18"/>
          <w:szCs w:val="18"/>
          <w:color w:val="auto"/>
        </w:rPr>
        <w:t>Trading securities on the consolidated statements of financial condition includes $5.5 million and $4.7 million pledged to the Options Clearing Corporation at December 31, 2019 and 2018, respectively, and $15.0 million and $14.9 million pledged to the National Securities Clearing Corporation at December 31, 2019 and December 31, 2018, respectively.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314" w:right="239" w:bottom="1440" w:gutter="0" w:footer="0" w:header="0"/>
        </w:sectPr>
      </w:pPr>
    </w:p>
    <w:bookmarkStart w:id="97" w:name="page98"/>
    <w:bookmarkEnd w:id="97"/>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Company’s board of directors (the “Board of Directors”) as well as certain limits under the Credit Agreement and indentures. Cash dividends per share of common stock and total cash dividends paid on a quarterly basis were as follows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980" w:type="dxa"/>
            <w:vAlign w:val="bottom"/>
            <w:tcBorders>
              <w:bottom w:val="single" w:sz="8" w:color="auto"/>
            </w:tcBorders>
          </w:tcPr>
          <w:p>
            <w:pPr>
              <w:spacing w:after="0"/>
              <w:rPr>
                <w:sz w:val="19"/>
                <w:szCs w:val="19"/>
                <w:color w:val="auto"/>
              </w:rPr>
            </w:pPr>
          </w:p>
        </w:tc>
      </w:tr>
      <w:tr>
        <w:trPr>
          <w:trHeight w:val="198"/>
        </w:trPr>
        <w:tc>
          <w:tcPr>
            <w:tcW w:w="4240" w:type="dxa"/>
            <w:vAlign w:val="bottom"/>
          </w:tcPr>
          <w:p>
            <w:pPr>
              <w:spacing w:after="0"/>
              <w:rPr>
                <w:sz w:val="17"/>
                <w:szCs w:val="17"/>
                <w:color w:val="auto"/>
              </w:rPr>
            </w:pPr>
          </w:p>
        </w:tc>
        <w:tc>
          <w:tcPr>
            <w:tcW w:w="1320" w:type="dxa"/>
            <w:vAlign w:val="bottom"/>
            <w:gridSpan w:val="5"/>
          </w:tcPr>
          <w:p>
            <w:pPr>
              <w:ind w:left="40"/>
              <w:spacing w:after="0"/>
              <w:rPr>
                <w:sz w:val="20"/>
                <w:szCs w:val="20"/>
                <w:color w:val="auto"/>
              </w:rPr>
            </w:pPr>
            <w:r>
              <w:rPr>
                <w:rFonts w:ascii="Arial" w:cs="Arial" w:eastAsia="Arial" w:hAnsi="Arial"/>
                <w:sz w:val="16"/>
                <w:szCs w:val="16"/>
                <w:b w:val="1"/>
                <w:bCs w:val="1"/>
                <w:color w:val="auto"/>
              </w:rPr>
              <w:t>Dividend per</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Cash</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Dividend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Cash</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Dividend per</w:t>
            </w:r>
          </w:p>
        </w:tc>
        <w:tc>
          <w:tcPr>
            <w:tcW w:w="16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Total Cash</w:t>
            </w:r>
          </w:p>
        </w:tc>
      </w:tr>
      <w:tr>
        <w:trPr>
          <w:trHeight w:val="228"/>
        </w:trPr>
        <w:tc>
          <w:tcPr>
            <w:tcW w:w="4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Dividend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Dividend</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22.6</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51"/>
        </w:trPr>
        <w:tc>
          <w:tcPr>
            <w:tcW w:w="42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22.5</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Company engages in share repurchase programs, which are approved by the Board of Directors, pursuant to which the Company may repurchase its issued and outstanding shares of common stock from time to time. Repurchased shares are included in treasury stock on the consolidated statements of financial condition.</w:t>
      </w:r>
    </w:p>
    <w:p>
      <w:pPr>
        <w:spacing w:after="0" w:line="9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On November 13, 2018, the Board of Directors authorized an increase to the Company’s existing share repurchase program, enabling the Company to repurchase its issued and outstanding common stock from time to time. As of December 31, 2019, the Company had $499.8 million remaining under the existing share repurchase program.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the indentures, and the Company’s general working capital needs.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activity under its approved share repurchase programs (dollars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9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Cost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1,747,116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1,591,950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78.54</w:t>
            </w:r>
          </w:p>
        </w:tc>
        <w:tc>
          <w:tcPr>
            <w:tcW w:w="120" w:type="dxa"/>
            <w:vAlign w:val="bottom"/>
          </w:tcPr>
          <w:p>
            <w:pPr>
              <w:spacing w:after="0"/>
              <w:rPr>
                <w:sz w:val="22"/>
                <w:szCs w:val="22"/>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ind w:left="14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1,668,305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Quarter</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1,411,171</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85.06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6,418,542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9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Included in the total cost of shares purchased is a commission fee of $0.02 per share.</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may not foot due to rounding.</w:t>
      </w:r>
    </w:p>
    <w:p>
      <w:pPr>
        <w:spacing w:after="0" w:line="13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jc w:val="both"/>
        <w:ind w:right="260" w:firstLine="486"/>
        <w:spacing w:after="0" w:line="291" w:lineRule="auto"/>
        <w:rPr>
          <w:sz w:val="20"/>
          <w:szCs w:val="20"/>
          <w:color w:val="auto"/>
        </w:rPr>
      </w:pPr>
      <w:r>
        <w:rPr>
          <w:rFonts w:ascii="Arial" w:cs="Arial" w:eastAsia="Arial" w:hAnsi="Arial"/>
          <w:sz w:val="17"/>
          <w:szCs w:val="17"/>
          <w:color w:val="auto"/>
        </w:rPr>
        <w:t>Certain employees, advisors, institutions, officers, and directors of the Company participate in various long-term incentive plans, which provide for granting stock options, warrants, restricted stock awards, restricted stock units, deferred stock units and performance stock units.</w:t>
      </w:r>
    </w:p>
    <w:p>
      <w:pPr>
        <w:spacing w:after="0" w:line="174"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In November 2010, the Company adopted the 2010 Omnibus Equity Incentive Plan (as amended and restated in May 2015, the “2010 Plan”), which provides for the granting of stock options, warrants, restricted stock awards, restricted stock units, deferred stock units, performance stock units, and other equity-based compensation.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314" w:right="239" w:bottom="1440" w:gutter="0" w:footer="0" w:header="0"/>
        </w:sectPr>
      </w:pPr>
    </w:p>
    <w:bookmarkStart w:id="98" w:name="page99"/>
    <w:bookmarkEnd w:id="98"/>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Since its adoption, awards have been and are only made out of the 2010 Plan. As of December 31, 2019, there were 20,055,945 shares authorized for grant and 5,231,656 shares remaining available for future issuance.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25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5.43</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35.27%</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10.63</w:t>
            </w: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as of and for the year ended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140" w:type="dxa"/>
            <w:vAlign w:val="bottom"/>
          </w:tcPr>
          <w:p>
            <w:pPr>
              <w:spacing w:after="0"/>
              <w:rPr>
                <w:sz w:val="16"/>
                <w:szCs w:val="16"/>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3,588,067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0"/>
        </w:trPr>
        <w:tc>
          <w:tcPr>
            <w:tcW w:w="51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422,397</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77.53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 and 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(95,924)</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46.37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4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2019</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2,705,241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131,051</w:t>
            </w:r>
          </w:p>
        </w:tc>
      </w:tr>
      <w:tr>
        <w:trPr>
          <w:trHeight w:val="20"/>
        </w:trPr>
        <w:tc>
          <w:tcPr>
            <w:tcW w:w="5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 December 31, 2019</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1,870,845</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34.08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108,821</w:t>
            </w:r>
          </w:p>
        </w:tc>
      </w:tr>
      <w:tr>
        <w:trPr>
          <w:trHeight w:val="22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and expected to vest — December 31, 2019</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2,655,996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43.27</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130,081</w:t>
            </w:r>
          </w:p>
        </w:tc>
      </w:tr>
      <w:tr>
        <w:trPr>
          <w:trHeight w:val="20"/>
        </w:trPr>
        <w:tc>
          <w:tcPr>
            <w:tcW w:w="5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as of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37"/>
        </w:trPr>
        <w:tc>
          <w:tcPr>
            <w:tcW w:w="400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6"/>
                <w:szCs w:val="16"/>
                <w:color w:val="auto"/>
                <w:shd w:val="clear" w:color="auto" w:fill="CCEEFF"/>
              </w:rPr>
              <w:t>$18.04 - $25.00</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548,831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548,831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$25.01 - $35.00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616,939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31.06</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616,939</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31.06</w:t>
            </w:r>
          </w:p>
        </w:tc>
      </w:tr>
      <w:tr>
        <w:trPr>
          <w:trHeight w:val="260"/>
        </w:trPr>
        <w:tc>
          <w:tcPr>
            <w:tcW w:w="400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6"/>
                <w:szCs w:val="16"/>
                <w:color w:val="auto"/>
                <w:shd w:val="clear" w:color="auto" w:fill="CCEEFF"/>
              </w:rPr>
              <w:t>$35.01 - $45.00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451,196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268,755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39.70</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$45.01 - $65.00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336,062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48.76</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336,062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48.76</w:t>
            </w:r>
          </w:p>
        </w:tc>
      </w:tr>
      <w:tr>
        <w:trPr>
          <w:trHeight w:val="260"/>
        </w:trPr>
        <w:tc>
          <w:tcPr>
            <w:tcW w:w="400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6"/>
                <w:szCs w:val="16"/>
                <w:color w:val="auto"/>
                <w:shd w:val="clear" w:color="auto" w:fill="CCEEFF"/>
              </w:rPr>
              <w:t>$65.01 - $75.00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351,343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100,258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65.50</w:t>
            </w:r>
          </w:p>
        </w:tc>
      </w:tr>
      <w:tr>
        <w:trPr>
          <w:trHeight w:val="264"/>
        </w:trPr>
        <w:tc>
          <w:tcPr>
            <w:tcW w:w="4000" w:type="dxa"/>
            <w:vAlign w:val="bottom"/>
            <w:tcBorders>
              <w:bottom w:val="single" w:sz="8" w:color="CCEEFF"/>
            </w:tcBorders>
          </w:tcPr>
          <w:p>
            <w:pPr>
              <w:jc w:val="right"/>
              <w:ind w:right="2619"/>
              <w:spacing w:after="0"/>
              <w:rPr>
                <w:sz w:val="20"/>
                <w:szCs w:val="20"/>
                <w:color w:val="auto"/>
              </w:rPr>
            </w:pPr>
            <w:r>
              <w:rPr>
                <w:rFonts w:ascii="Arial" w:cs="Arial" w:eastAsia="Arial" w:hAnsi="Arial"/>
                <w:sz w:val="16"/>
                <w:szCs w:val="16"/>
                <w:color w:val="auto"/>
              </w:rPr>
              <w:t>$75.01 - $80.00</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400,870</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77.53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2,705,241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43.81</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1,870,845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Company recognized share-based compensation related to the vesting of stock options awarded to employees and officers of $9.8 million, $8.1 million, and $7.2 million during the years ended December 31, 2019, 2018, and 2017, respectively. As of December 31, 2019, total unrecognized compensation cost related to non-vested stock options granted to employees and officers was $7.9 million, which is expected to be recognized over a weighted-average period of 1.81 years.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314" w:right="239" w:bottom="1440" w:gutter="0" w:footer="0" w:header="0"/>
        </w:sectPr>
      </w:pPr>
    </w:p>
    <w:bookmarkStart w:id="99" w:name="page100"/>
    <w:bookmarkEnd w:id="99"/>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Stock Units</w:t>
      </w:r>
    </w:p>
    <w:p>
      <w:pPr>
        <w:spacing w:after="0" w:line="24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following summarizes the Company’s activity in its restricted stock awards and stock units, which include restricted stock units, deferred stock units, and performance stock units, for the year ended December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Stock Units</w:t>
            </w:r>
          </w:p>
        </w:tc>
      </w:tr>
      <w:tr>
        <w:trPr>
          <w:trHeight w:val="198"/>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Weighted-Average</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Weighted-Average</w:t>
            </w:r>
          </w:p>
        </w:tc>
      </w:tr>
      <w:tr>
        <w:trPr>
          <w:trHeight w:val="189"/>
        </w:trPr>
        <w:tc>
          <w:tcPr>
            <w:tcW w:w="424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Grant-Date</w:t>
            </w: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910,720</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52.38</w:t>
            </w:r>
          </w:p>
        </w:tc>
      </w:tr>
      <w:tr>
        <w:trPr>
          <w:trHeight w:val="260"/>
        </w:trPr>
        <w:tc>
          <w:tcPr>
            <w:tcW w:w="42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9,366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81.99</w:t>
            </w:r>
          </w:p>
        </w:tc>
        <w:tc>
          <w:tcPr>
            <w:tcW w:w="10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290,797</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82.04</w:t>
            </w:r>
          </w:p>
        </w:tc>
      </w:tr>
      <w:tr>
        <w:trPr>
          <w:trHeight w:val="28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(365,567)</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44.84</w:t>
            </w:r>
          </w:p>
        </w:tc>
      </w:tr>
      <w:tr>
        <w:trPr>
          <w:trHeight w:val="264"/>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(43,765)</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60.93</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2019</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8,296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792,185</w:t>
            </w:r>
          </w:p>
        </w:tc>
        <w:tc>
          <w:tcPr>
            <w:tcW w:w="34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66.28</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Expected to vest — December 31, 2019</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81.99</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701,108</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67.30</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7"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50,765 vested and undistributed deferred stock units.</w:t>
      </w:r>
    </w:p>
    <w:p>
      <w:pPr>
        <w:spacing w:after="0" w:line="158"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grants restricted stock awards and deferred stock units to its directors, restricted stock units to its employees and officers, and performance stock units to its officers. Restricted stock awards and stock units must vest or are subject to forfeiture; however, restricted stock awards are included in shares outstanding upon grant and have the same dividend and voting rights as the Company’s common stock. The Company recognized $18.2 million, $13.8 million, and $11.5 million of share-based compensation related to the vesting of these restricted stock awards and stock units during the years ended December 31, 2019, 2018, and 2017, respectively. As of December 31, 2019, total unrecognized compensation cost for restricted stock awards and stock units was $22.5 million, which is expected to be recognized over a weighted-average remaining period of 1.86 years.</w:t>
      </w:r>
    </w:p>
    <w:p>
      <w:pPr>
        <w:spacing w:after="0" w:line="20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Company also grants restricted stock units to its advisors and to financial institutions. The Company recognized share-based compensation of $3.0 million, $6.1 million and $7.3 million related to the vesting of these awards during the years ended December 31, 2019, 2018, and 2017, respectively. As of December 31, 2019, total unrecognized compensation cost for restricted stock units granted to advisors and financial institutions was $4.4 million, which is expected to be recognized over a weighted-average remaining period of 2.08 years.</w:t>
      </w:r>
    </w:p>
    <w:p>
      <w:pPr>
        <w:spacing w:after="0" w:line="23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years noted was as follows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559,880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439,459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238,863</w:t>
            </w: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82,552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88,119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90,002</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2,113</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84,624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90,619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92,115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1"/>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computation of diluted earnings per share excludes stock options, warrants, and stock units that are anti-dilutive. For the years ended December 31, 2019, 2018, and 2017, stock options, warrants, and stock units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314" w:right="239" w:bottom="1440" w:gutter="0" w:footer="0" w:header="0"/>
        </w:sectPr>
      </w:pPr>
    </w:p>
    <w:bookmarkStart w:id="100" w:name="page101"/>
    <w:bookmarkEnd w:id="100"/>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representing common share equivalents of 407,059 shares, 391,632 shares, and 1,909,288 shares, respectively, were anti-dilutive.</w:t>
      </w:r>
    </w:p>
    <w:p>
      <w:pPr>
        <w:spacing w:after="0" w:line="9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139"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are made to the 401(k) plan, and employees are eligible for matching contributions after completing six months of service. For eligible employees, the Company matches up to 75% of the first 8% of an employee’s designated deferral of their eligible compensation. The Company’s total cost related to the 401(k) plan was $16.2 million, $13.1 million, and $10.5 million for the years ended December 31, 2019, 2018, and 2017, respectively, which is classified as compensation and benefits expense in the consolidated statements of income.</w:t>
      </w:r>
    </w:p>
    <w:p>
      <w:pPr>
        <w:spacing w:after="0" w:line="19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established the 2012 Employee Stock Purchase Plan (the “ESPP”) as a benefit to enable eligible employees to purchase common stock of LPLFH at a discount from the market price through payroll deductions, subject to limitations. The ESPP provides for a 15% discount on the market value of the stock at the lower of the grant date price (first day of the offering period) and the purchase date price (last day of the offering period).</w:t>
      </w:r>
    </w:p>
    <w:p>
      <w:pPr>
        <w:spacing w:after="0" w:line="20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maintains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$269.3 million at December 31, 2019, which is included in accounts payable and accrued liabilities in the consolidated statements of financial condition. The cash values of the related trust assets was $264.1 million at December 31, 2019, which is measured at fair value and included in other assets in the consolidated statements of financial condition.</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Certain employees of the Company participate in a non-qualified deferred compensation plan that permits participants to defer portions of their compensation and earn interest on the deferred amounts. Plan assets are held by the Company in a Rabbi Trust and accounted for in the manner described above. As of December 31, 2019, the Company has recorded assets of $4.9 million and liabilities of $5.3 million, which are included in other assets and accounts payable and accrued liabilities, respectively, in the consolidated statements of financial condition.</w:t>
      </w:r>
    </w:p>
    <w:p>
      <w:pPr>
        <w:spacing w:after="0" w:line="23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In the ordinary course of business, the Company has related party transactions with a beneficial owner of more than ten percent of the Company’s outstanding common stock. Additionally, through its subsidiary LPL Financial, the Company provides services and charitable contributions to the LPL Financial Foundation, an organization that provides volunteer and financial support within the Company’s local communities.</w:t>
      </w:r>
    </w:p>
    <w:p>
      <w:pPr>
        <w:spacing w:after="0" w:line="204"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During the years ended December 31, 2019, 2018, and 2017, the Company recognized revenue for services provided to these related parties of $4.1 million, $3.5 million, and $3.1 million, respectively. The Company incurred expenses for the services provided by these related parties of $3.2 million, $2.9 million, and $1.9 million, during the years ended December 31, 2019, 2018, and 2017, respectively. As of December 31, 2019 and 2018, receivables and payables to related parties were not material.</w:t>
      </w:r>
    </w:p>
    <w:p>
      <w:pPr>
        <w:spacing w:after="0" w:line="23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registered broker-dealer, LPL Financial, is subject to the SEC’s Net Capital Rule (Rule 15c3-1 under the Exchange Act), which requires the maintenance of minimum net capital. </w:t>
      </w:r>
      <w:r>
        <w:rPr>
          <w:rFonts w:ascii="Arial" w:cs="Arial" w:eastAsia="Arial" w:hAnsi="Arial"/>
          <w:sz w:val="18"/>
          <w:szCs w:val="18"/>
          <w:color w:val="333333"/>
        </w:rPr>
        <w:t>The net capital rules also provide that the broker-dealer’s capital may not be withdrawn</w:t>
      </w:r>
      <w:r>
        <w:rPr>
          <w:rFonts w:ascii="Arial" w:cs="Arial" w:eastAsia="Arial" w:hAnsi="Arial"/>
          <w:sz w:val="18"/>
          <w:szCs w:val="18"/>
          <w:color w:val="auto"/>
        </w:rPr>
        <w:t xml:space="preserve"> </w:t>
      </w:r>
      <w:r>
        <w:rPr>
          <w:rFonts w:ascii="Arial" w:cs="Arial" w:eastAsia="Arial" w:hAnsi="Arial"/>
          <w:sz w:val="18"/>
          <w:szCs w:val="18"/>
          <w:color w:val="333333"/>
        </w:rPr>
        <w:t xml:space="preserve">if resulting net capital would be less than minimum requirements. Additionally, certain withdrawals require the approval of the SEC and FINRA to the extent they exceed defined levels, even though such withdrawals would not cause net capital to be less than minimum requirements. </w:t>
      </w:r>
      <w:r>
        <w:rPr>
          <w:rFonts w:ascii="Arial" w:cs="Arial" w:eastAsia="Arial" w:hAnsi="Arial"/>
          <w:sz w:val="18"/>
          <w:szCs w:val="18"/>
          <w:color w:val="000000"/>
        </w:rPr>
        <w:t>Net</w:t>
      </w:r>
      <w:r>
        <w:rPr>
          <w:rFonts w:ascii="Arial" w:cs="Arial" w:eastAsia="Arial" w:hAnsi="Arial"/>
          <w:sz w:val="18"/>
          <w:szCs w:val="18"/>
          <w:color w:val="333333"/>
        </w:rPr>
        <w:t xml:space="preserve"> </w:t>
      </w:r>
      <w:r>
        <w:rPr>
          <w:rFonts w:ascii="Arial" w:cs="Arial" w:eastAsia="Arial" w:hAnsi="Arial"/>
          <w:sz w:val="18"/>
          <w:szCs w:val="18"/>
          <w:color w:val="000000"/>
        </w:rPr>
        <w:t>capital and the related net capital requirement may fluctuate on a daily basis. LPL Financial is a clearing broker-dealer and, as of December 31, 2019, had net capital of $109.7 million with a minimum net capital requirement of $9.3 million.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314" w:right="239" w:bottom="1440" w:gutter="0" w:footer="0" w:header="0"/>
        </w:sectPr>
      </w:pPr>
    </w:p>
    <w:bookmarkStart w:id="101" w:name="page102"/>
    <w:bookmarkEnd w:id="101"/>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LPL Financial and PTC met all capital adequacy requirements to which they were subject.</w:t>
      </w:r>
    </w:p>
    <w:p>
      <w:pPr>
        <w:spacing w:after="0" w:line="25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two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37"/>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40" w:type="dxa"/>
            <w:vAlign w:val="bottom"/>
            <w:gridSpan w:val="7"/>
          </w:tcPr>
          <w:p>
            <w:pPr>
              <w:ind w:left="8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8"/>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Third</w:t>
            </w:r>
          </w:p>
        </w:tc>
        <w:tc>
          <w:tcPr>
            <w:tcW w:w="280" w:type="dxa"/>
            <w:vAlign w:val="bottom"/>
          </w:tcPr>
          <w:p>
            <w:pPr>
              <w:spacing w:after="0"/>
              <w:rPr>
                <w:sz w:val="18"/>
                <w:szCs w:val="18"/>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Fourth</w:t>
            </w:r>
          </w:p>
        </w:tc>
      </w:tr>
      <w:tr>
        <w:trPr>
          <w:trHeight w:val="228"/>
        </w:trPr>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1,371,679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1,389,757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1,415,525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1,447,895</w:t>
            </w:r>
          </w:p>
        </w:tc>
      </w:tr>
      <w:tr>
        <w:trPr>
          <w:trHeight w:val="260"/>
        </w:trPr>
        <w:tc>
          <w:tcPr>
            <w:tcW w:w="560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155,398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146,092</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131,714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126,676</w:t>
            </w:r>
          </w:p>
        </w:tc>
      </w:tr>
      <w:tr>
        <w:trPr>
          <w:trHeight w:val="280"/>
        </w:trPr>
        <w:tc>
          <w:tcPr>
            <w:tcW w:w="5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60"/>
        </w:trPr>
        <w:tc>
          <w:tcPr>
            <w:tcW w:w="560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280"/>
        </w:trPr>
        <w:tc>
          <w:tcPr>
            <w:tcW w:w="5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r>
        <w:trPr>
          <w:trHeight w:val="615"/>
        </w:trPr>
        <w:tc>
          <w:tcPr>
            <w:tcW w:w="5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7"/>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40" w:type="dxa"/>
            <w:vAlign w:val="bottom"/>
            <w:gridSpan w:val="7"/>
          </w:tcPr>
          <w:p>
            <w:pPr>
              <w:ind w:left="8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8"/>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Third</w:t>
            </w:r>
          </w:p>
        </w:tc>
        <w:tc>
          <w:tcPr>
            <w:tcW w:w="280" w:type="dxa"/>
            <w:vAlign w:val="bottom"/>
          </w:tcPr>
          <w:p>
            <w:pPr>
              <w:spacing w:after="0"/>
              <w:rPr>
                <w:sz w:val="18"/>
                <w:szCs w:val="18"/>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Fourth</w:t>
            </w:r>
          </w:p>
        </w:tc>
      </w:tr>
      <w:tr>
        <w:trPr>
          <w:trHeight w:val="228"/>
        </w:trPr>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1,241,557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1,298,804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1,330,997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1,317,042</w:t>
            </w:r>
          </w:p>
        </w:tc>
      </w:tr>
      <w:tr>
        <w:trPr>
          <w:trHeight w:val="260"/>
        </w:trPr>
        <w:tc>
          <w:tcPr>
            <w:tcW w:w="560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93,530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118,766</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106,865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120,298</w:t>
            </w:r>
          </w:p>
        </w:tc>
      </w:tr>
      <w:tr>
        <w:trPr>
          <w:trHeight w:val="280"/>
        </w:trPr>
        <w:tc>
          <w:tcPr>
            <w:tcW w:w="5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60"/>
        </w:trPr>
        <w:tc>
          <w:tcPr>
            <w:tcW w:w="560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280"/>
        </w:trPr>
        <w:tc>
          <w:tcPr>
            <w:tcW w:w="5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bl>
    <w:p>
      <w:pPr>
        <w:spacing w:after="0" w:line="200" w:lineRule="exact"/>
        <w:rPr>
          <w:sz w:val="20"/>
          <w:szCs w:val="20"/>
          <w:color w:val="auto"/>
        </w:rPr>
      </w:pPr>
    </w:p>
    <w:p>
      <w:pPr>
        <w:sectPr>
          <w:pgSz w:w="11900" w:h="16838" w:orient="portrait"/>
          <w:cols w:equalWidth="0" w:num="1">
            <w:col w:w="11400"/>
          </w:cols>
          <w:pgMar w:left="240" w:top="314" w:right="2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314" w:right="259" w:bottom="1440" w:gutter="0" w:footer="0" w:header="0"/>
          <w:type w:val="continuous"/>
        </w:sectPr>
      </w:pPr>
    </w:p>
    <w:bookmarkStart w:id="102" w:name="page103"/>
    <w:bookmarkEnd w:id="102"/>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35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January 27, 2020, the Board of Directors declared a cash dividend of $0.25 per share on the Company’s outstanding common stock to be paid on March 31, 2020 to all stockholders of record on March 18, 2020.</w:t>
      </w: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60"/>
          </w:cols>
          <w:pgMar w:left="240" w:top="314" w:right="39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REGISTRANT’S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 SECURITIES EXCHANGE ACT OF 1934</w:t>
      </w:r>
    </w:p>
    <w:p>
      <w:pPr>
        <w:spacing w:after="0" w:line="202" w:lineRule="exact"/>
        <w:rPr>
          <w:sz w:val="20"/>
          <w:szCs w:val="20"/>
          <w:color w:val="auto"/>
        </w:rPr>
      </w:pPr>
    </w:p>
    <w:p>
      <w:pPr>
        <w:ind w:right="320" w:firstLine="648"/>
        <w:spacing w:after="0" w:line="302" w:lineRule="auto"/>
        <w:rPr>
          <w:sz w:val="20"/>
          <w:szCs w:val="20"/>
          <w:color w:val="auto"/>
        </w:rPr>
      </w:pPr>
      <w:r>
        <w:rPr>
          <w:rFonts w:ascii="Arial" w:cs="Arial" w:eastAsia="Arial" w:hAnsi="Arial"/>
          <w:sz w:val="19"/>
          <w:szCs w:val="19"/>
          <w:color w:val="auto"/>
        </w:rPr>
        <w:t>The following description of our common stock is a summary and does not purport to be complete. It is subject to and qualified in its entirety by reference to our Amended and Restated Certificate of Incorporation (our “Certificate”) and our Fifth Amended and Restated Bylaws (our “Bylaws”), each of which have been filed with the Securities and Exchange Commission as exhibits to this Annual Report on Form 10-K. The summary below is also qualified by provisions of applicable law.</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18"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Under our Certificate, we have authority to issue up to 600,000,000 shares of common stock, par value $0.001 per share. Our common stock is registered under Section 12 of the Securities Exchange Act of 1934, as amended, and is listed on the Nasdaq Global Select Market under the symbol “LPLA.”</w:t>
      </w:r>
    </w:p>
    <w:p>
      <w:pPr>
        <w:spacing w:after="0" w:line="78"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Holders of our common stock are entitled to one vote for each share held on all matters submitted to a vote of stockholders and do not have cumulative voting rights. Our Bylaws provide that a nominee for director will be elected if the number of votes properly cast “for” such nominee’s election exceeds the number of votes properly cast “against” such nominee’s election; however, if the number of persons properly nominated for election to our board of directors (the “Board of Directors”) exceeds the number of directors to be elected, the directors will be elected by the plurality of the votes properly cast. Holders of common stock are entitled to receive proportionately any dividends as may be declared by our Board of Directors, subject to any preferential dividend rights of any series of preferred stock that is outstanding at the time of the dividend.</w:t>
      </w:r>
    </w:p>
    <w:p>
      <w:pPr>
        <w:spacing w:after="0" w:line="43"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In the event of our liquidation or dissolution, the holders of common stock are entitled to receive proportionately our net assets available for distribution to stockholders after payment of all debts and other liabilities and subject to the prior rights of any outstanding preferred stock.</w:t>
      </w:r>
    </w:p>
    <w:p>
      <w:pPr>
        <w:spacing w:after="0" w:line="78"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The rights, preferences and privileges of holders of common stock are subject to the rights of the holders of shares of any series of preferred stock that the Company may designate and issue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the Delaware General Corporation Law and Our Certificate of Incorporation and Bylaws</w:t>
      </w:r>
    </w:p>
    <w:p>
      <w:pPr>
        <w:spacing w:after="0" w:line="1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Our Certificate and our Bylaws contain certain provisions that may discourage, delay, or prevent a change in our management or control over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Action by Written Consent</w:t>
      </w:r>
    </w:p>
    <w:p>
      <w:pPr>
        <w:spacing w:after="0" w:line="112"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2"/>
          <w:szCs w:val="22"/>
          <w:color w:val="auto"/>
        </w:rPr>
        <w:t>The Delaware General Corporation Law (“DGCL”) provides that, unless otherwise stated in a corporation’s certificate of incorporation, the stockholders may act by written consent without a meeting. Our Certificate provides that any action required or permitted to be taken by our stockholders may only be taken at a duly called annual or special meeting of stockholders, and not by written consent without a meeting.</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231337-2</w:t>
      </w:r>
    </w:p>
    <w:p>
      <w:pPr>
        <w:sectPr>
          <w:pgSz w:w="11900" w:h="16838" w:orient="portrait"/>
          <w:cols w:equalWidth="0" w:num="1">
            <w:col w:w="11420"/>
          </w:cols>
          <w:pgMar w:left="240" w:top="115" w:right="239" w:bottom="1440" w:gutter="0" w:footer="0" w:header="0"/>
        </w:sectPr>
      </w:pPr>
    </w:p>
    <w:bookmarkStart w:id="104" w:name="page105"/>
    <w:bookmarkEnd w:id="104"/>
    <w:p>
      <w:pPr>
        <w:ind w:left="300"/>
        <w:spacing w:after="0"/>
        <w:rPr>
          <w:sz w:val="20"/>
          <w:szCs w:val="20"/>
          <w:color w:val="auto"/>
        </w:rPr>
      </w:pPr>
      <w:r>
        <w:rPr>
          <w:rFonts w:ascii="Arial" w:cs="Arial" w:eastAsia="Arial" w:hAnsi="Arial"/>
          <w:sz w:val="22"/>
          <w:szCs w:val="22"/>
          <w:b w:val="1"/>
          <w:bCs w:val="1"/>
          <w:i w:val="1"/>
          <w:iCs w:val="1"/>
          <w:color w:val="auto"/>
        </w:rPr>
        <w:t>Special Meeting of Stockholders and Advance Notice Requirements for Stockholder Proposals</w:t>
      </w:r>
    </w:p>
    <w:p>
      <w:pPr>
        <w:spacing w:after="0" w:line="112"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Our Certificate and Bylaws provide that, subject to any special rights of the holders of any series of preferred stock and to the requirements of applicable law, special meetings of our stockholders can only be called by (a) our chairman or vice chairman of the Board of Directors, (b) our president, or (c) a majority of the Board of Directors through a special resolution.</w:t>
      </w:r>
    </w:p>
    <w:p>
      <w:pPr>
        <w:spacing w:after="0" w:line="26"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In addition, our Bylaws set forth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of Directors, or by a stockholder of record, who is entitled to vote at the meeting and who has delivered a timely written notice in proper form to our secretary, of the stockholder’s intention to bring such business before the meeting. These provisions could have the effect of delaying until the next stockholder meeting any stockholder actions that are favored by the holders of a majority of our outstanding voting securities.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Requirements for Removal and Interim Election of Directors</w:t>
      </w:r>
    </w:p>
    <w:p>
      <w:pPr>
        <w:spacing w:after="0" w:line="112"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Subject to the special rights of the holders of any series of preferred stock to elect directors, holders of at least two-thirds of the shares entitled to vote at an election of the directors must approve the removal of directors. Vacancies and newly-created directorships will be filled only by a vote of a majority of the directors then in office, even though less than a quorum, and not by the stockholders. In addition, the Certificate provides that any vacancy created by the removal of a director by the stockholders shall only be filled by, in addition to any other vote otherwise required by law, the affirmative vote of a majority of the outstanding shares of common stock. Our Bylaws allow the presiding officer at a meeting of the stockholders to adopt rules and regulations for the conduct of meetings which may have the effect of precluding the conduct of certain business at a meeting if the rules and regulations are not followed.</w:t>
      </w:r>
    </w:p>
    <w:p>
      <w:pPr>
        <w:spacing w:after="0" w:line="76"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These provisions may have the effect of deferring, delaying or discouraging hostile takeovers, or changes in control or management of our company.</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Amendment to Certificate of Incorporation and Bylaws</w:t>
      </w:r>
    </w:p>
    <w:p>
      <w:pPr>
        <w:spacing w:after="0" w:line="112"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our Board of Directors or, in addition to any other vote otherwise required by law, the affirmative vote of at least two-thirds of the voting power of our outstanding shares of common stock. Additionally, the affirmative vote of at least two-thirds of the voting power of the outstanding shares of common stock is required to alter, amend or repeal, or to adopt any provision inconsistent with, the “Board of Directors,” “No Action by Written Consent,” “Special Meetings of Stockholders,” “Amendments to the Amended and Restated Certificate of Incorporation and Bylaws” and “Business Combinations” provisions described in our Certificate. These provisions may have the effect of deferring, delaying or discouraging the removal of any anti-takeover defenses provided for in our Certificate and our Bylaws.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Exclusive Jurisdiction of Certain Actions</w:t>
      </w:r>
    </w:p>
    <w:p>
      <w:pPr>
        <w:spacing w:after="0" w:line="112"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Our Certificate requires, to the fullest extent permitted by law, that derivative actions brought in the name of the company, actions against directors, officers and employees for breach of fiduciary duty and other similar actions may be brought only in the Court of Chancery of the State of Delaware.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231337-2</w:t>
      </w:r>
    </w:p>
    <w:p>
      <w:pPr>
        <w:sectPr>
          <w:pgSz w:w="11900" w:h="16838" w:orient="portrait"/>
          <w:cols w:equalWidth="0" w:num="1">
            <w:col w:w="11420"/>
          </w:cols>
          <w:pgMar w:left="240" w:top="348" w:right="239" w:bottom="1440" w:gutter="0" w:footer="0" w:header="0"/>
        </w:sectPr>
      </w:pPr>
    </w:p>
    <w:bookmarkStart w:id="105" w:name="page106"/>
    <w:bookmarkEnd w:id="105"/>
    <w:p>
      <w:pPr>
        <w:ind w:left="300"/>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112"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The authorized but unissued shares of common stock and preferred stock are available for future issuance without stockholder approval, subject to any limitations imposed by the listing standards of the Nasdaq Global Select Market. Our Board of Directors may issue shares of preferred stock, in one or more series, from time to time, and with such designations, preferences and relative, participating, optional or other special rights as the Board may determine. These additional shares may be used for a variety of corporate finance transactions, acquisitions and employee benefit plans. The existence of authorized but unissued common stock and preferred stock could make more difficult, or discourage an attempt to obtain control of us by means of a proxy contest, tender offer, merger, or otherwise.</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112"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We have elected to not be subject to Section 203 of the DGCL, which regulates business combinations with “interested stockholders.”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231337-2</w:t>
      </w:r>
    </w:p>
    <w:p>
      <w:pPr>
        <w:sectPr>
          <w:pgSz w:w="11900" w:h="16838" w:orient="portrait"/>
          <w:cols w:equalWidth="0" w:num="1">
            <w:col w:w="11360"/>
          </w:cols>
          <w:pgMar w:left="240" w:top="348" w:right="29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10.13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Non-Employee Director Compensation Policy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w:t>
      </w:r>
    </w:p>
    <w:p>
      <w:pPr>
        <w:spacing w:after="0" w:line="114" w:lineRule="exact"/>
        <w:rPr>
          <w:sz w:val="20"/>
          <w:szCs w:val="20"/>
          <w:color w:val="auto"/>
        </w:rPr>
      </w:pPr>
    </w:p>
    <w:p>
      <w:pPr>
        <w:jc w:val="both"/>
        <w:ind w:left="340" w:hanging="332"/>
        <w:spacing w:after="0" w:line="269" w:lineRule="auto"/>
        <w:tabs>
          <w:tab w:leader="none" w:pos="3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All non-employee directors receive an annual retainer of $235,000, which is paid in advance on the next business day following the Company’s annual meeting of stockholders (the “Annual Payment Date”). Of this amount, $80,000 is paid in a lump sum in cash and $155,000 is paid in the form of restricted shares of the Company’s common stock (the “Common Stock”).</w:t>
      </w:r>
    </w:p>
    <w:p>
      <w:pPr>
        <w:spacing w:after="0" w:line="62" w:lineRule="exact"/>
        <w:rPr>
          <w:rFonts w:ascii="Arial" w:cs="Arial" w:eastAsia="Arial" w:hAnsi="Arial"/>
          <w:sz w:val="19"/>
          <w:szCs w:val="19"/>
          <w:color w:val="auto"/>
        </w:rPr>
      </w:pPr>
    </w:p>
    <w:p>
      <w:pPr>
        <w:jc w:val="both"/>
        <w:ind w:left="340" w:hanging="332"/>
        <w:spacing w:after="0" w:line="244" w:lineRule="auto"/>
        <w:tabs>
          <w:tab w:leader="none" w:pos="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restricted shares are issued under the Company’s Amended and Restated 2010 Omnibus Equity Incentive Plan (the “2010 Plan”) and vest in full on the date immediately prior to the date of the Company’s next annual meeting of stockholders (the “Vesting Date”). The number of restricted shares is determined by dividing $155,000 by the average of the closing price per share of the Common Stock on The NASDAQ Stock Market for the trailing thirty consecutive trading days inclusive of the Annual Payment Date (the “Grant Price”), rounded down to the nearest whole share.</w:t>
      </w:r>
    </w:p>
    <w:p>
      <w:pPr>
        <w:spacing w:after="0" w:line="100" w:lineRule="exact"/>
        <w:rPr>
          <w:rFonts w:ascii="Arial" w:cs="Arial" w:eastAsia="Arial" w:hAnsi="Arial"/>
          <w:sz w:val="20"/>
          <w:szCs w:val="20"/>
          <w:color w:val="auto"/>
        </w:rPr>
      </w:pPr>
    </w:p>
    <w:p>
      <w:pPr>
        <w:jc w:val="both"/>
        <w:ind w:left="340" w:right="20" w:hanging="332"/>
        <w:spacing w:after="0" w:line="266" w:lineRule="auto"/>
        <w:tabs>
          <w:tab w:leader="none" w:pos="340" w:val="left"/>
        </w:tabs>
        <w:numPr>
          <w:ilvl w:val="0"/>
          <w:numId w:val="64"/>
        </w:numPr>
        <w:rPr>
          <w:rFonts w:ascii="Arial" w:cs="Arial" w:eastAsia="Arial" w:hAnsi="Arial"/>
          <w:sz w:val="22"/>
          <w:szCs w:val="22"/>
          <w:color w:val="auto"/>
        </w:rPr>
      </w:pPr>
      <w:r>
        <w:rPr>
          <w:rFonts w:ascii="Arial" w:cs="Arial" w:eastAsia="Arial" w:hAnsi="Arial"/>
          <w:sz w:val="20"/>
          <w:szCs w:val="20"/>
          <w:color w:val="auto"/>
        </w:rPr>
        <w:t>In lieu of the above cash payment, a non-employee director may make an election (an “Election”) to be issued, on the Annual Payment Date, a number of shares of the Common Stock under the 2010 Plan determined by dividing $80,000 by the Grant Price, rounded down to the nearest whole share. An Election must be delivered in writing (including electronic mail) prior to the Annual Payment Date during an open trading window under the Company’s insider trading policy.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Service Retainers</w:t>
      </w:r>
    </w:p>
    <w:p>
      <w:pPr>
        <w:spacing w:after="0" w:line="127" w:lineRule="exact"/>
        <w:rPr>
          <w:sz w:val="20"/>
          <w:szCs w:val="20"/>
          <w:color w:val="auto"/>
        </w:rPr>
      </w:pPr>
    </w:p>
    <w:p>
      <w:pPr>
        <w:ind w:left="340" w:hanging="332"/>
        <w:spacing w:after="0" w:line="265" w:lineRule="auto"/>
        <w:tabs>
          <w:tab w:leader="none" w:pos="340" w:val="left"/>
        </w:tabs>
        <w:numPr>
          <w:ilvl w:val="0"/>
          <w:numId w:val="65"/>
        </w:numPr>
        <w:rPr>
          <w:rFonts w:ascii="Arial" w:cs="Arial" w:eastAsia="Arial" w:hAnsi="Arial"/>
          <w:sz w:val="22"/>
          <w:szCs w:val="22"/>
          <w:color w:val="auto"/>
        </w:rPr>
      </w:pPr>
      <w:r>
        <w:rPr>
          <w:rFonts w:ascii="Arial" w:cs="Arial" w:eastAsia="Arial" w:hAnsi="Arial"/>
          <w:sz w:val="20"/>
          <w:szCs w:val="20"/>
          <w:color w:val="auto"/>
        </w:rPr>
        <w:t>Members of the standing committees of the Board of Directors receive annual service retainers in the following amounts, paid in cash in quarterly installments following the end of each quarter of service:</w:t>
      </w: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540" w:type="dxa"/>
            <w:vAlign w:val="bottom"/>
          </w:tcPr>
          <w:p>
            <w:pPr>
              <w:jc w:val="right"/>
              <w:ind w:right="563"/>
              <w:spacing w:after="0"/>
              <w:rPr>
                <w:sz w:val="20"/>
                <w:szCs w:val="20"/>
                <w:color w:val="auto"/>
              </w:rPr>
            </w:pPr>
            <w:r>
              <w:rPr>
                <w:rFonts w:ascii="Arial" w:cs="Arial" w:eastAsia="Arial" w:hAnsi="Arial"/>
                <w:sz w:val="18"/>
                <w:szCs w:val="18"/>
                <w:b w:val="1"/>
                <w:bCs w:val="1"/>
                <w:color w:val="auto"/>
              </w:rPr>
              <w:t>Chair</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Each Other Member</w:t>
            </w:r>
          </w:p>
        </w:tc>
      </w:tr>
      <w:tr>
        <w:trPr>
          <w:trHeight w:val="27"/>
        </w:trPr>
        <w:tc>
          <w:tcPr>
            <w:tcW w:w="53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4"/>
        </w:trPr>
        <w:tc>
          <w:tcPr>
            <w:tcW w:w="5360" w:type="dxa"/>
            <w:vAlign w:val="bottom"/>
          </w:tcPr>
          <w:p>
            <w:pPr>
              <w:spacing w:after="0"/>
              <w:rPr>
                <w:sz w:val="20"/>
                <w:szCs w:val="20"/>
                <w:color w:val="auto"/>
              </w:rPr>
            </w:pPr>
            <w:r>
              <w:rPr>
                <w:rFonts w:ascii="Arial" w:cs="Arial" w:eastAsia="Arial" w:hAnsi="Arial"/>
                <w:sz w:val="20"/>
                <w:szCs w:val="20"/>
                <w:color w:val="auto"/>
              </w:rPr>
              <w:t>Audit Committee</w:t>
            </w:r>
          </w:p>
        </w:tc>
        <w:tc>
          <w:tcPr>
            <w:tcW w:w="3540" w:type="dxa"/>
            <w:vAlign w:val="bottom"/>
          </w:tcPr>
          <w:p>
            <w:pPr>
              <w:jc w:val="right"/>
              <w:ind w:right="563"/>
              <w:spacing w:after="0"/>
              <w:rPr>
                <w:sz w:val="20"/>
                <w:szCs w:val="20"/>
                <w:color w:val="auto"/>
              </w:rPr>
            </w:pPr>
            <w:r>
              <w:rPr>
                <w:rFonts w:ascii="Arial" w:cs="Arial" w:eastAsia="Arial" w:hAnsi="Arial"/>
                <w:sz w:val="20"/>
                <w:szCs w:val="20"/>
                <w:color w:val="auto"/>
              </w:rPr>
              <w:t>$30,000</w:t>
            </w:r>
          </w:p>
        </w:tc>
        <w:tc>
          <w:tcPr>
            <w:tcW w:w="2280" w:type="dxa"/>
            <w:vAlign w:val="bottom"/>
          </w:tcPr>
          <w:p>
            <w:pPr>
              <w:jc w:val="right"/>
              <w:spacing w:after="0"/>
              <w:rPr>
                <w:sz w:val="20"/>
                <w:szCs w:val="20"/>
                <w:color w:val="auto"/>
              </w:rPr>
            </w:pPr>
            <w:r>
              <w:rPr>
                <w:rFonts w:ascii="Arial" w:cs="Arial" w:eastAsia="Arial" w:hAnsi="Arial"/>
                <w:sz w:val="20"/>
                <w:szCs w:val="20"/>
                <w:color w:val="auto"/>
              </w:rPr>
              <w:t>$15,000</w:t>
            </w:r>
          </w:p>
        </w:tc>
      </w:tr>
      <w:tr>
        <w:trPr>
          <w:trHeight w:val="284"/>
        </w:trPr>
        <w:tc>
          <w:tcPr>
            <w:tcW w:w="5360" w:type="dxa"/>
            <w:vAlign w:val="bottom"/>
          </w:tcPr>
          <w:p>
            <w:pPr>
              <w:spacing w:after="0"/>
              <w:rPr>
                <w:sz w:val="20"/>
                <w:szCs w:val="20"/>
                <w:color w:val="auto"/>
              </w:rPr>
            </w:pPr>
            <w:r>
              <w:rPr>
                <w:rFonts w:ascii="Arial" w:cs="Arial" w:eastAsia="Arial" w:hAnsi="Arial"/>
                <w:sz w:val="20"/>
                <w:szCs w:val="20"/>
                <w:color w:val="auto"/>
              </w:rPr>
              <w:t>Compensation and Human Resources Committee</w:t>
            </w:r>
          </w:p>
        </w:tc>
        <w:tc>
          <w:tcPr>
            <w:tcW w:w="3540" w:type="dxa"/>
            <w:vAlign w:val="bottom"/>
          </w:tcPr>
          <w:p>
            <w:pPr>
              <w:jc w:val="right"/>
              <w:ind w:right="563"/>
              <w:spacing w:after="0"/>
              <w:rPr>
                <w:sz w:val="20"/>
                <w:szCs w:val="20"/>
                <w:color w:val="auto"/>
              </w:rPr>
            </w:pPr>
            <w:r>
              <w:rPr>
                <w:rFonts w:ascii="Arial" w:cs="Arial" w:eastAsia="Arial" w:hAnsi="Arial"/>
                <w:sz w:val="20"/>
                <w:szCs w:val="20"/>
                <w:color w:val="auto"/>
              </w:rPr>
              <w:t>$25,000</w:t>
            </w:r>
          </w:p>
        </w:tc>
        <w:tc>
          <w:tcPr>
            <w:tcW w:w="2280" w:type="dxa"/>
            <w:vAlign w:val="bottom"/>
          </w:tcPr>
          <w:p>
            <w:pPr>
              <w:jc w:val="right"/>
              <w:spacing w:after="0"/>
              <w:rPr>
                <w:sz w:val="20"/>
                <w:szCs w:val="20"/>
                <w:color w:val="auto"/>
              </w:rPr>
            </w:pPr>
            <w:r>
              <w:rPr>
                <w:rFonts w:ascii="Arial" w:cs="Arial" w:eastAsia="Arial" w:hAnsi="Arial"/>
                <w:sz w:val="20"/>
                <w:szCs w:val="20"/>
                <w:color w:val="auto"/>
              </w:rPr>
              <w:t>$12,500</w:t>
            </w:r>
          </w:p>
        </w:tc>
      </w:tr>
      <w:tr>
        <w:trPr>
          <w:trHeight w:val="284"/>
        </w:trPr>
        <w:tc>
          <w:tcPr>
            <w:tcW w:w="5360" w:type="dxa"/>
            <w:vAlign w:val="bottom"/>
          </w:tcPr>
          <w:p>
            <w:pPr>
              <w:spacing w:after="0"/>
              <w:rPr>
                <w:sz w:val="20"/>
                <w:szCs w:val="20"/>
                <w:color w:val="auto"/>
              </w:rPr>
            </w:pPr>
            <w:r>
              <w:rPr>
                <w:rFonts w:ascii="Arial" w:cs="Arial" w:eastAsia="Arial" w:hAnsi="Arial"/>
                <w:sz w:val="20"/>
                <w:szCs w:val="20"/>
                <w:color w:val="auto"/>
              </w:rPr>
              <w:t>Nominating and Governance Committee</w:t>
            </w:r>
          </w:p>
        </w:tc>
        <w:tc>
          <w:tcPr>
            <w:tcW w:w="3540" w:type="dxa"/>
            <w:vAlign w:val="bottom"/>
          </w:tcPr>
          <w:p>
            <w:pPr>
              <w:jc w:val="right"/>
              <w:ind w:right="563"/>
              <w:spacing w:after="0"/>
              <w:rPr>
                <w:sz w:val="20"/>
                <w:szCs w:val="20"/>
                <w:color w:val="auto"/>
              </w:rPr>
            </w:pPr>
            <w:r>
              <w:rPr>
                <w:rFonts w:ascii="Arial" w:cs="Arial" w:eastAsia="Arial" w:hAnsi="Arial"/>
                <w:sz w:val="20"/>
                <w:szCs w:val="20"/>
                <w:color w:val="auto"/>
              </w:rPr>
              <w:t>$20,000</w:t>
            </w:r>
          </w:p>
        </w:tc>
        <w:tc>
          <w:tcPr>
            <w:tcW w:w="2280" w:type="dxa"/>
            <w:vAlign w:val="bottom"/>
          </w:tcPr>
          <w:p>
            <w:pPr>
              <w:jc w:val="right"/>
              <w:spacing w:after="0"/>
              <w:rPr>
                <w:sz w:val="20"/>
                <w:szCs w:val="20"/>
                <w:color w:val="auto"/>
              </w:rPr>
            </w:pPr>
            <w:r>
              <w:rPr>
                <w:rFonts w:ascii="Arial" w:cs="Arial" w:eastAsia="Arial" w:hAnsi="Arial"/>
                <w:sz w:val="20"/>
                <w:szCs w:val="20"/>
                <w:color w:val="auto"/>
              </w:rPr>
              <w:t>$10,000</w:t>
            </w:r>
          </w:p>
        </w:tc>
      </w:tr>
    </w:tbl>
    <w:p>
      <w:pPr>
        <w:spacing w:after="0" w:line="20" w:lineRule="exact"/>
        <w:rPr>
          <w:sz w:val="20"/>
          <w:szCs w:val="20"/>
          <w:color w:val="auto"/>
        </w:rPr>
      </w:pPr>
    </w:p>
    <w:p>
      <w:pPr>
        <w:ind w:left="340" w:hanging="332"/>
        <w:spacing w:after="0" w:line="265" w:lineRule="auto"/>
        <w:tabs>
          <w:tab w:leader="none" w:pos="340" w:val="left"/>
        </w:tabs>
        <w:numPr>
          <w:ilvl w:val="0"/>
          <w:numId w:val="66"/>
        </w:numPr>
        <w:rPr>
          <w:rFonts w:ascii="Arial" w:cs="Arial" w:eastAsia="Arial" w:hAnsi="Arial"/>
          <w:sz w:val="22"/>
          <w:szCs w:val="22"/>
          <w:color w:val="auto"/>
        </w:rPr>
      </w:pPr>
      <w:r>
        <w:rPr>
          <w:rFonts w:ascii="Arial" w:cs="Arial" w:eastAsia="Arial" w:hAnsi="Arial"/>
          <w:sz w:val="20"/>
          <w:szCs w:val="20"/>
          <w:color w:val="auto"/>
        </w:rPr>
        <w:t>The Chair of the Board receives an additional annual service retainer of $140,000, paid in cash in quarterly installments following the end of each quarter of service.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Newly Elected Directors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Following a non-employee director’s initial election to the Board of Directors other than on the date of an annual meeting of stockholders, he or she will receive a portion of the annual retainer (the “Pro-Rated Retainer”), payable on the first business day of the month immediately following such election (the “Election Payment Date”).</w:t>
      </w:r>
    </w:p>
    <w:p>
      <w:pPr>
        <w:spacing w:after="0" w:line="92" w:lineRule="exact"/>
        <w:rPr>
          <w:sz w:val="20"/>
          <w:szCs w:val="20"/>
          <w:color w:val="auto"/>
        </w:rPr>
      </w:pPr>
    </w:p>
    <w:p>
      <w:pPr>
        <w:ind w:left="340" w:hanging="332"/>
        <w:spacing w:after="0" w:line="334" w:lineRule="auto"/>
        <w:tabs>
          <w:tab w:leader="none" w:pos="340" w:val="left"/>
        </w:tabs>
        <w:numPr>
          <w:ilvl w:val="0"/>
          <w:numId w:val="67"/>
        </w:numPr>
        <w:rPr>
          <w:rFonts w:ascii="Arial" w:cs="Arial" w:eastAsia="Arial" w:hAnsi="Arial"/>
          <w:sz w:val="19"/>
          <w:szCs w:val="19"/>
          <w:color w:val="auto"/>
        </w:rPr>
      </w:pPr>
      <w:r>
        <w:rPr>
          <w:rFonts w:ascii="Arial" w:cs="Arial" w:eastAsia="Arial" w:hAnsi="Arial"/>
          <w:sz w:val="18"/>
          <w:szCs w:val="18"/>
          <w:color w:val="auto"/>
        </w:rPr>
        <w:t>The cash portion of the Pro-Rated Retainer will be calculated by multiplying $80,000 by a fraction, the numerator of which is the number of full months between the Election Payment Date and the Vesting Date and the denominator of which is 12 (the “Cash Amount”).</w:t>
      </w:r>
    </w:p>
    <w:p>
      <w:pPr>
        <w:spacing w:after="0" w:line="29" w:lineRule="exact"/>
        <w:rPr>
          <w:rFonts w:ascii="Arial" w:cs="Arial" w:eastAsia="Arial" w:hAnsi="Arial"/>
          <w:sz w:val="19"/>
          <w:szCs w:val="19"/>
          <w:color w:val="auto"/>
        </w:rPr>
      </w:pPr>
    </w:p>
    <w:p>
      <w:pPr>
        <w:jc w:val="both"/>
        <w:ind w:left="340" w:hanging="332"/>
        <w:spacing w:after="0" w:line="266" w:lineRule="auto"/>
        <w:tabs>
          <w:tab w:leader="none" w:pos="340" w:val="left"/>
        </w:tabs>
        <w:numPr>
          <w:ilvl w:val="0"/>
          <w:numId w:val="67"/>
        </w:numPr>
        <w:rPr>
          <w:rFonts w:ascii="Arial" w:cs="Arial" w:eastAsia="Arial" w:hAnsi="Arial"/>
          <w:sz w:val="22"/>
          <w:szCs w:val="22"/>
          <w:color w:val="auto"/>
        </w:rPr>
      </w:pPr>
      <w:r>
        <w:rPr>
          <w:rFonts w:ascii="Arial" w:cs="Arial" w:eastAsia="Arial" w:hAnsi="Arial"/>
          <w:sz w:val="20"/>
          <w:szCs w:val="20"/>
          <w:color w:val="auto"/>
        </w:rPr>
        <w:t>The number of restricted shares to be issued will be determined by (i) multiplying $155,000 by a fraction, the numerator of which is the number of full months between the Election Payment Date and the Vesting Date and the denominator of which is 12, and (ii) dividing such product by the average of the closing price per share of the Common Stock on The NASDAQ Stock Market for the trailing thirty consecutive trading days inclusive of the Election Payment Date, rounded down to the nearest whole share. The restricted shares will be issued under the 2010 Plan and vest in full on the Vesting Date.</w:t>
      </w:r>
    </w:p>
    <w:p>
      <w:pPr>
        <w:spacing w:after="0" w:line="91" w:lineRule="exact"/>
        <w:rPr>
          <w:rFonts w:ascii="Arial" w:cs="Arial" w:eastAsia="Arial" w:hAnsi="Arial"/>
          <w:sz w:val="22"/>
          <w:szCs w:val="22"/>
          <w:color w:val="auto"/>
        </w:rPr>
      </w:pPr>
    </w:p>
    <w:p>
      <w:pPr>
        <w:jc w:val="both"/>
        <w:ind w:left="340" w:hanging="332"/>
        <w:spacing w:after="0" w:line="266" w:lineRule="auto"/>
        <w:tabs>
          <w:tab w:leader="none" w:pos="340" w:val="left"/>
        </w:tabs>
        <w:numPr>
          <w:ilvl w:val="0"/>
          <w:numId w:val="67"/>
        </w:numPr>
        <w:rPr>
          <w:rFonts w:ascii="Arial" w:cs="Arial" w:eastAsia="Arial" w:hAnsi="Arial"/>
          <w:sz w:val="22"/>
          <w:szCs w:val="22"/>
          <w:color w:val="auto"/>
        </w:rPr>
      </w:pPr>
      <w:r>
        <w:rPr>
          <w:rFonts w:ascii="Arial" w:cs="Arial" w:eastAsia="Arial" w:hAnsi="Arial"/>
          <w:sz w:val="20"/>
          <w:szCs w:val="20"/>
          <w:color w:val="auto"/>
        </w:rPr>
        <w:t>In lieu of the above cash payment, a non-employee director may make an election to be issued, on the Election Payment Date, a number of shares of Common Stock under the 2010 Plan determined by dividing the Cash Amount by the average of the closing price per share of the Common Stock on The NASDAQ Stock Market for the trailing thirty consecutive trading days inclusive of the Election Payment Date, rounded down to the nearest whole share. Such an election must be delivered in writing (including electronic mail) on or prior to the date of the director’s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161046-4</w:t>
      </w:r>
    </w:p>
    <w:p>
      <w:pPr>
        <w:sectPr>
          <w:pgSz w:w="11900" w:h="16838" w:orient="portrait"/>
          <w:cols w:equalWidth="0" w:num="1">
            <w:col w:w="11420"/>
          </w:cols>
          <w:pgMar w:left="240" w:top="116" w:right="239" w:bottom="1440" w:gutter="0" w:footer="0" w:header="0"/>
        </w:sectPr>
      </w:pPr>
    </w:p>
    <w:bookmarkStart w:id="107" w:name="page108"/>
    <w:bookmarkEnd w:id="107"/>
    <w:p>
      <w:pPr>
        <w:ind w:left="340"/>
        <w:spacing w:after="0"/>
        <w:rPr>
          <w:sz w:val="20"/>
          <w:szCs w:val="20"/>
          <w:color w:val="auto"/>
        </w:rPr>
      </w:pPr>
      <w:r>
        <w:rPr>
          <w:rFonts w:ascii="Arial" w:cs="Arial" w:eastAsia="Arial" w:hAnsi="Arial"/>
          <w:sz w:val="20"/>
          <w:szCs w:val="20"/>
          <w:color w:val="auto"/>
        </w:rPr>
        <w:t>election to the Board of Directors.</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Newly elected directors, and directors who are newly appointed to a committee, will also be entitled to pro-rated service retainers for any full month following his or her initial election to the Board of Directors or initial appointment to a committee of the Board of Directors, as applicable.</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the discretion of the Board of Directors, the grant date of shares of Common Stock, including restricted shares, may be delayed until the next open trading window under the Company’s insider trading policy then in effect.</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as of October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161046-4</w:t>
      </w:r>
    </w:p>
    <w:p>
      <w:pPr>
        <w:sectPr>
          <w:pgSz w:w="11900" w:h="16838" w:orient="portrait"/>
          <w:cols w:equalWidth="0" w:num="1">
            <w:col w:w="11420"/>
          </w:cols>
          <w:pgMar w:left="240" w:top="339"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33"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NOT MATERIAL AND WOULD LIKELY CAUSE COMPETITIVE HARM TO LPL FINANCIAL HOLDINGS INC. IF PUBLICLY DISCLOSED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Thomson Transaction Services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440" w:firstLine="648"/>
        <w:spacing w:after="0" w:line="288" w:lineRule="auto"/>
        <w:rPr>
          <w:sz w:val="20"/>
          <w:szCs w:val="20"/>
          <w:color w:val="auto"/>
        </w:rPr>
      </w:pPr>
      <w:r>
        <w:rPr>
          <w:rFonts w:ascii="Arial" w:cs="Arial" w:eastAsia="Arial" w:hAnsi="Arial"/>
          <w:sz w:val="19"/>
          <w:szCs w:val="19"/>
          <w:color w:val="auto"/>
        </w:rPr>
        <w:t>This Master Subscription Agreement (this “Agreement”) is entered into by and between Thomson Transaction Services (“TTS”), a division of Thomson Financial LLC, a Thomson Reuters company, 350 North Sunny Slope Road, Brookfield, WI 53005, and LPL Financial Corporation (“Subscriber”), 9785 Towne Centre Drive, San Diego, CA 92121, this __ day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2008.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TTS owns the following proprietary computer programs: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TTS Host™ - provides back office processing support for securities brokerage firms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TTS Link™ - provides complete front-office integration with TTS Host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 Server™ - provides electronic access to TTS Link core applications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TTS Access™ - provides data delivery of mainframe data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XT Server - provides ability to receive real-time TTS Host transaction messages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(collectively, “the TTS System”)</w:t>
      </w:r>
    </w:p>
    <w:p>
      <w:pPr>
        <w:spacing w:after="0" w:line="22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Subscriber desires to subscribe to this data processing service called the TTS System offered by TTS, and to have the TTS System installed at certain offices of Subscriber;</w:t>
      </w:r>
    </w:p>
    <w:p>
      <w:pPr>
        <w:spacing w:after="0" w:line="17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NOW, THEREFORE, in consideration of the mutual promises and covenants exchanged herein, TTS and Subscriber agree as follows:</w:t>
      </w:r>
    </w:p>
    <w:p>
      <w:pPr>
        <w:spacing w:after="0" w:line="175" w:lineRule="exact"/>
        <w:rPr>
          <w:sz w:val="20"/>
          <w:szCs w:val="20"/>
          <w:color w:val="auto"/>
        </w:rPr>
      </w:pPr>
    </w:p>
    <w:p>
      <w:pPr>
        <w:ind w:left="1300" w:right="120" w:hanging="644"/>
        <w:spacing w:after="0" w:line="263" w:lineRule="auto"/>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Purpose of Agreement</w:t>
      </w:r>
      <w:r>
        <w:rPr>
          <w:rFonts w:ascii="Arial" w:cs="Arial" w:eastAsia="Arial" w:hAnsi="Arial"/>
          <w:sz w:val="22"/>
          <w:szCs w:val="22"/>
          <w:color w:val="auto"/>
        </w:rPr>
        <w:t>. The purpose of this Agreement is to set forth the terms and conditions governing the mutual rights, duties and obligations of the parties hereto.</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Services Provided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220" w:hanging="655"/>
        <w:spacing w:after="0" w:line="263" w:lineRule="auto"/>
        <w:tabs>
          <w:tab w:leader="none" w:pos="19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TTS will provide Subscriber with the TTS System services which are set forth, together with their charges, on Schedule A attached hereto and incorporated herein by reference.</w:t>
      </w:r>
    </w:p>
    <w:p>
      <w:pPr>
        <w:spacing w:after="0" w:line="174" w:lineRule="exact"/>
        <w:rPr>
          <w:rFonts w:ascii="Arial" w:cs="Arial" w:eastAsia="Arial" w:hAnsi="Arial"/>
          <w:sz w:val="22"/>
          <w:szCs w:val="22"/>
          <w:color w:val="auto"/>
        </w:rPr>
      </w:pPr>
    </w:p>
    <w:p>
      <w:pPr>
        <w:ind w:left="1960" w:right="40" w:hanging="655"/>
        <w:spacing w:after="0" w:line="246" w:lineRule="auto"/>
        <w:tabs>
          <w:tab w:leader="none" w:pos="19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TTS Host and TTS Link service provided hereunder shall be available on each day that the New York Stock Exchange is open for trading. On such days TTS shall make reasonable efforts to provide all TTS Host and TTS Link service hereunder from 6:00 a.m. to 8:00 p.m., CST, and limited inquiry functions from 8:00 p.m. to 11:30 p.m., CST. TTS shall also make reasonable efforts to provide limited inquiry functions on Saturdays from 6:00 a.m. to 6:00 p.m., CST, except that TTS reserves the right to limit or curtail holiday or weekend availability when necessary for system upgrades, adjustments, maintenance, or other operational considerations.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1960" w:right="160"/>
        <w:spacing w:after="0" w:line="294" w:lineRule="auto"/>
        <w:rPr>
          <w:sz w:val="20"/>
          <w:szCs w:val="20"/>
          <w:color w:val="auto"/>
        </w:rPr>
      </w:pPr>
      <w:r>
        <w:rPr>
          <w:rFonts w:ascii="Arial" w:cs="Arial" w:eastAsia="Arial" w:hAnsi="Arial"/>
          <w:sz w:val="19"/>
          <w:szCs w:val="19"/>
          <w:color w:val="auto"/>
        </w:rPr>
        <w:t>BL Server service provided hereunder shall be available on each day that the New York Stock Exchange is open for trading. On such days, TTS shall make reasonable efforts to provide BL Server service hereunder from 6:00 a.m. to 6:00 p.m. CT and inquiry and order entry functions from 6:15 p.m. to 6:00 a.m. CT. TTS shall also make reasonable efforts to provide inquiry and order entry functions on weekends except for 8:00 p.m. CT Saturday evening until 6:00 a.m. CT Sunday morning during which time TTS will be performing maintenance on its mainframe computer systems.</w:t>
      </w:r>
    </w:p>
    <w:p>
      <w:pPr>
        <w:spacing w:after="0" w:line="150" w:lineRule="exact"/>
        <w:rPr>
          <w:sz w:val="20"/>
          <w:szCs w:val="20"/>
          <w:color w:val="auto"/>
        </w:rPr>
      </w:pPr>
    </w:p>
    <w:p>
      <w:pPr>
        <w:ind w:left="1960" w:right="60" w:hanging="655"/>
        <w:spacing w:after="0" w:line="289" w:lineRule="auto"/>
        <w:tabs>
          <w:tab w:leader="none" w:pos="19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General enhancements to existing TTS Host service provided hereunder shall be made available to Subscriber at no additional cost, but any new features or services that may be developed by TTS during the term of this Agreement may, at TTS’s option, and subject to Subscribers’ acceptance, be made available to Subscriber at TTS’s then-current prices for such new features or services, and upon such other terms as TTS may reasonably deem appropriate. Enhancements to existing TTS Host services requested by Subscriber and which benefit less than a majority of TTS’s Subscribers at the time such enhancements are put into service may, at TTS option, be billed to such benefiting Subscribers at TTS standard rates for programming after discussion with Subscriber. All enhancements to the TTS Host service, and any new features or services introduced by TTS, shall remain the exclusive proprietary property of TTS.</w:t>
      </w:r>
    </w:p>
    <w:p>
      <w:pPr>
        <w:spacing w:after="0" w:line="157" w:lineRule="exact"/>
        <w:rPr>
          <w:rFonts w:ascii="Arial" w:cs="Arial" w:eastAsia="Arial" w:hAnsi="Arial"/>
          <w:sz w:val="19"/>
          <w:szCs w:val="19"/>
          <w:color w:val="auto"/>
        </w:rPr>
      </w:pPr>
    </w:p>
    <w:p>
      <w:pPr>
        <w:ind w:left="1300" w:hanging="644"/>
        <w:spacing w:after="0" w:line="259" w:lineRule="auto"/>
        <w:tabs>
          <w:tab w:leader="none" w:pos="130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Equipment and Hardware</w:t>
      </w:r>
      <w:r>
        <w:rPr>
          <w:rFonts w:ascii="Arial" w:cs="Arial" w:eastAsia="Arial" w:hAnsi="Arial"/>
          <w:sz w:val="21"/>
          <w:szCs w:val="21"/>
          <w:color w:val="auto"/>
        </w:rPr>
        <w:t>. Subscriber shall be responsible for obtaining, installing at its premises, and maintaining all equipment and hardware, including telecommunications equipment, necessary for using the TTS System. TTS will assist Subscriber in developing an acceptable equipment list, and Subscriber shall, prior to installation, submit its equipment configuration to TTS for approval, which shall not be unreasonably withheld. TTS shall also provide reasonable prior written notice to Subscriber of any scheduled enhancements or modifications to hardware, software, databases, network protocols, security recovery efforts, and similar items that impact Subscriber or its users use of the products or services. TTS shall also provide to Subscriber, upon Subscriber’s request, a copy of TTS’s change control process document.</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Subscriber Data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160" w:hanging="655"/>
        <w:spacing w:after="0" w:line="253" w:lineRule="auto"/>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Subscriber will timely supply TTS, in a form acceptable to TTS, with all data necessary for TTS to perform the ongoing services to be provided hereunder. It is the sole responsibility of Subscriber to insure the completeness and accuracy of such data.</w:t>
      </w:r>
    </w:p>
    <w:p>
      <w:pPr>
        <w:spacing w:after="0" w:line="185" w:lineRule="exact"/>
        <w:rPr>
          <w:rFonts w:ascii="Arial" w:cs="Arial" w:eastAsia="Arial" w:hAnsi="Arial"/>
          <w:sz w:val="22"/>
          <w:szCs w:val="22"/>
          <w:color w:val="auto"/>
        </w:rPr>
      </w:pPr>
    </w:p>
    <w:p>
      <w:pPr>
        <w:ind w:left="1960" w:right="80" w:hanging="655"/>
        <w:spacing w:after="0" w:line="250" w:lineRule="auto"/>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TTS acknowledges that all records, data, files and other input material relating to Subscriber are confidential and shall take reasonable steps to protect the confidentiality of such records, data, files and other materials. TTS will provide reasonable security safeguards to limit access to Subscriber’s files and records to Subscriber and other authorized parties.</w:t>
      </w:r>
    </w:p>
    <w:p>
      <w:pPr>
        <w:spacing w:after="0" w:line="188" w:lineRule="exact"/>
        <w:rPr>
          <w:rFonts w:ascii="Arial" w:cs="Arial" w:eastAsia="Arial" w:hAnsi="Arial"/>
          <w:sz w:val="22"/>
          <w:szCs w:val="22"/>
          <w:color w:val="auto"/>
        </w:rPr>
      </w:pPr>
    </w:p>
    <w:p>
      <w:pPr>
        <w:ind w:left="1960" w:right="140" w:hanging="655"/>
        <w:spacing w:after="0" w:line="253" w:lineRule="auto"/>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TTS will take reasonable steps to protect against the loss or alteration of Subscriber’s files, records and data retained by TTS, but Subscriber recognizes that events beyond the control of TTS may cause such loss or alteration. TTS will</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21" w:lineRule="exact"/>
        <w:rPr>
          <w:sz w:val="20"/>
          <w:szCs w:val="20"/>
          <w:color w:val="auto"/>
        </w:rPr>
      </w:pPr>
    </w:p>
    <w:p>
      <w:pPr>
        <w:ind w:left="1960" w:right="100"/>
        <w:spacing w:after="0" w:line="218" w:lineRule="auto"/>
        <w:rPr>
          <w:sz w:val="20"/>
          <w:szCs w:val="20"/>
          <w:color w:val="auto"/>
        </w:rPr>
      </w:pPr>
      <w:r>
        <w:rPr>
          <w:rFonts w:ascii="Arial" w:cs="Arial" w:eastAsia="Arial" w:hAnsi="Arial"/>
          <w:sz w:val="22"/>
          <w:szCs w:val="22"/>
          <w:color w:val="auto"/>
        </w:rPr>
        <w:t>maintain backup file(s) containing all of the data, files and records related to Subscriber in accordance with the terms of TTS’s Disaster Recovery arrangement. Subscriber’s file(s), records and data shall be released to Subscriber upon termination of this Agreement or in the event of an occurrence that renders TTS unable to perform hereunder.</w:t>
      </w:r>
    </w:p>
    <w:p>
      <w:pPr>
        <w:spacing w:after="0" w:line="188" w:lineRule="exact"/>
        <w:rPr>
          <w:sz w:val="20"/>
          <w:szCs w:val="20"/>
          <w:color w:val="auto"/>
        </w:rPr>
      </w:pPr>
    </w:p>
    <w:p>
      <w:pPr>
        <w:ind w:left="1960" w:right="840" w:hanging="655"/>
        <w:spacing w:after="0" w:line="263" w:lineRule="auto"/>
        <w:tabs>
          <w:tab w:leader="none" w:pos="19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TTS acknowledges that all records, data, files and other input material relating to Subscriber are the exclusive property of the Subscriber.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Charges and Payments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140" w:hanging="655"/>
        <w:spacing w:after="0" w:line="290" w:lineRule="auto"/>
        <w:tabs>
          <w:tab w:leader="none" w:pos="196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In addition to reimbursements required elsewhere in this Agreement, Subscriber shall pay for services in accordance with Schedule A attached hereto and as may be adjusted as provided herein, Charges for any partial month of service shall be prorated on the basis of a 30-day month. Upon each twelve (12) month anniversary of this Agreement, TTS may adjust its fees for trade charges, charges for non-trade services and the TTS Host and TTS Fixed Income monthly services minimums in accordance with the cumulative net change in the consumer price index over the prior year. TTS agrees that it will continue to offer to and maintain for Subscriber the HOLD module as currently utilized by Subscriber through October 15, 2011 at the same fees as contained in this Agreement.</w:t>
      </w:r>
    </w:p>
    <w:p>
      <w:pPr>
        <w:spacing w:after="0" w:line="156" w:lineRule="exact"/>
        <w:rPr>
          <w:rFonts w:ascii="Arial" w:cs="Arial" w:eastAsia="Arial" w:hAnsi="Arial"/>
          <w:sz w:val="19"/>
          <w:szCs w:val="19"/>
          <w:color w:val="auto"/>
        </w:rPr>
      </w:pPr>
    </w:p>
    <w:p>
      <w:pPr>
        <w:ind w:left="1960" w:hanging="655"/>
        <w:spacing w:after="0" w:line="246" w:lineRule="auto"/>
        <w:tabs>
          <w:tab w:leader="none" w:pos="196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Billing</w:t>
      </w:r>
      <w:r>
        <w:rPr>
          <w:rFonts w:ascii="Arial" w:cs="Arial" w:eastAsia="Arial" w:hAnsi="Arial"/>
          <w:sz w:val="22"/>
          <w:szCs w:val="22"/>
          <w:color w:val="auto"/>
        </w:rPr>
        <w:t>. TTS shall invoice Subscriber monthly for all applicable charges. If payment is not received by TTS within forty-five (45) days of the invoice date, Subscriber agrees to pay TTS interest on the unpaid balance at the rate of 8% per annum from the date of the invoice until paid in full. If payment in full is not received within ninety (90) days of the date of the invoice, TTS may, at its option, terminate this Agreement upon thirty (30) days written notice. If Subscriber disputes all or a portion of an invoice in good faith, Subscriber may withhold the disputed portion of the payment pending resolution of the disputed amount pursuant to Paragraph 13 of this Agreement.</w:t>
      </w:r>
    </w:p>
    <w:p>
      <w:pPr>
        <w:spacing w:after="0" w:line="197" w:lineRule="exact"/>
        <w:rPr>
          <w:rFonts w:ascii="Arial" w:cs="Arial" w:eastAsia="Arial" w:hAnsi="Arial"/>
          <w:sz w:val="22"/>
          <w:szCs w:val="22"/>
          <w:color w:val="auto"/>
        </w:rPr>
      </w:pPr>
    </w:p>
    <w:p>
      <w:pPr>
        <w:ind w:left="1960" w:right="60" w:hanging="655"/>
        <w:spacing w:after="0" w:line="288" w:lineRule="auto"/>
        <w:tabs>
          <w:tab w:leader="none" w:pos="196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Utilities and Exclusions. All charges shall be exclusive of any federal, state or local sales, use, excise, ad valorem or personal property taxes levied, or any fines, forfeitures or penalties assessed in connection therewith, as a result of this Agreement or the installation or use of TTS Host hereunder. Any such taxes which may be applicable will be paid by Subscriber or by TTS for Subscriber’s account, in which case Subscriber shall reimburse TTS for amounts so paid. All electrical utility service necessary to operate TTS Host at Subscriber’s offices shall be maintained in Subscriber’s own account with such utility or service, and all charges for such services, including installation charges in connection therewith, shall be paid by Subscriber. TTS shall arrange for the installation of all telecommunications services necessary for Subscriber’s use of the TTS System, which will be maintained in TTS’s account for Subscriber’s exclusive use. Subscriber shall promptly remit payment to TTS, at TTS standard rates, for all charges in connection with such installation and Subscriber’s use thereof.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hanging="655"/>
        <w:spacing w:after="0" w:line="248"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This Agreement will be effective in the month following the month of execution and will terminate sixty (60) months from January 1, 2009. TTS or Subscriber shall give the other party twelve (12) months written notice of its intent not to renew this Agreement upon its expiration. If such notice is given less than six (6) months prior to the expiration date, then this Agreement shall remain in effect for twelve (12) months from the giving of such notice.</w:t>
      </w:r>
    </w:p>
    <w:p>
      <w:pPr>
        <w:spacing w:after="0" w:line="192" w:lineRule="exact"/>
        <w:rPr>
          <w:rFonts w:ascii="Arial" w:cs="Arial" w:eastAsia="Arial" w:hAnsi="Arial"/>
          <w:sz w:val="22"/>
          <w:szCs w:val="22"/>
          <w:color w:val="auto"/>
        </w:rPr>
      </w:pPr>
    </w:p>
    <w:p>
      <w:pPr>
        <w:ind w:left="1960" w:hanging="655"/>
        <w:spacing w:after="0" w:line="292" w:lineRule="auto"/>
        <w:tabs>
          <w:tab w:leader="none" w:pos="1960" w:val="left"/>
        </w:tabs>
        <w:numPr>
          <w:ilvl w:val="1"/>
          <w:numId w:val="73"/>
        </w:numPr>
        <w:rPr>
          <w:rFonts w:ascii="Arial" w:cs="Arial" w:eastAsia="Arial" w:hAnsi="Arial"/>
          <w:sz w:val="19"/>
          <w:szCs w:val="19"/>
          <w:color w:val="auto"/>
        </w:rPr>
      </w:pPr>
      <w:r>
        <w:rPr>
          <w:rFonts w:ascii="Arial" w:cs="Arial" w:eastAsia="Arial" w:hAnsi="Arial"/>
          <w:sz w:val="19"/>
          <w:szCs w:val="19"/>
          <w:color w:val="auto"/>
        </w:rPr>
        <w:t>Unless TTS or Subscriber shall have given notice of non-renewal as provided in Paragraph 7(a), in the event that no renewal, continuation or successor agreement is signed by the parties prior to the expiration of this Agreement, this Agreement may be extended automatically for successive periods of six (6) months until a successor, renewal or continuation agreement is signed by the parties or until Subscriber, upon six (6) months written notice to TTS, or TTS, upon six (6) months written notice to Subscriber, elects to terminate this Agreement. During any period of extension described in this subparagraph 7(b), the charge for the services provided to Subscriber hereunder may, at TTS’s option, be 105% of TTS’s then-current non-discounted rates.</w:t>
      </w:r>
    </w:p>
    <w:p>
      <w:pPr>
        <w:spacing w:after="0" w:line="151" w:lineRule="exact"/>
        <w:rPr>
          <w:rFonts w:ascii="Arial" w:cs="Arial" w:eastAsia="Arial" w:hAnsi="Arial"/>
          <w:sz w:val="19"/>
          <w:szCs w:val="19"/>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120" w:hanging="655"/>
        <w:spacing w:after="0" w:line="312" w:lineRule="auto"/>
        <w:tabs>
          <w:tab w:leader="none" w:pos="1960" w:val="left"/>
        </w:tabs>
        <w:numPr>
          <w:ilvl w:val="1"/>
          <w:numId w:val="73"/>
        </w:numPr>
        <w:rPr>
          <w:rFonts w:ascii="Arial" w:cs="Arial" w:eastAsia="Arial" w:hAnsi="Arial"/>
          <w:sz w:val="19"/>
          <w:szCs w:val="19"/>
          <w:color w:val="auto"/>
        </w:rPr>
      </w:pPr>
      <w:r>
        <w:rPr>
          <w:rFonts w:ascii="Arial" w:cs="Arial" w:eastAsia="Arial" w:hAnsi="Arial"/>
          <w:sz w:val="19"/>
          <w:szCs w:val="19"/>
          <w:color w:val="auto"/>
        </w:rPr>
        <w:t>If Subscriber cancels this Agreement after the effective date and prior to the end of the term, Subscriber will pay a termination fee as set forth in Schedule A equal to the monthly minimum per month times by the remaining months to end of term. Such termination fee will be paid in one lump sum payment</w:t>
      </w:r>
    </w:p>
    <w:p>
      <w:pPr>
        <w:spacing w:after="0" w:line="133" w:lineRule="exact"/>
        <w:rPr>
          <w:rFonts w:ascii="Arial" w:cs="Arial" w:eastAsia="Arial" w:hAnsi="Arial"/>
          <w:sz w:val="19"/>
          <w:szCs w:val="19"/>
          <w:color w:val="auto"/>
        </w:rPr>
      </w:pPr>
    </w:p>
    <w:p>
      <w:pPr>
        <w:ind w:left="1960" w:right="140" w:hanging="655"/>
        <w:spacing w:after="0" w:line="250"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 addition to termination rights as provided elsewhere herein, either party may terminate this Agreement in the event that the other party commits a material breach of any provision of this Agreement, provided the breaching party fails to cure such material breach within sixty (60) days of its receipt of written notification thereof from the other party.</w:t>
      </w:r>
    </w:p>
    <w:p>
      <w:pPr>
        <w:spacing w:after="0" w:line="188" w:lineRule="exact"/>
        <w:rPr>
          <w:rFonts w:ascii="Arial" w:cs="Arial" w:eastAsia="Arial" w:hAnsi="Arial"/>
          <w:sz w:val="22"/>
          <w:szCs w:val="22"/>
          <w:color w:val="auto"/>
        </w:rPr>
      </w:pPr>
    </w:p>
    <w:p>
      <w:pPr>
        <w:ind w:left="1960" w:right="180" w:hanging="655"/>
        <w:spacing w:after="0" w:line="265" w:lineRule="auto"/>
        <w:tabs>
          <w:tab w:leader="none" w:pos="1960" w:val="left"/>
        </w:tabs>
        <w:numPr>
          <w:ilvl w:val="1"/>
          <w:numId w:val="73"/>
        </w:numPr>
        <w:rPr>
          <w:rFonts w:ascii="Arial" w:cs="Arial" w:eastAsia="Arial" w:hAnsi="Arial"/>
          <w:sz w:val="21"/>
          <w:szCs w:val="21"/>
          <w:color w:val="auto"/>
        </w:rPr>
      </w:pPr>
      <w:r>
        <w:rPr>
          <w:rFonts w:ascii="Arial" w:cs="Arial" w:eastAsia="Arial" w:hAnsi="Arial"/>
          <w:sz w:val="21"/>
          <w:szCs w:val="21"/>
          <w:color w:val="auto"/>
        </w:rPr>
        <w:t>Subscriber shall have the right to terminate this Agreement for a “Chronic Service Failure” as set forth in Schedule 5 of the SLA, in which event all fees for early termination of this Agreement will be waived, TTS will assist the Subscriber in identifying any deconversion data files that are required, and TTS will deliver those data files electronically without charge to Subscriber.:</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Title and Non-Infringement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600" w:right="100" w:hanging="647"/>
        <w:spacing w:after="0" w:line="247" w:lineRule="auto"/>
        <w:tabs>
          <w:tab w:leader="none" w:pos="2600" w:val="left"/>
        </w:tabs>
        <w:numPr>
          <w:ilvl w:val="2"/>
          <w:numId w:val="73"/>
        </w:numPr>
        <w:rPr>
          <w:rFonts w:ascii="Arial" w:cs="Arial" w:eastAsia="Arial" w:hAnsi="Arial"/>
          <w:sz w:val="22"/>
          <w:szCs w:val="22"/>
          <w:color w:val="auto"/>
        </w:rPr>
      </w:pPr>
      <w:r>
        <w:rPr>
          <w:rFonts w:ascii="Arial" w:cs="Arial" w:eastAsia="Arial" w:hAnsi="Arial"/>
          <w:sz w:val="22"/>
          <w:szCs w:val="22"/>
          <w:color w:val="auto"/>
        </w:rPr>
        <w:t>TTS hereby represents, warrants and covenants to Subscriber that it has and at all times will have the full legal right to provide the TTS System and all TTS Services provided by under this Agreement, and TTS has no knowledge of any claim, litigation or proceeding pending or threatened against TTS with respect to such TTS Services or the TTS System, or any component thereof, alleging infringement of any patent or copyright or violation of any trade secret or any other proprietary right of any person.</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2600" w:right="20" w:hanging="647"/>
        <w:spacing w:after="0" w:line="248" w:lineRule="auto"/>
        <w:tabs>
          <w:tab w:leader="none" w:pos="26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Subscriber hereby represents, warrants and covenants to TTS that it has and at all times will have the full legal right to provide the data to TTS as contemplated herein and Subscriber has no knowledge of any claim, litigation or proceeding pending or threatened against Subscriber with respect to data, alleging infringement of any patent or copyright or violation of any trade secret or any other proprietary right of any person.</w:t>
      </w:r>
    </w:p>
    <w:p>
      <w:pPr>
        <w:spacing w:after="0" w:line="192" w:lineRule="exact"/>
        <w:rPr>
          <w:rFonts w:ascii="Arial" w:cs="Arial" w:eastAsia="Arial" w:hAnsi="Arial"/>
          <w:sz w:val="22"/>
          <w:szCs w:val="22"/>
          <w:color w:val="auto"/>
        </w:rPr>
      </w:pPr>
    </w:p>
    <w:p>
      <w:pPr>
        <w:ind w:left="1960" w:hanging="655"/>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600" w:hanging="647"/>
        <w:spacing w:after="0" w:line="259" w:lineRule="auto"/>
        <w:tabs>
          <w:tab w:leader="none" w:pos="2600" w:val="left"/>
        </w:tabs>
        <w:numPr>
          <w:ilvl w:val="1"/>
          <w:numId w:val="75"/>
        </w:numPr>
        <w:rPr>
          <w:rFonts w:ascii="Arial" w:cs="Arial" w:eastAsia="Arial" w:hAnsi="Arial"/>
          <w:sz w:val="21"/>
          <w:szCs w:val="21"/>
          <w:color w:val="auto"/>
        </w:rPr>
      </w:pPr>
      <w:r>
        <w:rPr>
          <w:rFonts w:ascii="Arial" w:cs="Arial" w:eastAsia="Arial" w:hAnsi="Arial"/>
          <w:sz w:val="21"/>
          <w:szCs w:val="21"/>
          <w:color w:val="auto"/>
        </w:rPr>
        <w:t>TTS hereby represents, warrants and covenants to Subscriber that in performing its obligations and exercising its rights under this Agreement, TTS will comply (and shall require all of its personnel providing Services hereunder or otherwise involved in TTS’s performance under this Agreement to comply) with all applicable Laws (and all changes in Laws) applicable to TTS and the Services it provides hereunder, and that TTS will obtain and maintain all permits, licenses, and consents required in connection therewith. For the purposes of this Agreement, “Law” shall mean a declaration, decree, directive, legislative enactment, statute, order, ordinance, regulation, rule or other binding action of or by an Federal, state, municipal, local, territorial or other government department, regulatory authority, judicial or administrative body.</w:t>
      </w:r>
    </w:p>
    <w:p>
      <w:pPr>
        <w:spacing w:after="0" w:line="180" w:lineRule="exact"/>
        <w:rPr>
          <w:rFonts w:ascii="Arial" w:cs="Arial" w:eastAsia="Arial" w:hAnsi="Arial"/>
          <w:sz w:val="21"/>
          <w:szCs w:val="21"/>
          <w:color w:val="auto"/>
        </w:rPr>
      </w:pPr>
    </w:p>
    <w:p>
      <w:pPr>
        <w:ind w:left="2600" w:right="40" w:hanging="647"/>
        <w:spacing w:after="0" w:line="253" w:lineRule="auto"/>
        <w:tabs>
          <w:tab w:leader="none" w:pos="2600" w:val="left"/>
        </w:tabs>
        <w:numPr>
          <w:ilvl w:val="1"/>
          <w:numId w:val="75"/>
        </w:numPr>
        <w:rPr>
          <w:rFonts w:ascii="Arial" w:cs="Arial" w:eastAsia="Arial" w:hAnsi="Arial"/>
          <w:sz w:val="22"/>
          <w:szCs w:val="22"/>
          <w:color w:val="auto"/>
        </w:rPr>
      </w:pPr>
      <w:r>
        <w:rPr>
          <w:rFonts w:ascii="Arial" w:cs="Arial" w:eastAsia="Arial" w:hAnsi="Arial"/>
          <w:sz w:val="22"/>
          <w:szCs w:val="22"/>
          <w:color w:val="auto"/>
        </w:rPr>
        <w:t>Subscriber hereby represents warrants and covenants to TTS that Subscriber is in compliance with all Laws applicable to it and will obtain and maintain all permits, licenses, and consents required in connection with its obligations under this Agreement.</w:t>
      </w:r>
    </w:p>
    <w:p>
      <w:pPr>
        <w:spacing w:after="0" w:line="185" w:lineRule="exact"/>
        <w:rPr>
          <w:rFonts w:ascii="Arial" w:cs="Arial" w:eastAsia="Arial" w:hAnsi="Arial"/>
          <w:sz w:val="22"/>
          <w:szCs w:val="22"/>
          <w:color w:val="auto"/>
        </w:rPr>
      </w:pPr>
    </w:p>
    <w:p>
      <w:pPr>
        <w:ind w:left="1960" w:right="40" w:hanging="655"/>
        <w:spacing w:after="0" w:line="288" w:lineRule="auto"/>
        <w:tabs>
          <w:tab w:leader="none" w:pos="196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Business Continuation</w:t>
      </w:r>
      <w:r>
        <w:rPr>
          <w:rFonts w:ascii="Arial" w:cs="Arial" w:eastAsia="Arial" w:hAnsi="Arial"/>
          <w:sz w:val="19"/>
          <w:szCs w:val="19"/>
          <w:color w:val="auto"/>
        </w:rPr>
        <w:t>. TTS hereby represents, warrants and covenants to Subscriber that it has and shall maintain a disaster recovery plan (including designating specific protocols for declaring a disaster) and business continuation plan (including recovery time objectives) that shall enable TTS to provide the Services and the System in accordance with this Agreement and that it shall test the operability of such plan at least once every 12 months and revise such plan as necessary to ensure continued operability. TTS shall permit Subscriber to participate in such testing and shall provide the results of such annual testing to Subscriber. TTS’s agrees that its business continuation plan shall be reviewed and approved by the TTS senior management team annually. Subscriber may request a summary of TTS’s disaster recovery plan on a quarterly basis. Twice per year Subscriber may review at TTS a current copy of the full TTS disaster recovery plan which includes confidential information and which may not be removed from the premises.</w:t>
      </w:r>
    </w:p>
    <w:p>
      <w:pPr>
        <w:spacing w:after="0" w:line="160" w:lineRule="exact"/>
        <w:rPr>
          <w:rFonts w:ascii="Arial" w:cs="Arial" w:eastAsia="Arial" w:hAnsi="Arial"/>
          <w:sz w:val="19"/>
          <w:szCs w:val="19"/>
          <w:color w:val="auto"/>
        </w:rPr>
      </w:pPr>
    </w:p>
    <w:p>
      <w:pPr>
        <w:ind w:left="1960" w:right="20" w:hanging="655"/>
        <w:spacing w:after="0" w:line="247" w:lineRule="auto"/>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Audit. Controls</w:t>
      </w:r>
      <w:r>
        <w:rPr>
          <w:rFonts w:ascii="Arial" w:cs="Arial" w:eastAsia="Arial" w:hAnsi="Arial"/>
          <w:sz w:val="22"/>
          <w:szCs w:val="22"/>
          <w:color w:val="auto"/>
        </w:rPr>
        <w:t>. Security. All passwords and all Subscriber Confidential Information stored, cached, or otherwise maintained on TTS’s laptops or other portable media shall be stored in an encrypted format. At any time during the term of this Agreement, but no more than once per year, Subscriber may request copies of Privacy and Security Policies and Procedures, and SAS-70, including a Type II SAS-70. Subscriber may recommend to TTS additional reasonable controls to be added to the SAS-70. TTS shall use its best efforts to deliver to Subscriber the</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21" w:lineRule="exact"/>
        <w:rPr>
          <w:sz w:val="20"/>
          <w:szCs w:val="20"/>
          <w:color w:val="auto"/>
        </w:rPr>
      </w:pPr>
    </w:p>
    <w:p>
      <w:pPr>
        <w:ind w:left="1960" w:right="180"/>
        <w:spacing w:after="0" w:line="218" w:lineRule="auto"/>
        <w:rPr>
          <w:sz w:val="20"/>
          <w:szCs w:val="20"/>
          <w:color w:val="auto"/>
        </w:rPr>
      </w:pPr>
      <w:r>
        <w:rPr>
          <w:rFonts w:ascii="Arial" w:cs="Arial" w:eastAsia="Arial" w:hAnsi="Arial"/>
          <w:sz w:val="22"/>
          <w:szCs w:val="22"/>
          <w:color w:val="auto"/>
        </w:rPr>
        <w:t>SAS-70 by December 15 of each year of the term of this Agreement. If TTS agrees with such recommendations and its other subscribers consent, TTS will implement the recommendations. TTS shall annually complete Subscriber’s Standardized Information Gathering Questionnaire. TTS agrees that it shall perform periodic penetration testing of all internet facing applications.</w:t>
      </w:r>
    </w:p>
    <w:p>
      <w:pPr>
        <w:spacing w:after="0" w:line="188"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19" w:lineRule="exact"/>
        <w:rPr>
          <w:rFonts w:ascii="Arial" w:cs="Arial" w:eastAsia="Arial" w:hAnsi="Arial"/>
          <w:sz w:val="22"/>
          <w:szCs w:val="22"/>
          <w:color w:val="auto"/>
        </w:rPr>
      </w:pPr>
    </w:p>
    <w:p>
      <w:pPr>
        <w:ind w:left="1960" w:right="20" w:hanging="655"/>
        <w:spacing w:after="0" w:line="285" w:lineRule="auto"/>
        <w:tabs>
          <w:tab w:leader="none" w:pos="1960"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Confidentiality Obligation</w:t>
      </w:r>
      <w:r>
        <w:rPr>
          <w:rFonts w:ascii="Arial" w:cs="Arial" w:eastAsia="Arial" w:hAnsi="Arial"/>
          <w:sz w:val="19"/>
          <w:szCs w:val="19"/>
          <w:color w:val="auto"/>
        </w:rPr>
        <w:t>. Each party (in such capacity the “Receiving Party”) shall hold the Confidential Information (as defined below) of the other party (in such capacity the “Disclosing Party”) in strict confidence. The Receiving Party shall have the limited right to use the Confidential Information only for the purposes of fulfilling its commitments and obligations to the Disclosing Party under this Agreement and for no other purpose. Except as permitted in the foregoing sentence or by prior written consent of the Disclosing Party, the Receiving Party shall not use, disclose or distribute to any person, firm or entity any Confidential Information and shall not permit any person, firm or entity to use, disclose or distribute any Confidential Information; provided that the Receiving Party may disclose or distribute such Confidential Information to the following: (i) its officers, employees and directors who have a business need to know such Confidential Information; and (ii) its attorneys, accountants, consultants, agents, independent contractors or professional advisors (the “Receiving Party Agents”) who (x) have a business need to know such Confidential Information and (y) are subject to fiduciary, professional or written obligations of confidentiality substantially similar to, and no less restrictive than, the obligations set forth herein. The Receiving Party shall be responsible for ensuring that the Receiving Party Agents comply with the terms of this Agreement and shall remain ultimately responsible for the use, disclosure or distribution of Confidential Information by the Receiving Party Agents. Any failure by the Receiving Party Agents to comply with the terms hereof shall constitute a material breach of this Agreement by the Receiving Party. Except in connection with the purposes identified above, the Receiving Party shall not copy or otherwise reproduce, or permit to be copied or otherwise reproduced, all or any part of Confidential Information without the prior written consent of the Disclosing Party.</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960" w:right="100"/>
        <w:spacing w:after="0" w:line="288" w:lineRule="auto"/>
        <w:rPr>
          <w:rFonts w:ascii="Arial" w:cs="Arial" w:eastAsia="Arial" w:hAnsi="Arial"/>
          <w:sz w:val="19"/>
          <w:szCs w:val="19"/>
          <w:color w:val="auto"/>
        </w:rPr>
      </w:pPr>
      <w:r>
        <w:rPr>
          <w:rFonts w:ascii="Arial" w:cs="Arial" w:eastAsia="Arial" w:hAnsi="Arial"/>
          <w:sz w:val="19"/>
          <w:szCs w:val="19"/>
          <w:color w:val="auto"/>
        </w:rPr>
        <w:t>TTS agrees that all information related to Subscriber’s customers that it becomes aware of as a result of this Agreement is confidential and proprietary in nature, that by law this information must be protected and kept confidential, and that said information shall not be divulged by TTS to any third parties (except as may be required by Law or pursuant to an order of any court or administrative body in accordance with the proviso set forth in Section 9(c) below) or used in any manner other than in connection with the terms of this Agreement. Vendor shall (1) establish procedures to protect the security and confidentiality of this information, (2) protect against any anticipated threats or hazards to the security or integrity of the customer information, (3) protect against unauthorized access to or use of such information that could result in substantial harm or inconvenience to customers; and (4) otherwise comply with Laws applicable to TTS and the Services it provides hereunder.</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1960" w:right="60" w:hanging="655"/>
        <w:spacing w:after="0" w:line="289" w:lineRule="auto"/>
        <w:tabs>
          <w:tab w:leader="none" w:pos="196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As used in this Agreement, “Confidential Information” shall mean (i) the subject and terms of any and all potential or binding business transactions between the parties, and (ii) all oral or written information, of whatever kind and in whatever form, and whether or not marked as “confidential,” of the Disclosing Party, its employees, suppliers, or customers, including the identities thereof, that may be obtained from any source as a result of or in connection with this Agreement, as well as all such other information designated by the Disclosing Party as confidential including past, present or future business and business activities, financial or technical information; products, services, research and development; processes, techniques; designs; financial planning practices; client information (including clients’ identities and any client related data or information); and marketing plans.</w:t>
      </w:r>
    </w:p>
    <w:p>
      <w:pPr>
        <w:spacing w:after="0" w:line="157" w:lineRule="exact"/>
        <w:rPr>
          <w:rFonts w:ascii="Arial" w:cs="Arial" w:eastAsia="Arial" w:hAnsi="Arial"/>
          <w:sz w:val="19"/>
          <w:szCs w:val="19"/>
          <w:color w:val="auto"/>
        </w:rPr>
      </w:pPr>
    </w:p>
    <w:p>
      <w:pPr>
        <w:ind w:left="1960" w:right="20" w:hanging="655"/>
        <w:spacing w:after="0" w:line="286" w:lineRule="auto"/>
        <w:tabs>
          <w:tab w:leader="none" w:pos="196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As used in this Agreement, the term “Confidential Information” shall not include any information which the Receiving Party can demonstrate (i) is in the public domain through no fault or breach of confidentiality by such Receiving Party, (ii) was known by the Receiving Party prior to its disclosure by the Disclosing Party and was not obtained in such circumstances subject to a requirement of confidentiality, or (iii) was developed independently of, and without the use of or access to, any Confidential Information exchanged pursuant to this Agreement. Despite the obligations of this Section 9, the Receiving Party may disclose the Confidential Information of the Disclosing Party to the limited extent such Confidential Information is required to be disclosed by the Receiving Party by Law or pursuant to an order of any court or administrative body; provided that the Receiving Party (i) shall provide the Disclosing Party with prompt notice of such request or order, including copies of subpoenas or orders requesting such Confidential Information, (ii) shall cooperate reasonably with the Disclosing Party in resisting the disclosure of such Confidential Information via a protective order or other appropriate legal action, and (iii) shall not make disclosure pursuant thereto until the Disclosing Party has had a reasonable opportunity to resist such disclosure, unless the Receiving Party is ordered otherwise. Notwithstanding the foregoing, TTS may review and use Confidential Information internally on an aggregated anonymous basis to improve the System and its Services.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960" w:right="20" w:hanging="655"/>
        <w:spacing w:after="0" w:line="283" w:lineRule="auto"/>
        <w:tabs>
          <w:tab w:leader="none" w:pos="196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Ownership</w:t>
      </w:r>
      <w:r>
        <w:rPr>
          <w:rFonts w:ascii="Arial" w:cs="Arial" w:eastAsia="Arial" w:hAnsi="Arial"/>
          <w:sz w:val="19"/>
          <w:szCs w:val="19"/>
          <w:color w:val="auto"/>
        </w:rPr>
        <w:t>. All Confidential Information shall be and remain the sole and exclusive property of the Disclosing Party or its employees, suppliers or customers, as the case may be. Except as otherwise set forth in this Agreement, neither Party acquires any Intellectual Property Rights, including any rights to create derivative works of any Confidential Information, under this Agreement, except the limited right to use such Confidential Information in accordance with this Agreement. For the purposes of this Agreement, “Intellectual Property” shall mean a party’s patents, trade marks, service marks, trade and service names, copyrights, database rights and design rights (whether or not any of them are registered and including applications for registration of any of them), rights in know-how, moral rights, trade secrets and all rights or forms of protection of a similar nature or having similar or equivalent effect to any of them which may subsist anywhere in the world now existing or hereafter arising. Except as expressly provided herein, without Subscriber’s prior written approval (in its sole discretion), Subscriber Confidential Information shall not be</w:t>
      </w:r>
    </w:p>
    <w:p>
      <w:pPr>
        <w:spacing w:after="0" w:line="6"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(i) used by TTS other than is necessary for TTS’s performance of its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21" w:lineRule="exact"/>
        <w:rPr>
          <w:sz w:val="20"/>
          <w:szCs w:val="20"/>
          <w:color w:val="auto"/>
        </w:rPr>
      </w:pPr>
    </w:p>
    <w:p>
      <w:pPr>
        <w:ind w:left="1960" w:right="120"/>
        <w:spacing w:after="0" w:line="232" w:lineRule="auto"/>
        <w:rPr>
          <w:sz w:val="20"/>
          <w:szCs w:val="20"/>
          <w:color w:val="auto"/>
        </w:rPr>
      </w:pPr>
      <w:r>
        <w:rPr>
          <w:rFonts w:ascii="Arial" w:cs="Arial" w:eastAsia="Arial" w:hAnsi="Arial"/>
          <w:sz w:val="22"/>
          <w:szCs w:val="22"/>
          <w:color w:val="auto"/>
        </w:rPr>
        <w:t>obligations under this Agreement, (ii) disclosed, sold, assigned, leased or otherwise provided to third parties by TTS, or (iii) commercially exploited by or on behalf of TTS.</w:t>
      </w:r>
    </w:p>
    <w:p>
      <w:pPr>
        <w:spacing w:after="0" w:line="186" w:lineRule="exact"/>
        <w:rPr>
          <w:sz w:val="20"/>
          <w:szCs w:val="20"/>
          <w:color w:val="auto"/>
        </w:rPr>
      </w:pPr>
    </w:p>
    <w:p>
      <w:pPr>
        <w:ind w:left="1960" w:right="20" w:hanging="655"/>
        <w:spacing w:after="0" w:line="259" w:lineRule="auto"/>
        <w:tabs>
          <w:tab w:leader="none" w:pos="196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Unauthorized Disclosure</w:t>
      </w:r>
      <w:r>
        <w:rPr>
          <w:rFonts w:ascii="Arial" w:cs="Arial" w:eastAsia="Arial" w:hAnsi="Arial"/>
          <w:sz w:val="21"/>
          <w:szCs w:val="21"/>
          <w:color w:val="auto"/>
        </w:rPr>
        <w:t>. The Receiving Party shall (i) promptly notify the Disclosing Party’s Chief Security Officer if the Receiving Party discovers or is notified of an unauthorized disclosure or release of, or access to, the Disclosing Party’s Confidential Information (each, an “Unauthorized Disclosure”) to or by any person obtaining or reasonably believed to have obtained such Confidential Information, or access to such Confidential Information, from or through the Receiving Party, (ii) reasonably assist the Disclosing Party in any action taken against the person(s) responsible for such Unauthorized Disclosure, and (iii) take immediate corrective action to cease the existing Unauthorized Disclosure and prevent any other or future Unauthorized Disclosures. In the event of a breach of confidentiality under this Section 9, TTS and Licensee will negotiate appropriate remediation efforts in good faith.</w:t>
      </w:r>
    </w:p>
    <w:p>
      <w:pPr>
        <w:spacing w:after="0" w:line="180" w:lineRule="exact"/>
        <w:rPr>
          <w:rFonts w:ascii="Arial" w:cs="Arial" w:eastAsia="Arial" w:hAnsi="Arial"/>
          <w:sz w:val="21"/>
          <w:szCs w:val="21"/>
          <w:color w:val="auto"/>
        </w:rPr>
      </w:pPr>
    </w:p>
    <w:p>
      <w:pPr>
        <w:ind w:left="1960" w:hanging="655"/>
        <w:spacing w:after="0" w:line="287" w:lineRule="auto"/>
        <w:tabs>
          <w:tab w:leader="none" w:pos="196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written request by the Disclosing Party at any time, the Receiving Party shall: (i) turn over to the Disclosing Party all Confidential Information, all documents or media containing the Confidential Information, and any and all copies or extracts thereof, or (ii) destroy the Confidential Information, and any and all copies or extracts thereof, and provide the Disclosing Party with written certification of such destruction signed by an authorized representative of the Receiving Party. Notwithstanding the foregoing, each Party acknowledges that the Receiving Party shall not be required to comply with the foregoing to the extent that (i) the Confidential Information resides on the Receiving Party’s backup, disaster recovery or business continuity systems, or (ii) the Receiving Party is obligated by applicable Law or industry or governmental regulations to retain such Confidential Information, or (iii) with respect to Subscriber, any such Confidential Information is licensed to Subscriber. In addition, upon termination or expiration of this Agreement, TTS shall (i) shred all documents containing Customer Data prior to disposal and (ii) destroy all copies of the Customer Data and certify in writing to Subscriber that TTS has complied with the requirements contained herein.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960" w:hanging="655"/>
        <w:spacing w:after="0" w:line="288" w:lineRule="auto"/>
        <w:tabs>
          <w:tab w:leader="none" w:pos="196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Trademarks</w:t>
      </w:r>
      <w:r>
        <w:rPr>
          <w:rFonts w:ascii="Arial" w:cs="Arial" w:eastAsia="Arial" w:hAnsi="Arial"/>
          <w:sz w:val="19"/>
          <w:szCs w:val="19"/>
          <w:color w:val="auto"/>
        </w:rPr>
        <w:t>. Trade Names, and Publicity. Except as is reasonably necessary to provide or utilize the Services hereunder, TTS agrees not to use the name(s), trademarks, trade names, service marks, and other marks (collectively, “Marks”) of Subscriber, whether registered or not, in publicity releases or advertising or in any other manner, including company lists, marketing lists or client lists, without securing the prior written approval of a managing director or higher ranking officer of Subscriber. Further, TTS shall not provide any Subscriber contact or key person information to any Affiliate of TTS or any third party, unless Subscriber has approved such in advance. For the purposes of this Agreement, “Affiliate” means (i) any entity that, from time to time, directly or indirectly controls, is controlled by, or is under common control with either TTS or Subscriber, or that is a successor (whether by change of name, dissolution, merger, consolidation, reorganization, sale or other disposition) to any such entity or its business and assets; or Thomson Reuters Corporation, Thomson Reuters PLC and any of their current parent entities</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21" w:lineRule="exact"/>
        <w:rPr>
          <w:sz w:val="20"/>
          <w:szCs w:val="20"/>
          <w:color w:val="auto"/>
        </w:rPr>
      </w:pPr>
    </w:p>
    <w:p>
      <w:pPr>
        <w:ind w:left="1960" w:right="140"/>
        <w:spacing w:after="0" w:line="223" w:lineRule="auto"/>
        <w:rPr>
          <w:sz w:val="20"/>
          <w:szCs w:val="20"/>
          <w:color w:val="auto"/>
        </w:rPr>
      </w:pPr>
      <w:r>
        <w:rPr>
          <w:rFonts w:ascii="Arial" w:cs="Arial" w:eastAsia="Arial" w:hAnsi="Arial"/>
          <w:sz w:val="22"/>
          <w:szCs w:val="22"/>
          <w:color w:val="auto"/>
        </w:rPr>
        <w:t>or subsidiaries from time to time. An entity will be deemed to control another entity if it has the power to direct or cause the direction of the management or policies of such entity, whether through the ownership of voting securities, by contract, or otherwise.</w:t>
      </w:r>
    </w:p>
    <w:p>
      <w:pPr>
        <w:spacing w:after="0" w:line="186" w:lineRule="exact"/>
        <w:rPr>
          <w:sz w:val="20"/>
          <w:szCs w:val="20"/>
          <w:color w:val="auto"/>
        </w:rPr>
      </w:pPr>
    </w:p>
    <w:p>
      <w:pPr>
        <w:ind w:left="1960" w:right="300" w:hanging="655"/>
        <w:spacing w:after="0" w:line="297" w:lineRule="auto"/>
        <w:tabs>
          <w:tab w:leader="none" w:pos="196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Additional Remedies</w:t>
      </w:r>
      <w:r>
        <w:rPr>
          <w:rFonts w:ascii="Arial" w:cs="Arial" w:eastAsia="Arial" w:hAnsi="Arial"/>
          <w:sz w:val="19"/>
          <w:szCs w:val="19"/>
          <w:color w:val="auto"/>
        </w:rPr>
        <w:t>. The Receiving Party acknowledges and agrees that due to the unique nature of the Confidential Information and the Marks, there may be no adequate remedy at Law for a breach by the Receiving Party of its obligations under this Section 9 and that such breach may cause irreparable harm to the Disclosing Party. Therefore, upon any such breach or any threat thereof, the Disclosing Party shall be entitled to seek appropriate equitable relief in addition to whatever remedies it may have at Law.</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Indemnification</w:t>
      </w:r>
    </w:p>
    <w:p>
      <w:pPr>
        <w:spacing w:after="0" w:line="219" w:lineRule="exact"/>
        <w:rPr>
          <w:rFonts w:ascii="Arial" w:cs="Arial" w:eastAsia="Arial" w:hAnsi="Arial"/>
          <w:sz w:val="22"/>
          <w:szCs w:val="22"/>
          <w:color w:val="auto"/>
        </w:rPr>
      </w:pPr>
    </w:p>
    <w:p>
      <w:pPr>
        <w:ind w:left="1960" w:hanging="655"/>
        <w:spacing w:after="0" w:line="286" w:lineRule="auto"/>
        <w:tabs>
          <w:tab w:leader="none" w:pos="196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Obligation to Defend and Indemnify</w:t>
      </w:r>
      <w:r>
        <w:rPr>
          <w:rFonts w:ascii="Arial" w:cs="Arial" w:eastAsia="Arial" w:hAnsi="Arial"/>
          <w:sz w:val="19"/>
          <w:szCs w:val="19"/>
          <w:color w:val="auto"/>
        </w:rPr>
        <w:t>. TTS shall defend Subscriber, its Affiliates, and their respective directors, officers, employees, agents, contractors, successors, and assigns (each, an “Indemnified Party’’) from and against any and all claims, demands, investigations, and causes of actions by third parties (each, a “Claim”) to the extent such Claims are based on or arise from (i) any allegations that any of the System or the Services infringes upon or misappropriates the Intellectual Property Rights of a third party, (ii) any bodily injury (including death) or damage to or loss of any tangible personal or real property caused by the actions or omissions of TTS, its Affiliates, or any of their respective directors, officers, employees, agents, contractors, successors, or assigns, (iii) any allegation that any of TTS’s personnel is an employee of Subscriber by virtue of performing any Services under this Agreement or otherwise, or (iv) any expenses, including any taxes, which were the responsibility of TTS hereunder. In addition, TTS shall indemnify and hold each Indemnified Party harmless from and against any and all damages, losses, fines, penalties, costs, and other amounts (including reasonable attorney’s fees and expenses) incurred or suffered by any such Indemnified Party in connection with any such Claims. Notwithstanding the foregoing TTS shall not be liable nor have any obligation to indemnify if such Claims were caused by Subscriber.</w:t>
      </w:r>
    </w:p>
    <w:p>
      <w:pPr>
        <w:spacing w:after="0" w:line="163" w:lineRule="exact"/>
        <w:rPr>
          <w:rFonts w:ascii="Arial" w:cs="Arial" w:eastAsia="Arial" w:hAnsi="Arial"/>
          <w:sz w:val="19"/>
          <w:szCs w:val="19"/>
          <w:color w:val="auto"/>
        </w:rPr>
      </w:pPr>
    </w:p>
    <w:p>
      <w:pPr>
        <w:ind w:left="1960" w:hanging="655"/>
        <w:spacing w:after="0" w:line="284" w:lineRule="auto"/>
        <w:tabs>
          <w:tab w:leader="none" w:pos="196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Additional Remedy</w:t>
      </w:r>
      <w:r>
        <w:rPr>
          <w:rFonts w:ascii="Arial" w:cs="Arial" w:eastAsia="Arial" w:hAnsi="Arial"/>
          <w:sz w:val="19"/>
          <w:szCs w:val="19"/>
          <w:color w:val="auto"/>
        </w:rPr>
        <w:t>. If Subscriber is enjoined or otherwise prohibited, or is reasonably likely in the opinion of Subscriber’s counsel to be enjoined or otherwise prohibited, from using any of the System, the Services or any portion thereof, based on a Claim covered by TTS’s indemnification obligations under Section 10(a) above, then TTS shall, at its sole expense and option and in addition to fulfilling its obligations under Section 10(a): (i) obtain for Subscriber the right to use the infringing portion(s) of the System or affected Services (as applicable), (ii) modify the infringing portion(s) of the System or affected Services so as to render them non-infringing without substantially diminishing or impairing their functionality, (iii) replace the infringing portion of the System or affected Services with non-infringing items of substantially similar functionality, or</w:t>
      </w:r>
    </w:p>
    <w:p>
      <w:pPr>
        <w:spacing w:after="0" w:line="2"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(d) promptly refund to Subscriber an equitable amount paid by</w:t>
      </w:r>
    </w:p>
    <w:p>
      <w:pPr>
        <w:spacing w:after="0" w:line="201" w:lineRule="exact"/>
        <w:rPr>
          <w:rFonts w:ascii="Arial" w:cs="Arial" w:eastAsia="Arial" w:hAnsi="Arial"/>
          <w:sz w:val="19"/>
          <w:szCs w:val="19"/>
          <w:color w:val="auto"/>
        </w:rPr>
      </w:pPr>
    </w:p>
    <w:p>
      <w:pPr>
        <w:ind w:left="1960" w:right="60" w:hanging="655"/>
        <w:spacing w:after="0" w:line="263" w:lineRule="auto"/>
        <w:tabs>
          <w:tab w:leader="none" w:pos="196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Subscriber’s Indemnity Obligation</w:t>
      </w:r>
      <w:r>
        <w:rPr>
          <w:rFonts w:ascii="Arial" w:cs="Arial" w:eastAsia="Arial" w:hAnsi="Arial"/>
          <w:sz w:val="22"/>
          <w:szCs w:val="22"/>
          <w:color w:val="auto"/>
        </w:rPr>
        <w:t>. Subscriber shall defend TTS, its Affiliates, and their respective directors, officers, employees, agents, contractors, successors, and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21" w:lineRule="exact"/>
        <w:rPr>
          <w:sz w:val="20"/>
          <w:szCs w:val="20"/>
          <w:color w:val="auto"/>
        </w:rPr>
      </w:pPr>
    </w:p>
    <w:p>
      <w:pPr>
        <w:ind w:left="1960" w:right="20"/>
        <w:spacing w:after="0" w:line="242" w:lineRule="auto"/>
        <w:rPr>
          <w:sz w:val="20"/>
          <w:szCs w:val="20"/>
          <w:color w:val="auto"/>
        </w:rPr>
      </w:pPr>
      <w:r>
        <w:rPr>
          <w:rFonts w:ascii="Arial" w:cs="Arial" w:eastAsia="Arial" w:hAnsi="Arial"/>
          <w:sz w:val="19"/>
          <w:szCs w:val="19"/>
          <w:color w:val="auto"/>
        </w:rPr>
        <w:t>assigns (each, an “Indemnified Party”) from and against any and all Claims to the extent such Claims are based on or arise from (i) any allegations that any of any Subscriber tools or services provided by Subscriber to TTS infringes upon or misappropriates the Intellectual Property Rights of a third party, (ii) any bodily injury (including death) or damage to or loss of any tangible personal or real property caused by the actions or omissions of Subscriber, its Affiliates or any of their respective directors, officers, employees, agents, contractors, successors, or assigns, (iii) any allegation that any of Subscriber’s personnel is an employee of TTS by virtue of receiving any Services under this Agreement or otherwise, or (iv) any expenses, including any taxes, which were the responsibility of Subscriber hereunder. In addition, Subscriber shall indemnify and hold each Indemnified Party harmless from and against any and all damages, losses, fines, penalties, costs, and other amounts (including reasonable attorney’s fees and expenses) incurred or suffered by any such Indemnified Party in connection with any such Claims. Notwithstanding the foregoing, Subscriber shall not be liable nor have any obligation to indemnify if such Claims were caused by TTS.</w:t>
      </w:r>
    </w:p>
    <w:p>
      <w:pPr>
        <w:spacing w:after="0" w:line="192"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Disclaimer of Warranties and Limitations of Liability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420" w:hanging="655"/>
        <w:spacing w:after="0" w:line="261" w:lineRule="auto"/>
        <w:tabs>
          <w:tab w:leader="none" w:pos="1960"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Disclaimer of Warranty</w:t>
      </w:r>
      <w:r>
        <w:rPr>
          <w:rFonts w:ascii="Arial" w:cs="Arial" w:eastAsia="Arial" w:hAnsi="Arial"/>
          <w:sz w:val="21"/>
          <w:szCs w:val="21"/>
          <w:color w:val="auto"/>
        </w:rPr>
        <w:t>. EXCEPT AS SPECIFICALLY PROVIDED HEREIN, THERE ARE NO, AND TTS SYSTEMS EXPRESSLY DENIES, REJECTS AND DISCLAIMS ANY, WARRANTIES, EXPRESSED OR IMPLIED, INCLUDING, BUT NOT LIMITED TO, ANY WARRANTIES OF MERCHANTABILITY OR FITNESS FOR A PARTICULAR PURPOSE OR WARRANTIES OF THE CORRECTNESS, ACCURACY, PRECISION, TIMELINESS OR COMPLETENESS OF ANY INFORMATION OR SERVICES PROVIDED THROUGH THE TTS SYSTEM.</w:t>
      </w:r>
    </w:p>
    <w:p>
      <w:pPr>
        <w:spacing w:after="0" w:line="180" w:lineRule="exact"/>
        <w:rPr>
          <w:rFonts w:ascii="Arial" w:cs="Arial" w:eastAsia="Arial" w:hAnsi="Arial"/>
          <w:sz w:val="21"/>
          <w:szCs w:val="21"/>
          <w:color w:val="auto"/>
        </w:rPr>
      </w:pPr>
    </w:p>
    <w:p>
      <w:pPr>
        <w:ind w:left="1960" w:right="60" w:hanging="655"/>
        <w:spacing w:after="0" w:line="257" w:lineRule="auto"/>
        <w:tabs>
          <w:tab w:leader="none" w:pos="1960"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TTS SYSTEMS, ITS AFFILIATES, EMPLOYEES, OFFICERS AND AGENTS SHALL NOT BE LIABLE TO SUBSCRIBER OR TO ANY THIRD PARTY FOR ANY LOSS OR DAMAGE, WHETHER DIRECT OR INDIRECT, RESULTING FROM DELAYS OR INTERRUPTIONS OF SERVICE DUE TO MECHANICAL, ELECTRICAL OR WIRE DEFECTS OR DIFFICULTIES, STORMS, STRIKES, WALK-OUTS, EQUIPMENT OR SYSTEMS FAILURES, OR OTHER CAUSES OVER WHICH TTS SYSTEMS, ITS AFFILIATES, EMPLOYEES, OFFICERS, OR AGENTS AGAINST WHOM LIABILITY IS SOUGHT, HAVE NO REASONABLE CONTROL, OR FOR LOSS OR DAMAGE, DIRECT OR INDIRECT, RESULTING FROM INACCURACIES, ERRONEOUS STATEMENTS, ERRORS OF FACT, OMISSIONS, OR ERRORS IN THE TRANSMISSION OR DELIVERY OF THE TTS SYSTEM, OR ANY DATA PROVIDED AS A PART OF THE TTS SYSTEM PURSUANT TO THIS AGREEMENT. IN ALL OTHER CASES, THE LIABILITY OF TTS SYSTEMS SHALL BE LIMITED TO, AND SUBSCRIBER AGREES NOT TO MAKE ANY CLAIM EXCEEDING, TTS SYSTEMS’ ACTUAL CHARGE TO SUBSCRIBER FOR THE PARTICULAR TRANSACTION OR TRANSACTIONS FOR WHICH ANY CLAIM OF DAMAGE IS BEING MADE. IN NO EVENT, SHALL EITHER PARTY SHALL BE LIABLE TO THE OTHER PARTY FOR ANY SPECIAL, INDIRECT, INCIDENTAL, CONSEQUENTIAL, EXEMPLARY, OR PUNITIVE DAMAGES (INCLUDING, WITHOUT LIMITATION, LOST PROFITS, LOST</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8" w:name="page119"/>
    <w:bookmarkEnd w:id="118"/>
    <w:p>
      <w:pPr>
        <w:ind w:left="10300"/>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44" w:lineRule="exact"/>
        <w:rPr>
          <w:sz w:val="20"/>
          <w:szCs w:val="20"/>
          <w:color w:val="auto"/>
        </w:rPr>
      </w:pPr>
    </w:p>
    <w:p>
      <w:pPr>
        <w:ind w:left="1960" w:right="320"/>
        <w:spacing w:after="0" w:line="223" w:lineRule="auto"/>
        <w:rPr>
          <w:sz w:val="20"/>
          <w:szCs w:val="20"/>
          <w:color w:val="auto"/>
        </w:rPr>
      </w:pPr>
      <w:r>
        <w:rPr>
          <w:rFonts w:ascii="Arial" w:cs="Arial" w:eastAsia="Arial" w:hAnsi="Arial"/>
          <w:sz w:val="22"/>
          <w:szCs w:val="22"/>
          <w:color w:val="auto"/>
        </w:rPr>
        <w:t>SAVINGS, OR LOSS OF GOOD WILL) ARISING UNDER OR IN CONNECTION WITH A BREACH OR ALLEGED BREACH OF THIS AGREEMENT, EVEN IF SUCH OTHER PARTY HAS BEEN ADVISED OF THE POSSIBILITY OF SUCH DAMAGES.</w:t>
      </w:r>
    </w:p>
    <w:p>
      <w:pPr>
        <w:spacing w:after="0" w:line="186" w:lineRule="exact"/>
        <w:rPr>
          <w:sz w:val="20"/>
          <w:szCs w:val="20"/>
          <w:color w:val="auto"/>
        </w:rPr>
      </w:pPr>
    </w:p>
    <w:p>
      <w:pPr>
        <w:ind w:left="1960" w:right="140" w:hanging="655"/>
        <w:spacing w:after="0" w:line="259" w:lineRule="auto"/>
        <w:tabs>
          <w:tab w:leader="none" w:pos="1960"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Time for Making Claims</w:t>
      </w:r>
      <w:r>
        <w:rPr>
          <w:rFonts w:ascii="Arial" w:cs="Arial" w:eastAsia="Arial" w:hAnsi="Arial"/>
          <w:sz w:val="21"/>
          <w:szCs w:val="21"/>
          <w:color w:val="auto"/>
        </w:rPr>
        <w:t>. ANY SUIT OR ACTION BY SUBSCRIBER AGAINST TTS SYSTEMS, IT AFFILIATES, OFFICERS, DIRECTORS, AGENTS, EMPLOYEES, SUCCESSORS OR ASSIGNS, BASED UPON ANY ACT OR OMISSION ARISING OUT OF OR RELATING TO THIS AGREEMENT, OR SERVICES PERFORMED HEREUNDER, OR ANY ALLEGED BREACH THEREOF, SHALL BE COMMENCED WITHIN ONE (1) YEAR OF THE FIRST OCCURRENCE GIVING RISE TO SUCH CLAIM OR BE FOREVER BARRED. THIS PROVISION DOES NOT MODIFY OR OTHERWISE AFFECT THE LIMITATION OF TTS SYSTEMS’ LIABILITY SET FORTH IN PARAGRAPH 11(b) OR ELSEWHERE IN THIS AGREEMENT.</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Use of the TTS System</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hanging="655"/>
        <w:spacing w:after="0" w:line="286" w:lineRule="auto"/>
        <w:tabs>
          <w:tab w:leader="none" w:pos="19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Subscriber acknowledges that the software systems utilized by TTS hereunder, including all enhancements thereto, and all screens and formats used in connection therewith, are the exclusive proprietary property of TTS, and Subscriber shall not publish, disclose, display, provide access to or otherwise make available any of the TTS Systems’ software or products thereof, or any screens, formats, reports or printouts used, provided, produced or supplied from or in connection therewith, to any person or entity other than an employees or consultants or vendors of Subscriber without the prior written consent of, and on terms acceptable to, TTS, which consent shall not be unreasonably withheld; provided, however, that Subscriber may disclose to a governmental or regulatory agency or to customers of Subscriber any information expressly prepared and acknowledged in writing by TTS as having been prepared for disclosure to such governmental or regulatory agency or to such customers. Neither party shall disclose Subscriber’s use of the TTS System in any advertising or promotional materials without the prior written consent to such use, and approval of such materials, by the other. For so long as TTS operates the TTS System for Subscriber, all methods of data access to, or interactive or batch file transfer of, data on TTS System’s mainframe computer must be authorized by TTS, and any unauthorized interactive or batch file transfer of data on TTS System’s mainframe computer via a program automated workstation or computer is explicitly prohibited.</w:t>
      </w:r>
    </w:p>
    <w:p>
      <w:pPr>
        <w:spacing w:after="0" w:line="159" w:lineRule="exact"/>
        <w:rPr>
          <w:rFonts w:ascii="Arial" w:cs="Arial" w:eastAsia="Arial" w:hAnsi="Arial"/>
          <w:sz w:val="19"/>
          <w:szCs w:val="19"/>
          <w:color w:val="auto"/>
        </w:rPr>
      </w:pPr>
    </w:p>
    <w:p>
      <w:pPr>
        <w:ind w:left="1960" w:right="320" w:hanging="655"/>
        <w:spacing w:after="0" w:line="302" w:lineRule="auto"/>
        <w:tabs>
          <w:tab w:leader="none" w:pos="19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Subscriber agrees that it will use the services provided hereunder only in connection with its own or its Affiliates brokerage business and it will not, without the express written permission of TTS, sell, lease, or otherwise provide or make available the TTS System to any third party. For purposes of the foregoing, Subscriber’s “own brokerage business” shall include Subscriber’s bona fide correspondents.</w:t>
      </w:r>
    </w:p>
    <w:p>
      <w:pPr>
        <w:spacing w:after="0" w:line="142" w:lineRule="exact"/>
        <w:rPr>
          <w:rFonts w:ascii="Arial" w:cs="Arial" w:eastAsia="Arial" w:hAnsi="Arial"/>
          <w:sz w:val="19"/>
          <w:szCs w:val="19"/>
          <w:color w:val="auto"/>
        </w:rPr>
      </w:pPr>
    </w:p>
    <w:p>
      <w:pPr>
        <w:ind w:left="1960" w:hanging="655"/>
        <w:spacing w:after="0" w:line="312" w:lineRule="auto"/>
        <w:tabs>
          <w:tab w:leader="none" w:pos="19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obligations of this Paragraph 12 shall survive termination of this Agreement. Subscriber understands that the unauthorized publication or disclosure of any of TTS’s software or copies thereof, or the unauthorized use of the TTS System would cause irreparable harm to TTS for which there is no adequate remedy at law.</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19" w:lineRule="exact"/>
        <w:rPr>
          <w:sz w:val="20"/>
          <w:szCs w:val="20"/>
          <w:color w:val="auto"/>
        </w:rPr>
      </w:pPr>
    </w:p>
    <w:p>
      <w:pPr>
        <w:ind w:left="1960"/>
        <w:spacing w:after="0" w:line="222" w:lineRule="auto"/>
        <w:rPr>
          <w:sz w:val="20"/>
          <w:szCs w:val="20"/>
          <w:color w:val="auto"/>
        </w:rPr>
      </w:pPr>
      <w:r>
        <w:rPr>
          <w:rFonts w:ascii="Arial" w:cs="Arial" w:eastAsia="Arial" w:hAnsi="Arial"/>
          <w:sz w:val="21"/>
          <w:szCs w:val="21"/>
          <w:color w:val="auto"/>
        </w:rPr>
        <w:t>Subscriber therefore agrees that in the event of such unauthorized disclosure or use, TTS may, at its discretion and at Subscriber’s expense, terminate this Agreement, obtain immediate injunctive relief in a court of competent jurisdiction, or take such other steps as it deems necessary to protect its rights. If TTS, in its reasonable, good faith judgment, determines that there is a material risk of such unauthorized disclosure or use, it may demand immediate assurances, satisfactory to TTS, that there will be no such unauthorized disclosure or use. In the absence of such assurance, TTS may immediately terminate this Agreement and take such other steps as it deems necessary. The rights of TTS hereunder are in addition to any other remedies provided by law.</w:t>
      </w:r>
    </w:p>
    <w:p>
      <w:pPr>
        <w:spacing w:after="0" w:line="185" w:lineRule="exact"/>
        <w:rPr>
          <w:sz w:val="20"/>
          <w:szCs w:val="20"/>
          <w:color w:val="auto"/>
        </w:rPr>
      </w:pPr>
    </w:p>
    <w:p>
      <w:pPr>
        <w:jc w:val="both"/>
        <w:ind w:left="1300" w:right="200" w:hanging="644"/>
        <w:spacing w:after="0" w:line="25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The parties shall initially attempt to resolve informally any dispute arising out of or relating to this Agreement, including with respect to the interpretation of any provision of this Agreement and with respect to the performance by TTS hereunder, in accordance with this Section.</w:t>
      </w:r>
    </w:p>
    <w:p>
      <w:pPr>
        <w:spacing w:after="0" w:line="185" w:lineRule="exact"/>
        <w:rPr>
          <w:rFonts w:ascii="Arial" w:cs="Arial" w:eastAsia="Arial" w:hAnsi="Arial"/>
          <w:sz w:val="22"/>
          <w:szCs w:val="22"/>
          <w:color w:val="auto"/>
        </w:rPr>
      </w:pPr>
    </w:p>
    <w:p>
      <w:pPr>
        <w:ind w:left="1960" w:right="40" w:hanging="655"/>
        <w:spacing w:after="0" w:line="265" w:lineRule="auto"/>
        <w:tabs>
          <w:tab w:leader="none" w:pos="1960" w:val="left"/>
        </w:tabs>
        <w:numPr>
          <w:ilvl w:val="1"/>
          <w:numId w:val="84"/>
        </w:numPr>
        <w:rPr>
          <w:rFonts w:ascii="Arial" w:cs="Arial" w:eastAsia="Arial" w:hAnsi="Arial"/>
          <w:sz w:val="21"/>
          <w:szCs w:val="21"/>
          <w:color w:val="auto"/>
        </w:rPr>
      </w:pPr>
      <w:r>
        <w:rPr>
          <w:rFonts w:ascii="Arial" w:cs="Arial" w:eastAsia="Arial" w:hAnsi="Arial"/>
          <w:sz w:val="21"/>
          <w:szCs w:val="21"/>
          <w:color w:val="auto"/>
        </w:rPr>
        <w:t>Upon the written notice by a party to the other party of a dispute hereunder (“Dispute Date”), each party shall appoint a designated representative with authority to resolve the dispute (who, if the parties so mutually agree, does not devote substantially all of his or her time to performance under this Agreement), whose task it will be to meet for the purpose of endeavoring to resolve such dispute.</w:t>
      </w:r>
    </w:p>
    <w:p>
      <w:pPr>
        <w:spacing w:after="0" w:line="175" w:lineRule="exact"/>
        <w:rPr>
          <w:rFonts w:ascii="Arial" w:cs="Arial" w:eastAsia="Arial" w:hAnsi="Arial"/>
          <w:sz w:val="21"/>
          <w:szCs w:val="21"/>
          <w:color w:val="auto"/>
        </w:rPr>
      </w:pPr>
    </w:p>
    <w:p>
      <w:pPr>
        <w:ind w:left="2600" w:right="40" w:hanging="647"/>
        <w:spacing w:after="0" w:line="290" w:lineRule="auto"/>
        <w:tabs>
          <w:tab w:leader="none" w:pos="2600" w:val="left"/>
        </w:tabs>
        <w:numPr>
          <w:ilvl w:val="2"/>
          <w:numId w:val="84"/>
        </w:numPr>
        <w:rPr>
          <w:rFonts w:ascii="Arial" w:cs="Arial" w:eastAsia="Arial" w:hAnsi="Arial"/>
          <w:sz w:val="19"/>
          <w:szCs w:val="19"/>
          <w:color w:val="auto"/>
        </w:rPr>
      </w:pPr>
      <w:r>
        <w:rPr>
          <w:rFonts w:ascii="Arial" w:cs="Arial" w:eastAsia="Arial" w:hAnsi="Arial"/>
          <w:sz w:val="19"/>
          <w:szCs w:val="19"/>
          <w:color w:val="auto"/>
        </w:rPr>
        <w:t>The designated representatives shall meet as often as the parties reasonably deem necessary in order to gather and furnish to the other party all information with respect to the dispute which information the parties believe to be appropriate and germane in connection with its resolution. The representatives shall discuss the problem and attempt to resolve the dispute without the necessity of any formal proceeding. The specific format for the discussions shall be left to the discretion of the designated representatives. During the course of discussion, all reasonable requests made by a party to the other party for non-legally privileged information reasonably related to this Agreement shall be honored in order that a party may be fully advised of the other party’s position.</w:t>
      </w:r>
    </w:p>
    <w:p>
      <w:pPr>
        <w:spacing w:after="0" w:line="156" w:lineRule="exact"/>
        <w:rPr>
          <w:rFonts w:ascii="Arial" w:cs="Arial" w:eastAsia="Arial" w:hAnsi="Arial"/>
          <w:sz w:val="19"/>
          <w:szCs w:val="19"/>
          <w:color w:val="auto"/>
        </w:rPr>
      </w:pPr>
    </w:p>
    <w:p>
      <w:pPr>
        <w:ind w:left="2600" w:right="280" w:hanging="647"/>
        <w:spacing w:after="0" w:line="253" w:lineRule="auto"/>
        <w:tabs>
          <w:tab w:leader="none" w:pos="2600" w:val="left"/>
        </w:tabs>
        <w:numPr>
          <w:ilvl w:val="2"/>
          <w:numId w:val="84"/>
        </w:numPr>
        <w:rPr>
          <w:rFonts w:ascii="Arial" w:cs="Arial" w:eastAsia="Arial" w:hAnsi="Arial"/>
          <w:sz w:val="22"/>
          <w:szCs w:val="22"/>
          <w:color w:val="auto"/>
        </w:rPr>
      </w:pPr>
      <w:r>
        <w:rPr>
          <w:rFonts w:ascii="Arial" w:cs="Arial" w:eastAsia="Arial" w:hAnsi="Arial"/>
          <w:sz w:val="22"/>
          <w:szCs w:val="22"/>
          <w:color w:val="auto"/>
        </w:rPr>
        <w:t>If the parties are unable to resolve a dispute informally within sixty (60) days of the applicable Dispute Date, either party may commence any litigation in accordance with the terms of paragraph 14(a).</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Applicable Law, Venue and Severability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20" w:hanging="655"/>
        <w:spacing w:after="0" w:line="302" w:lineRule="auto"/>
        <w:tabs>
          <w:tab w:leader="none" w:pos="19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This Agreement shall be construed and enforced in accordance with the law of the State of New York without giving effect to any choice of law or conflict of law provisions. Any disputes arising under this Agreement will be brought and heard in the appropriate Federal or state court located in New York County in the State of New York and each of the parties hereby irrevocably consents to the jurisdiction of such courts.</w:t>
      </w:r>
    </w:p>
    <w:p>
      <w:pPr>
        <w:spacing w:after="0" w:line="142" w:lineRule="exact"/>
        <w:rPr>
          <w:rFonts w:ascii="Arial" w:cs="Arial" w:eastAsia="Arial" w:hAnsi="Arial"/>
          <w:sz w:val="19"/>
          <w:szCs w:val="19"/>
          <w:color w:val="auto"/>
        </w:rPr>
      </w:pPr>
    </w:p>
    <w:p>
      <w:pPr>
        <w:ind w:left="1300" w:right="240" w:hanging="644"/>
        <w:spacing w:after="0" w:line="26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 the event that any court having competent jurisdiction over the interpretation of this Agreement shall determine that one or more of the provisions contained in this Agreement</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21" w:lineRule="exact"/>
        <w:rPr>
          <w:sz w:val="20"/>
          <w:szCs w:val="20"/>
          <w:color w:val="auto"/>
        </w:rPr>
      </w:pPr>
    </w:p>
    <w:p>
      <w:pPr>
        <w:ind w:left="1300" w:right="60"/>
        <w:spacing w:after="0" w:line="214" w:lineRule="auto"/>
        <w:rPr>
          <w:sz w:val="20"/>
          <w:szCs w:val="20"/>
          <w:color w:val="auto"/>
        </w:rPr>
      </w:pPr>
      <w:r>
        <w:rPr>
          <w:rFonts w:ascii="Arial" w:cs="Arial" w:eastAsia="Arial" w:hAnsi="Arial"/>
          <w:sz w:val="22"/>
          <w:szCs w:val="22"/>
          <w:u w:val="single" w:color="auto"/>
          <w:color w:val="auto"/>
        </w:rPr>
        <w:t>shall be unenforceable in any respect, then such provision shall be deemed limited and restricted to the extent that such court shall deem it to be enforceable, and, as so limited or restricted, shall remain in full force and effect</w:t>
      </w:r>
      <w:r>
        <w:rPr>
          <w:rFonts w:ascii="Arial" w:cs="Arial" w:eastAsia="Arial" w:hAnsi="Arial"/>
          <w:sz w:val="22"/>
          <w:szCs w:val="22"/>
          <w:color w:val="auto"/>
        </w:rPr>
        <w:t>. In the event that any such provision or provisions shall be deemed wholly unenforceable, such provision shall be deemed deleted from this Agreement, and the remaining provisions shall remain in full force and effect. Any such judicial interpretation requiring limitation or deletion of a provision shall be valid only in the jurisdiction in which such interpretation is made.</w:t>
      </w:r>
    </w:p>
    <w:p>
      <w:pPr>
        <w:spacing w:after="0" w:line="186"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right="320" w:hanging="655"/>
        <w:spacing w:after="0" w:line="253" w:lineRule="auto"/>
        <w:tabs>
          <w:tab w:leader="none" w:pos="1960"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fact that one (1) party excuses or overlooks a breach of any provision of this Agreement by the other party does not mean that that party excuses any other breach or waives its right to remedy any other breach by the other party.</w:t>
      </w:r>
    </w:p>
    <w:p>
      <w:pPr>
        <w:spacing w:after="0" w:line="185" w:lineRule="exact"/>
        <w:rPr>
          <w:rFonts w:ascii="Arial" w:cs="Arial" w:eastAsia="Arial" w:hAnsi="Arial"/>
          <w:sz w:val="22"/>
          <w:szCs w:val="22"/>
          <w:color w:val="auto"/>
        </w:rPr>
      </w:pPr>
    </w:p>
    <w:p>
      <w:pPr>
        <w:ind w:left="1960" w:right="20" w:hanging="655"/>
        <w:spacing w:after="0" w:line="287" w:lineRule="auto"/>
        <w:tabs>
          <w:tab w:leader="none" w:pos="19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TTS shall not assign this Agreement (by operation of law or otherwise), or any of its rights or obligations hereunder, without the prior written consent of Subscriber, provided that, notwithstanding the foregoing, upon prior written notice, TTS may assign this Agreement to an Affiliate. In addition, TTS shall not delegate or subcontract any of its rights or obligations hereunder to a third party without the prior written consent of Subscriber. In the event such delegation or subcontracting is consented to by Subscriber, the third party to which such rights or obligations are delegated or subcontracted shall be bound by the terms and conditions of this Agreement applicable to TTS (including, but not limited to, the terms of Section 9, Confidentiality, hereof), and any failure by such third party to comply with the terms hereof shall constitute a breach of this Agreement by TTS. TTS shall also be solely responsible for all payments due to such third party. Any assignment, transfer, delegation or subcontracting of rights or obligations hereunder in contravention of this Section 16(b) shall be null and void. All terms and conditions of this Agreement shall be binding upon and shall inure to the benefit of and be enforceable by the parties hereto and their respective successors and permitted assigns.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960" w:right="220" w:hanging="655"/>
        <w:spacing w:after="0" w:line="312" w:lineRule="auto"/>
        <w:tabs>
          <w:tab w:leader="none" w:pos="19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 notice required to be given under this Agreement shall be in writing and shall be deemed to have been given if served personally, or if sent by certified mail, postage prepaid, to the parties at the address shown below, or such other address as either party may hereafter designate by notice to the other.</w:t>
      </w:r>
    </w:p>
    <w:p>
      <w:pPr>
        <w:spacing w:after="0" w:line="390" w:lineRule="exact"/>
        <w:rPr>
          <w:rFonts w:ascii="Arial" w:cs="Arial" w:eastAsia="Arial" w:hAnsi="Arial"/>
          <w:sz w:val="19"/>
          <w:szCs w:val="19"/>
          <w:color w:val="auto"/>
        </w:rPr>
      </w:pPr>
    </w:p>
    <w:p>
      <w:pPr>
        <w:ind w:left="1960" w:right="5320"/>
        <w:spacing w:after="0" w:line="263" w:lineRule="auto"/>
        <w:rPr>
          <w:rFonts w:ascii="Arial" w:cs="Arial" w:eastAsia="Arial" w:hAnsi="Arial"/>
          <w:sz w:val="19"/>
          <w:szCs w:val="19"/>
          <w:color w:val="auto"/>
        </w:rPr>
      </w:pPr>
      <w:r>
        <w:rPr>
          <w:rFonts w:ascii="Arial" w:cs="Arial" w:eastAsia="Arial" w:hAnsi="Arial"/>
          <w:sz w:val="22"/>
          <w:szCs w:val="22"/>
          <w:color w:val="auto"/>
        </w:rPr>
        <w:t>To TTS, a division of Thomson Financial, LLC: Thomson Transaction Services</w:t>
      </w:r>
    </w:p>
    <w:p>
      <w:pPr>
        <w:spacing w:after="0" w:line="174" w:lineRule="exact"/>
        <w:rPr>
          <w:rFonts w:ascii="Arial" w:cs="Arial" w:eastAsia="Arial" w:hAnsi="Arial"/>
          <w:sz w:val="19"/>
          <w:szCs w:val="19"/>
          <w:color w:val="auto"/>
        </w:rPr>
      </w:pPr>
    </w:p>
    <w:p>
      <w:pPr>
        <w:ind w:left="1960" w:right="6920"/>
        <w:spacing w:after="0" w:line="519" w:lineRule="auto"/>
        <w:rPr>
          <w:rFonts w:ascii="Arial" w:cs="Arial" w:eastAsia="Arial" w:hAnsi="Arial"/>
          <w:sz w:val="19"/>
          <w:szCs w:val="19"/>
          <w:color w:val="auto"/>
        </w:rPr>
      </w:pPr>
      <w:r>
        <w:rPr>
          <w:rFonts w:ascii="Arial" w:cs="Arial" w:eastAsia="Arial" w:hAnsi="Arial"/>
          <w:sz w:val="19"/>
          <w:szCs w:val="19"/>
          <w:color w:val="auto"/>
        </w:rPr>
        <w:t>350 North Sunny Slope Road Brookfield, Wisconsin 53005 Attn: Mr. Jeffrey D. Vorpahl To Subscriber:</w:t>
      </w:r>
    </w:p>
    <w:p>
      <w:pPr>
        <w:ind w:left="1960"/>
        <w:spacing w:after="0"/>
        <w:rPr>
          <w:rFonts w:ascii="Arial" w:cs="Arial" w:eastAsia="Arial" w:hAnsi="Arial"/>
          <w:sz w:val="19"/>
          <w:szCs w:val="19"/>
          <w:color w:val="auto"/>
        </w:rPr>
      </w:pPr>
      <w:r>
        <w:rPr>
          <w:rFonts w:ascii="Arial" w:cs="Arial" w:eastAsia="Arial" w:hAnsi="Arial"/>
          <w:sz w:val="22"/>
          <w:szCs w:val="22"/>
          <w:color w:val="auto"/>
        </w:rPr>
        <w:t>LPL Financial Corporation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One Beacon Street, 22nd Floor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Boston, Massachusetts 02108</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Stephanie L. Brown</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Managing Director General Counsel</w:t>
      </w:r>
    </w:p>
    <w:p>
      <w:pPr>
        <w:spacing w:after="0" w:line="220"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Contact information for the Subscriber’s Chief Security Officer is set forth below for the purposes of Section</w:t>
      </w:r>
    </w:p>
    <w:p>
      <w:pPr>
        <w:spacing w:after="0" w:line="56"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9(e) of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4"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Marc Loewenthal</w:t>
      </w:r>
    </w:p>
    <w:p>
      <w:pPr>
        <w:spacing w:after="0" w:line="219" w:lineRule="exact"/>
        <w:rPr>
          <w:rFonts w:ascii="Arial" w:cs="Arial" w:eastAsia="Arial" w:hAnsi="Arial"/>
          <w:sz w:val="19"/>
          <w:szCs w:val="19"/>
          <w:color w:val="auto"/>
        </w:rPr>
      </w:pPr>
    </w:p>
    <w:p>
      <w:pPr>
        <w:ind w:left="1960" w:right="7060"/>
        <w:spacing w:after="0" w:line="519" w:lineRule="auto"/>
        <w:rPr>
          <w:rFonts w:ascii="Arial" w:cs="Arial" w:eastAsia="Arial" w:hAnsi="Arial"/>
          <w:sz w:val="19"/>
          <w:szCs w:val="19"/>
          <w:color w:val="auto"/>
        </w:rPr>
      </w:pPr>
      <w:r>
        <w:rPr>
          <w:rFonts w:ascii="Arial" w:cs="Arial" w:eastAsia="Arial" w:hAnsi="Arial"/>
          <w:sz w:val="19"/>
          <w:szCs w:val="19"/>
          <w:color w:val="auto"/>
        </w:rPr>
        <w:t xml:space="preserve">SVP, Chief Security Officer 9785 Towne Centre Drive San Diego, CA 92121 </w:t>
      </w:r>
      <w:r>
        <w:rPr>
          <w:rFonts w:ascii="Arial" w:cs="Arial" w:eastAsia="Arial" w:hAnsi="Arial"/>
          <w:sz w:val="19"/>
          <w:szCs w:val="19"/>
          <w:u w:val="single" w:color="auto"/>
          <w:color w:val="0563C1"/>
        </w:rPr>
        <w:t xml:space="preserve">marc.loewenthal@Jpl.com </w:t>
      </w:r>
      <w:r>
        <w:rPr>
          <w:rFonts w:ascii="Arial" w:cs="Arial" w:eastAsia="Arial" w:hAnsi="Arial"/>
          <w:sz w:val="19"/>
          <w:szCs w:val="19"/>
          <w:color w:val="000000"/>
        </w:rPr>
        <w:t>858-450-9606</w:t>
      </w:r>
    </w:p>
    <w:p>
      <w:pPr>
        <w:spacing w:after="0" w:line="1" w:lineRule="exact"/>
        <w:rPr>
          <w:rFonts w:ascii="Arial" w:cs="Arial" w:eastAsia="Arial" w:hAnsi="Arial"/>
          <w:sz w:val="19"/>
          <w:szCs w:val="19"/>
          <w:color w:val="auto"/>
        </w:rPr>
      </w:pPr>
    </w:p>
    <w:p>
      <w:pPr>
        <w:ind w:left="1960" w:right="960" w:hanging="655"/>
        <w:spacing w:after="0" w:line="263"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headings in this Agreement are for convenience only and shall not be used to alter or limit the interpretation of any provision hereof.</w:t>
      </w:r>
    </w:p>
    <w:p>
      <w:pPr>
        <w:spacing w:after="0" w:line="174" w:lineRule="exact"/>
        <w:rPr>
          <w:rFonts w:ascii="Arial" w:cs="Arial" w:eastAsia="Arial" w:hAnsi="Arial"/>
          <w:sz w:val="22"/>
          <w:szCs w:val="22"/>
          <w:color w:val="auto"/>
        </w:rPr>
      </w:pPr>
    </w:p>
    <w:p>
      <w:pPr>
        <w:ind w:left="1960" w:right="60" w:hanging="655"/>
        <w:spacing w:after="0" w:line="250"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This Agreement, together with all Schedules, Exhibits and amendments hereto, constitute the entire agreement of the parties and supersede all prior discussion and correspondence between them with respect to the subject matter hereof. No modification of this Agreement shall be effective unless the same is in writing and signed by both parties.</w:t>
      </w:r>
    </w:p>
    <w:p>
      <w:pPr>
        <w:spacing w:after="0" w:line="188" w:lineRule="exact"/>
        <w:rPr>
          <w:rFonts w:ascii="Arial" w:cs="Arial" w:eastAsia="Arial" w:hAnsi="Arial"/>
          <w:sz w:val="22"/>
          <w:szCs w:val="22"/>
          <w:color w:val="auto"/>
        </w:rPr>
      </w:pPr>
    </w:p>
    <w:p>
      <w:pPr>
        <w:ind w:left="1960" w:right="60" w:hanging="655"/>
        <w:spacing w:after="0" w:line="263"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This Agreement, all schedules attached hereto, and all terms and conditions herein, are confidential and shall not be disclosed by Subscriber except as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we have set our hand as of the date first noted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THOMSON TRANSACTION SERVICES, a division of Thomson Financial LLC, a Thomson Reuters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gridSpan w:val="7"/>
          </w:tcPr>
          <w:p>
            <w:pPr>
              <w:spacing w:after="0"/>
              <w:rPr>
                <w:sz w:val="20"/>
                <w:szCs w:val="20"/>
                <w:color w:val="auto"/>
              </w:rPr>
            </w:pPr>
            <w:r>
              <w:rPr>
                <w:rFonts w:ascii="Arial" w:cs="Arial" w:eastAsia="Arial" w:hAnsi="Arial"/>
                <w:sz w:val="22"/>
                <w:szCs w:val="22"/>
                <w:color w:val="auto"/>
              </w:rPr>
              <w:t>By: /s/ Gordon J. Fox</w:t>
            </w:r>
          </w:p>
        </w:tc>
        <w:tc>
          <w:tcPr>
            <w:tcW w:w="1200" w:type="dxa"/>
            <w:vAlign w:val="bottom"/>
            <w:gridSpan w:val="4"/>
          </w:tcPr>
          <w:p>
            <w:pPr>
              <w:ind w:left="120"/>
              <w:spacing w:after="0"/>
              <w:rPr>
                <w:sz w:val="20"/>
                <w:szCs w:val="20"/>
                <w:color w:val="auto"/>
              </w:rPr>
            </w:pPr>
            <w:r>
              <w:rPr>
                <w:rFonts w:ascii="Arial" w:cs="Arial" w:eastAsia="Arial" w:hAnsi="Arial"/>
                <w:sz w:val="22"/>
                <w:szCs w:val="22"/>
                <w:color w:val="auto"/>
                <w:w w:val="88"/>
              </w:rPr>
              <w:t>Date: 1/5/09</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453"/>
        </w:trPr>
        <w:tc>
          <w:tcPr>
            <w:tcW w:w="2180" w:type="dxa"/>
            <w:vAlign w:val="bottom"/>
            <w:gridSpan w:val="7"/>
          </w:tcPr>
          <w:p>
            <w:pPr>
              <w:spacing w:after="0"/>
              <w:rPr>
                <w:sz w:val="20"/>
                <w:szCs w:val="20"/>
                <w:color w:val="auto"/>
              </w:rPr>
            </w:pPr>
            <w:r>
              <w:rPr>
                <w:rFonts w:ascii="Arial" w:cs="Arial" w:eastAsia="Arial" w:hAnsi="Arial"/>
                <w:sz w:val="22"/>
                <w:szCs w:val="22"/>
                <w:color w:val="auto"/>
                <w:w w:val="92"/>
              </w:rPr>
              <w:t>Title: Managing Director</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180" w:type="dxa"/>
            <w:vAlign w:val="bottom"/>
            <w:gridSpan w:val="7"/>
          </w:tcPr>
          <w:p>
            <w:pPr>
              <w:spacing w:after="0"/>
              <w:rPr>
                <w:sz w:val="20"/>
                <w:szCs w:val="20"/>
                <w:color w:val="auto"/>
              </w:rPr>
            </w:pPr>
            <w:r>
              <w:rPr>
                <w:rFonts w:ascii="Arial" w:cs="Arial" w:eastAsia="Arial" w:hAnsi="Arial"/>
                <w:sz w:val="22"/>
                <w:szCs w:val="22"/>
                <w:color w:val="auto"/>
              </w:rPr>
              <w:t>Name: Gordon J. Fox</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6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25"/>
        </w:trPr>
        <w:tc>
          <w:tcPr>
            <w:tcW w:w="2180" w:type="dxa"/>
            <w:vAlign w:val="bottom"/>
            <w:gridSpan w:val="7"/>
          </w:tcPr>
          <w:p>
            <w:pPr>
              <w:spacing w:after="0"/>
              <w:rPr>
                <w:sz w:val="20"/>
                <w:szCs w:val="20"/>
                <w:color w:val="auto"/>
              </w:rPr>
            </w:pPr>
            <w:r>
              <w:rPr>
                <w:rFonts w:ascii="Arial" w:cs="Arial" w:eastAsia="Arial" w:hAnsi="Arial"/>
                <w:sz w:val="22"/>
                <w:szCs w:val="22"/>
                <w:color w:val="auto"/>
              </w:rPr>
              <w:t>By: /s/ Jeffrey Vorpahl</w:t>
            </w:r>
          </w:p>
        </w:tc>
        <w:tc>
          <w:tcPr>
            <w:tcW w:w="1200" w:type="dxa"/>
            <w:vAlign w:val="bottom"/>
            <w:gridSpan w:val="4"/>
          </w:tcPr>
          <w:p>
            <w:pPr>
              <w:spacing w:after="0"/>
              <w:rPr>
                <w:sz w:val="20"/>
                <w:szCs w:val="20"/>
                <w:color w:val="auto"/>
              </w:rPr>
            </w:pPr>
            <w:r>
              <w:rPr>
                <w:rFonts w:ascii="Arial" w:cs="Arial" w:eastAsia="Arial" w:hAnsi="Arial"/>
                <w:sz w:val="22"/>
                <w:szCs w:val="22"/>
                <w:color w:val="auto"/>
                <w:w w:val="98"/>
              </w:rPr>
              <w:t>Date: 1/5/09</w:t>
            </w:r>
          </w:p>
        </w:tc>
      </w:tr>
      <w:tr>
        <w:trPr>
          <w:trHeight w:val="20"/>
        </w:trPr>
        <w:tc>
          <w:tcPr>
            <w:tcW w:w="3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180" w:type="dxa"/>
            <w:vAlign w:val="bottom"/>
            <w:gridSpan w:val="7"/>
          </w:tcPr>
          <w:p>
            <w:pPr>
              <w:spacing w:after="0"/>
              <w:rPr>
                <w:sz w:val="20"/>
                <w:szCs w:val="20"/>
                <w:color w:val="auto"/>
              </w:rPr>
            </w:pPr>
            <w:r>
              <w:rPr>
                <w:rFonts w:ascii="Arial" w:cs="Arial" w:eastAsia="Arial" w:hAnsi="Arial"/>
                <w:sz w:val="22"/>
                <w:szCs w:val="22"/>
                <w:color w:val="auto"/>
              </w:rPr>
              <w:t>Title: CFO</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180" w:type="dxa"/>
            <w:vAlign w:val="bottom"/>
            <w:gridSpan w:val="7"/>
          </w:tcPr>
          <w:p>
            <w:pPr>
              <w:spacing w:after="0"/>
              <w:rPr>
                <w:sz w:val="20"/>
                <w:szCs w:val="20"/>
                <w:color w:val="auto"/>
              </w:rPr>
            </w:pPr>
            <w:r>
              <w:rPr>
                <w:rFonts w:ascii="Arial" w:cs="Arial" w:eastAsia="Arial" w:hAnsi="Arial"/>
                <w:sz w:val="22"/>
                <w:szCs w:val="22"/>
                <w:color w:val="auto"/>
                <w:w w:val="98"/>
              </w:rPr>
              <w:t>Name: Jeffrey Vorpahl</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LPL Financial Corporation</w:t>
      </w:r>
    </w:p>
    <w:p>
      <w:pPr>
        <w:spacing w:after="0" w:line="226" w:lineRule="exact"/>
        <w:rPr>
          <w:sz w:val="20"/>
          <w:szCs w:val="20"/>
          <w:color w:val="auto"/>
        </w:rPr>
      </w:pPr>
    </w:p>
    <w:p>
      <w:pPr>
        <w:spacing w:after="0"/>
        <w:tabs>
          <w:tab w:leader="none" w:pos="256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Stephanie L. Brown</w:t>
      </w:r>
      <w:r>
        <w:rPr>
          <w:sz w:val="20"/>
          <w:szCs w:val="20"/>
          <w:color w:val="auto"/>
        </w:rPr>
        <w:tab/>
      </w:r>
      <w:r>
        <w:rPr>
          <w:rFonts w:ascii="Arial" w:cs="Arial" w:eastAsia="Arial" w:hAnsi="Arial"/>
          <w:sz w:val="19"/>
          <w:szCs w:val="19"/>
          <w:color w:val="auto"/>
        </w:rPr>
        <w:t xml:space="preserve">Date: </w:t>
      </w:r>
      <w:r>
        <w:rPr>
          <w:rFonts w:ascii="Arial" w:cs="Arial" w:eastAsia="Arial" w:hAnsi="Arial"/>
          <w:sz w:val="19"/>
          <w:szCs w:val="19"/>
          <w:u w:val="single" w:color="auto"/>
          <w:color w:val="auto"/>
        </w:rPr>
        <w:t>1/5/09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Managing Director, General Counsel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Stephanie L. 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THIS FIRST AMENDMENT (the “Amendment”), made effective this 1st day of December, 2013 to that certain BETAHost Master Subscription Agreement by and between Thomson Reuters BETA Systems (“BETA”), a division of Thomson Financial LLC, a Thomson Reuters company, and LPL Financial LLC (formerly, LPL Financial Corporation and hereinafter “Subscriber”) dated December 30, 2008 (the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BETA to provide to Subscriber, a data processing service called BETAHost; and,</w:t>
      </w:r>
    </w:p>
    <w:p>
      <w:pPr>
        <w:spacing w:after="0" w:line="175"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WHEREAS, BETA and Subscriber desire to amend the Agreement to provide a revised processing charge schedule and other related revisions;</w:t>
      </w:r>
    </w:p>
    <w:p>
      <w:pPr>
        <w:spacing w:after="0" w:line="175"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1300" w:right="140"/>
        <w:spacing w:after="0" w:line="265" w:lineRule="auto"/>
        <w:rPr>
          <w:sz w:val="20"/>
          <w:szCs w:val="20"/>
          <w:color w:val="auto"/>
        </w:rPr>
      </w:pPr>
      <w:r>
        <w:rPr>
          <w:rFonts w:ascii="Arial" w:cs="Arial" w:eastAsia="Arial" w:hAnsi="Arial"/>
          <w:sz w:val="21"/>
          <w:szCs w:val="21"/>
          <w:color w:val="auto"/>
        </w:rPr>
        <w:t>Paragraph 2 (b) of the Agreement will be deleted in its entirety and replaced with the following: “Provided Subscriber adheres to BETA’S reasonable recommendations regarding system use and equipment configuration, BETA will provide the Services in accordance with the service level standards (each, a “Performance Standard”) as set forth in Service Level Agreement schedule of the Agreement.”</w:t>
      </w:r>
    </w:p>
    <w:p>
      <w:pPr>
        <w:spacing w:after="0" w:line="176" w:lineRule="exact"/>
        <w:rPr>
          <w:sz w:val="20"/>
          <w:szCs w:val="20"/>
          <w:color w:val="auto"/>
        </w:rPr>
      </w:pPr>
    </w:p>
    <w:p>
      <w:pPr>
        <w:ind w:left="1300" w:right="300"/>
        <w:spacing w:after="0" w:line="250" w:lineRule="auto"/>
        <w:rPr>
          <w:sz w:val="20"/>
          <w:szCs w:val="20"/>
          <w:color w:val="auto"/>
        </w:rPr>
      </w:pPr>
      <w:r>
        <w:rPr>
          <w:rFonts w:ascii="Arial" w:cs="Arial" w:eastAsia="Arial" w:hAnsi="Arial"/>
          <w:sz w:val="22"/>
          <w:szCs w:val="22"/>
          <w:color w:val="auto"/>
        </w:rPr>
        <w:t>Paragraph 5 (a) of the Agreement will be deleted in its entirety and replaced with the following; “General. In addition to reimbursements required elsewhere in this Agreement, Subscriber shall pay for services in accordance Schedule A attached hereto and as may be adjusted as provided herein. Charges for any partial month of service shall be prorated on the basis of a 30-day month.”</w:t>
      </w:r>
    </w:p>
    <w:p>
      <w:pPr>
        <w:spacing w:after="0" w:line="188" w:lineRule="exact"/>
        <w:rPr>
          <w:sz w:val="20"/>
          <w:szCs w:val="20"/>
          <w:color w:val="auto"/>
        </w:rPr>
      </w:pPr>
    </w:p>
    <w:p>
      <w:pPr>
        <w:ind w:left="1300" w:right="680"/>
        <w:spacing w:after="0" w:line="343" w:lineRule="auto"/>
        <w:rPr>
          <w:sz w:val="20"/>
          <w:szCs w:val="20"/>
          <w:color w:val="auto"/>
        </w:rPr>
      </w:pPr>
      <w:r>
        <w:rPr>
          <w:rFonts w:ascii="Arial" w:cs="Arial" w:eastAsia="Arial" w:hAnsi="Arial"/>
          <w:sz w:val="19"/>
          <w:szCs w:val="19"/>
          <w:color w:val="auto"/>
        </w:rPr>
        <w:t>The first sentence of paragraph 6 (a) of the Agreement will be deleted and replaced with the following: “This Agreement will be effective in the month executed and will terminate five (5) years from that date.”</w:t>
      </w:r>
    </w:p>
    <w:p>
      <w:pPr>
        <w:spacing w:after="0" w:line="105" w:lineRule="exact"/>
        <w:rPr>
          <w:sz w:val="20"/>
          <w:szCs w:val="20"/>
          <w:color w:val="auto"/>
        </w:rPr>
      </w:pPr>
    </w:p>
    <w:p>
      <w:pPr>
        <w:ind w:left="1300" w:right="120"/>
        <w:spacing w:after="0" w:line="297" w:lineRule="auto"/>
        <w:rPr>
          <w:sz w:val="20"/>
          <w:szCs w:val="20"/>
          <w:color w:val="auto"/>
        </w:rPr>
      </w:pPr>
      <w:r>
        <w:rPr>
          <w:rFonts w:ascii="Arial" w:cs="Arial" w:eastAsia="Arial" w:hAnsi="Arial"/>
          <w:sz w:val="19"/>
          <w:szCs w:val="19"/>
          <w:color w:val="auto"/>
        </w:rPr>
        <w:t>Paragraph 6 (b) will be deleted in its entirety and replaced with the following: “Unless notice of non-renewal has been provided, this Agreement shall be extended automatically for successive periods of one year until a successor agreement is signed by the parties or until the Agreement, upon 180 days prior written notice, is terminated. During any period of extension the charges for services provided shall be equal to those in effect in the last year of the term or the immediately preceding extension period, whichever is applicable, plus 5%.”</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will be added as Paragraph 12 (d) of the Agreement:</w:t>
      </w:r>
    </w:p>
    <w:p>
      <w:pPr>
        <w:spacing w:after="0" w:line="220" w:lineRule="exact"/>
        <w:rPr>
          <w:sz w:val="20"/>
          <w:szCs w:val="20"/>
          <w:color w:val="auto"/>
        </w:rPr>
      </w:pPr>
    </w:p>
    <w:p>
      <w:pPr>
        <w:ind w:left="1300" w:right="40"/>
        <w:spacing w:after="0" w:line="288" w:lineRule="auto"/>
        <w:rPr>
          <w:sz w:val="20"/>
          <w:szCs w:val="20"/>
          <w:color w:val="auto"/>
        </w:rPr>
      </w:pPr>
      <w:r>
        <w:rPr>
          <w:rFonts w:ascii="Arial" w:cs="Arial" w:eastAsia="Arial" w:hAnsi="Arial"/>
          <w:sz w:val="19"/>
          <w:szCs w:val="19"/>
          <w:color w:val="auto"/>
        </w:rPr>
        <w:t>“Third party providers whose information is included in the Services may impose additional restrictions on usage of their information or materials and those restrictions may change from time to time. These restrictions may include prohibiting certain types of usage or requiring Subscriber to report its usage to obtain agreement from, or pay additional fees either through BETA or directly to, the relevant third party provider. Subscriber can view restrictions that third party providers have supplied to BETA at www.thomsonreuters.com/3ptvterms (the “Third Party Terms Site”), or alternatively, in some cases, within the relevant Service. BETA will use commercially reasonable efforts to ensure that the Third Party Terms Site or the Service (as relevant) is maintained with the latest policies of each relevant third party provider. Changes to the Third Party Terms Site will be published on the Thomson Reuters Customer Portal quarterly, where BETA will endeavor to provide Subscriber 30 days’ notice before a change goes into effect, but may not be able to do so if BETA does not receive sufficient prior notice from such third parties.</w:t>
      </w:r>
    </w:p>
    <w:p>
      <w:pPr>
        <w:spacing w:after="0" w:line="160" w:lineRule="exact"/>
        <w:rPr>
          <w:sz w:val="20"/>
          <w:szCs w:val="20"/>
          <w:color w:val="auto"/>
        </w:rPr>
      </w:pPr>
    </w:p>
    <w:p>
      <w:pPr>
        <w:ind w:left="1300" w:right="180"/>
        <w:spacing w:after="0" w:line="261" w:lineRule="auto"/>
        <w:rPr>
          <w:sz w:val="20"/>
          <w:szCs w:val="20"/>
          <w:color w:val="auto"/>
        </w:rPr>
      </w:pPr>
      <w:r>
        <w:rPr>
          <w:rFonts w:ascii="Arial" w:cs="Arial" w:eastAsia="Arial" w:hAnsi="Arial"/>
          <w:sz w:val="21"/>
          <w:szCs w:val="21"/>
          <w:color w:val="auto"/>
        </w:rPr>
        <w:t>These restrictions are binding on Subscriber in the same way as any other provision in this Agreement Third party providers may have the right to require that BETA restrict, suspend or terminate Subscriber’s access to that third Party provider’s information or materials., if BETA takes any such action, it will use reasonable efforts to provide Subscriber with prior notice and not be liable for any resulting damages Subscriber may suffer. BETA may provide third party providers with details of Subscriber’s usage of and any suspected breach of this Agreement relating to, that third party provider’s information or materials.”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Schedule A to the Agreement will be deleted in its entirety and replaced with the attached Schedule 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Schedule B to the Agreement will be deleted in its entirety.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Made and executed this 30th day of December, 2013.</w:t>
      </w: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BETA Systems</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Vorpahl</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Jeffrey Vorpahl</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 Morrison</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Steve Morrison</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THIS SECOND AMENDMENT (the “Amendment”), made effective this 1st day of January, 2016 to that certain BETAHost Master Subscription Agreement by and between Thomson Reuters BETA Systems (“), a division of Thomson Financial LLC (and now known as Thomson Reuters (Markets) LLC (“TR”), and LPL Financial Corporation (“Subscriber”) dated December 30, 2008 (the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WHEREAS, TR and Subscriber desire to amend the Agreement to provide a revised processing charge schedule and other related revisions;</w:t>
      </w:r>
    </w:p>
    <w:p>
      <w:pPr>
        <w:spacing w:after="0" w:line="175"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1300" w:right="80" w:hanging="644"/>
        <w:spacing w:after="0" w:line="253" w:lineRule="auto"/>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references to BETA Systems, a division of Thomson Financial LLC (“BETA”) shall hereinafter be referred to as Thomson Reuters (Markets) LLC. All references to the BETAHost Services shall mean the services provided to Subscriber by TR.</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Schedule A, [**], is amended by adding the following: [**]</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Schedule A, [**], is amended by adding the following: [**]</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Schedule A, [**], is amended by adding the following: [**]</w:t>
      </w:r>
    </w:p>
    <w:p>
      <w:pPr>
        <w:spacing w:after="0" w:line="219" w:lineRule="exact"/>
        <w:rPr>
          <w:rFonts w:ascii="Arial" w:cs="Arial" w:eastAsia="Arial" w:hAnsi="Arial"/>
          <w:sz w:val="22"/>
          <w:szCs w:val="22"/>
          <w:color w:val="auto"/>
        </w:rPr>
      </w:pPr>
    </w:p>
    <w:p>
      <w:pPr>
        <w:jc w:val="both"/>
        <w:ind w:left="1300" w:right="360" w:hanging="644"/>
        <w:spacing w:after="0" w:line="253" w:lineRule="auto"/>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Except as expressly amended hereby, the Agreement shall continue in full force and effect in accordance with its terms. All references in the Agreement to the “Agreement” shall be deemed to be references to the Agreement as amended hereby.</w:t>
      </w:r>
    </w:p>
    <w:p>
      <w:pPr>
        <w:spacing w:after="0" w:line="185" w:lineRule="exact"/>
        <w:rPr>
          <w:rFonts w:ascii="Arial" w:cs="Arial" w:eastAsia="Arial" w:hAnsi="Arial"/>
          <w:sz w:val="22"/>
          <w:szCs w:val="22"/>
          <w:color w:val="auto"/>
        </w:rPr>
      </w:pPr>
    </w:p>
    <w:p>
      <w:pPr>
        <w:ind w:left="1300" w:right="420" w:hanging="644"/>
        <w:spacing w:after="0" w:line="343" w:lineRule="auto"/>
        <w:tabs>
          <w:tab w:leader="none" w:pos="13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This Amendment may be executed in any number of counterparts and/or by facsimile, each of which shall be deemed to be an original agreement but such counterparts shall together constitute one and the same instrument.</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Made and executed this 19th day of January, 2016.</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P. Akellian</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David P. Akellian</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Corporation</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M. Woods</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Gregory M. Woods</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Vice President, Deputy General Counsel</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74384936_1</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80663144_2</w:t>
      </w:r>
    </w:p>
    <w:p>
      <w:pPr>
        <w:sectPr>
          <w:pgSz w:w="11900" w:h="16838" w:orient="portrait"/>
          <w:cols w:equalWidth="0" w:num="1">
            <w:col w:w="11420"/>
          </w:cols>
          <w:pgMar w:left="240" w:top="116"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THIS THIRD AMENDMENT (the “Amendment”) is made by and between Thomson Reuters (Markets) LLC (“BETA”) and LPL Financial LLC (“Subscriber”) effective this 1st day of March, 2018 to that certain BETAHost Master Subscription Agreement dated December 30, 2008 (the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BETA to provide to Subscriber, a data processing service called BETAHost;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BETA and Subscriber desire to amend the Agreement to provide an additional service called BETA ODS;</w:t>
      </w:r>
    </w:p>
    <w:p>
      <w:pPr>
        <w:spacing w:after="0" w:line="254"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Schedule A, [**], is amended by adding the following to [**]: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have made and executed this Third Amendment this ___ day of March, 2018.</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Technology &amp; Ops - WM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color w:val="auto"/>
        </w:rPr>
        <w:t>74384936_1</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80663144_2</w:t>
      </w:r>
    </w:p>
    <w:p>
      <w:pPr>
        <w:sectPr>
          <w:pgSz w:w="11900" w:h="16838" w:orient="portrait"/>
          <w:cols w:equalWidth="0" w:num="1">
            <w:col w:w="11420"/>
          </w:cols>
          <w:pgMar w:left="240" w:top="118" w:right="2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15" w:lineRule="exact"/>
        <w:rPr>
          <w:sz w:val="20"/>
          <w:szCs w:val="20"/>
          <w:color w:val="auto"/>
        </w:rPr>
      </w:pPr>
    </w:p>
    <w:p>
      <w:pPr>
        <w:ind w:right="260" w:firstLine="648"/>
        <w:spacing w:after="0" w:line="234" w:lineRule="auto"/>
        <w:rPr>
          <w:sz w:val="20"/>
          <w:szCs w:val="20"/>
          <w:color w:val="auto"/>
        </w:rPr>
      </w:pPr>
      <w:r>
        <w:rPr>
          <w:rFonts w:ascii="Arial" w:cs="Arial" w:eastAsia="Arial" w:hAnsi="Arial"/>
          <w:sz w:val="22"/>
          <w:szCs w:val="22"/>
          <w:color w:val="auto"/>
        </w:rPr>
        <w:t>THIS SECOND AMENDMENT (the “Amendment”), made effective this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October, 2018 to that certain BETAHost Master Subscription Agreement by and between Thomson Reuters (Markets) LLC (“TR”), at 350 North Sunny Slope Road, Brookfield, WI 53005, and LPL Financial LLC (“Subscriber”), at 75 State Street, 22nd Floor, Boston, MA 02109 dated December 30, 2008 (the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color w:val="auto"/>
        </w:rPr>
        <w:t>WHEREAS, TR and Subscriber desire to extend the terms of the Agreement through March 30, 2019, to enable the parties to negotiate a new Agreement and new set of schedules with an extended term and other revised terms and conditions;</w:t>
      </w:r>
    </w:p>
    <w:p>
      <w:pPr>
        <w:spacing w:after="0" w:line="105"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term of the Agreement shall continue and remain in effect through March 30, 2019 without a change in Fees.</w:t>
      </w:r>
    </w:p>
    <w:p>
      <w:pPr>
        <w:spacing w:after="0" w:line="231" w:lineRule="exact"/>
        <w:rPr>
          <w:rFonts w:ascii="Arial" w:cs="Arial" w:eastAsia="Arial" w:hAnsi="Arial"/>
          <w:sz w:val="21"/>
          <w:szCs w:val="21"/>
          <w:color w:val="auto"/>
        </w:rPr>
      </w:pPr>
    </w:p>
    <w:p>
      <w:pPr>
        <w:ind w:left="660" w:right="160" w:hanging="652"/>
        <w:spacing w:after="0" w:line="302" w:lineRule="auto"/>
        <w:tabs>
          <w:tab w:leader="none" w:pos="6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Provided that the parties renew the Agreement for a period mutually agreed upon between the Parties on or before March 30, 2019. TR hereby waives its right to auto extend the Agreement to November 30, 2019, at charges equal to 105% of the current charges now in effect, in accordance with Paragraph 6(b) of the Agreement, as revised by the First Amendment to the Agreement dated December 1, 2013, and executed on December 30, 2013 (the “First Amendment”).</w:t>
      </w:r>
    </w:p>
    <w:p>
      <w:pPr>
        <w:spacing w:after="0" w:line="142" w:lineRule="exact"/>
        <w:rPr>
          <w:rFonts w:ascii="Arial" w:cs="Arial" w:eastAsia="Arial" w:hAnsi="Arial"/>
          <w:sz w:val="19"/>
          <w:szCs w:val="19"/>
          <w:color w:val="auto"/>
        </w:rPr>
      </w:pPr>
    </w:p>
    <w:p>
      <w:pPr>
        <w:ind w:left="660" w:right="100"/>
        <w:spacing w:after="0" w:line="263" w:lineRule="auto"/>
        <w:rPr>
          <w:rFonts w:ascii="Arial" w:cs="Arial" w:eastAsia="Arial" w:hAnsi="Arial"/>
          <w:sz w:val="19"/>
          <w:szCs w:val="19"/>
          <w:color w:val="auto"/>
        </w:rPr>
      </w:pPr>
      <w:r>
        <w:rPr>
          <w:rFonts w:ascii="Arial" w:cs="Arial" w:eastAsia="Arial" w:hAnsi="Arial"/>
          <w:sz w:val="21"/>
          <w:szCs w:val="21"/>
          <w:color w:val="auto"/>
        </w:rPr>
        <w:t>If the parties do not enter into such extension by or before March 30, 2019, (i) the waiver set forth in the prior paragraph shall be void, (ii) the Agreement shall continue in accordance with Paragraph 6(b) of the Agreement, as revised by the First Amendment, without regard to this Amendment, and (iii) as of April 1, 2019, Subscriber shall be obligated to pay the contractually required charges (105% of current charges as of November 30, 2018) for the period between December 1, 2018, and March 30, 2019, and thereafter in accordance with the Agreement.</w:t>
      </w:r>
    </w:p>
    <w:p>
      <w:pPr>
        <w:spacing w:after="0" w:line="175" w:lineRule="exact"/>
        <w:rPr>
          <w:rFonts w:ascii="Arial" w:cs="Arial" w:eastAsia="Arial" w:hAnsi="Arial"/>
          <w:sz w:val="19"/>
          <w:szCs w:val="19"/>
          <w:color w:val="auto"/>
        </w:rPr>
      </w:pPr>
    </w:p>
    <w:p>
      <w:pPr>
        <w:ind w:left="660" w:hanging="652"/>
        <w:spacing w:after="0"/>
        <w:tabs>
          <w:tab w:leader="none" w:pos="6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As amended hereby, the Agreement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Made and executed this ___ day of October, 2018.</w:t>
      </w: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Technology &amp; Ops - WM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Government Relations</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74384936_1</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80663144_2</w:t>
      </w:r>
    </w:p>
    <w:p>
      <w:pPr>
        <w:sectPr>
          <w:pgSz w:w="11900" w:h="16838" w:orient="portrait"/>
          <w:cols w:equalWidth="0" w:num="1">
            <w:col w:w="11420"/>
          </w:cols>
          <w:pgMar w:left="240" w:top="116" w:right="2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THIS FIFTH AMENDMENT (the “Amendment”), made effective this 22nd day of January, 2019 to that certain BETAHost Master Subscription Agreement by and between Thomson Reuters (Markets) LLC (“TR”), at 350 North Sunny Slope Road, Brookfield, WI 53005, and LPL Financial LLC (“Subscriber”), at 75 State Street, 22nd Floor, Boston, MA 02109 dated December 30, 2008 (the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desire to amend the Agreement to modify previous amendment numbers;</w:t>
      </w:r>
    </w:p>
    <w:p>
      <w:pPr>
        <w:spacing w:after="0" w:line="220"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WHEREAS, TR and Subscriber desire to extend the terms of the Agreement through June 30, 2019, to enable the parties to negotiate a new Agreement and new set of schedules with an extended term and other revised terms and conditions,</w:t>
      </w:r>
    </w:p>
    <w:p>
      <w:pPr>
        <w:spacing w:after="0" w:line="105"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59" w:lineRule="exact"/>
        <w:rPr>
          <w:sz w:val="20"/>
          <w:szCs w:val="20"/>
          <w:color w:val="auto"/>
        </w:rPr>
      </w:pPr>
    </w:p>
    <w:p>
      <w:pPr>
        <w:ind w:left="660" w:right="300" w:firstLine="645"/>
        <w:spacing w:after="0" w:line="232" w:lineRule="auto"/>
        <w:tabs>
          <w:tab w:leader="none" w:pos="2119"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parties agree that the previous Second Amendment with effective date October 8, 2018 should have been labeled as follows:</w:t>
      </w:r>
    </w:p>
    <w:p>
      <w:pPr>
        <w:spacing w:after="0" w:line="186" w:lineRule="exact"/>
        <w:rPr>
          <w:rFonts w:ascii="Arial" w:cs="Arial" w:eastAsia="Arial" w:hAnsi="Arial"/>
          <w:sz w:val="22"/>
          <w:szCs w:val="22"/>
          <w:color w:val="auto"/>
        </w:rPr>
      </w:pPr>
    </w:p>
    <w:p>
      <w:pPr>
        <w:ind w:left="1300" w:hanging="320"/>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FOURTH AMENDMENT with effective date October 8, 2018</w:t>
      </w:r>
    </w:p>
    <w:p>
      <w:pPr>
        <w:spacing w:after="0" w:line="192" w:lineRule="exact"/>
        <w:rPr>
          <w:rFonts w:ascii="Arial" w:cs="Arial" w:eastAsia="Arial" w:hAnsi="Arial"/>
          <w:sz w:val="22"/>
          <w:szCs w:val="22"/>
          <w:color w:val="auto"/>
        </w:rPr>
      </w:pPr>
    </w:p>
    <w:p>
      <w:pPr>
        <w:ind w:left="2120" w:hanging="815"/>
        <w:spacing w:after="0"/>
        <w:tabs>
          <w:tab w:leader="none" w:pos="2120"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term of the Agreement shall continue and remain in effect through June 30, 2019, without a change in</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Fees.</w:t>
      </w:r>
    </w:p>
    <w:p>
      <w:pPr>
        <w:spacing w:after="0" w:line="161" w:lineRule="exact"/>
        <w:rPr>
          <w:rFonts w:ascii="Arial" w:cs="Arial" w:eastAsia="Arial" w:hAnsi="Arial"/>
          <w:sz w:val="19"/>
          <w:szCs w:val="19"/>
          <w:color w:val="auto"/>
        </w:rPr>
      </w:pPr>
    </w:p>
    <w:p>
      <w:pPr>
        <w:ind w:left="660" w:right="40" w:firstLine="645"/>
        <w:spacing w:after="0" w:line="257" w:lineRule="auto"/>
        <w:tabs>
          <w:tab w:leader="none" w:pos="2119" w:val="left"/>
        </w:tabs>
        <w:numPr>
          <w:ilvl w:val="1"/>
          <w:numId w:val="90"/>
        </w:numPr>
        <w:rPr>
          <w:rFonts w:ascii="Arial" w:cs="Arial" w:eastAsia="Arial" w:hAnsi="Arial"/>
          <w:sz w:val="19"/>
          <w:szCs w:val="19"/>
          <w:color w:val="auto"/>
        </w:rPr>
      </w:pPr>
      <w:r>
        <w:rPr>
          <w:rFonts w:ascii="Arial" w:cs="Arial" w:eastAsia="Arial" w:hAnsi="Arial"/>
          <w:sz w:val="19"/>
          <w:szCs w:val="19"/>
          <w:color w:val="auto"/>
        </w:rPr>
        <w:t>Provided that the parties renew the Agreement for a period mutually agreed upon between the Parties on or before June 30, 2019, TR hereby waives its right to auto extend the Agreement to November 30, 2019, at charges equal to 105% of the current charges now in effect, in accordance with Paragraph 6(b) of the Agreement, as revised by the First Amendment to the Agreement dated December 1, 2013, and executed on December 30, 2013 (the “First Amendment”).</w:t>
      </w:r>
    </w:p>
    <w:p>
      <w:pPr>
        <w:spacing w:after="0" w:line="172"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If the parties do not enter into such extension by or before June 30, 2019, (i) the waiver set forth in the prior paragraph shall be void, (ii) the Agreement shall continue in accordance with Paragraph 6(b) of the Agreement, as revised by the First Amendment, without regard to this Amendment, and (iii) as of July 1, 2019, Subscriber shall be obligated to pay the contractually required charges (105% of current charges as of November 30, 2018) for the period between December 1, 2018, and June 30, 2019, and thereafter in accordance with the Agreement.</w:t>
      </w:r>
    </w:p>
    <w:p>
      <w:pPr>
        <w:spacing w:after="0" w:line="165" w:lineRule="exact"/>
        <w:rPr>
          <w:sz w:val="20"/>
          <w:szCs w:val="20"/>
          <w:color w:val="auto"/>
        </w:rPr>
      </w:pPr>
    </w:p>
    <w:p>
      <w:pPr>
        <w:ind w:left="2120" w:hanging="815"/>
        <w:spacing w:after="0"/>
        <w:tabs>
          <w:tab w:leader="none" w:pos="21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As amended hereby, the Agreement remains in full force and effect.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Made and executed this ___ day of January, 2019.</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BETA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96" w:lineRule="exact"/>
        <w:rPr>
          <w:sz w:val="20"/>
          <w:szCs w:val="20"/>
          <w:color w:val="auto"/>
        </w:rPr>
      </w:pPr>
    </w:p>
    <w:p>
      <w:pPr>
        <w:ind w:left="6100"/>
        <w:spacing w:after="0"/>
        <w:rPr>
          <w:sz w:val="20"/>
          <w:szCs w:val="20"/>
          <w:color w:val="auto"/>
        </w:rPr>
      </w:pPr>
      <w:r>
        <w:rPr>
          <w:rFonts w:ascii="Arial" w:cs="Arial" w:eastAsia="Arial" w:hAnsi="Arial"/>
          <w:sz w:val="22"/>
          <w:szCs w:val="22"/>
          <w:b w:val="1"/>
          <w:bCs w:val="1"/>
          <w:color w:val="auto"/>
        </w:rPr>
        <w:t>SIXTH AMENDMENT</w:t>
      </w:r>
    </w:p>
    <w:p>
      <w:pPr>
        <w:spacing w:after="0" w:line="58" w:lineRule="exact"/>
        <w:rPr>
          <w:sz w:val="20"/>
          <w:szCs w:val="20"/>
          <w:color w:val="auto"/>
        </w:rPr>
      </w:pPr>
    </w:p>
    <w:p>
      <w:pPr>
        <w:ind w:left="7040"/>
        <w:spacing w:after="0"/>
        <w:rPr>
          <w:sz w:val="20"/>
          <w:szCs w:val="20"/>
          <w:color w:val="auto"/>
        </w:rPr>
      </w:pPr>
      <w:r>
        <w:rPr>
          <w:rFonts w:ascii="Arial" w:cs="Arial" w:eastAsia="Arial" w:hAnsi="Arial"/>
          <w:sz w:val="22"/>
          <w:szCs w:val="22"/>
          <w:b w:val="1"/>
          <w:bCs w:val="1"/>
          <w:color w:val="auto"/>
        </w:rPr>
        <w:t>TO</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MASTER SUBSCRIPTION AGREEMENT</w:t>
      </w:r>
    </w:p>
    <w:p>
      <w:pPr>
        <w:spacing w:after="0" w:line="242" w:lineRule="exact"/>
        <w:rPr>
          <w:sz w:val="20"/>
          <w:szCs w:val="20"/>
          <w:color w:val="auto"/>
        </w:rPr>
      </w:pPr>
    </w:p>
    <w:p>
      <w:pPr>
        <w:ind w:left="80" w:right="60" w:firstLine="621"/>
        <w:spacing w:after="0" w:line="250" w:lineRule="auto"/>
        <w:rPr>
          <w:sz w:val="20"/>
          <w:szCs w:val="20"/>
          <w:color w:val="auto"/>
        </w:rPr>
      </w:pPr>
      <w:r>
        <w:rPr>
          <w:rFonts w:ascii="Arial" w:cs="Arial" w:eastAsia="Arial" w:hAnsi="Arial"/>
          <w:sz w:val="22"/>
          <w:szCs w:val="22"/>
          <w:color w:val="auto"/>
        </w:rPr>
        <w:t>THIS SIXTH AMENDMENT (the “Amendment”), made effective this 31st day of May, 2019 to that certain BETAHost Master Subscription Agreement by and between Thomson Reuters (Markets) LLC (“TR”), at 350 North Sunny Slope Road, Brookfield, WI 53005, and LPL Financial LLC (“Subscriber”), at 75 State Street, 22nd Floor, Boston, MA 02109 dated December 30, 2008 (the “Agreement”).</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WITNESSETH THAT:</w:t>
      </w:r>
    </w:p>
    <w:p>
      <w:pPr>
        <w:spacing w:after="0" w:line="260" w:lineRule="exact"/>
        <w:rPr>
          <w:sz w:val="20"/>
          <w:szCs w:val="20"/>
          <w:color w:val="auto"/>
        </w:rPr>
      </w:pPr>
    </w:p>
    <w:p>
      <w:pPr>
        <w:ind w:left="80" w:right="220" w:firstLine="621"/>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jc w:val="both"/>
        <w:ind w:left="80" w:right="460" w:firstLine="513"/>
        <w:spacing w:after="0" w:line="343" w:lineRule="auto"/>
        <w:rPr>
          <w:sz w:val="20"/>
          <w:szCs w:val="20"/>
          <w:color w:val="auto"/>
        </w:rPr>
      </w:pPr>
      <w:r>
        <w:rPr>
          <w:rFonts w:ascii="Arial" w:cs="Arial" w:eastAsia="Arial" w:hAnsi="Arial"/>
          <w:sz w:val="19"/>
          <w:szCs w:val="19"/>
          <w:color w:val="auto"/>
        </w:rPr>
        <w:t>WHEREAS, TR and Subscriber desire to extend the terms of the Agreement through September 30, 2019, to enable the parties to negotiate a new Agreement and new set of schedules with an extended term and other revised terms and conditions;</w:t>
      </w:r>
    </w:p>
    <w:p>
      <w:pPr>
        <w:spacing w:after="0" w:line="105" w:lineRule="exact"/>
        <w:rPr>
          <w:sz w:val="20"/>
          <w:szCs w:val="20"/>
          <w:color w:val="auto"/>
        </w:rPr>
      </w:pPr>
    </w:p>
    <w:p>
      <w:pPr>
        <w:ind w:left="80" w:right="420" w:firstLine="621"/>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20" w:hanging="531"/>
        <w:spacing w:after="0"/>
        <w:tabs>
          <w:tab w:leader="none" w:pos="6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term of the Agreement shall continue and remain in effect through September 30, 2019, without a change in Fees.</w:t>
      </w:r>
    </w:p>
    <w:p>
      <w:pPr>
        <w:spacing w:after="0" w:line="254" w:lineRule="exact"/>
        <w:rPr>
          <w:rFonts w:ascii="Arial" w:cs="Arial" w:eastAsia="Arial" w:hAnsi="Arial"/>
          <w:sz w:val="19"/>
          <w:szCs w:val="19"/>
          <w:color w:val="auto"/>
        </w:rPr>
      </w:pPr>
    </w:p>
    <w:p>
      <w:pPr>
        <w:ind w:left="620" w:right="320" w:hanging="531"/>
        <w:spacing w:after="0" w:line="302" w:lineRule="auto"/>
        <w:tabs>
          <w:tab w:leader="none" w:pos="6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Provided that the parties renew the Agreement for a period mutually agreed upon between the Parties on or before September 30, 2019, TR hereby waives its right to auto extend the Agreement to November 30, 2019, at charges equal to 105% of the current charges now in effect, in accordance with Paragraph 6(b) of the Agreement, as revised by the First Amendment to the Agreement dated December 1, 2013, and executed on December 30, 2013 (the “First Amendment”).</w:t>
      </w:r>
    </w:p>
    <w:p>
      <w:pPr>
        <w:spacing w:after="0" w:line="142" w:lineRule="exact"/>
        <w:rPr>
          <w:rFonts w:ascii="Arial" w:cs="Arial" w:eastAsia="Arial" w:hAnsi="Arial"/>
          <w:sz w:val="19"/>
          <w:szCs w:val="19"/>
          <w:color w:val="auto"/>
        </w:rPr>
      </w:pPr>
    </w:p>
    <w:p>
      <w:pPr>
        <w:ind w:left="620" w:right="20"/>
        <w:spacing w:after="0" w:line="263" w:lineRule="auto"/>
        <w:rPr>
          <w:rFonts w:ascii="Arial" w:cs="Arial" w:eastAsia="Arial" w:hAnsi="Arial"/>
          <w:sz w:val="19"/>
          <w:szCs w:val="19"/>
          <w:color w:val="auto"/>
        </w:rPr>
      </w:pPr>
      <w:r>
        <w:rPr>
          <w:rFonts w:ascii="Arial" w:cs="Arial" w:eastAsia="Arial" w:hAnsi="Arial"/>
          <w:sz w:val="21"/>
          <w:szCs w:val="21"/>
          <w:color w:val="auto"/>
        </w:rPr>
        <w:t>If the parties do not enter into such extension by or before September 30, 2019, (i) the waiver set forth in the prior paragraph shall be void, (ii) the Agreement shall continue in accordance with Paragraph 6(b) of the Agreement, as revised by the First Amendment, without regard to this Amendment, and (iii) as of October 1, 2019, Subscriber shall be obligated to pay the contractually required charges (105% of current charges as of November 30, 2018) for the period between December 1, 2018, and September 30, 2019, and thereafter in accordance with the Agreement.</w:t>
      </w:r>
    </w:p>
    <w:p>
      <w:pPr>
        <w:spacing w:after="0" w:line="175" w:lineRule="exact"/>
        <w:rPr>
          <w:rFonts w:ascii="Arial" w:cs="Arial" w:eastAsia="Arial" w:hAnsi="Arial"/>
          <w:sz w:val="19"/>
          <w:szCs w:val="19"/>
          <w:color w:val="auto"/>
        </w:rPr>
      </w:pPr>
    </w:p>
    <w:p>
      <w:pPr>
        <w:ind w:left="420" w:hanging="331"/>
        <w:spacing w:after="0"/>
        <w:tabs>
          <w:tab w:leader="none" w:pos="4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As amended hereby, the Agreement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Made and executed this ___ day of May, 2019.</w:t>
      </w: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6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BETA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74384936_1</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80663144_2</w:t>
      </w:r>
    </w:p>
    <w:p>
      <w:pPr>
        <w:sectPr>
          <w:pgSz w:w="11900" w:h="16838" w:orient="portrait"/>
          <w:cols w:equalWidth="0" w:num="1">
            <w:col w:w="11420"/>
          </w:cols>
          <w:pgMar w:left="240" w:top="115"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96"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auto"/>
        </w:rPr>
        <w:t>SEVENTH AMENDMENT</w:t>
      </w:r>
    </w:p>
    <w:p>
      <w:pPr>
        <w:spacing w:after="0" w:line="58" w:lineRule="exact"/>
        <w:rPr>
          <w:sz w:val="20"/>
          <w:szCs w:val="20"/>
          <w:color w:val="auto"/>
        </w:rPr>
      </w:pPr>
    </w:p>
    <w:p>
      <w:pPr>
        <w:ind w:left="7040"/>
        <w:spacing w:after="0"/>
        <w:rPr>
          <w:sz w:val="20"/>
          <w:szCs w:val="20"/>
          <w:color w:val="auto"/>
        </w:rPr>
      </w:pPr>
      <w:r>
        <w:rPr>
          <w:rFonts w:ascii="Arial" w:cs="Arial" w:eastAsia="Arial" w:hAnsi="Arial"/>
          <w:sz w:val="22"/>
          <w:szCs w:val="22"/>
          <w:b w:val="1"/>
          <w:bCs w:val="1"/>
          <w:color w:val="auto"/>
        </w:rPr>
        <w:t>TO</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MASTER SUBSCRIPTION AGREEMENT</w:t>
      </w:r>
    </w:p>
    <w:p>
      <w:pPr>
        <w:spacing w:after="0" w:line="242" w:lineRule="exact"/>
        <w:rPr>
          <w:sz w:val="20"/>
          <w:szCs w:val="20"/>
          <w:color w:val="auto"/>
        </w:rPr>
      </w:pPr>
    </w:p>
    <w:p>
      <w:pPr>
        <w:ind w:left="80" w:right="200" w:firstLine="621"/>
        <w:spacing w:after="0" w:line="250" w:lineRule="auto"/>
        <w:rPr>
          <w:sz w:val="20"/>
          <w:szCs w:val="20"/>
          <w:color w:val="auto"/>
        </w:rPr>
      </w:pPr>
      <w:r>
        <w:rPr>
          <w:rFonts w:ascii="Arial" w:cs="Arial" w:eastAsia="Arial" w:hAnsi="Arial"/>
          <w:sz w:val="22"/>
          <w:szCs w:val="22"/>
          <w:color w:val="auto"/>
        </w:rPr>
        <w:t>THIS SEVENTH AMENDMENT (the “Amendment”), effective as of this 27th day of September, 2019 is made by LPL Financial LLC (“Subscriber”), at 75 State Street, 22nd Floor, Boston, MA 02109 and Refinitiv US LLC (“Refinitiv”), at 3 Times Square, New York, NY 10036 to that certain BETAHost Master Subscription Agreement by and between the parties dated December 30, 2008, (as amended, the “Agreement”).</w:t>
      </w:r>
    </w:p>
    <w:p>
      <w:pPr>
        <w:spacing w:after="0" w:line="18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left="80" w:right="200" w:firstLine="621"/>
        <w:spacing w:after="0" w:line="263" w:lineRule="auto"/>
        <w:rPr>
          <w:sz w:val="20"/>
          <w:szCs w:val="20"/>
          <w:color w:val="auto"/>
        </w:rPr>
      </w:pPr>
      <w:r>
        <w:rPr>
          <w:rFonts w:ascii="Arial" w:cs="Arial" w:eastAsia="Arial" w:hAnsi="Arial"/>
          <w:sz w:val="22"/>
          <w:szCs w:val="22"/>
          <w:color w:val="auto"/>
        </w:rPr>
        <w:t>WHEREAS, the parties entered into the Agreement for Refinitiv to provide to Subscriber a data processing service called BETAHost; and</w:t>
      </w:r>
    </w:p>
    <w:p>
      <w:pPr>
        <w:spacing w:after="0" w:line="175" w:lineRule="exact"/>
        <w:rPr>
          <w:sz w:val="20"/>
          <w:szCs w:val="20"/>
          <w:color w:val="auto"/>
        </w:rPr>
      </w:pPr>
    </w:p>
    <w:p>
      <w:pPr>
        <w:ind w:left="80" w:right="160" w:firstLine="513"/>
        <w:spacing w:after="0" w:line="343" w:lineRule="auto"/>
        <w:rPr>
          <w:sz w:val="20"/>
          <w:szCs w:val="20"/>
          <w:color w:val="auto"/>
        </w:rPr>
      </w:pPr>
      <w:r>
        <w:rPr>
          <w:rFonts w:ascii="Arial" w:cs="Arial" w:eastAsia="Arial" w:hAnsi="Arial"/>
          <w:sz w:val="19"/>
          <w:szCs w:val="19"/>
          <w:color w:val="auto"/>
        </w:rPr>
        <w:t>WHEREAS, Refinitiv and Subscriber desire to extend the terms of the Agreement through November 29, 2019, to enable the parties to negotiate a new Agreement and new set of schedules with an extended term and other revised terms and conditions;</w:t>
      </w:r>
    </w:p>
    <w:p>
      <w:pPr>
        <w:spacing w:after="0" w:line="105" w:lineRule="exact"/>
        <w:rPr>
          <w:sz w:val="20"/>
          <w:szCs w:val="20"/>
          <w:color w:val="auto"/>
        </w:rPr>
      </w:pPr>
    </w:p>
    <w:p>
      <w:pPr>
        <w:ind w:left="80" w:right="420" w:firstLine="621"/>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20" w:right="420" w:hanging="531"/>
        <w:spacing w:after="0" w:line="302" w:lineRule="auto"/>
        <w:tabs>
          <w:tab w:leader="none" w:pos="6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term of the Agreement shall continue and remain in effect through November 29, 2019, without a change in Fees.Provided that the parties renew the Agreement for a period mutually agreed upon between the Parties on or before November 29, 2019, TR hereby waives its right to auto extend the Agreement from December 1, 2018 to November 30, 2019, at charges equal to 105% of the current charges now in effect, in accordance with the Agreement.</w:t>
      </w:r>
    </w:p>
    <w:p>
      <w:pPr>
        <w:spacing w:after="0" w:line="142" w:lineRule="exact"/>
        <w:rPr>
          <w:rFonts w:ascii="Arial" w:cs="Arial" w:eastAsia="Arial" w:hAnsi="Arial"/>
          <w:sz w:val="19"/>
          <w:szCs w:val="19"/>
          <w:color w:val="auto"/>
        </w:rPr>
      </w:pPr>
    </w:p>
    <w:p>
      <w:pPr>
        <w:ind w:left="620" w:right="40"/>
        <w:spacing w:after="0" w:line="302" w:lineRule="auto"/>
        <w:rPr>
          <w:rFonts w:ascii="Arial" w:cs="Arial" w:eastAsia="Arial" w:hAnsi="Arial"/>
          <w:sz w:val="19"/>
          <w:szCs w:val="19"/>
          <w:color w:val="auto"/>
        </w:rPr>
      </w:pPr>
      <w:r>
        <w:rPr>
          <w:rFonts w:ascii="Arial" w:cs="Arial" w:eastAsia="Arial" w:hAnsi="Arial"/>
          <w:sz w:val="19"/>
          <w:szCs w:val="19"/>
          <w:color w:val="auto"/>
        </w:rPr>
        <w:t>If the parties do not enter into such extension by or before November 29, 2019, (i) the waiver set forth in the prior paragraph shall be void, (ii) the Agreement shall continue without regard to this Amendment, and (iii) as of November 30, 2019, Subscriber shall be obligated to pay the contractually required charges (105% of current charges as of November 30, 2018) for the period between December 1, 2018, and November 29, 2019, and thereafter in accordance with the Agreement.</w:t>
      </w:r>
    </w:p>
    <w:p>
      <w:pPr>
        <w:spacing w:after="0" w:line="142" w:lineRule="exact"/>
        <w:rPr>
          <w:rFonts w:ascii="Arial" w:cs="Arial" w:eastAsia="Arial" w:hAnsi="Arial"/>
          <w:sz w:val="19"/>
          <w:szCs w:val="19"/>
          <w:color w:val="auto"/>
        </w:rPr>
      </w:pPr>
    </w:p>
    <w:p>
      <w:pPr>
        <w:ind w:left="420" w:hanging="331"/>
        <w:spacing w:after="0"/>
        <w:tabs>
          <w:tab w:leader="none" w:pos="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As amended hereby, the Agreement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Made and executed this ___ day of September 2019.</w:t>
      </w: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Refinitiv US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BETA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74384936_1</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80663144_2</w:t>
      </w:r>
    </w:p>
    <w:p>
      <w:pPr>
        <w:sectPr>
          <w:pgSz w:w="11900" w:h="16838" w:orient="portrait"/>
          <w:cols w:equalWidth="0" w:num="1">
            <w:col w:w="11420"/>
          </w:cols>
          <w:pgMar w:left="240" w:top="115" w:right="2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96"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EIGHTH AMENDMENT</w:t>
      </w:r>
    </w:p>
    <w:p>
      <w:pPr>
        <w:spacing w:after="0" w:line="58" w:lineRule="exact"/>
        <w:rPr>
          <w:sz w:val="20"/>
          <w:szCs w:val="20"/>
          <w:color w:val="auto"/>
        </w:rPr>
      </w:pPr>
    </w:p>
    <w:p>
      <w:pPr>
        <w:ind w:left="7040"/>
        <w:spacing w:after="0"/>
        <w:rPr>
          <w:sz w:val="20"/>
          <w:szCs w:val="20"/>
          <w:color w:val="auto"/>
        </w:rPr>
      </w:pPr>
      <w:r>
        <w:rPr>
          <w:rFonts w:ascii="Arial" w:cs="Arial" w:eastAsia="Arial" w:hAnsi="Arial"/>
          <w:sz w:val="22"/>
          <w:szCs w:val="22"/>
          <w:b w:val="1"/>
          <w:bCs w:val="1"/>
          <w:color w:val="auto"/>
        </w:rPr>
        <w:t>TO</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MASTER SUBSCRIPTION AGREEMENT</w:t>
      </w:r>
    </w:p>
    <w:p>
      <w:pPr>
        <w:spacing w:after="0" w:line="242" w:lineRule="exact"/>
        <w:rPr>
          <w:sz w:val="20"/>
          <w:szCs w:val="20"/>
          <w:color w:val="auto"/>
        </w:rPr>
      </w:pPr>
    </w:p>
    <w:p>
      <w:pPr>
        <w:ind w:left="80" w:right="200" w:firstLine="621"/>
        <w:spacing w:after="0" w:line="250" w:lineRule="auto"/>
        <w:rPr>
          <w:sz w:val="20"/>
          <w:szCs w:val="20"/>
          <w:color w:val="auto"/>
        </w:rPr>
      </w:pPr>
      <w:r>
        <w:rPr>
          <w:rFonts w:ascii="Arial" w:cs="Arial" w:eastAsia="Arial" w:hAnsi="Arial"/>
          <w:sz w:val="22"/>
          <w:szCs w:val="22"/>
          <w:color w:val="auto"/>
        </w:rPr>
        <w:t>THIS EIGHTH AMENDMENT (the “Amendment”), effective as of this 19th day of November, 2019 is made by LPL Financial LLC (“Subscriber”), at 75 State Street, 22nd Floor, Boston, MA 02109 and Refinitiv US LLC (“Refinitiv”), at 3 Times Square, New York, NY 10036 to that certain BETAHost Master Subscription Agreement by and between the parties dated December 30, 2008, (as amended, the “Agreement”).</w:t>
      </w:r>
    </w:p>
    <w:p>
      <w:pPr>
        <w:spacing w:after="0" w:line="18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left="80" w:right="200" w:firstLine="621"/>
        <w:spacing w:after="0" w:line="263" w:lineRule="auto"/>
        <w:rPr>
          <w:sz w:val="20"/>
          <w:szCs w:val="20"/>
          <w:color w:val="auto"/>
        </w:rPr>
      </w:pPr>
      <w:r>
        <w:rPr>
          <w:rFonts w:ascii="Arial" w:cs="Arial" w:eastAsia="Arial" w:hAnsi="Arial"/>
          <w:sz w:val="22"/>
          <w:szCs w:val="22"/>
          <w:color w:val="auto"/>
        </w:rPr>
        <w:t>WHEREAS, the parties entered into the Agreement for Refinitiv to provide to Subscriber a data processing service called BETAHost; and</w:t>
      </w:r>
    </w:p>
    <w:p>
      <w:pPr>
        <w:spacing w:after="0" w:line="175" w:lineRule="exact"/>
        <w:rPr>
          <w:sz w:val="20"/>
          <w:szCs w:val="20"/>
          <w:color w:val="auto"/>
        </w:rPr>
      </w:pPr>
    </w:p>
    <w:p>
      <w:pPr>
        <w:ind w:left="80" w:right="340" w:firstLine="513"/>
        <w:spacing w:after="0" w:line="343" w:lineRule="auto"/>
        <w:rPr>
          <w:sz w:val="20"/>
          <w:szCs w:val="20"/>
          <w:color w:val="auto"/>
        </w:rPr>
      </w:pPr>
      <w:r>
        <w:rPr>
          <w:rFonts w:ascii="Arial" w:cs="Arial" w:eastAsia="Arial" w:hAnsi="Arial"/>
          <w:sz w:val="19"/>
          <w:szCs w:val="19"/>
          <w:color w:val="auto"/>
        </w:rPr>
        <w:t>WHEREAS, Refinitiv and Subscriber desire to extend the terms of the Agreement through March 31, 2020, to enable the parties to negotiate a new Agreement and new set of schedules with an extended term and other revised terms and conditions;</w:t>
      </w:r>
    </w:p>
    <w:p>
      <w:pPr>
        <w:spacing w:after="0" w:line="105" w:lineRule="exact"/>
        <w:rPr>
          <w:sz w:val="20"/>
          <w:szCs w:val="20"/>
          <w:color w:val="auto"/>
        </w:rPr>
      </w:pPr>
    </w:p>
    <w:p>
      <w:pPr>
        <w:ind w:left="80" w:right="420" w:firstLine="621"/>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20" w:hanging="544"/>
        <w:spacing w:after="0"/>
        <w:tabs>
          <w:tab w:leader="none" w:pos="62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term of the Agreement shall continue and remain in effect through March 31, 2020, without a change in Fees.</w:t>
      </w:r>
    </w:p>
    <w:p>
      <w:pPr>
        <w:spacing w:after="0" w:line="231" w:lineRule="exact"/>
        <w:rPr>
          <w:rFonts w:ascii="Arial" w:cs="Arial" w:eastAsia="Arial" w:hAnsi="Arial"/>
          <w:sz w:val="21"/>
          <w:szCs w:val="21"/>
          <w:color w:val="auto"/>
        </w:rPr>
      </w:pPr>
    </w:p>
    <w:p>
      <w:pPr>
        <w:ind w:left="620" w:right="300" w:hanging="531"/>
        <w:spacing w:after="0" w:line="312" w:lineRule="auto"/>
        <w:tabs>
          <w:tab w:leader="none" w:pos="6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Provided that the parties renew the Agreement for a period mutually agreed upon between the Parties on or before March 31, 2020, Refinitiv hereby waives its right to auto extend the Agreement from December 1, 2018 to March 31, 2020, at charges equal to 105% of the current charges now in effect, in accordance with the Agreement.</w:t>
      </w:r>
    </w:p>
    <w:p>
      <w:pPr>
        <w:spacing w:after="0" w:line="133" w:lineRule="exact"/>
        <w:rPr>
          <w:rFonts w:ascii="Arial" w:cs="Arial" w:eastAsia="Arial" w:hAnsi="Arial"/>
          <w:sz w:val="19"/>
          <w:szCs w:val="19"/>
          <w:color w:val="auto"/>
        </w:rPr>
      </w:pPr>
    </w:p>
    <w:p>
      <w:pPr>
        <w:ind w:left="620" w:right="160"/>
        <w:spacing w:after="0" w:line="302" w:lineRule="auto"/>
        <w:rPr>
          <w:rFonts w:ascii="Arial" w:cs="Arial" w:eastAsia="Arial" w:hAnsi="Arial"/>
          <w:sz w:val="19"/>
          <w:szCs w:val="19"/>
          <w:color w:val="auto"/>
        </w:rPr>
      </w:pPr>
      <w:r>
        <w:rPr>
          <w:rFonts w:ascii="Arial" w:cs="Arial" w:eastAsia="Arial" w:hAnsi="Arial"/>
          <w:sz w:val="19"/>
          <w:szCs w:val="19"/>
          <w:color w:val="auto"/>
        </w:rPr>
        <w:t>If the parties do not enter into such extension by or before March 31, 2020, (i) the waiver set forth in the prior paragraph shall be void, (ii) the Agreement shall continue without regard to this Amendment, and (iii) as of March 31, 2020, Subscriber shall be obligated to pay the contractually required charges (105% of current charges as of November 30, 2018) for the period between December 1, 2018, and March 31, 2020, and thereafter in accordance with the Agreement.</w:t>
      </w:r>
    </w:p>
    <w:p>
      <w:pPr>
        <w:spacing w:after="0" w:line="142" w:lineRule="exact"/>
        <w:rPr>
          <w:rFonts w:ascii="Arial" w:cs="Arial" w:eastAsia="Arial" w:hAnsi="Arial"/>
          <w:sz w:val="19"/>
          <w:szCs w:val="19"/>
          <w:color w:val="auto"/>
        </w:rPr>
      </w:pPr>
    </w:p>
    <w:p>
      <w:pPr>
        <w:ind w:left="420" w:hanging="331"/>
        <w:spacing w:after="0"/>
        <w:tabs>
          <w:tab w:leader="none" w:pos="420" w:val="left"/>
        </w:tabs>
        <w:numPr>
          <w:ilvl w:val="1"/>
          <w:numId w:val="94"/>
        </w:numPr>
        <w:rPr>
          <w:rFonts w:ascii="Arial" w:cs="Arial" w:eastAsia="Arial" w:hAnsi="Arial"/>
          <w:sz w:val="22"/>
          <w:szCs w:val="22"/>
          <w:color w:val="auto"/>
        </w:rPr>
      </w:pPr>
      <w:r>
        <w:rPr>
          <w:rFonts w:ascii="Arial" w:cs="Arial" w:eastAsia="Arial" w:hAnsi="Arial"/>
          <w:sz w:val="22"/>
          <w:szCs w:val="22"/>
          <w:color w:val="auto"/>
        </w:rPr>
        <w:t>As amended hereby, the Agreement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10.24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Made and executed this ___ day of ______</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Refinitiv US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BETA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74384936_1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80663144_2</w:t>
      </w:r>
    </w:p>
    <w:p>
      <w:pPr>
        <w:sectPr>
          <w:pgSz w:w="11900" w:h="16838" w:orient="portrait"/>
          <w:cols w:equalWidth="0" w:num="1">
            <w:col w:w="11420"/>
          </w:cols>
          <w:pgMar w:left="240" w:top="115" w:right="239" w:bottom="1440" w:gutter="0" w:footer="0" w:header="0"/>
        </w:sectPr>
      </w:pPr>
    </w:p>
    <w:bookmarkStart w:id="138" w:name="page139"/>
    <w:bookmarkEnd w:id="138"/>
    <w:tbl>
      <w:tblPr>
        <w:tblLayout w:type="fixed"/>
        <w:tblInd w:w="542" w:type="dxa"/>
        <w:tblCellMar>
          <w:top w:w="0" w:type="dxa"/>
          <w:left w:w="0" w:type="dxa"/>
          <w:bottom w:w="0" w:type="dxa"/>
          <w:right w:w="0" w:type="dxa"/>
        </w:tblCellMar>
      </w:tblPr>
      <w:tr>
        <w:trPr>
          <w:trHeight w:val="256"/>
        </w:trPr>
        <w:tc>
          <w:tcPr>
            <w:tcW w:w="136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820" w:type="dxa"/>
            <w:vAlign w:val="bottom"/>
            <w:gridSpan w:val="2"/>
          </w:tcPr>
          <w:p>
            <w:pPr>
              <w:ind w:left="2800"/>
              <w:spacing w:after="0"/>
              <w:rPr>
                <w:sz w:val="20"/>
                <w:szCs w:val="20"/>
                <w:color w:val="auto"/>
              </w:rPr>
            </w:pPr>
            <w:r>
              <w:rPr>
                <w:rFonts w:ascii="Arial" w:cs="Arial" w:eastAsia="Arial" w:hAnsi="Arial"/>
                <w:sz w:val="20"/>
                <w:szCs w:val="20"/>
                <w:b w:val="1"/>
                <w:bCs w:val="1"/>
                <w:color w:val="auto"/>
                <w:w w:val="89"/>
              </w:rPr>
              <w:t>Exhibit 21.1</w:t>
            </w:r>
          </w:p>
        </w:tc>
      </w:tr>
      <w:tr>
        <w:trPr>
          <w:trHeight w:val="459"/>
        </w:trPr>
        <w:tc>
          <w:tcPr>
            <w:tcW w:w="1360" w:type="dxa"/>
            <w:vAlign w:val="bottom"/>
          </w:tcPr>
          <w:p>
            <w:pPr>
              <w:spacing w:after="0"/>
              <w:rPr>
                <w:sz w:val="24"/>
                <w:szCs w:val="24"/>
                <w:color w:val="auto"/>
              </w:rPr>
            </w:pPr>
          </w:p>
        </w:tc>
        <w:tc>
          <w:tcPr>
            <w:tcW w:w="5700" w:type="dxa"/>
            <w:vAlign w:val="bottom"/>
            <w:gridSpan w:val="2"/>
          </w:tcPr>
          <w:p>
            <w:pPr>
              <w:ind w:left="2720"/>
              <w:spacing w:after="0"/>
              <w:rPr>
                <w:sz w:val="20"/>
                <w:szCs w:val="20"/>
                <w:color w:val="auto"/>
              </w:rPr>
            </w:pPr>
            <w:r>
              <w:rPr>
                <w:rFonts w:ascii="Arial" w:cs="Arial" w:eastAsia="Arial" w:hAnsi="Arial"/>
                <w:sz w:val="20"/>
                <w:szCs w:val="20"/>
                <w:b w:val="1"/>
                <w:bCs w:val="1"/>
                <w:color w:val="auto"/>
              </w:rPr>
              <w:t>Subsidiaries of Registrant</w:t>
            </w:r>
          </w:p>
        </w:tc>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5"/>
        </w:trPr>
        <w:tc>
          <w:tcPr>
            <w:tcW w:w="1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20" w:type="dxa"/>
            <w:vAlign w:val="bottom"/>
            <w:gridSpan w:val="2"/>
          </w:tcPr>
          <w:p>
            <w:pPr>
              <w:spacing w:after="0"/>
              <w:rPr>
                <w:sz w:val="24"/>
                <w:szCs w:val="24"/>
                <w:color w:val="auto"/>
              </w:rPr>
            </w:pPr>
          </w:p>
        </w:tc>
      </w:tr>
      <w:tr>
        <w:trPr>
          <w:trHeight w:val="218"/>
        </w:trPr>
        <w:tc>
          <w:tcPr>
            <w:tcW w:w="1360" w:type="dxa"/>
            <w:vAlign w:val="bottom"/>
            <w:tcBorders>
              <w:top w:val="single" w:sz="8" w:color="auto"/>
              <w:left w:val="single" w:sz="8" w:color="auto"/>
              <w:right w:val="single" w:sz="8" w:color="auto"/>
            </w:tcBorders>
          </w:tcPr>
          <w:p>
            <w:pPr>
              <w:spacing w:after="0"/>
              <w:rPr>
                <w:sz w:val="18"/>
                <w:szCs w:val="18"/>
                <w:color w:val="auto"/>
              </w:rPr>
            </w:pPr>
          </w:p>
        </w:tc>
        <w:tc>
          <w:tcPr>
            <w:tcW w:w="394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3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Under Which the Subsidiary Does</w:t>
            </w:r>
          </w:p>
        </w:tc>
        <w:tc>
          <w:tcPr>
            <w:tcW w:w="500" w:type="dxa"/>
            <w:vAlign w:val="bottom"/>
          </w:tcPr>
          <w:p>
            <w:pPr>
              <w:spacing w:after="0"/>
              <w:rPr>
                <w:sz w:val="18"/>
                <w:szCs w:val="18"/>
                <w:color w:val="auto"/>
              </w:rPr>
            </w:pPr>
          </w:p>
        </w:tc>
      </w:tr>
      <w:tr>
        <w:trPr>
          <w:trHeight w:val="234"/>
        </w:trPr>
        <w:tc>
          <w:tcPr>
            <w:tcW w:w="13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Subsidiary</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Entity Name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Business</w:t>
            </w:r>
          </w:p>
        </w:tc>
        <w:tc>
          <w:tcPr>
            <w:tcW w:w="500" w:type="dxa"/>
            <w:vAlign w:val="bottom"/>
          </w:tcPr>
          <w:p>
            <w:pPr>
              <w:spacing w:after="0"/>
              <w:rPr>
                <w:sz w:val="20"/>
                <w:szCs w:val="20"/>
                <w:color w:val="auto"/>
              </w:rPr>
            </w:pPr>
          </w:p>
        </w:tc>
      </w:tr>
      <w:tr>
        <w:trPr>
          <w:trHeight w:val="27"/>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LPL Holdings,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Massachusetts</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LPL</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2.</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PTC Holdings,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Ohio</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PTC</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3.</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The Private Trust Company, N.A.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Ohio</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PTC</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4.</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LPL Financial LLC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California</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LPL, LPL Financial</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5.</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LPL Insurance Associates,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LPL, LPL Financial</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6.</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Fortigent Holdings Company,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Maryland</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Fortigent, LPL, LPL Financial</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7.</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Fortigent, LLC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Maryland</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Fortigent, LPL, LPL Financial</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8.</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AW Subsidiary,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AW Subsidiary</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9.</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AdvisoryWorld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California</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AdvisoryWorld</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10.</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LPL Employee Services, LLC**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LPL Employee Services</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11.</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Allen &amp; Company of Florida, LLC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Allen &amp; Company of Florida</w:t>
            </w:r>
          </w:p>
        </w:tc>
        <w:tc>
          <w:tcPr>
            <w:tcW w:w="500" w:type="dxa"/>
            <w:vAlign w:val="bottom"/>
          </w:tcPr>
          <w:p>
            <w:pPr>
              <w:spacing w:after="0"/>
              <w:rPr>
                <w:sz w:val="22"/>
                <w:szCs w:val="22"/>
                <w:color w:val="auto"/>
              </w:rPr>
            </w:pPr>
          </w:p>
        </w:tc>
      </w:tr>
      <w:tr>
        <w:trPr>
          <w:trHeight w:val="2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r>
    </w:tbl>
    <w:p>
      <w:pPr>
        <w:spacing w:after="0" w:line="91" w:lineRule="exact"/>
        <w:rPr>
          <w:sz w:val="20"/>
          <w:szCs w:val="20"/>
          <w:color w:val="auto"/>
        </w:rPr>
      </w:pPr>
    </w:p>
    <w:p>
      <w:pPr>
        <w:ind w:left="-8" w:right="5340" w:firstLine="8"/>
        <w:spacing w:after="0" w:line="373" w:lineRule="auto"/>
        <w:tabs>
          <w:tab w:leader="none" w:pos="1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All subsidiaries are wholly owned, directly or indirectly, by the Registrant. ** Holding companies.</w:t>
      </w:r>
    </w:p>
    <w:p>
      <w:pPr>
        <w:sectPr>
          <w:pgSz w:w="11900" w:h="16838" w:orient="portrait"/>
          <w:cols w:equalWidth="0" w:num="1">
            <w:col w:w="11412"/>
          </w:cols>
          <w:pgMar w:left="248" w:top="549"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23.1</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CONSENT OF INDEPENDENT REGISTERED PUBLIC ACCOUNTING FIRM</w:t>
      </w:r>
    </w:p>
    <w:p>
      <w:pPr>
        <w:spacing w:after="0" w:line="14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 333-151437, 333-172866, 333-183541 and 333-209730 on Form S-8 and Registration Statement No. 333-215989-01 on Form S-3 of our reports dated February 21, 2020, relating to the consolidated financial statements of LPL Financial Holdings Inc. and subsidiaries, and the effectiveness of LPL Financial Holdings Inc. and subsidiaries internal control over financial reporting, appearing in this Annual Report on Form 10-K of LPL Financial Holdings Inc. for the year ended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21, 2020</w:t>
      </w:r>
    </w:p>
    <w:p>
      <w:pPr>
        <w:sectPr>
          <w:pgSz w:w="11900" w:h="16838" w:orient="portrait"/>
          <w:cols w:equalWidth="0" w:num="1">
            <w:col w:w="11420"/>
          </w:cols>
          <w:pgMar w:left="240" w:top="1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117"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49"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Matthew J. Audette, certify that:</w:t>
      </w:r>
    </w:p>
    <w:p>
      <w:pPr>
        <w:spacing w:after="0" w:line="225"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320" w:right="260" w:hanging="312"/>
        <w:spacing w:after="0" w:line="256"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20" w:right="360" w:hanging="312"/>
        <w:spacing w:after="0" w:line="291" w:lineRule="auto"/>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20" w:hanging="312"/>
        <w:spacing w:after="0" w:line="256"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right="160" w:hanging="648"/>
        <w:spacing w:after="0" w:line="256"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500" w:hanging="648"/>
        <w:spacing w:after="0" w:line="256"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60" w:hanging="648"/>
        <w:spacing w:after="0" w:line="256"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240" w:hanging="648"/>
        <w:spacing w:after="0" w:line="256"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20" w:right="40" w:hanging="312"/>
        <w:spacing w:after="0" w:line="262"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right="120" w:hanging="648"/>
        <w:spacing w:after="0" w:line="262"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340" w:hanging="648"/>
        <w:spacing w:after="0" w:line="262"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49"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4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2019 as filed with the Securities and Exchange Commission (“SEC”) on the date hereof (the “Report”), I, Dan H. Arnold,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4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26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2019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8"/>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2"/>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4"/>
    </w:lvl>
  </w:abstractNum>
  <w:abstractNum w:abstractNumId="40">
    <w:nsid w:val="5F5E7FD0"/>
    <w:multiLevelType w:val="hybridMultilevel"/>
    <w:lvl w:ilvl="0">
      <w:lvlJc w:val="left"/>
      <w:lvlText w:val="%1."/>
      <w:numFmt w:val="decimal"/>
      <w:start w:val="5"/>
    </w:lvl>
  </w:abstractNum>
  <w:abstractNum w:abstractNumId="41">
    <w:nsid w:val="98A3148"/>
    <w:multiLevelType w:val="hybridMultilevel"/>
    <w:lvl w:ilvl="0">
      <w:lvlJc w:val="left"/>
      <w:lvlText w:val="%1."/>
      <w:numFmt w:val="decimal"/>
      <w:start w:val="6"/>
    </w:lvl>
  </w:abstractNum>
  <w:abstractNum w:abstractNumId="42">
    <w:nsid w:val="799D0247"/>
    <w:multiLevelType w:val="hybridMultilevel"/>
    <w:lvl w:ilvl="0">
      <w:lvlJc w:val="left"/>
      <w:lvlText w:val="%1."/>
      <w:numFmt w:val="decimal"/>
      <w:start w:val="7"/>
    </w:lvl>
  </w:abstractNum>
  <w:abstractNum w:abstractNumId="43">
    <w:nsid w:val="6B94764"/>
    <w:multiLevelType w:val="hybridMultilevel"/>
    <w:lvl w:ilvl="0">
      <w:lvlJc w:val="left"/>
      <w:lvlText w:val="%1."/>
      <w:numFmt w:val="decimal"/>
      <w:start w:val="8"/>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decimal"/>
      <w:start w:val="1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12"/>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decimal"/>
      <w:start w:val="14"/>
    </w:lvl>
  </w:abstractNum>
  <w:abstractNum w:abstractNumId="52">
    <w:nsid w:val="613EFDC5"/>
    <w:multiLevelType w:val="hybridMultilevel"/>
    <w:lvl w:ilvl="0">
      <w:lvlJc w:val="left"/>
      <w:lvlText w:val="%1."/>
      <w:numFmt w:val="decimal"/>
      <w:start w:val="15"/>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6"/>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17"/>
    </w:lvl>
  </w:abstractNum>
  <w:abstractNum w:abstractNumId="57">
    <w:nsid w:val="8F2B15E"/>
    <w:multiLevelType w:val="hybridMultilevel"/>
    <w:lvl w:ilvl="0">
      <w:lvlJc w:val="left"/>
      <w:lvlText w:val="%1."/>
      <w:numFmt w:val="decimal"/>
      <w:start w:val="18"/>
    </w:lvl>
  </w:abstractNum>
  <w:abstractNum w:abstractNumId="58">
    <w:nsid w:val="1A32234B"/>
    <w:multiLevelType w:val="hybridMultilevel"/>
    <w:lvl w:ilvl="0">
      <w:lvlJc w:val="left"/>
      <w:lvlText w:val="%1."/>
      <w:numFmt w:val="decimal"/>
      <w:start w:val="19"/>
    </w:lvl>
  </w:abstractNum>
  <w:abstractNum w:abstractNumId="59">
    <w:nsid w:val="3B0FD379"/>
    <w:multiLevelType w:val="hybridMultilevel"/>
    <w:lvl w:ilvl="0">
      <w:lvlJc w:val="left"/>
      <w:lvlText w:val="%1."/>
      <w:numFmt w:val="decimal"/>
      <w:start w:val="20"/>
    </w:lvl>
  </w:abstractNum>
  <w:abstractNum w:abstractNumId="60">
    <w:nsid w:val="68EB2F63"/>
    <w:multiLevelType w:val="hybridMultilevel"/>
    <w:lvl w:ilvl="0">
      <w:lvlJc w:val="left"/>
      <w:lvlText w:val="%1."/>
      <w:numFmt w:val="decimal"/>
      <w:start w:val="21"/>
    </w:lvl>
  </w:abstractNum>
  <w:abstractNum w:abstractNumId="61">
    <w:nsid w:val="4962813B"/>
    <w:multiLevelType w:val="hybridMultilevel"/>
    <w:lvl w:ilvl="0">
      <w:lvlJc w:val="left"/>
      <w:lvlText w:val="%1."/>
      <w:numFmt w:val="decimal"/>
      <w:start w:val="22"/>
    </w:lvl>
  </w:abstractNum>
  <w:abstractNum w:abstractNumId="62">
    <w:nsid w:val="60B6DF70"/>
    <w:multiLevelType w:val="hybridMultilevel"/>
    <w:lvl w:ilvl="0">
      <w:lvlJc w:val="left"/>
      <w:lvlText w:val="%1."/>
      <w:numFmt w:val="decimal"/>
      <w:start w:val="23"/>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1."/>
      <w:numFmt w:val="decimal"/>
      <w:start w:val="1"/>
    </w:lvl>
    <w:lvl w:ilvl="1">
      <w:lvlJc w:val="left"/>
      <w:lvlText w:val="(%2)"/>
      <w:numFmt w:val="lowerLetter"/>
      <w:start w:val="1"/>
    </w:lvl>
  </w:abstractNum>
  <w:abstractNum w:abstractNumId="68">
    <w:nsid w:val="100F59DC"/>
    <w:multiLevelType w:val="hybridMultilevel"/>
    <w:lvl w:ilvl="0">
      <w:lvlJc w:val="left"/>
      <w:lvlText w:val="%1"/>
      <w:numFmt w:val="decimal"/>
      <w:start w:val="1"/>
    </w:lvl>
    <w:lvl w:ilvl="1">
      <w:lvlJc w:val="left"/>
      <w:lvlText w:val="(%2)"/>
      <w:numFmt w:val="lowerLetter"/>
      <w:start w:val="3"/>
    </w:lvl>
  </w:abstractNum>
  <w:abstractNum w:abstractNumId="69">
    <w:nsid w:val="7FB7E0AA"/>
    <w:multiLevelType w:val="hybridMultilevel"/>
    <w:lvl w:ilvl="0">
      <w:lvlJc w:val="left"/>
      <w:lvlText w:val="%1."/>
      <w:numFmt w:val="decimal"/>
      <w:start w:val="3"/>
    </w:lvl>
    <w:lvl w:ilvl="1">
      <w:lvlJc w:val="left"/>
      <w:lvlText w:val="(%2)"/>
      <w:numFmt w:val="lowerLetter"/>
      <w:start w:val="1"/>
    </w:lvl>
  </w:abstractNum>
  <w:abstractNum w:abstractNumId="70">
    <w:nsid w:val="6EB5BD4"/>
    <w:multiLevelType w:val="hybridMultilevel"/>
    <w:lvl w:ilvl="0">
      <w:lvlJc w:val="left"/>
      <w:lvlText w:val="%1"/>
      <w:numFmt w:val="decimal"/>
      <w:start w:val="1"/>
    </w:lvl>
    <w:lvl w:ilvl="1">
      <w:lvlJc w:val="left"/>
      <w:lvlText w:val="(%2)"/>
      <w:numFmt w:val="lowerLetter"/>
      <w:start w:val="4"/>
    </w:lvl>
  </w:abstractNum>
  <w:abstractNum w:abstractNumId="71">
    <w:nsid w:val="6F6DD9AC"/>
    <w:multiLevelType w:val="hybridMultilevel"/>
    <w:lvl w:ilvl="0">
      <w:lvlJc w:val="left"/>
      <w:lvlText w:val="%1."/>
      <w:numFmt w:val="decimal"/>
      <w:start w:val="5"/>
    </w:lvl>
    <w:lvl w:ilvl="1">
      <w:lvlJc w:val="left"/>
      <w:lvlText w:val="(%2)"/>
      <w:numFmt w:val="lowerLetter"/>
      <w:start w:val="1"/>
    </w:lvl>
  </w:abstractNum>
  <w:abstractNum w:abstractNumId="72">
    <w:nsid w:val="94211F2"/>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3">
    <w:nsid w:val="885E1B"/>
    <w:multiLevelType w:val="hybridMultilevel"/>
    <w:lvl w:ilvl="0">
      <w:lvlJc w:val="left"/>
      <w:lvlText w:val="%1"/>
      <w:numFmt w:val="lowerLetter"/>
      <w:start w:val="1"/>
    </w:lvl>
    <w:lvl w:ilvl="1">
      <w:lvlJc w:val="left"/>
      <w:lvlText w:val="(%2)"/>
      <w:numFmt w:val="decimal"/>
      <w:start w:val="2"/>
    </w:lvl>
  </w:abstractNum>
  <w:abstractNum w:abstractNumId="74">
    <w:nsid w:val="76272110"/>
    <w:multiLevelType w:val="hybridMultilevel"/>
    <w:lvl w:ilvl="0">
      <w:lvlJc w:val="left"/>
      <w:lvlText w:val="(%1)"/>
      <w:numFmt w:val="lowerLetter"/>
      <w:start w:val="2"/>
    </w:lvl>
    <w:lvl w:ilvl="1">
      <w:lvlJc w:val="left"/>
      <w:lvlText w:val="(%2)"/>
      <w:numFmt w:val="decimal"/>
      <w:start w:val="1"/>
    </w:lvl>
  </w:abstractNum>
  <w:abstractNum w:abstractNumId="75">
    <w:nsid w:val="4C04A8AF"/>
    <w:multiLevelType w:val="hybridMultilevel"/>
    <w:lvl w:ilvl="0">
      <w:lvlJc w:val="left"/>
      <w:lvlText w:val="%1."/>
      <w:numFmt w:val="decimal"/>
      <w:start w:val="9"/>
    </w:lvl>
    <w:lvl w:ilvl="1">
      <w:lvlJc w:val="left"/>
      <w:lvlText w:val="(%2)"/>
      <w:numFmt w:val="lowerLetter"/>
      <w:start w:val="1"/>
    </w:lvl>
  </w:abstractNum>
  <w:abstractNum w:abstractNumId="76">
    <w:nsid w:val="1716703B"/>
    <w:multiLevelType w:val="hybridMultilevel"/>
    <w:lvl w:ilvl="0">
      <w:lvlJc w:val="left"/>
      <w:lvlText w:val="(%1)"/>
      <w:numFmt w:val="lowerLetter"/>
      <w:start w:val="2"/>
    </w:lvl>
  </w:abstractNum>
  <w:abstractNum w:abstractNumId="77">
    <w:nsid w:val="14E17E33"/>
    <w:multiLevelType w:val="hybridMultilevel"/>
    <w:lvl w:ilvl="0">
      <w:lvlJc w:val="left"/>
      <w:lvlText w:val="(%1)"/>
      <w:numFmt w:val="lowerLetter"/>
      <w:start w:val="5"/>
    </w:lvl>
  </w:abstractNum>
  <w:abstractNum w:abstractNumId="78">
    <w:nsid w:val="3222E7CD"/>
    <w:multiLevelType w:val="hybridMultilevel"/>
    <w:lvl w:ilvl="0">
      <w:lvlJc w:val="left"/>
      <w:lvlText w:val="%1"/>
      <w:numFmt w:val="decimal"/>
      <w:start w:val="1"/>
    </w:lvl>
    <w:lvl w:ilvl="1">
      <w:lvlJc w:val="left"/>
      <w:lvlText w:val="(%2)"/>
      <w:numFmt w:val="lowerLetter"/>
      <w:start w:val="8"/>
    </w:lvl>
  </w:abstractNum>
  <w:abstractNum w:abstractNumId="79">
    <w:nsid w:val="74DE0EE3"/>
    <w:multiLevelType w:val="hybridMultilevel"/>
    <w:lvl w:ilvl="0">
      <w:lvlJc w:val="left"/>
      <w:lvlText w:val="%1."/>
      <w:numFmt w:val="decimal"/>
      <w:start w:val="10"/>
    </w:lvl>
    <w:lvl w:ilvl="1">
      <w:lvlJc w:val="left"/>
      <w:lvlText w:val="(%2)"/>
      <w:numFmt w:val="lowerLetter"/>
      <w:start w:val="1"/>
    </w:lvl>
  </w:abstractNum>
  <w:abstractNum w:abstractNumId="80">
    <w:nsid w:val="68EBC550"/>
    <w:multiLevelType w:val="hybridMultilevel"/>
    <w:lvl w:ilvl="0">
      <w:lvlJc w:val="left"/>
      <w:lvlText w:val="%1."/>
      <w:numFmt w:val="decimal"/>
      <w:start w:val="11"/>
    </w:lvl>
    <w:lvl w:ilvl="1">
      <w:lvlJc w:val="left"/>
      <w:lvlText w:val="(%2)"/>
      <w:numFmt w:val="lowerLetter"/>
      <w:start w:val="1"/>
    </w:lvl>
  </w:abstractNum>
  <w:abstractNum w:abstractNumId="81">
    <w:nsid w:val="2DF6D648"/>
    <w:multiLevelType w:val="hybridMultilevel"/>
    <w:lvl w:ilvl="0">
      <w:lvlJc w:val="left"/>
      <w:lvlText w:val="%1"/>
      <w:numFmt w:val="decimal"/>
      <w:start w:val="1"/>
    </w:lvl>
    <w:lvl w:ilvl="1">
      <w:lvlJc w:val="left"/>
      <w:lvlText w:val="(%2)"/>
      <w:numFmt w:val="lowerLetter"/>
      <w:start w:val="3"/>
    </w:lvl>
  </w:abstractNum>
  <w:abstractNum w:abstractNumId="82">
    <w:nsid w:val="46B7D447"/>
    <w:multiLevelType w:val="hybridMultilevel"/>
    <w:lvl w:ilvl="0">
      <w:lvlJc w:val="left"/>
      <w:lvlText w:val="%1."/>
      <w:numFmt w:val="decimal"/>
      <w:start w:val="12"/>
    </w:lvl>
    <w:lvl w:ilvl="1">
      <w:lvlJc w:val="left"/>
      <w:lvlText w:val="(%2)"/>
      <w:numFmt w:val="lowerLetter"/>
      <w:start w:val="1"/>
    </w:lvl>
  </w:abstractNum>
  <w:abstractNum w:abstractNumId="83">
    <w:nsid w:val="4A2AC315"/>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84">
    <w:nsid w:val="39EE015C"/>
    <w:multiLevelType w:val="hybridMultilevel"/>
    <w:lvl w:ilvl="0">
      <w:lvlJc w:val="left"/>
      <w:lvlText w:val="%1."/>
      <w:numFmt w:val="decimal"/>
      <w:start w:val="16"/>
    </w:lvl>
    <w:lvl w:ilvl="1">
      <w:lvlJc w:val="left"/>
      <w:lvlText w:val="(%2)"/>
      <w:numFmt w:val="lowerLetter"/>
      <w:start w:val="1"/>
    </w:lvl>
  </w:abstractNum>
  <w:abstractNum w:abstractNumId="85">
    <w:nsid w:val="57FC4FBB"/>
    <w:multiLevelType w:val="hybridMultilevel"/>
    <w:lvl w:ilvl="0">
      <w:lvlJc w:val="left"/>
      <w:lvlText w:val="(%1)"/>
      <w:numFmt w:val="lowerLetter"/>
      <w:start w:val="4"/>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
      <w:numFmt w:val="bullet"/>
      <w:start w:val="1"/>
    </w:lvl>
    <w:lvl w:ilvl="1">
      <w:lvlJc w:val="left"/>
      <w:lvlText w:val="%2."/>
      <w:numFmt w:val="decimal"/>
      <w:start w:val="1"/>
    </w:lvl>
  </w:abstractNum>
  <w:abstractNum w:abstractNumId="89">
    <w:nsid w:val="26F324BA"/>
    <w:multiLevelType w:val="hybridMultilevel"/>
    <w:lvl w:ilvl="0">
      <w:lvlJc w:val="left"/>
      <w:lvlText w:val="•"/>
      <w:numFmt w:val="bullet"/>
      <w:start w:val="1"/>
    </w:lvl>
    <w:lvl w:ilvl="1">
      <w:lvlJc w:val="left"/>
      <w:lvlText w:val="%2."/>
      <w:numFmt w:val="decimal"/>
      <w:start w:val="2"/>
    </w:lvl>
  </w:abstractNum>
  <w:abstractNum w:abstractNumId="90">
    <w:nsid w:val="7F01579B"/>
    <w:multiLevelType w:val="hybridMultilevel"/>
    <w:lvl w:ilvl="0">
      <w:lvlJc w:val="left"/>
      <w:lvlText w:val="%1."/>
      <w:numFmt w:val="decimal"/>
      <w:start w:val="4"/>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lvl w:ilvl="1">
      <w:lvlJc w:val="left"/>
      <w:lvlText w:val="%2."/>
      <w:numFmt w:val="decimal"/>
      <w:start w:val="2"/>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44" Type="http://schemas.openxmlformats.org/officeDocument/2006/relationships/image" Target="media/image7.png"/><Relationship Id="rId45" Type="http://schemas.openxmlformats.org/officeDocument/2006/relationships/image" Target="media/image8.png"/><Relationship Id="rId46" Type="http://schemas.openxmlformats.org/officeDocument/2006/relationships/image" Target="media/image9.png"/><Relationship Id="rId47" Type="http://schemas.openxmlformats.org/officeDocument/2006/relationships/image" Target="media/image10.png"/><Relationship Id="rId48" Type="http://schemas.openxmlformats.org/officeDocument/2006/relationships/image" Target="media/image11.png"/><Relationship Id="rId14" Type="http://schemas.openxmlformats.org/officeDocument/2006/relationships/hyperlink" Target="http://www.sec.gov/Archives/edgar/data/1397911/000119312517258590/d443810dex21.htm" TargetMode="External"/><Relationship Id="rId15" Type="http://schemas.openxmlformats.org/officeDocument/2006/relationships/hyperlink" Target="http://www.sec.gov/Archives/edgar/data/1397911/000095012310064557/b80825a2exv3w1.htm" TargetMode="External"/><Relationship Id="rId16" Type="http://schemas.openxmlformats.org/officeDocument/2006/relationships/hyperlink" Target="http://www.sec.gov/Archives/edgar/data/1397911/000119312512274621/d367583dex31.htm" TargetMode="External"/><Relationship Id="rId17" Type="http://schemas.openxmlformats.org/officeDocument/2006/relationships/hyperlink" Target="http://www.sec.gov/Archives/edgar/data/1397911/000139791114000094/a20140508exhibit31.htm" TargetMode="External"/><Relationship Id="rId18" Type="http://schemas.openxmlformats.org/officeDocument/2006/relationships/hyperlink" Target="http://www.sec.gov/Archives/edgar/data/1397911/000139791114000075/a20140312amendedandrestate.htm" TargetMode="External"/><Relationship Id="rId19" Type="http://schemas.openxmlformats.org/officeDocument/2006/relationships/hyperlink" Target="http://www.sec.gov/Archives/edgar/data/1397911/000119312517078986/d342717dex41.htm" TargetMode="External"/><Relationship Id="rId20" Type="http://schemas.openxmlformats.org/officeDocument/2006/relationships/hyperlink" Target="http://www.sec.gov/Archives/edgar/data/1397911/000119312517290595/d631060dex41.htm" TargetMode="External"/><Relationship Id="rId21" Type="http://schemas.openxmlformats.org/officeDocument/2006/relationships/hyperlink" Target="http://www.sec.gov/Archives/edgar/data/1397911/000119312519290082/d828451dex41.htm" TargetMode="External"/><Relationship Id="rId22" Type="http://schemas.openxmlformats.org/officeDocument/2006/relationships/hyperlink" Target="http://www.sec.gov/Archives/edgar/data/1397911/000095012310064557/b80825a2exv10w10.htm" TargetMode="External"/><Relationship Id="rId23" Type="http://schemas.openxmlformats.org/officeDocument/2006/relationships/hyperlink" Target="http://www.sec.gov/Archives/edgar/data/1397911/000095012310064557/b80825a2exv10w19.htm" TargetMode="External"/><Relationship Id="rId24" Type="http://schemas.openxmlformats.org/officeDocument/2006/relationships/hyperlink" Target="http://www.sec.gov/Archives/edgar/data/1397911/000139791113000012/exhibit10212012.htm" TargetMode="External"/><Relationship Id="rId25" Type="http://schemas.openxmlformats.org/officeDocument/2006/relationships/hyperlink" Target="http://www.sec.gov/Archives/edgar/data/1397911/000139791117000025/exhibit101320161231.htm" TargetMode="External"/><Relationship Id="rId26" Type="http://schemas.openxmlformats.org/officeDocument/2006/relationships/hyperlink" Target="http://www.sec.gov/Archives/edgar/data/1397911/000139791117000025/exhibit101420161231.htm" TargetMode="External"/><Relationship Id="rId27" Type="http://schemas.openxmlformats.org/officeDocument/2006/relationships/hyperlink" Target="http://www.sec.gov/Archives/edgar/data/1397911/000139791117000025/exhibit102120161231.htm" TargetMode="External"/><Relationship Id="rId28" Type="http://schemas.openxmlformats.org/officeDocument/2006/relationships/hyperlink" Target="http://www.sec.gov/Archives/edgar/data/1397911/000139791114000038/exhibit10182013.htm" TargetMode="External"/><Relationship Id="rId29" Type="http://schemas.openxmlformats.org/officeDocument/2006/relationships/hyperlink" Target="http://www.sec.gov/Archives/edgar/data/1397911/000139791114000038/exhibit10192013.htm" TargetMode="External"/><Relationship Id="rId30" Type="http://schemas.openxmlformats.org/officeDocument/2006/relationships/hyperlink" Target="http://www.sec.gov/Archives/edgar/data/1397911/000139791114000038/exhibit10202013.htm" TargetMode="External"/><Relationship Id="rId31" Type="http://schemas.openxmlformats.org/officeDocument/2006/relationships/hyperlink" Target="http://www.sec.gov/Archives/edgar/data/1397911/000139791114000038/exhibit10212013.htm" TargetMode="External"/><Relationship Id="rId32" Type="http://schemas.openxmlformats.org/officeDocument/2006/relationships/hyperlink" Target="http://www.sec.gov/Archives/edgar/data/1397911/000139791115000122/a20150511exhibit101.htm" TargetMode="External"/><Relationship Id="rId33" Type="http://schemas.openxmlformats.org/officeDocument/2006/relationships/hyperlink" Target="http://www.sec.gov/Archives/edgar/data/1397911/000139791117000025/exhibit101920161231.htm" TargetMode="External"/><Relationship Id="rId34" Type="http://schemas.openxmlformats.org/officeDocument/2006/relationships/hyperlink" Target="http://www.sec.gov/Archives/edgar/data/1397911/000139791116000219/exhibit102520151231.htm" TargetMode="External"/><Relationship Id="rId35" Type="http://schemas.openxmlformats.org/officeDocument/2006/relationships/hyperlink" Target="http://www.sec.gov/Archives/edgar/data/1397911/000110465912023038/a12-8362_1ex10d1.htm" TargetMode="External"/><Relationship Id="rId36" Type="http://schemas.openxmlformats.org/officeDocument/2006/relationships/hyperlink" Target="http://www.sec.gov/Archives/edgar/data/1397911/000139791113000041/a20130513exhibit101.htm" TargetMode="External"/><Relationship Id="rId37" Type="http://schemas.openxmlformats.org/officeDocument/2006/relationships/hyperlink" Target="http://www.sec.gov/Archives/edgar/data/1397911/000139791114000144/exhibit10120140930.htm" TargetMode="External"/><Relationship Id="rId38" Type="http://schemas.openxmlformats.org/officeDocument/2006/relationships/hyperlink" Target="http://www.sec.gov/Archives/edgar/data/1397911/000139791116000219/exhibit102920151231.htm" TargetMode="External"/><Relationship Id="rId39" Type="http://schemas.openxmlformats.org/officeDocument/2006/relationships/hyperlink" Target="http://www.sec.gov/Archives/edgar/data/1397911/000119312517078986/d342717dex101.htm" TargetMode="External"/><Relationship Id="rId40" Type="http://schemas.openxmlformats.org/officeDocument/2006/relationships/hyperlink" Target="http://www.sec.gov/Archives/edgar/data/1397911/000139791117000158/exhibit10120170630.htm" TargetMode="External"/><Relationship Id="rId41" Type="http://schemas.openxmlformats.org/officeDocument/2006/relationships/hyperlink" Target="http://www.sec.gov/Archives/edgar/data/1397911/000119312517290595/d631060dex101.htm" TargetMode="External"/><Relationship Id="rId42" Type="http://schemas.openxmlformats.org/officeDocument/2006/relationships/hyperlink" Target="http://www.sec.gov/Archives/edgar/data/1397911/000139791119000119/exhibit10120190630.htm" TargetMode="External"/><Relationship Id="rId43" Type="http://schemas.openxmlformats.org/officeDocument/2006/relationships/hyperlink" Target="http://www.sec.gov/Archives/edgar/data/1397911/000119312519290082/d8284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2020-02-21T15:13:21Z</dcterms:created>
  <dcterms:modified xsi:type="dcterms:W3CDTF">2020-02-21T15:13:21Z</dcterms:modified>
</cp:coreProperties>
</file>