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89" w:lineRule="exact"/>
        <w:rPr>
          <w:sz w:val="24"/>
          <w:szCs w:val="24"/>
          <w:color w:val="auto"/>
        </w:rPr>
      </w:pPr>
    </w:p>
    <w:p>
      <w:pPr>
        <w:ind w:left="1080" w:hanging="597"/>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8" w:lineRule="exact"/>
        <w:rPr>
          <w:sz w:val="24"/>
          <w:szCs w:val="24"/>
          <w:color w:val="auto"/>
        </w:rPr>
      </w:pPr>
    </w:p>
    <w:p>
      <w:pPr>
        <w:ind w:left="1080" w:hanging="59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3" w:lineRule="exact"/>
        <w:rPr>
          <w:sz w:val="24"/>
          <w:szCs w:val="24"/>
          <w:color w:val="auto"/>
        </w:rPr>
      </w:pPr>
    </w:p>
    <w:p>
      <w:pPr>
        <w:ind w:left="406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001-34963</w:t>
      </w:r>
    </w:p>
    <w:p>
      <w:pPr>
        <w:spacing w:after="0" w:line="12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LPL Financial Holdings Inc.</w:t>
      </w:r>
    </w:p>
    <w:p>
      <w:pPr>
        <w:spacing w:after="0" w:line="99" w:lineRule="exact"/>
        <w:rPr>
          <w:sz w:val="24"/>
          <w:szCs w:val="24"/>
          <w:color w:val="auto"/>
        </w:rPr>
      </w:pPr>
    </w:p>
    <w:p>
      <w:pPr>
        <w:jc w:val="center"/>
        <w:ind w:right="-7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58" w:lineRule="exact"/>
        <w:rPr>
          <w:sz w:val="24"/>
          <w:szCs w:val="24"/>
          <w:color w:val="auto"/>
        </w:rPr>
      </w:pPr>
    </w:p>
    <w:tbl>
      <w:tblPr>
        <w:tblLayout w:type="fixed"/>
        <w:tblInd w:w="1700" w:type="dxa"/>
        <w:tblCellMar>
          <w:top w:w="0" w:type="dxa"/>
          <w:left w:w="0" w:type="dxa"/>
          <w:bottom w:w="0" w:type="dxa"/>
          <w:right w:w="0" w:type="dxa"/>
        </w:tblCellMar>
      </w:tblPr>
      <w:tr>
        <w:trPr>
          <w:trHeight w:val="239"/>
        </w:trPr>
        <w:tc>
          <w:tcPr>
            <w:tcW w:w="4260" w:type="dxa"/>
            <w:vAlign w:val="bottom"/>
          </w:tcPr>
          <w:p>
            <w:pPr>
              <w:jc w:val="center"/>
              <w:ind w:right="1850"/>
              <w:spacing w:after="0"/>
              <w:rPr>
                <w:sz w:val="20"/>
                <w:szCs w:val="20"/>
                <w:color w:val="auto"/>
              </w:rPr>
            </w:pPr>
            <w:r>
              <w:rPr>
                <w:rFonts w:ascii="Arial" w:cs="Arial" w:eastAsia="Arial" w:hAnsi="Arial"/>
                <w:sz w:val="18"/>
                <w:szCs w:val="18"/>
                <w:b w:val="1"/>
                <w:bCs w:val="1"/>
                <w:color w:val="auto"/>
              </w:rPr>
              <w:t>Delaware</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rPr>
              <w:t>20-3717839</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rPr>
              <w:t>(State or other jurisdiction of</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(I.R.S. Employer</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w w:val="99"/>
              </w:rPr>
              <w:t>incorporation or organization)</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Identification No.)</w:t>
            </w:r>
          </w:p>
        </w:tc>
      </w:tr>
    </w:tbl>
    <w:p>
      <w:pPr>
        <w:spacing w:after="0" w:line="1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75 State Street, Boston, MA 02109</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(617) 423-3644</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66" w:lineRule="exact"/>
        <w:rPr>
          <w:sz w:val="24"/>
          <w:szCs w:val="24"/>
          <w:color w:val="auto"/>
        </w:rPr>
      </w:pPr>
    </w:p>
    <w:p>
      <w:pPr>
        <w:ind w:right="60" w:firstLine="27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07" w:lineRule="exact"/>
        <w:rPr>
          <w:sz w:val="24"/>
          <w:szCs w:val="24"/>
          <w:color w:val="auto"/>
        </w:rPr>
      </w:pPr>
    </w:p>
    <w:p>
      <w:pPr>
        <w:ind w:right="280" w:firstLine="27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x Yes o No</w:t>
      </w:r>
    </w:p>
    <w:p>
      <w:pPr>
        <w:spacing w:after="0" w:line="107" w:lineRule="exact"/>
        <w:rPr>
          <w:sz w:val="24"/>
          <w:szCs w:val="24"/>
          <w:color w:val="auto"/>
        </w:rPr>
      </w:pPr>
    </w:p>
    <w:p>
      <w:pPr>
        <w:jc w:val="both"/>
        <w:ind w:firstLine="27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9" w:lineRule="exact"/>
        <w:rPr>
          <w:sz w:val="24"/>
          <w:szCs w:val="24"/>
          <w:color w:val="auto"/>
        </w:rPr>
      </w:pPr>
    </w:p>
    <w:p>
      <w:pPr>
        <w:ind w:left="480"/>
        <w:spacing w:after="0"/>
        <w:tabs>
          <w:tab w:leader="none" w:pos="3280" w:val="left"/>
          <w:tab w:leader="none" w:pos="5780" w:val="left"/>
          <w:tab w:leader="none" w:pos="866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7"/>
          <w:szCs w:val="17"/>
          <w:color w:val="auto"/>
        </w:rPr>
        <w:t>Smaller reporting company o</w:t>
      </w:r>
    </w:p>
    <w:p>
      <w:pPr>
        <w:spacing w:after="0" w:line="82" w:lineRule="exact"/>
        <w:rPr>
          <w:sz w:val="24"/>
          <w:szCs w:val="24"/>
          <w:color w:val="auto"/>
        </w:rPr>
      </w:pPr>
    </w:p>
    <w:p>
      <w:pPr>
        <w:ind w:left="5240"/>
        <w:spacing w:after="0"/>
        <w:rPr>
          <w:sz w:val="20"/>
          <w:szCs w:val="20"/>
          <w:color w:val="auto"/>
        </w:rPr>
      </w:pPr>
      <w:r>
        <w:rPr>
          <w:rFonts w:ascii="Arial" w:cs="Arial" w:eastAsia="Arial" w:hAnsi="Arial"/>
          <w:sz w:val="14"/>
          <w:szCs w:val="14"/>
          <w:color w:val="auto"/>
        </w:rPr>
        <w:t>(Do not check if a smaller reporting company)</w:t>
      </w:r>
    </w:p>
    <w:p>
      <w:pPr>
        <w:spacing w:after="0" w:line="117" w:lineRule="exact"/>
        <w:rPr>
          <w:sz w:val="24"/>
          <w:szCs w:val="24"/>
          <w:color w:val="auto"/>
        </w:rPr>
      </w:pPr>
    </w:p>
    <w:p>
      <w:pPr>
        <w:ind w:right="980" w:firstLine="270"/>
        <w:spacing w:after="0" w:line="434"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 The number of shares of Common Stock, par value $0.001 per share, outstanding as of July 18, 2014 was 100,379,236.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35560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825" w:right="29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580" w:type="dxa"/>
            <w:vAlign w:val="bottom"/>
            <w:gridSpan w:val="23"/>
          </w:tcPr>
          <w:p>
            <w:pPr>
              <w:spacing w:after="0"/>
              <w:rPr>
                <w:sz w:val="20"/>
                <w:szCs w:val="20"/>
                <w:color w:val="auto"/>
              </w:rPr>
            </w:pPr>
            <w:r>
              <w:rPr>
                <w:rFonts w:ascii="Arial" w:cs="Arial" w:eastAsia="Arial" w:hAnsi="Arial"/>
                <w:sz w:val="14"/>
                <w:szCs w:val="14"/>
                <w:b w:val="1"/>
                <w:bCs w:val="1"/>
                <w:color w:val="auto"/>
              </w:rPr>
              <w:t>Item Number</w:t>
            </w:r>
          </w:p>
        </w:tc>
        <w:tc>
          <w:tcPr>
            <w:tcW w:w="8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Page</w:t>
            </w:r>
          </w:p>
        </w:tc>
      </w:tr>
      <w:tr>
        <w:trPr>
          <w:trHeight w:val="392"/>
        </w:trPr>
        <w:tc>
          <w:tcPr>
            <w:tcW w:w="10580" w:type="dxa"/>
            <w:vAlign w:val="bottom"/>
            <w:gridSpan w:val="2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180" w:type="dxa"/>
            <w:vAlign w:val="bottom"/>
            <w:tcBorders>
              <w:top w:val="single" w:sz="8" w:color="0000EE"/>
            </w:tcBorders>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1.</w:t>
              </w:r>
            </w:hyperlink>
          </w:p>
        </w:tc>
        <w:tc>
          <w:tcPr>
            <w:tcW w:w="2940" w:type="dxa"/>
            <w:vAlign w:val="bottom"/>
            <w:tcBorders>
              <w:top w:val="single" w:sz="8" w:color="0000EE"/>
            </w:tcBorders>
            <w:gridSpan w:val="12"/>
          </w:tcPr>
          <w:p>
            <w:pPr>
              <w:ind w:left="2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 (unaudited)</w:t>
              </w:r>
            </w:hyperlink>
          </w:p>
        </w:tc>
        <w:tc>
          <w:tcPr>
            <w:tcW w:w="746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80" w:type="dxa"/>
            <w:vAlign w:val="bottom"/>
            <w:gridSpan w:val="14"/>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Income (unaudited)</w:t>
              </w:r>
            </w:hyperlink>
          </w:p>
        </w:tc>
        <w:tc>
          <w:tcPr>
            <w:tcW w:w="5120" w:type="dxa"/>
            <w:vAlign w:val="bottom"/>
            <w:gridSpan w:val="7"/>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gridSpan w:val="17"/>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Financial Condition (unaudited)</w:t>
              </w:r>
            </w:hyperlink>
          </w:p>
        </w:tc>
        <w:tc>
          <w:tcPr>
            <w:tcW w:w="360" w:type="dxa"/>
            <w:vAlign w:val="bottom"/>
            <w:gridSpan w:val="2"/>
          </w:tcPr>
          <w:p>
            <w:pPr>
              <w:spacing w:after="0"/>
              <w:rPr>
                <w:sz w:val="24"/>
                <w:szCs w:val="24"/>
                <w:color w:val="auto"/>
              </w:rPr>
            </w:pPr>
          </w:p>
        </w:tc>
        <w:tc>
          <w:tcPr>
            <w:tcW w:w="3820" w:type="dxa"/>
            <w:vAlign w:val="bottom"/>
            <w:gridSpan w:val="2"/>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8"/>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Stockholders’ Equity (unaudited)</w:t>
              </w:r>
            </w:hyperlink>
          </w:p>
        </w:tc>
        <w:tc>
          <w:tcPr>
            <w:tcW w:w="408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w:t>
              </w:r>
            </w:hyperlink>
          </w:p>
        </w:tc>
        <w:tc>
          <w:tcPr>
            <w:tcW w:w="408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2.</w:t>
              </w:r>
            </w:hyperlink>
          </w:p>
        </w:tc>
        <w:tc>
          <w:tcPr>
            <w:tcW w:w="7660" w:type="dxa"/>
            <w:vAlign w:val="bottom"/>
            <w:gridSpan w:val="21"/>
          </w:tcPr>
          <w:p>
            <w:pPr>
              <w:ind w:left="20"/>
              <w:spacing w:after="0"/>
              <w:rPr>
                <w:rFonts w:ascii="Arial" w:cs="Arial" w:eastAsia="Arial" w:hAnsi="Arial"/>
                <w:sz w:val="18"/>
                <w:szCs w:val="18"/>
                <w:b w:val="1"/>
                <w:bCs w:val="1"/>
                <w:color w:val="0000EE"/>
                <w:w w:val="99"/>
              </w:rPr>
            </w:pPr>
            <w:hyperlink w:anchor="page23">
              <w:r>
                <w:rPr>
                  <w:rFonts w:ascii="Arial" w:cs="Arial" w:eastAsia="Arial" w:hAnsi="Arial"/>
                  <w:sz w:val="18"/>
                  <w:szCs w:val="18"/>
                  <w:b w:val="1"/>
                  <w:bCs w:val="1"/>
                  <w:color w:val="0000EE"/>
                  <w:w w:val="99"/>
                </w:rPr>
                <w:t>Management’s Discussion and Analysis of Financial Condition and Results of Operations</w:t>
              </w:r>
            </w:hyperlink>
          </w:p>
        </w:tc>
        <w:tc>
          <w:tcPr>
            <w:tcW w:w="274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60" w:type="dxa"/>
            <w:vAlign w:val="bottom"/>
            <w:gridSpan w:val="7"/>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3.</w:t>
              </w:r>
            </w:hyperlink>
          </w:p>
        </w:tc>
        <w:tc>
          <w:tcPr>
            <w:tcW w:w="5100" w:type="dxa"/>
            <w:vAlign w:val="bottom"/>
            <w:gridSpan w:val="13"/>
          </w:tcPr>
          <w:p>
            <w:pPr>
              <w:ind w:left="20"/>
              <w:spacing w:after="0"/>
              <w:rPr>
                <w:rFonts w:ascii="Arial" w:cs="Arial" w:eastAsia="Arial" w:hAnsi="Arial"/>
                <w:sz w:val="18"/>
                <w:szCs w:val="18"/>
                <w:b w:val="1"/>
                <w:bCs w:val="1"/>
                <w:color w:val="0000EE"/>
                <w:w w:val="99"/>
              </w:rPr>
            </w:pPr>
            <w:hyperlink w:anchor="page47">
              <w:r>
                <w:rPr>
                  <w:rFonts w:ascii="Arial" w:cs="Arial" w:eastAsia="Arial" w:hAnsi="Arial"/>
                  <w:sz w:val="18"/>
                  <w:szCs w:val="18"/>
                  <w:b w:val="1"/>
                  <w:bCs w:val="1"/>
                  <w:color w:val="0000EE"/>
                  <w:w w:val="99"/>
                </w:rPr>
                <w:t>Quantitative and Qualitative Disclosures About Market Risk</w:t>
              </w:r>
            </w:hyperlink>
          </w:p>
        </w:tc>
        <w:tc>
          <w:tcPr>
            <w:tcW w:w="2560" w:type="dxa"/>
            <w:vAlign w:val="bottom"/>
            <w:gridSpan w:val="8"/>
          </w:tcPr>
          <w:p>
            <w:pPr>
              <w:spacing w:after="0"/>
              <w:rPr>
                <w:sz w:val="24"/>
                <w:szCs w:val="24"/>
                <w:color w:val="auto"/>
              </w:rPr>
            </w:pPr>
          </w:p>
        </w:tc>
        <w:tc>
          <w:tcPr>
            <w:tcW w:w="274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4.</w:t>
              </w:r>
            </w:hyperlink>
          </w:p>
        </w:tc>
        <w:tc>
          <w:tcPr>
            <w:tcW w:w="5100" w:type="dxa"/>
            <w:vAlign w:val="bottom"/>
            <w:gridSpan w:val="13"/>
          </w:tcPr>
          <w:p>
            <w:pPr>
              <w:ind w:left="20"/>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Controls and Procedures</w:t>
              </w:r>
            </w:hyperlink>
          </w:p>
        </w:tc>
        <w:tc>
          <w:tcPr>
            <w:tcW w:w="5300" w:type="dxa"/>
            <w:vAlign w:val="bottom"/>
            <w:gridSpan w:val="9"/>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840" w:type="dxa"/>
            <w:vAlign w:val="bottom"/>
            <w:gridSpan w:val="10"/>
          </w:tcPr>
          <w:p>
            <w:pPr>
              <w:spacing w:after="0"/>
              <w:rPr>
                <w:rFonts w:ascii="Arial" w:cs="Arial" w:eastAsia="Arial" w:hAnsi="Arial"/>
                <w:sz w:val="18"/>
                <w:szCs w:val="18"/>
                <w:b w:val="1"/>
                <w:bCs w:val="1"/>
                <w:color w:val="0000EE"/>
                <w:w w:val="98"/>
              </w:rPr>
            </w:pPr>
            <w:hyperlink w:anchor="page51">
              <w:r>
                <w:rPr>
                  <w:rFonts w:ascii="Arial" w:cs="Arial" w:eastAsia="Arial" w:hAnsi="Arial"/>
                  <w:sz w:val="18"/>
                  <w:szCs w:val="18"/>
                  <w:b w:val="1"/>
                  <w:bCs w:val="1"/>
                  <w:color w:val="0000EE"/>
                  <w:w w:val="98"/>
                </w:rPr>
                <w:t>PART II — OTHER INFORMATION</w:t>
              </w:r>
            </w:hyperlink>
          </w:p>
        </w:tc>
        <w:tc>
          <w:tcPr>
            <w:tcW w:w="774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1.</w:t>
              </w:r>
            </w:hyperlink>
          </w:p>
        </w:tc>
        <w:tc>
          <w:tcPr>
            <w:tcW w:w="1620" w:type="dxa"/>
            <w:vAlign w:val="bottom"/>
            <w:gridSpan w:val="6"/>
          </w:tcPr>
          <w:p>
            <w:pPr>
              <w:ind w:left="20"/>
              <w:spacing w:after="0"/>
              <w:rPr>
                <w:rFonts w:ascii="Arial" w:cs="Arial" w:eastAsia="Arial" w:hAnsi="Arial"/>
                <w:sz w:val="18"/>
                <w:szCs w:val="18"/>
                <w:b w:val="1"/>
                <w:bCs w:val="1"/>
                <w:color w:val="0000EE"/>
                <w:w w:val="98"/>
              </w:rPr>
            </w:pPr>
            <w:hyperlink w:anchor="page52">
              <w:r>
                <w:rPr>
                  <w:rFonts w:ascii="Arial" w:cs="Arial" w:eastAsia="Arial" w:hAnsi="Arial"/>
                  <w:sz w:val="18"/>
                  <w:szCs w:val="18"/>
                  <w:b w:val="1"/>
                  <w:bCs w:val="1"/>
                  <w:color w:val="0000EE"/>
                  <w:w w:val="98"/>
                </w:rPr>
                <w:t>Legal Proceedings</w:t>
              </w:r>
            </w:hyperlink>
          </w:p>
        </w:tc>
        <w:tc>
          <w:tcPr>
            <w:tcW w:w="1040" w:type="dxa"/>
            <w:vAlign w:val="bottom"/>
            <w:gridSpan w:val="3"/>
          </w:tcPr>
          <w:p>
            <w:pPr>
              <w:spacing w:after="0"/>
              <w:rPr>
                <w:sz w:val="24"/>
                <w:szCs w:val="24"/>
                <w:color w:val="auto"/>
              </w:rPr>
            </w:pPr>
          </w:p>
        </w:tc>
        <w:tc>
          <w:tcPr>
            <w:tcW w:w="774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0" w:type="dxa"/>
            <w:vAlign w:val="bottom"/>
            <w:gridSpan w:val="7"/>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1A. Risk Factors</w:t>
              </w:r>
            </w:hyperlink>
          </w:p>
        </w:tc>
        <w:tc>
          <w:tcPr>
            <w:tcW w:w="8780" w:type="dxa"/>
            <w:vAlign w:val="bottom"/>
            <w:gridSpan w:val="16"/>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2.</w:t>
              </w:r>
            </w:hyperlink>
          </w:p>
        </w:tc>
        <w:tc>
          <w:tcPr>
            <w:tcW w:w="10400" w:type="dxa"/>
            <w:vAlign w:val="bottom"/>
            <w:gridSpan w:val="22"/>
          </w:tcPr>
          <w:p>
            <w:pPr>
              <w:ind w:left="20"/>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3.</w:t>
              </w:r>
            </w:hyperlink>
          </w:p>
        </w:tc>
        <w:tc>
          <w:tcPr>
            <w:tcW w:w="2760" w:type="dxa"/>
            <w:vAlign w:val="bottom"/>
            <w:gridSpan w:val="10"/>
          </w:tcPr>
          <w:p>
            <w:pPr>
              <w:ind w:left="20"/>
              <w:spacing w:after="0"/>
              <w:rPr>
                <w:rFonts w:ascii="Arial" w:cs="Arial" w:eastAsia="Arial" w:hAnsi="Arial"/>
                <w:sz w:val="18"/>
                <w:szCs w:val="18"/>
                <w:b w:val="1"/>
                <w:bCs w:val="1"/>
                <w:color w:val="0000EE"/>
                <w:w w:val="99"/>
              </w:rPr>
            </w:pPr>
            <w:hyperlink w:anchor="page52">
              <w:r>
                <w:rPr>
                  <w:rFonts w:ascii="Arial" w:cs="Arial" w:eastAsia="Arial" w:hAnsi="Arial"/>
                  <w:sz w:val="18"/>
                  <w:szCs w:val="18"/>
                  <w:b w:val="1"/>
                  <w:bCs w:val="1"/>
                  <w:color w:val="0000EE"/>
                  <w:w w:val="99"/>
                </w:rPr>
                <w:t>Defaults Upon Senior Securities</w:t>
              </w:r>
            </w:hyperlink>
          </w:p>
        </w:tc>
        <w:tc>
          <w:tcPr>
            <w:tcW w:w="2440" w:type="dxa"/>
            <w:vAlign w:val="bottom"/>
            <w:gridSpan w:val="4"/>
          </w:tcPr>
          <w:p>
            <w:pPr>
              <w:spacing w:after="0"/>
              <w:rPr>
                <w:sz w:val="24"/>
                <w:szCs w:val="24"/>
                <w:color w:val="auto"/>
              </w:rPr>
            </w:pPr>
          </w:p>
        </w:tc>
        <w:tc>
          <w:tcPr>
            <w:tcW w:w="5200" w:type="dxa"/>
            <w:vAlign w:val="bottom"/>
            <w:gridSpan w:val="8"/>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640" w:type="dxa"/>
            <w:vAlign w:val="bottom"/>
            <w:gridSpan w:val="1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4.</w:t>
              </w:r>
            </w:hyperlink>
          </w:p>
        </w:tc>
        <w:tc>
          <w:tcPr>
            <w:tcW w:w="2760" w:type="dxa"/>
            <w:vAlign w:val="bottom"/>
            <w:gridSpan w:val="10"/>
          </w:tcPr>
          <w:p>
            <w:pPr>
              <w:ind w:left="20"/>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Mine Safety Disclosures</w:t>
              </w:r>
            </w:hyperlink>
          </w:p>
        </w:tc>
        <w:tc>
          <w:tcPr>
            <w:tcW w:w="7640" w:type="dxa"/>
            <w:vAlign w:val="bottom"/>
            <w:gridSpan w:val="12"/>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320" w:type="dxa"/>
            <w:vAlign w:val="bottom"/>
            <w:gridSpan w:val="1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5.</w:t>
              </w:r>
            </w:hyperlink>
          </w:p>
        </w:tc>
        <w:tc>
          <w:tcPr>
            <w:tcW w:w="1540" w:type="dxa"/>
            <w:vAlign w:val="bottom"/>
            <w:gridSpan w:val="5"/>
          </w:tcPr>
          <w:p>
            <w:pPr>
              <w:ind w:left="20"/>
              <w:spacing w:after="0"/>
              <w:rPr>
                <w:rFonts w:ascii="Arial" w:cs="Arial" w:eastAsia="Arial" w:hAnsi="Arial"/>
                <w:sz w:val="18"/>
                <w:szCs w:val="18"/>
                <w:b w:val="1"/>
                <w:bCs w:val="1"/>
                <w:color w:val="0000EE"/>
                <w:w w:val="98"/>
              </w:rPr>
            </w:pPr>
            <w:hyperlink w:anchor="page53">
              <w:r>
                <w:rPr>
                  <w:rFonts w:ascii="Arial" w:cs="Arial" w:eastAsia="Arial" w:hAnsi="Arial"/>
                  <w:sz w:val="18"/>
                  <w:szCs w:val="18"/>
                  <w:b w:val="1"/>
                  <w:bCs w:val="1"/>
                  <w:color w:val="0000EE"/>
                  <w:w w:val="98"/>
                </w:rPr>
                <w:t>Other Information</w:t>
              </w:r>
            </w:hyperlink>
          </w:p>
        </w:tc>
        <w:tc>
          <w:tcPr>
            <w:tcW w:w="540" w:type="dxa"/>
            <w:vAlign w:val="bottom"/>
            <w:gridSpan w:val="2"/>
          </w:tcPr>
          <w:p>
            <w:pPr>
              <w:spacing w:after="0"/>
              <w:rPr>
                <w:sz w:val="24"/>
                <w:szCs w:val="24"/>
                <w:color w:val="auto"/>
              </w:rPr>
            </w:pPr>
          </w:p>
        </w:tc>
        <w:tc>
          <w:tcPr>
            <w:tcW w:w="8320" w:type="dxa"/>
            <w:vAlign w:val="bottom"/>
            <w:gridSpan w:val="15"/>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86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6.</w:t>
              </w:r>
            </w:hyperlink>
          </w:p>
        </w:tc>
        <w:tc>
          <w:tcPr>
            <w:tcW w:w="720" w:type="dxa"/>
            <w:vAlign w:val="bottom"/>
            <w:gridSpan w:val="2"/>
          </w:tcPr>
          <w:p>
            <w:pPr>
              <w:ind w:left="20"/>
              <w:spacing w:after="0"/>
              <w:rPr>
                <w:rFonts w:ascii="Arial" w:cs="Arial" w:eastAsia="Arial" w:hAnsi="Arial"/>
                <w:sz w:val="18"/>
                <w:szCs w:val="18"/>
                <w:b w:val="1"/>
                <w:bCs w:val="1"/>
                <w:color w:val="0000EE"/>
                <w:w w:val="97"/>
              </w:rPr>
            </w:pPr>
            <w:hyperlink w:anchor="page53">
              <w:r>
                <w:rPr>
                  <w:rFonts w:ascii="Arial" w:cs="Arial" w:eastAsia="Arial" w:hAnsi="Arial"/>
                  <w:sz w:val="18"/>
                  <w:szCs w:val="18"/>
                  <w:b w:val="1"/>
                  <w:bCs w:val="1"/>
                  <w:color w:val="0000EE"/>
                  <w:w w:val="97"/>
                </w:rPr>
                <w:t>Exhibits</w:t>
              </w:r>
            </w:hyperlink>
          </w:p>
        </w:tc>
        <w:tc>
          <w:tcPr>
            <w:tcW w:w="820" w:type="dxa"/>
            <w:vAlign w:val="bottom"/>
            <w:gridSpan w:val="3"/>
          </w:tcPr>
          <w:p>
            <w:pPr>
              <w:spacing w:after="0"/>
              <w:rPr>
                <w:sz w:val="24"/>
                <w:szCs w:val="24"/>
                <w:color w:val="auto"/>
              </w:rPr>
            </w:pPr>
          </w:p>
        </w:tc>
        <w:tc>
          <w:tcPr>
            <w:tcW w:w="8860" w:type="dxa"/>
            <w:vAlign w:val="bottom"/>
            <w:gridSpan w:val="17"/>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2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580" w:type="dxa"/>
            <w:vAlign w:val="bottom"/>
            <w:gridSpan w:val="23"/>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SIGNATURES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68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355"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required by the Securities Exchange Act of 1934, as amended (“Exchange Act”), with the Securities and Exchange Commission (“SEC”). You may read and copy any document we file with the SEC at the SEC’s public reference room located at 100 F Street, N.E., Washington, D.C. 20549, U.S.A. Please call the SEC at 1-800-SEC-0330 for further information on the public reference room. Our SEC filings are also available to the public from the SEC’s internet site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w:t>
      </w:r>
    </w:p>
    <w:p>
      <w:pPr>
        <w:spacing w:after="0" w:line="206"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 xml:space="preserve">On our internet site, </w:t>
      </w:r>
      <w:r>
        <w:rPr>
          <w:rFonts w:ascii="Arial" w:cs="Arial" w:eastAsia="Arial" w:hAnsi="Arial"/>
          <w:sz w:val="18"/>
          <w:szCs w:val="18"/>
          <w:u w:val="single" w:color="auto"/>
          <w:color w:val="auto"/>
        </w:rPr>
        <w:t>http://www.lpl.com</w:t>
      </w:r>
      <w:r>
        <w:rPr>
          <w:rFonts w:ascii="Arial" w:cs="Arial" w:eastAsia="Arial" w:hAnsi="Arial"/>
          <w:sz w:val="18"/>
          <w:szCs w:val="18"/>
          <w:color w:val="auto"/>
        </w:rPr>
        <w:t>, we post the following filings 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75 State Street, 24th Floor, Boston, MA 02109). The information contained or incorporated on our website is not a part of this Quarterly Report on Form 10-Q.</w:t>
      </w:r>
    </w:p>
    <w:p>
      <w:pPr>
        <w:spacing w:after="0" w:line="191" w:lineRule="exact"/>
        <w:rPr>
          <w:sz w:val="20"/>
          <w:szCs w:val="20"/>
          <w:color w:val="auto"/>
        </w:rPr>
      </w:pPr>
    </w:p>
    <w:p>
      <w:pPr>
        <w:ind w:right="920" w:firstLine="486"/>
        <w:spacing w:after="0" w:line="282" w:lineRule="auto"/>
        <w:rPr>
          <w:sz w:val="20"/>
          <w:szCs w:val="20"/>
          <w:color w:val="auto"/>
        </w:rPr>
      </w:pPr>
      <w:r>
        <w:rPr>
          <w:rFonts w:ascii="Arial" w:cs="Arial" w:eastAsia="Arial" w:hAnsi="Arial"/>
          <w:sz w:val="18"/>
          <w:szCs w:val="18"/>
          <w:i w:val="1"/>
          <w:iCs w:val="1"/>
          <w:color w:val="auto"/>
        </w:rPr>
        <w:t>When we use the terms “LPLFH,” “we,” “us,” “our” and the “Company,” we mean LPL Financial Holdings Inc., a Delaware corporation, and its consolidated subsidiaries, taken as a whole, unless the context otherwise indicates.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Statements in Item 2 - “Management's Discussion and Analysis of Financial Condition and Results of Operations” and other sections of this Quarterly Report on Form 10-Q regarding the Company's future financial and operating results, growth, business strategies, plans, liquidity, future share repurchases, and future dividends, including statements regarding projected savings, projected expenses, and anticipated improvements to the Company's operating model, services, and technology as a result of the Service Value Commitment, as well as any other statements that are not related to present facts or current conditions or that are not purely historical, constitute forward-looking statements. These forward-looking statements are based on the Company's historical performance and its plans, estimates, and expectations as of July 30, 2014. The words “anticipates,” “believes,” “expects,” “may,” “plans,” “predicts,” “will” and similar expressions are intended to identify forward-looking statements, although not all forward-looking statements contain these identifying words. Forward-looking statements are not guarantees that the future results, plans, intentions, or expectations expressed or implied by the Company will be achieved. Matters subject to forward-looking statements involve known and unknown risks and uncertainties, including economic, legislative, regulatory, competitive, and other factors, which may cause actual financial or operating results, levels of activity, or the timing of events, to be materially different than those expressed or implied by forward-looking statements. Important factors that could cause or contribute to such differences include: changes in general economic and financial market conditions, including retail investor sentiment; fluctuations in the value of brokerage and advisory assets; fluctuations in levels of net new advisory assets and the related impact on fee revenue; effects of competition in the financial services industry; changes in the number of the Company's financial advisors and institutions, and their ability to market effectively financial products and services; changes in interest rates and fees payable by banks participating in the Company's cash sweep program, including the Company's success in negotiating agreements with current or additional counterparties; changes in the growth of the Company’s fee-based business; the Company's success in integrating the operations of acquired businesses; execution of the Company's plans related to the Service Value Commitment, including the Company's ability to successfully transform and transition business processes to third party service providers; the Company's success in negotiating and developing commercial arrangements with third party service providers that will enable the Company to realize the service improvements and efficiencies expected to result from the Service Value Commitment; the performance of third party service providers to which business processes are transitioned from the Company; the Company's ability to control operating risks, information technology systems risks, cybersecurity risks, and sourcing risks; the effect of current, pending and future legislation, regulation and regulatory actions, including disciplinary actions imposed by federal and state securities regulators and self-regulatory organizations; and the other factors set forth in Part I, “Item 1A. Risk Factors” in the Company's 2013 Annual Report on Form 10-K, as may be amended or updated in our Quarterly Reports on Form 10-Q. Except as required by law, the Company specifically disclaims any obligation to update any forward-looking statements as a result of developments occurring after the date of this quarterly report, even if its estimates change, and you should not rely on statements contained herein as representing the Company's views as of any date subsequent to the date of this quarterly report.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57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REVENUES: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Commission</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535,177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508,399</w:t>
            </w:r>
          </w:p>
        </w:tc>
        <w:tc>
          <w:tcPr>
            <w:tcW w:w="3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1,069,751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993,971</w:t>
            </w:r>
          </w:p>
        </w:tc>
        <w:tc>
          <w:tcPr>
            <w:tcW w:w="0" w:type="dxa"/>
            <w:vAlign w:val="bottom"/>
          </w:tcPr>
          <w:p>
            <w:pPr>
              <w:spacing w:after="0"/>
              <w:rPr>
                <w:sz w:val="1"/>
                <w:szCs w:val="1"/>
                <w:color w:val="auto"/>
              </w:rPr>
            </w:pPr>
          </w:p>
        </w:tc>
      </w:tr>
      <w:tr>
        <w:trPr>
          <w:trHeight w:val="260"/>
        </w:trPr>
        <w:tc>
          <w:tcPr>
            <w:tcW w:w="5620" w:type="dxa"/>
            <w:vAlign w:val="bottom"/>
          </w:tcPr>
          <w:p>
            <w:pPr>
              <w:ind w:left="360"/>
              <w:spacing w:after="0"/>
              <w:rPr>
                <w:sz w:val="20"/>
                <w:szCs w:val="20"/>
                <w:color w:val="auto"/>
              </w:rPr>
            </w:pPr>
            <w:r>
              <w:rPr>
                <w:rFonts w:ascii="Arial" w:cs="Arial" w:eastAsia="Arial" w:hAnsi="Arial"/>
                <w:sz w:val="16"/>
                <w:szCs w:val="16"/>
                <w:color w:val="auto"/>
              </w:rPr>
              <w:t>Advisory</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330,394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298,094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657,647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579,320</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Asset-based</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118,537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107,505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233,211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211,271</w:t>
            </w:r>
          </w:p>
        </w:tc>
        <w:tc>
          <w:tcPr>
            <w:tcW w:w="0" w:type="dxa"/>
            <w:vAlign w:val="bottom"/>
          </w:tcPr>
          <w:p>
            <w:pPr>
              <w:spacing w:after="0"/>
              <w:rPr>
                <w:sz w:val="1"/>
                <w:szCs w:val="1"/>
                <w:color w:val="auto"/>
              </w:rPr>
            </w:pPr>
          </w:p>
        </w:tc>
      </w:tr>
      <w:tr>
        <w:trPr>
          <w:trHeight w:val="260"/>
        </w:trPr>
        <w:tc>
          <w:tcPr>
            <w:tcW w:w="5620" w:type="dxa"/>
            <w:vAlign w:val="bottom"/>
          </w:tcPr>
          <w:p>
            <w:pPr>
              <w:ind w:left="360"/>
              <w:spacing w:after="0"/>
              <w:rPr>
                <w:sz w:val="20"/>
                <w:szCs w:val="20"/>
                <w:color w:val="auto"/>
              </w:rPr>
            </w:pPr>
            <w:r>
              <w:rPr>
                <w:rFonts w:ascii="Arial" w:cs="Arial" w:eastAsia="Arial" w:hAnsi="Arial"/>
                <w:sz w:val="16"/>
                <w:szCs w:val="16"/>
                <w:color w:val="auto"/>
              </w:rPr>
              <w:t>Transaction and fee</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91,625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88,631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181,610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178,009</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 net of interest expense</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4,791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4,426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9,552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8,834</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12,205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11,865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28,389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22,311</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net revenues</w:t>
            </w:r>
          </w:p>
        </w:tc>
        <w:tc>
          <w:tcPr>
            <w:tcW w:w="2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1,092,729</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1,018,920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2,180,160</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1,993,716</w:t>
            </w:r>
          </w:p>
        </w:tc>
        <w:tc>
          <w:tcPr>
            <w:tcW w:w="0" w:type="dxa"/>
            <w:vAlign w:val="bottom"/>
          </w:tcPr>
          <w:p>
            <w:pPr>
              <w:spacing w:after="0"/>
              <w:rPr>
                <w:sz w:val="1"/>
                <w:szCs w:val="1"/>
                <w:color w:val="auto"/>
              </w:rPr>
            </w:pPr>
          </w:p>
        </w:tc>
      </w:tr>
      <w:tr>
        <w:trPr>
          <w:trHeight w:val="254"/>
        </w:trPr>
        <w:tc>
          <w:tcPr>
            <w:tcW w:w="5620" w:type="dxa"/>
            <w:vAlign w:val="bottom"/>
          </w:tcPr>
          <w:p>
            <w:pPr>
              <w:ind w:left="40"/>
              <w:spacing w:after="0"/>
              <w:rPr>
                <w:sz w:val="20"/>
                <w:szCs w:val="20"/>
                <w:color w:val="auto"/>
              </w:rPr>
            </w:pPr>
            <w:r>
              <w:rPr>
                <w:rFonts w:ascii="Arial" w:cs="Arial" w:eastAsia="Arial" w:hAnsi="Arial"/>
                <w:sz w:val="16"/>
                <w:szCs w:val="16"/>
                <w:color w:val="auto"/>
              </w:rPr>
              <w:t>EXPENSES: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Commission and advisory</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751,662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701,687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1,496,205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1,361,240</w:t>
            </w:r>
          </w:p>
        </w:tc>
        <w:tc>
          <w:tcPr>
            <w:tcW w:w="0" w:type="dxa"/>
            <w:vAlign w:val="bottom"/>
          </w:tcPr>
          <w:p>
            <w:pPr>
              <w:spacing w:after="0"/>
              <w:rPr>
                <w:sz w:val="1"/>
                <w:szCs w:val="1"/>
                <w:color w:val="auto"/>
              </w:rPr>
            </w:pPr>
          </w:p>
        </w:tc>
      </w:tr>
      <w:tr>
        <w:trPr>
          <w:trHeight w:val="260"/>
        </w:trPr>
        <w:tc>
          <w:tcPr>
            <w:tcW w:w="5620" w:type="dxa"/>
            <w:vAlign w:val="bottom"/>
          </w:tcPr>
          <w:p>
            <w:pPr>
              <w:ind w:left="360"/>
              <w:spacing w:after="0"/>
              <w:rPr>
                <w:sz w:val="20"/>
                <w:szCs w:val="20"/>
                <w:color w:val="auto"/>
              </w:rPr>
            </w:pPr>
            <w:r>
              <w:rPr>
                <w:rFonts w:ascii="Arial" w:cs="Arial" w:eastAsia="Arial" w:hAnsi="Arial"/>
                <w:sz w:val="16"/>
                <w:szCs w:val="16"/>
                <w:color w:val="auto"/>
              </w:rPr>
              <w:t>Compensation and benefits</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104,821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98,227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211,169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197,007</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Promotional</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29,729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24,804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56,912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48,469</w:t>
            </w:r>
          </w:p>
        </w:tc>
        <w:tc>
          <w:tcPr>
            <w:tcW w:w="0" w:type="dxa"/>
            <w:vAlign w:val="bottom"/>
          </w:tcPr>
          <w:p>
            <w:pPr>
              <w:spacing w:after="0"/>
              <w:rPr>
                <w:sz w:val="1"/>
                <w:szCs w:val="1"/>
                <w:color w:val="auto"/>
              </w:rPr>
            </w:pPr>
          </w:p>
        </w:tc>
      </w:tr>
      <w:tr>
        <w:trPr>
          <w:trHeight w:val="260"/>
        </w:trPr>
        <w:tc>
          <w:tcPr>
            <w:tcW w:w="56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23,818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20,245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46,099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40,019</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Occupancy and equipment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21,798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16,283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43,879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33,081</w:t>
            </w:r>
          </w:p>
        </w:tc>
        <w:tc>
          <w:tcPr>
            <w:tcW w:w="0" w:type="dxa"/>
            <w:vAlign w:val="bottom"/>
          </w:tcPr>
          <w:p>
            <w:pPr>
              <w:spacing w:after="0"/>
              <w:rPr>
                <w:sz w:val="1"/>
                <w:szCs w:val="1"/>
                <w:color w:val="auto"/>
              </w:rPr>
            </w:pPr>
          </w:p>
        </w:tc>
      </w:tr>
      <w:tr>
        <w:trPr>
          <w:trHeight w:val="260"/>
        </w:trPr>
        <w:tc>
          <w:tcPr>
            <w:tcW w:w="5620" w:type="dxa"/>
            <w:vAlign w:val="bottom"/>
          </w:tcPr>
          <w:p>
            <w:pPr>
              <w:ind w:left="360"/>
              <w:spacing w:after="0"/>
              <w:rPr>
                <w:sz w:val="20"/>
                <w:szCs w:val="20"/>
                <w:color w:val="auto"/>
              </w:rPr>
            </w:pPr>
            <w:r>
              <w:rPr>
                <w:rFonts w:ascii="Arial" w:cs="Arial" w:eastAsia="Arial" w:hAnsi="Arial"/>
                <w:sz w:val="16"/>
                <w:szCs w:val="16"/>
                <w:color w:val="auto"/>
              </w:rPr>
              <w:t>Professional services</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25,688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14,123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44,562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28,633</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Brokerage, clearing and exchange</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12,329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24,504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21,598</w:t>
            </w:r>
          </w:p>
        </w:tc>
        <w:tc>
          <w:tcPr>
            <w:tcW w:w="0" w:type="dxa"/>
            <w:vAlign w:val="bottom"/>
          </w:tcPr>
          <w:p>
            <w:pPr>
              <w:spacing w:after="0"/>
              <w:rPr>
                <w:sz w:val="1"/>
                <w:szCs w:val="1"/>
                <w:color w:val="auto"/>
              </w:rPr>
            </w:pPr>
          </w:p>
        </w:tc>
      </w:tr>
      <w:tr>
        <w:trPr>
          <w:trHeight w:val="260"/>
        </w:trPr>
        <w:tc>
          <w:tcPr>
            <w:tcW w:w="5620" w:type="dxa"/>
            <w:vAlign w:val="bottom"/>
          </w:tcPr>
          <w:p>
            <w:pPr>
              <w:ind w:left="360"/>
              <w:spacing w:after="0"/>
              <w:rPr>
                <w:sz w:val="20"/>
                <w:szCs w:val="20"/>
                <w:color w:val="auto"/>
              </w:rPr>
            </w:pPr>
            <w:r>
              <w:rPr>
                <w:rFonts w:ascii="Arial" w:cs="Arial" w:eastAsia="Arial" w:hAnsi="Arial"/>
                <w:sz w:val="16"/>
                <w:szCs w:val="16"/>
                <w:color w:val="auto"/>
              </w:rPr>
              <w:t>Communications and data processing</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10,463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10,892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21,122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20,384</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Regulatory fees and other</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8,550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7,686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16,961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15,105</w:t>
            </w:r>
          </w:p>
        </w:tc>
        <w:tc>
          <w:tcPr>
            <w:tcW w:w="0" w:type="dxa"/>
            <w:vAlign w:val="bottom"/>
          </w:tcPr>
          <w:p>
            <w:pPr>
              <w:spacing w:after="0"/>
              <w:rPr>
                <w:sz w:val="1"/>
                <w:szCs w:val="1"/>
                <w:color w:val="auto"/>
              </w:rPr>
            </w:pPr>
          </w:p>
        </w:tc>
      </w:tr>
      <w:tr>
        <w:trPr>
          <w:trHeight w:val="260"/>
        </w:trPr>
        <w:tc>
          <w:tcPr>
            <w:tcW w:w="5620" w:type="dxa"/>
            <w:vAlign w:val="bottom"/>
          </w:tcPr>
          <w:p>
            <w:pPr>
              <w:ind w:left="360"/>
              <w:spacing w:after="0"/>
              <w:rPr>
                <w:sz w:val="20"/>
                <w:szCs w:val="20"/>
                <w:color w:val="auto"/>
              </w:rPr>
            </w:pPr>
            <w:r>
              <w:rPr>
                <w:rFonts w:ascii="Arial" w:cs="Arial" w:eastAsia="Arial" w:hAnsi="Arial"/>
                <w:sz w:val="16"/>
                <w:szCs w:val="16"/>
                <w:color w:val="auto"/>
              </w:rPr>
              <w:t>Restructuring charges</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9,225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7,332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16,545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13,369</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10,571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10,682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17,740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16,569</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1,008,654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923,389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1,995,698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1,795,474</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Non-operating interest expense</w:t>
            </w: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12,914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12,667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25,754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24,827</w:t>
            </w:r>
          </w:p>
        </w:tc>
        <w:tc>
          <w:tcPr>
            <w:tcW w:w="0" w:type="dxa"/>
            <w:vAlign w:val="bottom"/>
          </w:tcPr>
          <w:p>
            <w:pPr>
              <w:spacing w:after="0"/>
              <w:rPr>
                <w:sz w:val="1"/>
                <w:szCs w:val="1"/>
                <w:color w:val="auto"/>
              </w:rPr>
            </w:pPr>
          </w:p>
        </w:tc>
      </w:tr>
      <w:tr>
        <w:trPr>
          <w:trHeight w:val="264"/>
        </w:trPr>
        <w:tc>
          <w:tcPr>
            <w:tcW w:w="5620" w:type="dxa"/>
            <w:vAlign w:val="bottom"/>
          </w:tcPr>
          <w:p>
            <w:pPr>
              <w:ind w:left="360"/>
              <w:spacing w:after="0"/>
              <w:rPr>
                <w:sz w:val="20"/>
                <w:szCs w:val="20"/>
                <w:color w:val="auto"/>
              </w:rPr>
            </w:pPr>
            <w:r>
              <w:rPr>
                <w:rFonts w:ascii="Arial" w:cs="Arial" w:eastAsia="Arial" w:hAnsi="Arial"/>
                <w:sz w:val="16"/>
                <w:szCs w:val="16"/>
                <w:color w:val="auto"/>
              </w:rPr>
              <w:t>Loss on extinguishment of debt</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7,962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7,962</w:t>
            </w:r>
          </w:p>
        </w:tc>
        <w:tc>
          <w:tcPr>
            <w:tcW w:w="0" w:type="dxa"/>
            <w:vAlign w:val="bottom"/>
          </w:tcPr>
          <w:p>
            <w:pPr>
              <w:spacing w:after="0"/>
              <w:rPr>
                <w:sz w:val="1"/>
                <w:szCs w:val="1"/>
                <w:color w:val="auto"/>
              </w:rPr>
            </w:pPr>
          </w:p>
        </w:tc>
      </w:tr>
      <w:tr>
        <w:trPr>
          <w:trHeight w:val="264"/>
        </w:trPr>
        <w:tc>
          <w:tcPr>
            <w:tcW w:w="56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expenses</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1,021,568</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944,018</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2,021,452</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1,828,263</w:t>
            </w:r>
          </w:p>
        </w:tc>
        <w:tc>
          <w:tcPr>
            <w:tcW w:w="0" w:type="dxa"/>
            <w:vAlign w:val="bottom"/>
          </w:tcPr>
          <w:p>
            <w:pPr>
              <w:spacing w:after="0"/>
              <w:rPr>
                <w:sz w:val="1"/>
                <w:szCs w:val="1"/>
                <w:color w:val="auto"/>
              </w:rPr>
            </w:pPr>
          </w:p>
        </w:tc>
      </w:tr>
      <w:tr>
        <w:trPr>
          <w:trHeight w:val="247"/>
        </w:trPr>
        <w:tc>
          <w:tcPr>
            <w:tcW w:w="5620" w:type="dxa"/>
            <w:vAlign w:val="bottom"/>
          </w:tcPr>
          <w:p>
            <w:pPr>
              <w:ind w:left="80"/>
              <w:spacing w:after="0"/>
              <w:rPr>
                <w:sz w:val="20"/>
                <w:szCs w:val="20"/>
                <w:color w:val="auto"/>
              </w:rPr>
            </w:pPr>
            <w:r>
              <w:rPr>
                <w:rFonts w:ascii="Arial" w:cs="Arial" w:eastAsia="Arial" w:hAnsi="Arial"/>
                <w:sz w:val="16"/>
                <w:szCs w:val="16"/>
                <w:color w:val="auto"/>
              </w:rPr>
              <w:t>INCOME BEFORE PROVISION FOR INCOME TAXES</w:t>
            </w:r>
          </w:p>
        </w:tc>
        <w:tc>
          <w:tcPr>
            <w:tcW w:w="2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71,161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74,902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158,708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165,453</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28,070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29,811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62,482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65,645</w:t>
            </w:r>
          </w:p>
        </w:tc>
        <w:tc>
          <w:tcPr>
            <w:tcW w:w="0" w:type="dxa"/>
            <w:vAlign w:val="bottom"/>
          </w:tcPr>
          <w:p>
            <w:pPr>
              <w:spacing w:after="0"/>
              <w:rPr>
                <w:sz w:val="1"/>
                <w:szCs w:val="1"/>
                <w:color w:val="auto"/>
              </w:rPr>
            </w:pPr>
          </w:p>
        </w:tc>
      </w:tr>
      <w:tr>
        <w:trPr>
          <w:trHeight w:val="264"/>
        </w:trPr>
        <w:tc>
          <w:tcPr>
            <w:tcW w:w="562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43,091</w:t>
            </w:r>
          </w:p>
        </w:tc>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45,091</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96,226</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99,808</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6"/>
                <w:szCs w:val="16"/>
                <w:color w:val="auto"/>
              </w:rPr>
              <w:t>EARNINGS PER SHARE (Note 11):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6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Earnings per share, basic</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Pr>
          <w:p>
            <w:pPr>
              <w:ind w:left="360"/>
              <w:spacing w:after="0"/>
              <w:rPr>
                <w:sz w:val="20"/>
                <w:szCs w:val="20"/>
                <w:color w:val="auto"/>
              </w:rPr>
            </w:pPr>
            <w:r>
              <w:rPr>
                <w:rFonts w:ascii="Arial" w:cs="Arial" w:eastAsia="Arial" w:hAnsi="Arial"/>
                <w:sz w:val="16"/>
                <w:szCs w:val="16"/>
                <w:color w:val="auto"/>
              </w:rPr>
              <w:t>Earnings per share, diluted</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0.94</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24"/>
        </w:trPr>
        <w:tc>
          <w:tcPr>
            <w:tcW w:w="5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Weighted-average shares outstanding, basic</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100,244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106,414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100,756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106,381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tcPr>
          <w:p>
            <w:pPr>
              <w:ind w:left="360"/>
              <w:spacing w:after="0"/>
              <w:rPr>
                <w:sz w:val="20"/>
                <w:szCs w:val="20"/>
                <w:color w:val="auto"/>
              </w:rPr>
            </w:pPr>
            <w:r>
              <w:rPr>
                <w:rFonts w:ascii="Arial" w:cs="Arial" w:eastAsia="Arial" w:hAnsi="Arial"/>
                <w:sz w:val="16"/>
                <w:szCs w:val="16"/>
                <w:color w:val="auto"/>
              </w:rPr>
              <w:t>Weighted-average shares outstanding, diluted</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102,029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107,695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102,672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107,465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9"/>
                <w:szCs w:val="19"/>
                <w:color w:val="auto"/>
              </w:rPr>
            </w:pPr>
          </w:p>
        </w:tc>
        <w:tc>
          <w:tcPr>
            <w:tcW w:w="242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60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2013</w:t>
            </w:r>
          </w:p>
        </w:tc>
      </w:tr>
      <w:tr>
        <w:trPr>
          <w:trHeight w:val="257"/>
        </w:trPr>
        <w:tc>
          <w:tcPr>
            <w:tcW w:w="6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43,091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45,091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96,226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99,808</w:t>
            </w:r>
          </w:p>
        </w:tc>
      </w:tr>
      <w:tr>
        <w:trPr>
          <w:trHeight w:val="260"/>
        </w:trPr>
        <w:tc>
          <w:tcPr>
            <w:tcW w:w="608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8"/>
        </w:trPr>
        <w:tc>
          <w:tcPr>
            <w:tcW w:w="6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on cash flow hedges, net of tax expense of $251, $0, $926,</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89"/>
        </w:trPr>
        <w:tc>
          <w:tcPr>
            <w:tcW w:w="60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and $0 for the three and six months ended June 30, 2014 and 2013,</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4"/>
        </w:trPr>
        <w:tc>
          <w:tcPr>
            <w:tcW w:w="60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respectively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8"/>
        </w:trPr>
        <w:tc>
          <w:tcPr>
            <w:tcW w:w="6080" w:type="dxa"/>
            <w:vAlign w:val="bottom"/>
          </w:tcPr>
          <w:p>
            <w:pPr>
              <w:ind w:left="360"/>
              <w:spacing w:after="0"/>
              <w:rPr>
                <w:sz w:val="20"/>
                <w:szCs w:val="20"/>
                <w:color w:val="auto"/>
              </w:rPr>
            </w:pPr>
            <w:r>
              <w:rPr>
                <w:rFonts w:ascii="Arial" w:cs="Arial" w:eastAsia="Arial" w:hAnsi="Arial"/>
                <w:sz w:val="16"/>
                <w:szCs w:val="16"/>
                <w:color w:val="auto"/>
              </w:rPr>
              <w:t>Reclassification adjustment for realized gain on cash flow hedges included in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9"/>
        </w:trPr>
        <w:tc>
          <w:tcPr>
            <w:tcW w:w="6080" w:type="dxa"/>
            <w:vAlign w:val="bottom"/>
          </w:tcPr>
          <w:p>
            <w:pPr>
              <w:ind w:left="520"/>
              <w:spacing w:after="0"/>
              <w:rPr>
                <w:sz w:val="20"/>
                <w:szCs w:val="20"/>
                <w:color w:val="auto"/>
              </w:rPr>
            </w:pPr>
            <w:r>
              <w:rPr>
                <w:rFonts w:ascii="Arial" w:cs="Arial" w:eastAsia="Arial" w:hAnsi="Arial"/>
                <w:sz w:val="16"/>
                <w:szCs w:val="16"/>
                <w:color w:val="auto"/>
              </w:rPr>
              <w:t>net income, net of tax expense of $28, $0, $28, and $0 for the three and</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8"/>
        </w:trPr>
        <w:tc>
          <w:tcPr>
            <w:tcW w:w="60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six months ended June 30, 2014 and 2013, respectively</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60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Total other comprehensive income, net of tax</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608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43,446</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45,091</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97,643</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99,808</w:t>
            </w: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49" w:right="239" w:bottom="1440" w:gutter="0" w:footer="0" w:header="0"/>
        </w:sectPr>
      </w:pPr>
    </w:p>
    <w:bookmarkStart w:id="5" w:name="page6"/>
    <w:bookmarkEnd w:id="5"/>
    <w:p>
      <w:pPr>
        <w:ind w:left="344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9"/>
              </w:rPr>
              <w:t>December 31, 2013</w:t>
            </w:r>
          </w:p>
        </w:tc>
        <w:tc>
          <w:tcPr>
            <w:tcW w:w="0" w:type="dxa"/>
            <w:vAlign w:val="bottom"/>
          </w:tcPr>
          <w:p>
            <w:pPr>
              <w:spacing w:after="0"/>
              <w:rPr>
                <w:sz w:val="1"/>
                <w:szCs w:val="1"/>
                <w:color w:val="auto"/>
              </w:rPr>
            </w:pPr>
          </w:p>
        </w:tc>
      </w:tr>
      <w:tr>
        <w:trPr>
          <w:trHeight w:val="220"/>
        </w:trPr>
        <w:tc>
          <w:tcPr>
            <w:tcW w:w="8360" w:type="dxa"/>
            <w:vAlign w:val="bottom"/>
          </w:tcPr>
          <w:p>
            <w:pPr>
              <w:jc w:val="center"/>
              <w:ind w:left="2979"/>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438,576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516,584</w:t>
            </w:r>
          </w:p>
        </w:tc>
        <w:tc>
          <w:tcPr>
            <w:tcW w:w="0" w:type="dxa"/>
            <w:vAlign w:val="bottom"/>
          </w:tcPr>
          <w:p>
            <w:pPr>
              <w:spacing w:after="0"/>
              <w:rPr>
                <w:sz w:val="1"/>
                <w:szCs w:val="1"/>
                <w:color w:val="auto"/>
              </w:rPr>
            </w:pP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408,225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512,351</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Receivables from:</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360" w:type="dxa"/>
            <w:vAlign w:val="bottom"/>
          </w:tcPr>
          <w:p>
            <w:pPr>
              <w:ind w:left="120"/>
              <w:spacing w:after="0"/>
              <w:rPr>
                <w:sz w:val="20"/>
                <w:szCs w:val="20"/>
                <w:color w:val="auto"/>
              </w:rPr>
            </w:pPr>
            <w:r>
              <w:rPr>
                <w:rFonts w:ascii="Arial" w:cs="Arial" w:eastAsia="Arial" w:hAnsi="Arial"/>
                <w:sz w:val="16"/>
                <w:szCs w:val="16"/>
                <w:color w:val="auto"/>
              </w:rPr>
              <w:t>Clients, net of allowance of $1,252 at June 30, 2014 and $588 at December 31, 2013</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353,741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373,675</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 sponsors, broker-dealers and clearing organizations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173,341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174,070</w:t>
            </w:r>
          </w:p>
        </w:tc>
        <w:tc>
          <w:tcPr>
            <w:tcW w:w="0" w:type="dxa"/>
            <w:vAlign w:val="bottom"/>
          </w:tcPr>
          <w:p>
            <w:pPr>
              <w:spacing w:after="0"/>
              <w:rPr>
                <w:sz w:val="1"/>
                <w:szCs w:val="1"/>
                <w:color w:val="auto"/>
              </w:rPr>
            </w:pPr>
          </w:p>
        </w:tc>
      </w:tr>
      <w:tr>
        <w:trPr>
          <w:trHeight w:val="260"/>
        </w:trPr>
        <w:tc>
          <w:tcPr>
            <w:tcW w:w="8360" w:type="dxa"/>
            <w:vAlign w:val="bottom"/>
          </w:tcPr>
          <w:p>
            <w:pPr>
              <w:ind w:left="120"/>
              <w:spacing w:after="0"/>
              <w:rPr>
                <w:sz w:val="20"/>
                <w:szCs w:val="20"/>
                <w:color w:val="auto"/>
              </w:rPr>
            </w:pPr>
            <w:r>
              <w:rPr>
                <w:rFonts w:ascii="Arial" w:cs="Arial" w:eastAsia="Arial" w:hAnsi="Arial"/>
                <w:sz w:val="16"/>
                <w:szCs w:val="16"/>
                <w:color w:val="auto"/>
              </w:rPr>
              <w:t>Others, net of allowance of $7,865 at June 30, 2014 and $7,091 at December 31, 2013</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276,076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272,018</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Securities owned:</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Trading — at fair value</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11,025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8,964</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Held-to-maturity</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6,853</w:t>
            </w:r>
          </w:p>
        </w:tc>
        <w:tc>
          <w:tcPr>
            <w:tcW w:w="0" w:type="dxa"/>
            <w:vAlign w:val="bottom"/>
          </w:tcPr>
          <w:p>
            <w:pPr>
              <w:spacing w:after="0"/>
              <w:rPr>
                <w:sz w:val="1"/>
                <w:szCs w:val="1"/>
                <w:color w:val="auto"/>
              </w:rPr>
            </w:pP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Securities borrowed</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9,550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7,102</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taxes receivable</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20,855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8360" w:type="dxa"/>
            <w:vAlign w:val="bottom"/>
          </w:tcPr>
          <w:p>
            <w:pPr>
              <w:ind w:left="40"/>
              <w:spacing w:after="0"/>
              <w:rPr>
                <w:sz w:val="20"/>
                <w:szCs w:val="20"/>
                <w:color w:val="auto"/>
              </w:rPr>
            </w:pPr>
            <w:r>
              <w:rPr>
                <w:rFonts w:ascii="Arial" w:cs="Arial" w:eastAsia="Arial" w:hAnsi="Arial"/>
                <w:sz w:val="16"/>
                <w:szCs w:val="16"/>
                <w:color w:val="auto"/>
              </w:rPr>
              <w:t>Fixed assets, net of accumulated depreciation and amortization of $286,702 at June 30, 2014 and $263,321 at</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60" w:type="dxa"/>
            <w:vAlign w:val="bottom"/>
          </w:tcPr>
          <w:p>
            <w:pPr>
              <w:ind w:left="200"/>
              <w:spacing w:after="0"/>
              <w:rPr>
                <w:sz w:val="20"/>
                <w:szCs w:val="20"/>
                <w:color w:val="auto"/>
              </w:rPr>
            </w:pPr>
            <w:r>
              <w:rPr>
                <w:rFonts w:ascii="Arial" w:cs="Arial" w:eastAsia="Arial" w:hAnsi="Arial"/>
                <w:sz w:val="16"/>
                <w:szCs w:val="16"/>
                <w:color w:val="auto"/>
              </w:rPr>
              <w:t>December 31, 2013</w:t>
            </w:r>
          </w:p>
        </w:tc>
        <w:tc>
          <w:tcPr>
            <w:tcW w:w="2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211,407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189,059</w:t>
            </w:r>
          </w:p>
        </w:tc>
        <w:tc>
          <w:tcPr>
            <w:tcW w:w="0" w:type="dxa"/>
            <w:vAlign w:val="bottom"/>
          </w:tcPr>
          <w:p>
            <w:pPr>
              <w:spacing w:after="0"/>
              <w:rPr>
                <w:sz w:val="1"/>
                <w:szCs w:val="1"/>
                <w:color w:val="auto"/>
              </w:rPr>
            </w:pPr>
          </w:p>
        </w:tc>
      </w:tr>
      <w:tr>
        <w:trPr>
          <w:trHeight w:val="228"/>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 issuance costs, net of accumulated amortization of $9,911 at June 30, 2014 and $7,751 at December 31,</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2013</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16,281</w:t>
            </w:r>
          </w:p>
        </w:tc>
        <w:tc>
          <w:tcPr>
            <w:tcW w:w="0" w:type="dxa"/>
            <w:vAlign w:val="bottom"/>
          </w:tcPr>
          <w:p>
            <w:pPr>
              <w:spacing w:after="0"/>
              <w:rPr>
                <w:sz w:val="1"/>
                <w:szCs w:val="1"/>
                <w:color w:val="auto"/>
              </w:rPr>
            </w:pP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1,361,361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1,361,361</w:t>
            </w:r>
          </w:p>
        </w:tc>
        <w:tc>
          <w:tcPr>
            <w:tcW w:w="0" w:type="dxa"/>
            <w:vAlign w:val="bottom"/>
          </w:tcPr>
          <w:p>
            <w:pPr>
              <w:spacing w:after="0"/>
              <w:rPr>
                <w:sz w:val="1"/>
                <w:szCs w:val="1"/>
                <w:color w:val="auto"/>
              </w:rPr>
            </w:pPr>
          </w:p>
        </w:tc>
      </w:tr>
      <w:tr>
        <w:trPr>
          <w:trHeight w:val="228"/>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 net of accumulated amortization of $285,698 at June 30, 2014 and $266,285 at December 31,</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2013</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445,109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464,522</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166,734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139,991</w:t>
            </w:r>
          </w:p>
        </w:tc>
        <w:tc>
          <w:tcPr>
            <w:tcW w:w="0" w:type="dxa"/>
            <w:vAlign w:val="bottom"/>
          </w:tcPr>
          <w:p>
            <w:pPr>
              <w:spacing w:after="0"/>
              <w:rPr>
                <w:sz w:val="1"/>
                <w:szCs w:val="1"/>
                <w:color w:val="auto"/>
              </w:rPr>
            </w:pPr>
          </w:p>
        </w:tc>
      </w:tr>
      <w:tr>
        <w:trPr>
          <w:trHeight w:val="24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3,893,467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4,042,831</w:t>
            </w: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left="2979"/>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Drafts payable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152,164</w:t>
            </w:r>
          </w:p>
        </w:tc>
        <w:tc>
          <w:tcPr>
            <w:tcW w:w="100" w:type="dxa"/>
            <w:vAlign w:val="bottom"/>
          </w:tcPr>
          <w:p>
            <w:pPr>
              <w:spacing w:after="0"/>
              <w:rPr>
                <w:sz w:val="22"/>
                <w:szCs w:val="22"/>
                <w:color w:val="auto"/>
              </w:rPr>
            </w:pP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194,971</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Payables to clients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547,565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565,204</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Payables to broker-dealers and clearing organizations</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31,834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43,157</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commission and advisory expenses payable</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136,227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135,149</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266,061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301,644</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payable</w:t>
            </w:r>
          </w:p>
        </w:tc>
        <w:tc>
          <w:tcPr>
            <w:tcW w:w="2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4,320</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Unearned revenue</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71,000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73,739</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 — at fair value</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Senior secured credit facilities</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1,529,677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1,535,096</w:t>
            </w:r>
          </w:p>
        </w:tc>
        <w:tc>
          <w:tcPr>
            <w:tcW w:w="0" w:type="dxa"/>
            <w:vAlign w:val="bottom"/>
          </w:tcPr>
          <w:p>
            <w:pPr>
              <w:spacing w:after="0"/>
              <w:rPr>
                <w:sz w:val="1"/>
                <w:szCs w:val="1"/>
                <w:color w:val="auto"/>
              </w:rPr>
            </w:pPr>
          </w:p>
        </w:tc>
      </w:tr>
      <w:tr>
        <w:trPr>
          <w:trHeight w:val="273"/>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 net</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90,267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89,369</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2,824,875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2,942,860</w:t>
            </w:r>
          </w:p>
        </w:tc>
        <w:tc>
          <w:tcPr>
            <w:tcW w:w="0" w:type="dxa"/>
            <w:vAlign w:val="bottom"/>
          </w:tcPr>
          <w:p>
            <w:pPr>
              <w:spacing w:after="0"/>
              <w:rPr>
                <w:sz w:val="1"/>
                <w:szCs w:val="1"/>
                <w:color w:val="auto"/>
              </w:rPr>
            </w:pPr>
          </w:p>
        </w:tc>
      </w:tr>
      <w:tr>
        <w:trPr>
          <w:trHeight w:val="270"/>
        </w:trPr>
        <w:tc>
          <w:tcPr>
            <w:tcW w:w="8360" w:type="dxa"/>
            <w:vAlign w:val="bottom"/>
            <w:shd w:val="clear" w:color="auto" w:fill="CCEEFF"/>
          </w:tcPr>
          <w:p>
            <w:pPr>
              <w:ind w:left="720"/>
              <w:spacing w:after="0"/>
              <w:rPr>
                <w:sz w:val="20"/>
                <w:szCs w:val="20"/>
                <w:color w:val="auto"/>
              </w:rPr>
            </w:pPr>
            <w:r>
              <w:rPr>
                <w:rFonts w:ascii="Arial" w:cs="Arial" w:eastAsia="Arial" w:hAnsi="Arial"/>
                <w:sz w:val="16"/>
                <w:szCs w:val="16"/>
                <w:color w:val="auto"/>
              </w:rPr>
              <w:t>Commitments and contingencies</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8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Common stock, $.001 par value; 600,000,000 shares authorized; 118,031,114 shares issued at June 30, 2014</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and 117,112,465 shares issued at December 31, 2013</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60"/>
        </w:trPr>
        <w:tc>
          <w:tcPr>
            <w:tcW w:w="836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1,336,310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1,292,374</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Treasury stock, at cost — 17,665,600 shares at June 30, 2014 and 15,216,301 shares at December 31, 2013</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(631,115)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(506,205)</w:t>
            </w:r>
          </w:p>
        </w:tc>
        <w:tc>
          <w:tcPr>
            <w:tcW w:w="0" w:type="dxa"/>
            <w:vAlign w:val="bottom"/>
          </w:tcPr>
          <w:p>
            <w:pPr>
              <w:spacing w:after="0"/>
              <w:rPr>
                <w:sz w:val="1"/>
                <w:szCs w:val="1"/>
                <w:color w:val="auto"/>
              </w:rPr>
            </w:pPr>
          </w:p>
        </w:tc>
      </w:tr>
      <w:tr>
        <w:trPr>
          <w:trHeight w:val="260"/>
        </w:trPr>
        <w:tc>
          <w:tcPr>
            <w:tcW w:w="8360" w:type="dxa"/>
            <w:vAlign w:val="bottom"/>
          </w:tcPr>
          <w:p>
            <w:pPr>
              <w:ind w:left="26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1,532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73"/>
        </w:trPr>
        <w:tc>
          <w:tcPr>
            <w:tcW w:w="8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361,747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313,570</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1,068,592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1,099,971</w:t>
            </w:r>
          </w:p>
        </w:tc>
        <w:tc>
          <w:tcPr>
            <w:tcW w:w="0" w:type="dxa"/>
            <w:vAlign w:val="bottom"/>
          </w:tcPr>
          <w:p>
            <w:pPr>
              <w:spacing w:after="0"/>
              <w:rPr>
                <w:sz w:val="1"/>
                <w:szCs w:val="1"/>
                <w:color w:val="auto"/>
              </w:rPr>
            </w:pPr>
          </w:p>
        </w:tc>
      </w:tr>
      <w:tr>
        <w:trPr>
          <w:trHeight w:val="24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3,893,467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4,042,831</w:t>
            </w: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left="2979"/>
              <w:spacing w:after="0"/>
              <w:rPr>
                <w:sz w:val="20"/>
                <w:szCs w:val="20"/>
                <w:color w:val="auto"/>
              </w:rPr>
            </w:pPr>
            <w:r>
              <w:rPr>
                <w:rFonts w:ascii="Arial" w:cs="Arial" w:eastAsia="Arial" w:hAnsi="Arial"/>
                <w:sz w:val="16"/>
                <w:szCs w:val="16"/>
                <w:color w:val="auto"/>
              </w:rPr>
              <w:t>See notes to unaudited condensed consolidated financial statements.</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49"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188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920" w:type="dxa"/>
            <w:vAlign w:val="bottom"/>
            <w:gridSpan w:val="5"/>
          </w:tcPr>
          <w:p>
            <w:pPr>
              <w:ind w:left="4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4"/>
                <w:szCs w:val="4"/>
                <w:color w:val="auto"/>
              </w:rPr>
            </w:pP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120" w:type="dxa"/>
            <w:vAlign w:val="bottom"/>
            <w:vMerge w:val="restart"/>
          </w:tcPr>
          <w:p>
            <w:pPr>
              <w:jc w:val="center"/>
              <w:ind w:right="48"/>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7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2012</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115,714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1,228,075</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9,422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(287,998)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199,827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1,140,020</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260"/>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99,808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99,808</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(57,770)</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(28,763)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(28,763)</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17,996</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18,299</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12,693</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12,693</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2,213</w:t>
            </w:r>
          </w:p>
        </w:tc>
        <w:tc>
          <w:tcPr>
            <w:tcW w:w="12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2,213</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4"/>
                <w:szCs w:val="14"/>
                <w:color w:val="auto"/>
              </w:rPr>
              <w:t>BALANCE — June 30, 2013</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116,514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1,260,977</w:t>
            </w:r>
          </w:p>
        </w:tc>
        <w:tc>
          <w:tcPr>
            <w:tcW w:w="1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10,995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(345,388)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270,795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1,186,500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2013</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117,112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1,292,374</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(506,205)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313,570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1,099,971</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260"/>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1,417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96,226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97,643</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stock units, net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264"/>
        </w:trPr>
        <w:tc>
          <w:tcPr>
            <w:tcW w:w="2740" w:type="dxa"/>
            <w:vAlign w:val="bottom"/>
          </w:tcPr>
          <w:p>
            <w:pPr>
              <w:ind w:left="80"/>
              <w:spacing w:after="0"/>
              <w:rPr>
                <w:sz w:val="20"/>
                <w:szCs w:val="20"/>
                <w:color w:val="auto"/>
              </w:rPr>
            </w:pPr>
            <w:r>
              <w:rPr>
                <w:rFonts w:ascii="Arial" w:cs="Arial" w:eastAsia="Arial" w:hAnsi="Arial"/>
                <w:sz w:val="14"/>
                <w:szCs w:val="14"/>
                <w:color w:val="auto"/>
              </w:rPr>
              <w:t>Treasury stock purchases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2,458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(125,010)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(125,010)</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(48,109)</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21,572</w:t>
            </w: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22,332</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15,609</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15,609</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6,755</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6,755</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June 30, 2014</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118,031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1,336,310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(631,115)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361,747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1,068,592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4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47"/>
        </w:trPr>
        <w:tc>
          <w:tcPr>
            <w:tcW w:w="8580" w:type="dxa"/>
            <w:vAlign w:val="bottom"/>
            <w:vMerge w:val="restart"/>
          </w:tcPr>
          <w:p>
            <w:pPr>
              <w:ind w:left="8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858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96,226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99,808</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Noncash items: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46,099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40,019</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2,219</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Share-based compensation</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15,609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12,693</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Excess tax benefits related to share-based compensation</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(2,213)</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Provision for bad debts</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 provision</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(11,582)</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7,962</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changes in estimated fair value of contingent consideration obligations</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1,203</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Loan forgiveness</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12,950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60"/>
        </w:trPr>
        <w:tc>
          <w:tcPr>
            <w:tcW w:w="8580" w:type="dxa"/>
            <w:vAlign w:val="bottom"/>
          </w:tcPr>
          <w:p>
            <w:pPr>
              <w:ind w:left="54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104,126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137,315</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Receivables from clients</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19,271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63,716</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product sponsors, broker-dealers and clearing organizations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(17,111)</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Receivables from others</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(17,773)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(8,127)</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owned</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Securities borrowed</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(2,448)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1,892</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assets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(25,853)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(12,101)</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Drafts payable</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(42,807)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(47,619)</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Payables to clients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(261,707)</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Payables to broker-dealers and clearing organizations</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(11,323)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(29,647)</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commission and advisory expenses payable</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1,936</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(36,777)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2,348</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taxes receivable/payable</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10,356</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Unearned revenue</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3,692</w:t>
            </w:r>
          </w:p>
        </w:tc>
        <w:tc>
          <w:tcPr>
            <w:tcW w:w="0" w:type="dxa"/>
            <w:vAlign w:val="bottom"/>
          </w:tcPr>
          <w:p>
            <w:pPr>
              <w:spacing w:after="0"/>
              <w:rPr>
                <w:sz w:val="1"/>
                <w:szCs w:val="1"/>
                <w:color w:val="auto"/>
              </w:rPr>
            </w:pPr>
          </w:p>
        </w:tc>
      </w:tr>
      <w:tr>
        <w:trPr>
          <w:trHeight w:val="273"/>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sold, but not yet purchased</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50"/>
        </w:trPr>
        <w:tc>
          <w:tcPr>
            <w:tcW w:w="8580" w:type="dxa"/>
            <w:vAlign w:val="bottom"/>
          </w:tcPr>
          <w:p>
            <w:pPr>
              <w:ind w:left="540"/>
              <w:spacing w:after="0"/>
              <w:rPr>
                <w:sz w:val="20"/>
                <w:szCs w:val="20"/>
                <w:color w:val="auto"/>
              </w:rPr>
            </w:pPr>
            <w:r>
              <w:rPr>
                <w:rFonts w:ascii="Arial" w:cs="Arial" w:eastAsia="Arial" w:hAnsi="Arial"/>
                <w:sz w:val="16"/>
                <w:szCs w:val="16"/>
                <w:color w:val="auto"/>
              </w:rPr>
              <w:t>Net cash provided by (used in) operating activities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116,481</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42"/>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(4,344)</w:t>
            </w:r>
          </w:p>
        </w:tc>
        <w:tc>
          <w:tcPr>
            <w:tcW w:w="0" w:type="dxa"/>
            <w:vAlign w:val="bottom"/>
          </w:tcPr>
          <w:p>
            <w:pPr>
              <w:spacing w:after="0"/>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Continued on following page</w:t>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49"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47"/>
        </w:trPr>
        <w:tc>
          <w:tcPr>
            <w:tcW w:w="8580" w:type="dxa"/>
            <w:vAlign w:val="bottom"/>
            <w:vMerge w:val="restart"/>
          </w:tcPr>
          <w:p>
            <w:pPr>
              <w:ind w:left="8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5"/>
        </w:trPr>
        <w:tc>
          <w:tcPr>
            <w:tcW w:w="8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expenditures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(45,923)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(32,161)</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Proceeds from disposal of fixed assets</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1,059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securities classified as held-to-maturity</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Proceeds from maturity of securities classified as held-to-maturity</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3,500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Deposits of restricted cash</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Release of restricted cash</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minority interest investments</w:t>
            </w:r>
          </w:p>
        </w:tc>
        <w:tc>
          <w:tcPr>
            <w:tcW w:w="2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(41,226)</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(33,156)</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Repayment of senior secured credit facilities</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(861,160)</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senior secured credit facilities</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1,078,957</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Payment of debt issuance costs</w:t>
            </w:r>
          </w:p>
        </w:tc>
        <w:tc>
          <w:tcPr>
            <w:tcW w:w="2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(2,461)</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 of contingent consideration</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Tax payments related to settlement of restricted stock units</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 of common stock</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(50,975)</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Dividends on common stock</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(48,109)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(28,763)</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Excess tax benefits related to share-based compensation</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6,842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2,213</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Proceeds from stock option exercises and other</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22,332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18,299</w:t>
            </w:r>
          </w:p>
        </w:tc>
        <w:tc>
          <w:tcPr>
            <w:tcW w:w="0" w:type="dxa"/>
            <w:vAlign w:val="bottom"/>
          </w:tcPr>
          <w:p>
            <w:pPr>
              <w:spacing w:after="0"/>
              <w:rPr>
                <w:sz w:val="1"/>
                <w:szCs w:val="1"/>
                <w:color w:val="auto"/>
              </w:rPr>
            </w:pPr>
          </w:p>
        </w:tc>
      </w:tr>
      <w:tr>
        <w:trPr>
          <w:trHeight w:val="250"/>
        </w:trPr>
        <w:tc>
          <w:tcPr>
            <w:tcW w:w="85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(used in) provided by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(153,263)</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156,110</w:t>
            </w:r>
          </w:p>
        </w:tc>
        <w:tc>
          <w:tcPr>
            <w:tcW w:w="0" w:type="dxa"/>
            <w:vAlign w:val="bottom"/>
          </w:tcPr>
          <w:p>
            <w:pPr>
              <w:spacing w:after="0"/>
              <w:rPr>
                <w:sz w:val="1"/>
                <w:szCs w:val="1"/>
                <w:color w:val="auto"/>
              </w:rPr>
            </w:pPr>
          </w:p>
        </w:tc>
      </w:tr>
      <w:tr>
        <w:trPr>
          <w:trHeight w:val="247"/>
        </w:trPr>
        <w:tc>
          <w:tcPr>
            <w:tcW w:w="8580" w:type="dxa"/>
            <w:vAlign w:val="bottom"/>
          </w:tcPr>
          <w:p>
            <w:pPr>
              <w:ind w:left="80"/>
              <w:spacing w:after="0"/>
              <w:rPr>
                <w:sz w:val="20"/>
                <w:szCs w:val="20"/>
                <w:color w:val="auto"/>
              </w:rPr>
            </w:pPr>
            <w:r>
              <w:rPr>
                <w:rFonts w:ascii="Arial" w:cs="Arial" w:eastAsia="Arial" w:hAnsi="Arial"/>
                <w:sz w:val="16"/>
                <w:szCs w:val="16"/>
                <w:color w:val="auto"/>
              </w:rPr>
              <w:t>NET (DECREASE) INCREASE IN CASH AND CASH EQUIVALENTS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(78,008)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118,610</w:t>
            </w:r>
          </w:p>
        </w:tc>
        <w:tc>
          <w:tcPr>
            <w:tcW w:w="0" w:type="dxa"/>
            <w:vAlign w:val="bottom"/>
          </w:tcPr>
          <w:p>
            <w:pPr>
              <w:spacing w:after="0"/>
              <w:rPr>
                <w:sz w:val="1"/>
                <w:szCs w:val="1"/>
                <w:color w:val="auto"/>
              </w:rPr>
            </w:pPr>
          </w:p>
        </w:tc>
      </w:tr>
      <w:tr>
        <w:trPr>
          <w:trHeight w:val="273"/>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 — Beginning of period</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516,584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466,261</w:t>
            </w:r>
          </w:p>
        </w:tc>
        <w:tc>
          <w:tcPr>
            <w:tcW w:w="0" w:type="dxa"/>
            <w:vAlign w:val="bottom"/>
          </w:tcPr>
          <w:p>
            <w:pPr>
              <w:spacing w:after="0"/>
              <w:rPr>
                <w:sz w:val="1"/>
                <w:szCs w:val="1"/>
                <w:color w:val="auto"/>
              </w:rPr>
            </w:pPr>
          </w:p>
        </w:tc>
      </w:tr>
      <w:tr>
        <w:trPr>
          <w:trHeight w:val="280"/>
        </w:trPr>
        <w:tc>
          <w:tcPr>
            <w:tcW w:w="85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CASH AND CASH EQUIVALENTS — End of period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438,576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584,871</w:t>
            </w:r>
          </w:p>
        </w:tc>
        <w:tc>
          <w:tcPr>
            <w:tcW w:w="0" w:type="dxa"/>
            <w:vAlign w:val="bottom"/>
          </w:tcPr>
          <w:p>
            <w:pPr>
              <w:spacing w:after="0"/>
              <w:rPr>
                <w:sz w:val="1"/>
                <w:szCs w:val="1"/>
                <w:color w:val="auto"/>
              </w:rPr>
            </w:pPr>
          </w:p>
        </w:tc>
      </w:tr>
      <w:tr>
        <w:trPr>
          <w:trHeight w:val="254"/>
        </w:trPr>
        <w:tc>
          <w:tcPr>
            <w:tcW w:w="8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SUPPLEMENTAL DISCLOSURES OF CASH FLOW INFORMATION:</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Interest paid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25,973</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24,779</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taxes paid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83,855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66,466</w:t>
            </w:r>
          </w:p>
        </w:tc>
        <w:tc>
          <w:tcPr>
            <w:tcW w:w="0" w:type="dxa"/>
            <w:vAlign w:val="bottom"/>
          </w:tcPr>
          <w:p>
            <w:pPr>
              <w:spacing w:after="0"/>
              <w:rPr>
                <w:sz w:val="1"/>
                <w:szCs w:val="1"/>
                <w:color w:val="auto"/>
              </w:rPr>
            </w:pPr>
          </w:p>
        </w:tc>
      </w:tr>
      <w:tr>
        <w:trPr>
          <w:trHeight w:val="260"/>
        </w:trPr>
        <w:tc>
          <w:tcPr>
            <w:tcW w:w="8580" w:type="dxa"/>
            <w:vAlign w:val="bottom"/>
          </w:tcPr>
          <w:p>
            <w:pPr>
              <w:ind w:left="80"/>
              <w:spacing w:after="0"/>
              <w:rPr>
                <w:sz w:val="20"/>
                <w:szCs w:val="20"/>
                <w:color w:val="auto"/>
              </w:rPr>
            </w:pPr>
            <w:r>
              <w:rPr>
                <w:rFonts w:ascii="Arial" w:cs="Arial" w:eastAsia="Arial" w:hAnsi="Arial"/>
                <w:sz w:val="16"/>
                <w:szCs w:val="16"/>
                <w:color w:val="auto"/>
              </w:rPr>
              <w:t>NONCASH DISCLOSURES: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Fixed assets acquired under build-to-suit lease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8,114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Discount on proceeds from senior secured credit facilities recorded as debt issuance costs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4,893</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Pending settlement of treasury stock purchases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6,795</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49"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Company</w:t>
      </w:r>
    </w:p>
    <w:p>
      <w:pPr>
        <w:spacing w:after="0" w:line="234"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LPL Financial Holdings Inc. (“LPLFH”), a Delaware holding corporation, together with its consolidated subsidiaries (collectively, the “Company”) provides an integrated platform of brokerage and investment advisory services to independent financial advisors and financial advisors at financial institutions (collectively “advisors”) in the United States of America. Through its custody and clearing platform, using both proprietary and third-party technology, the Company provides access to diversified financial products and services enabling its advisors to offer independent financial advice and brokerage services to retail investors (their “clients”).</w:t>
      </w:r>
    </w:p>
    <w:p>
      <w:pPr>
        <w:spacing w:after="0" w:line="288"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 The unaudited condensed consolidated financial statements have been prepared pursuant to the rules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of the Securities and Exchange Commission (“SEC”). These unaudited condensed consolidated financial statements reflect all adjustments that are, in the opinion of management, necessary for a fair statement of the results for the interim periods presented. These adjustments are of a normal recurring nature. The Company’s results for any interim period are not necessarily indicative of results for a full year or any other interim period.</w:t>
      </w:r>
    </w:p>
    <w:p>
      <w:pPr>
        <w:spacing w:after="0" w:line="202"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unaudited condensed consolidated financial statements do not include all information and notes necessary for a complete presentation of results of income, comprehensive income, financial position, and cash flows in conformity with generally accepted accounting principles in the United States of America (“GAAP”). Accordingly, these financial statements should be read in conjunction with the Company’s audited consolidated financial statements and the related notes for the year ended December 31, 2013, contained in the Company’s Annual Report on Form 10-K as filed with the SEC.</w:t>
      </w:r>
    </w:p>
    <w:p>
      <w:pPr>
        <w:spacing w:after="0" w:line="188" w:lineRule="exact"/>
        <w:rPr>
          <w:sz w:val="20"/>
          <w:szCs w:val="20"/>
          <w:color w:val="auto"/>
        </w:rPr>
      </w:pPr>
    </w:p>
    <w:p>
      <w:pPr>
        <w:jc w:val="both"/>
        <w:ind w:right="420" w:firstLine="486"/>
        <w:spacing w:after="0" w:line="266" w:lineRule="auto"/>
        <w:rPr>
          <w:sz w:val="20"/>
          <w:szCs w:val="20"/>
          <w:color w:val="auto"/>
        </w:rPr>
      </w:pPr>
      <w:r>
        <w:rPr>
          <w:rFonts w:ascii="Arial" w:cs="Arial" w:eastAsia="Arial" w:hAnsi="Arial"/>
          <w:sz w:val="18"/>
          <w:szCs w:val="18"/>
          <w:color w:val="auto"/>
        </w:rPr>
        <w:t xml:space="preserve">The Company’s significant accounting policies are included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Company’s Annual Report on Form 10-K for the year ended December 31, 2013. There have been no significant changes to these accounting policies during the first six months of 2014.</w:t>
      </w:r>
    </w:p>
    <w:p>
      <w:pPr>
        <w:spacing w:after="0" w:line="172" w:lineRule="exact"/>
        <w:rPr>
          <w:sz w:val="20"/>
          <w:szCs w:val="20"/>
          <w:color w:val="auto"/>
        </w:rPr>
      </w:pPr>
    </w:p>
    <w:p>
      <w:pPr>
        <w:jc w:val="both"/>
        <w:ind w:right="260" w:firstLine="486"/>
        <w:spacing w:after="0" w:line="269" w:lineRule="auto"/>
        <w:rPr>
          <w:sz w:val="20"/>
          <w:szCs w:val="20"/>
          <w:color w:val="auto"/>
        </w:rPr>
      </w:pPr>
      <w:r>
        <w:rPr>
          <w:rFonts w:ascii="Arial" w:cs="Arial" w:eastAsia="Arial" w:hAnsi="Arial"/>
          <w:sz w:val="18"/>
          <w:szCs w:val="18"/>
          <w:b w:val="1"/>
          <w:bCs w:val="1"/>
          <w:i w:val="1"/>
          <w:iCs w:val="1"/>
          <w:color w:val="auto"/>
        </w:rPr>
        <w:t xml:space="preserve">Consolidation </w:t>
      </w:r>
      <w:r>
        <w:rPr>
          <w:rFonts w:ascii="Arial" w:cs="Arial" w:eastAsia="Arial" w:hAnsi="Arial"/>
          <w:sz w:val="18"/>
          <w:szCs w:val="18"/>
          <w:color w:val="auto"/>
        </w:rPr>
        <w:t>— These unaudited condensed consolidated financial statements include the accounts of LPLFH and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transactions and balances have been eliminated. Equity investments in which the Company exercises significant influence but does not exercise control and is not the primary beneficiary are accounted for using the equity method.</w:t>
      </w:r>
    </w:p>
    <w:p>
      <w:pPr>
        <w:spacing w:after="0" w:line="168" w:lineRule="exact"/>
        <w:rPr>
          <w:sz w:val="20"/>
          <w:szCs w:val="20"/>
          <w:color w:val="auto"/>
        </w:rPr>
      </w:pPr>
    </w:p>
    <w:p>
      <w:pPr>
        <w:jc w:val="both"/>
        <w:ind w:right="2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the unaudited condensed consolidated financial statements in conformity with GAAP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to make estimates and judgments that affect the reported amounts of assets and liabilities, revenue and expenses, and related disclosures of contingent assets and liabilities. These estimates are based on the information that is currently available and on various other assumptions that the Company believes to be reasonable under the circumstances. Actual results could vary from these estimates.</w:t>
      </w:r>
    </w:p>
    <w:p>
      <w:pPr>
        <w:spacing w:after="0" w:line="177"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Reportable Segment </w:t>
      </w:r>
      <w:r>
        <w:rPr>
          <w:rFonts w:ascii="Arial" w:cs="Arial" w:eastAsia="Arial" w:hAnsi="Arial"/>
          <w:sz w:val="18"/>
          <w:szCs w:val="18"/>
          <w:color w:val="auto"/>
        </w:rPr>
        <w:t>— The Company's internal reporting is organized into two service channels: Independent Advisor Services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 Services. These service channels qualify as individual operating segments and are aggregated and viewed as one reportable segment due to their similar economic characteristics, products and services, production and distribution processes, and regulatory environment.</w:t>
      </w:r>
    </w:p>
    <w:p>
      <w:pPr>
        <w:spacing w:after="0" w:line="17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The Company’s financial assets and liabilities are carried at fair value or at amounts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because of their short-term nature, approximate current fair value, with the exception of its indebtedness. The Company carries its indebtedness at amortized cost. The Company measures the implied fair value of its debt instruments using trading levels obtained from a third-party service provider. Accordingly, the debt instruments qualify as Level 2 fair value measurements. See Note 4.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for additional detail regarding the Company’s fair value measurements. As of June 30, 2014, the carrying amount and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Company’s indebtedness was approximately $1,529.7 million and $1,523.9 million, respectively. As of December 31, 2013, the carrying amount and fair value was approximately $1,535.1 million and $1,533.3 million, respectively.</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83" w:lineRule="exact"/>
        <w:rPr>
          <w:sz w:val="20"/>
          <w:szCs w:val="20"/>
          <w:color w:val="auto"/>
        </w:rPr>
      </w:pPr>
    </w:p>
    <w:p>
      <w:pPr>
        <w:ind w:right="140" w:firstLine="486"/>
        <w:spacing w:after="0" w:line="282" w:lineRule="auto"/>
        <w:rPr>
          <w:sz w:val="20"/>
          <w:szCs w:val="20"/>
          <w:color w:val="auto"/>
        </w:rPr>
      </w:pPr>
      <w:r>
        <w:rPr>
          <w:rFonts w:ascii="Arial" w:cs="Arial" w:eastAsia="Arial" w:hAnsi="Arial"/>
          <w:sz w:val="18"/>
          <w:szCs w:val="18"/>
          <w:color w:val="auto"/>
        </w:rPr>
        <w:t xml:space="preserve">In April 2014, the Financial Accounting Standards Board (“FASB”) issued Accounting Standards Update (“ASU”) 2014-08, </w:t>
      </w:r>
      <w:r>
        <w:rPr>
          <w:rFonts w:ascii="Arial" w:cs="Arial" w:eastAsia="Arial" w:hAnsi="Arial"/>
          <w:sz w:val="18"/>
          <w:szCs w:val="18"/>
          <w:i w:val="1"/>
          <w:iCs w:val="1"/>
          <w:color w:val="auto"/>
        </w:rPr>
        <w:t>Presentation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Statements (Topic 205) and Property, Plant and Equipment (Topic 360)</w:t>
      </w:r>
      <w:r>
        <w:rPr>
          <w:rFonts w:ascii="Arial" w:cs="Arial" w:eastAsia="Arial" w:hAnsi="Arial"/>
          <w:sz w:val="18"/>
          <w:szCs w:val="18"/>
          <w:color w:val="auto"/>
        </w:rPr>
        <w:t>,</w:t>
      </w:r>
    </w:p>
    <w:p>
      <w:pPr>
        <w:sectPr>
          <w:pgSz w:w="11900" w:h="16838" w:orient="portrait"/>
          <w:cols w:equalWidth="0" w:num="1">
            <w:col w:w="11420"/>
          </w:cols>
          <w:pgMar w:left="240" w:top="441" w:right="2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41"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which changes the requirements for reporting discontinued operations that may include a component of an entity or a group of components of an entity, or a business or nonprofit activity. A disposal of a component of an entity or a </w:t>
      </w:r>
      <w:r>
        <w:rPr>
          <w:rFonts w:ascii="Arial" w:cs="Arial" w:eastAsia="Arial" w:hAnsi="Arial"/>
          <w:sz w:val="18"/>
          <w:szCs w:val="18"/>
          <w:color w:val="252525"/>
        </w:rPr>
        <w:t>group of components of an entity is required to be</w:t>
      </w:r>
      <w:r>
        <w:rPr>
          <w:rFonts w:ascii="Arial" w:cs="Arial" w:eastAsia="Arial" w:hAnsi="Arial"/>
          <w:sz w:val="18"/>
          <w:szCs w:val="18"/>
          <w:color w:val="auto"/>
        </w:rPr>
        <w:t xml:space="preserve"> </w:t>
      </w:r>
      <w:r>
        <w:rPr>
          <w:rFonts w:ascii="Arial" w:cs="Arial" w:eastAsia="Arial" w:hAnsi="Arial"/>
          <w:sz w:val="18"/>
          <w:szCs w:val="18"/>
          <w:color w:val="252525"/>
        </w:rPr>
        <w:t>reported in discontinued operations if the disposal represents a strategic shift that has, or will have, a major effect on an entity's operations and financial results when any of the following criteria is met with respect to the disposal: it can be classified as held for sale, disposed of by sale, or disposed of other than by sale (such as by abandonment, or in a distribution to owners in a spinoff). ASU 2014-08 will become effective for the Company beginning January 1, 2015. The Company does not anticipate that the adoption of ASU 2014-08 will have a material impact on its results of operations, financial condition, or cash flows.</w:t>
      </w:r>
    </w:p>
    <w:p>
      <w:pPr>
        <w:spacing w:after="0" w:line="243" w:lineRule="exact"/>
        <w:rPr>
          <w:sz w:val="20"/>
          <w:szCs w:val="20"/>
          <w:color w:val="auto"/>
        </w:rPr>
      </w:pPr>
    </w:p>
    <w:p>
      <w:pPr>
        <w:ind w:right="40" w:firstLine="486"/>
        <w:spacing w:after="0" w:line="258" w:lineRule="auto"/>
        <w:rPr>
          <w:sz w:val="20"/>
          <w:szCs w:val="20"/>
          <w:color w:val="auto"/>
        </w:rPr>
      </w:pPr>
      <w:r>
        <w:rPr>
          <w:rFonts w:ascii="Arial" w:cs="Arial" w:eastAsia="Arial" w:hAnsi="Arial"/>
          <w:sz w:val="18"/>
          <w:szCs w:val="18"/>
          <w:color w:val="252525"/>
        </w:rPr>
        <w:t xml:space="preserve">In May 2014, the FASB issued ASU 2014-09, </w:t>
      </w:r>
      <w:r>
        <w:rPr>
          <w:rFonts w:ascii="Arial" w:cs="Arial" w:eastAsia="Arial" w:hAnsi="Arial"/>
          <w:sz w:val="18"/>
          <w:szCs w:val="18"/>
          <w:i w:val="1"/>
          <w:iCs w:val="1"/>
          <w:color w:val="252525"/>
        </w:rPr>
        <w:t>Revenue from Contracts with Customers (Topic 606)</w:t>
      </w:r>
      <w:r>
        <w:rPr>
          <w:rFonts w:ascii="Arial" w:cs="Arial" w:eastAsia="Arial" w:hAnsi="Arial"/>
          <w:sz w:val="18"/>
          <w:szCs w:val="18"/>
          <w:color w:val="252525"/>
        </w:rPr>
        <w:t>, which completes the joint effort by the FASB and the International Accounting Standards Board to improve financial reporting by creating common revenue recognition guidance for GAAP and the International Financial Reporting Standards. ASU 2014-09 will become effective for the Company beginning January 1, 2017 and early adoption is not permitted. The Company is currently evaluating the potential impact of ASU 2014-09 on its consolidated financial statements.</w:t>
      </w:r>
    </w:p>
    <w:p>
      <w:pPr>
        <w:spacing w:after="0" w:line="238" w:lineRule="exact"/>
        <w:rPr>
          <w:sz w:val="20"/>
          <w:szCs w:val="20"/>
          <w:color w:val="auto"/>
        </w:rPr>
      </w:pPr>
    </w:p>
    <w:p>
      <w:pPr>
        <w:ind w:right="20" w:firstLine="486"/>
        <w:spacing w:after="0" w:line="261" w:lineRule="auto"/>
        <w:rPr>
          <w:sz w:val="20"/>
          <w:szCs w:val="20"/>
          <w:color w:val="auto"/>
        </w:rPr>
      </w:pPr>
      <w:r>
        <w:rPr>
          <w:rFonts w:ascii="Arial" w:cs="Arial" w:eastAsia="Arial" w:hAnsi="Arial"/>
          <w:sz w:val="18"/>
          <w:szCs w:val="18"/>
          <w:color w:val="252525"/>
        </w:rPr>
        <w:t xml:space="preserve">In June 2014, the FASB issued ASU 2014-12, </w:t>
      </w:r>
      <w:r>
        <w:rPr>
          <w:rFonts w:ascii="Arial" w:cs="Arial" w:eastAsia="Arial" w:hAnsi="Arial"/>
          <w:sz w:val="18"/>
          <w:szCs w:val="18"/>
          <w:i w:val="1"/>
          <w:iCs w:val="1"/>
          <w:color w:val="252525"/>
        </w:rPr>
        <w:t>Compensation</w:t>
      </w:r>
      <w:r>
        <w:rPr>
          <w:rFonts w:ascii="Arial" w:cs="Arial" w:eastAsia="Arial" w:hAnsi="Arial"/>
          <w:sz w:val="18"/>
          <w:szCs w:val="18"/>
          <w:i w:val="1"/>
          <w:iCs w:val="1"/>
          <w:color w:val="000000"/>
        </w:rPr>
        <w:t>—Stock Compensation (Topic 718)</w:t>
      </w:r>
      <w:r>
        <w:rPr>
          <w:rFonts w:ascii="Arial" w:cs="Arial" w:eastAsia="Arial" w:hAnsi="Arial"/>
          <w:sz w:val="18"/>
          <w:szCs w:val="18"/>
          <w:color w:val="000000"/>
        </w:rPr>
        <w:t>, which requires that a performance</w:t>
      </w:r>
      <w:r>
        <w:rPr>
          <w:rFonts w:ascii="Arial" w:cs="Arial" w:eastAsia="Arial" w:hAnsi="Arial"/>
          <w:sz w:val="18"/>
          <w:szCs w:val="18"/>
          <w:color w:val="252525"/>
        </w:rPr>
        <w:t xml:space="preserve"> </w:t>
      </w:r>
      <w:r>
        <w:rPr>
          <w:rFonts w:ascii="Arial" w:cs="Arial" w:eastAsia="Arial" w:hAnsi="Arial"/>
          <w:sz w:val="18"/>
          <w:szCs w:val="18"/>
          <w:color w:val="000000"/>
        </w:rPr>
        <w:t xml:space="preserve">target that affects vesting and that could be achieved after the requisite service period be treated as a performance condition. ASU 2014-12 will become effective for the Company beginning January 1, 2016 and early adoption is permitted. </w:t>
      </w:r>
      <w:r>
        <w:rPr>
          <w:rFonts w:ascii="Arial" w:cs="Arial" w:eastAsia="Arial" w:hAnsi="Arial"/>
          <w:sz w:val="18"/>
          <w:szCs w:val="18"/>
          <w:color w:val="252525"/>
        </w:rPr>
        <w:t>The Company does not anticipate that the</w:t>
      </w:r>
      <w:r>
        <w:rPr>
          <w:rFonts w:ascii="Arial" w:cs="Arial" w:eastAsia="Arial" w:hAnsi="Arial"/>
          <w:sz w:val="18"/>
          <w:szCs w:val="18"/>
          <w:color w:val="000000"/>
        </w:rPr>
        <w:t xml:space="preserve"> </w:t>
      </w:r>
      <w:r>
        <w:rPr>
          <w:rFonts w:ascii="Arial" w:cs="Arial" w:eastAsia="Arial" w:hAnsi="Arial"/>
          <w:sz w:val="18"/>
          <w:szCs w:val="18"/>
          <w:color w:val="252525"/>
        </w:rPr>
        <w:t>adoption of ASU 2014-08 will have a material impact on its results of operations, financial condition, or cash flows.</w:t>
      </w:r>
    </w:p>
    <w:p>
      <w:pPr>
        <w:spacing w:after="0" w:line="284"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34" w:lineRule="exact"/>
        <w:rPr>
          <w:sz w:val="20"/>
          <w:szCs w:val="20"/>
          <w:color w:val="auto"/>
        </w:rPr>
      </w:pPr>
    </w:p>
    <w:p>
      <w:pPr>
        <w:jc w:val="both"/>
        <w:ind w:right="520" w:firstLine="486"/>
        <w:spacing w:after="0" w:line="264" w:lineRule="auto"/>
        <w:rPr>
          <w:sz w:val="20"/>
          <w:szCs w:val="20"/>
          <w:color w:val="auto"/>
        </w:rPr>
      </w:pPr>
      <w:r>
        <w:rPr>
          <w:rFonts w:ascii="Arial" w:cs="Arial" w:eastAsia="Arial" w:hAnsi="Arial"/>
          <w:sz w:val="18"/>
          <w:szCs w:val="18"/>
          <w:color w:val="auto"/>
        </w:rPr>
        <w:t>In February 2013, the Company committed to an expansion of its Service Value Commitment (the “Program”), an ongoing effort to position the Company's people, processes, and technology for sustainable long-term growth while improving the service experience of its advisors and delivering efficiencies in its operating model. The Program is expected to be completed in 2015.</w:t>
      </w:r>
    </w:p>
    <w:p>
      <w:pPr>
        <w:spacing w:after="0" w:line="195" w:lineRule="exact"/>
        <w:rPr>
          <w:sz w:val="20"/>
          <w:szCs w:val="20"/>
          <w:color w:val="auto"/>
        </w:rPr>
      </w:pPr>
    </w:p>
    <w:p>
      <w:pPr>
        <w:jc w:val="both"/>
        <w:ind w:right="140" w:firstLine="486"/>
        <w:spacing w:after="0" w:line="256" w:lineRule="auto"/>
        <w:rPr>
          <w:sz w:val="20"/>
          <w:szCs w:val="20"/>
          <w:color w:val="auto"/>
        </w:rPr>
      </w:pPr>
      <w:r>
        <w:rPr>
          <w:rFonts w:ascii="Arial" w:cs="Arial" w:eastAsia="Arial" w:hAnsi="Arial"/>
          <w:sz w:val="18"/>
          <w:szCs w:val="18"/>
          <w:color w:val="auto"/>
        </w:rPr>
        <w:t>The Company estimates total charges in connection with the Program will approach $65.0 million. These expenditures are comprised of outsourcing and other related costs, technology transformation costs, employee severance obligations and other related costs, and non-cash charges for impairment of certain fixed assets related to internally developed software.</w:t>
      </w:r>
    </w:p>
    <w:p>
      <w:pPr>
        <w:spacing w:after="0" w:line="202"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 following table summarizes the balance of accrued expenses and the changes in the accrued amounts for the Program as of and for the six months ended June 30, 2014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Accrued</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Balance at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Cumulative</w:t>
            </w:r>
          </w:p>
        </w:tc>
        <w:tc>
          <w:tcPr>
            <w:tcW w:w="160" w:type="dxa"/>
            <w:vAlign w:val="bottom"/>
          </w:tcPr>
          <w:p>
            <w:pPr>
              <w:spacing w:after="0"/>
              <w:rPr>
                <w:sz w:val="14"/>
                <w:szCs w:val="14"/>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rPr>
              <w:t>Expected</w:t>
            </w:r>
          </w:p>
        </w:tc>
      </w:tr>
      <w:tr>
        <w:trPr>
          <w:trHeight w:val="162"/>
        </w:trPr>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Accrued Balance</w:t>
            </w:r>
          </w:p>
        </w:tc>
        <w:tc>
          <w:tcPr>
            <w:tcW w:w="1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 to</w:t>
            </w:r>
          </w:p>
        </w:tc>
        <w:tc>
          <w:tcPr>
            <w:tcW w:w="160" w:type="dxa"/>
            <w:vAlign w:val="bottom"/>
          </w:tcPr>
          <w:p>
            <w:pPr>
              <w:spacing w:after="0"/>
              <w:rPr>
                <w:sz w:val="14"/>
                <w:szCs w:val="14"/>
                <w:color w:val="auto"/>
              </w:rPr>
            </w:pPr>
          </w:p>
        </w:tc>
        <w:tc>
          <w:tcPr>
            <w:tcW w:w="1200" w:type="dxa"/>
            <w:vAlign w:val="bottom"/>
          </w:tcPr>
          <w:p>
            <w:pPr>
              <w:jc w:val="center"/>
              <w:ind w:right="103"/>
              <w:spacing w:after="0"/>
              <w:rPr>
                <w:sz w:val="20"/>
                <w:szCs w:val="20"/>
                <w:color w:val="auto"/>
              </w:rPr>
            </w:pPr>
            <w:r>
              <w:rPr>
                <w:rFonts w:ascii="Arial" w:cs="Arial" w:eastAsia="Arial" w:hAnsi="Arial"/>
                <w:sz w:val="14"/>
                <w:szCs w:val="14"/>
                <w:b w:val="1"/>
                <w:bCs w:val="1"/>
                <w:color w:val="auto"/>
              </w:rPr>
              <w:t>Restructuring</w:t>
            </w:r>
          </w:p>
        </w:tc>
      </w:tr>
      <w:tr>
        <w:trPr>
          <w:trHeight w:val="196"/>
        </w:trPr>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Incurred</w:t>
            </w:r>
          </w:p>
        </w:tc>
        <w:tc>
          <w:tcPr>
            <w:tcW w:w="14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Payments</w:t>
            </w:r>
          </w:p>
        </w:tc>
        <w:tc>
          <w:tcPr>
            <w:tcW w:w="1400" w:type="dxa"/>
            <w:vAlign w:val="bottom"/>
            <w:tcBorders>
              <w:right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at June 30, 2014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7"/>
                <w:szCs w:val="17"/>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rPr>
              <w:t>Costs</w:t>
            </w:r>
          </w:p>
        </w:tc>
      </w:tr>
      <w:tr>
        <w:trPr>
          <w:trHeight w:val="256"/>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Outsourcing and other related costs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1,424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4,376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(5,772)</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40" w:type="dxa"/>
            <w:vAlign w:val="bottom"/>
            <w:tcBorders>
              <w:top w:val="single" w:sz="8" w:color="CCEEFF"/>
              <w:right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19,657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30,000</w:t>
            </w:r>
          </w:p>
        </w:tc>
      </w:tr>
      <w:tr>
        <w:trPr>
          <w:trHeight w:val="260"/>
        </w:trPr>
        <w:tc>
          <w:tcPr>
            <w:tcW w:w="3440" w:type="dxa"/>
            <w:vAlign w:val="bottom"/>
          </w:tcPr>
          <w:p>
            <w:pPr>
              <w:ind w:left="40"/>
              <w:spacing w:after="0"/>
              <w:rPr>
                <w:sz w:val="20"/>
                <w:szCs w:val="20"/>
                <w:color w:val="auto"/>
              </w:rPr>
            </w:pPr>
            <w:r>
              <w:rPr>
                <w:rFonts w:ascii="Arial" w:cs="Arial" w:eastAsia="Arial" w:hAnsi="Arial"/>
                <w:sz w:val="16"/>
                <w:szCs w:val="16"/>
                <w:color w:val="auto"/>
              </w:rPr>
              <w:t>Technology transformation costs</w:t>
            </w:r>
          </w:p>
        </w:tc>
        <w:tc>
          <w:tcPr>
            <w:tcW w:w="180" w:type="dxa"/>
            <w:vAlign w:val="bottom"/>
          </w:tcPr>
          <w:p>
            <w:pPr>
              <w:spacing w:after="0"/>
              <w:rPr>
                <w:sz w:val="22"/>
                <w:szCs w:val="22"/>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1,753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9,796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(8,153)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3,396</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19,065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23,000</w:t>
            </w:r>
          </w:p>
        </w:tc>
      </w:tr>
      <w:tr>
        <w:trPr>
          <w:trHeight w:val="228"/>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Employee severance obligations and other</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4"/>
        </w:trPr>
        <w:tc>
          <w:tcPr>
            <w:tcW w:w="3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related costs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820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1,482</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4,015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11,000</w:t>
            </w:r>
          </w:p>
        </w:tc>
      </w:tr>
      <w:tr>
        <w:trPr>
          <w:trHeight w:val="264"/>
        </w:trPr>
        <w:tc>
          <w:tcPr>
            <w:tcW w:w="3440" w:type="dxa"/>
            <w:vAlign w:val="bottom"/>
          </w:tcPr>
          <w:p>
            <w:pPr>
              <w:ind w:left="40"/>
              <w:spacing w:after="0"/>
              <w:rPr>
                <w:sz w:val="20"/>
                <w:szCs w:val="20"/>
                <w:color w:val="auto"/>
              </w:rPr>
            </w:pPr>
            <w:r>
              <w:rPr>
                <w:rFonts w:ascii="Arial" w:cs="Arial" w:eastAsia="Arial" w:hAnsi="Arial"/>
                <w:sz w:val="16"/>
                <w:szCs w:val="16"/>
                <w:color w:val="auto"/>
              </w:rPr>
              <w:t>Asset impairments</w:t>
            </w:r>
          </w:p>
        </w:tc>
        <w:tc>
          <w:tcPr>
            <w:tcW w:w="1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842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1,000</w:t>
            </w:r>
          </w:p>
        </w:tc>
      </w:tr>
      <w:tr>
        <w:trPr>
          <w:trHeight w:val="240"/>
        </w:trPr>
        <w:tc>
          <w:tcPr>
            <w:tcW w:w="3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3,997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15,729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4,906</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43,579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65,000</w:t>
            </w: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182" w:lineRule="exact"/>
        <w:rPr>
          <w:sz w:val="20"/>
          <w:szCs w:val="20"/>
          <w:color w:val="auto"/>
        </w:rPr>
      </w:pPr>
    </w:p>
    <w:p>
      <w:pPr>
        <w:ind w:left="1160"/>
        <w:spacing w:after="0"/>
        <w:rPr>
          <w:sz w:val="20"/>
          <w:szCs w:val="20"/>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41"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6" w:lineRule="exact"/>
        <w:rPr>
          <w:sz w:val="20"/>
          <w:szCs w:val="20"/>
          <w:color w:val="auto"/>
        </w:rPr>
      </w:pPr>
    </w:p>
    <w:p>
      <w:pPr>
        <w:ind w:left="520" w:right="20" w:firstLine="648"/>
        <w:spacing w:after="0" w:line="269" w:lineRule="auto"/>
        <w:rPr>
          <w:sz w:val="20"/>
          <w:szCs w:val="20"/>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active markets; quoted prices for identical or similar assets and liabilities in markets that are not active; or other inputs that are observable or can be corroborated by observable market data.</w:t>
      </w:r>
    </w:p>
    <w:p>
      <w:pPr>
        <w:spacing w:after="0" w:line="60" w:lineRule="exact"/>
        <w:rPr>
          <w:sz w:val="20"/>
          <w:szCs w:val="20"/>
          <w:color w:val="auto"/>
        </w:rPr>
      </w:pPr>
    </w:p>
    <w:p>
      <w:pPr>
        <w:ind w:left="520" w:right="40" w:firstLine="648"/>
        <w:spacing w:after="0" w:line="269" w:lineRule="auto"/>
        <w:rPr>
          <w:sz w:val="20"/>
          <w:szCs w:val="20"/>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or liabilities. This includes certain pricing models, discounted cash flow methodologies, and similar techniques that use significant unobservable inputs.</w:t>
      </w:r>
    </w:p>
    <w:p>
      <w:pPr>
        <w:spacing w:after="0" w:line="82" w:lineRule="exact"/>
        <w:rPr>
          <w:sz w:val="20"/>
          <w:szCs w:val="20"/>
          <w:color w:val="auto"/>
        </w:rPr>
      </w:pPr>
    </w:p>
    <w:p>
      <w:pPr>
        <w:jc w:val="both"/>
        <w:ind w:right="220" w:firstLine="486"/>
        <w:spacing w:after="0" w:line="262" w:lineRule="auto"/>
        <w:rPr>
          <w:sz w:val="20"/>
          <w:szCs w:val="20"/>
          <w:color w:val="auto"/>
        </w:rPr>
      </w:pPr>
      <w:r>
        <w:rPr>
          <w:rFonts w:ascii="Arial" w:cs="Arial" w:eastAsia="Arial" w:hAnsi="Arial"/>
          <w:sz w:val="18"/>
          <w:szCs w:val="18"/>
          <w:color w:val="auto"/>
        </w:rPr>
        <w:t>There have been no transfers of assets or liabilities between these fair value measurement classifications during the six months ended June 30, 2014.</w:t>
      </w:r>
    </w:p>
    <w:p>
      <w:pPr>
        <w:spacing w:after="0" w:line="88"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June 30, 2014, the Company had the following financial assets and liabilities that are measured at fair value on a recurring basis:</w:t>
      </w:r>
    </w:p>
    <w:p>
      <w:pPr>
        <w:spacing w:after="0" w:line="72" w:lineRule="exact"/>
        <w:rPr>
          <w:sz w:val="20"/>
          <w:szCs w:val="20"/>
          <w:color w:val="auto"/>
        </w:rPr>
      </w:pPr>
    </w:p>
    <w:p>
      <w:pPr>
        <w:ind w:right="740" w:firstLine="486"/>
        <w:spacing w:after="0" w:line="28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determinable values derived from active markets.</w:t>
      </w:r>
    </w:p>
    <w:p>
      <w:pPr>
        <w:spacing w:after="0" w:line="45"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Securities Owned and Securities Sold, But Not Yet Purchased </w:t>
      </w:r>
      <w:r>
        <w:rPr>
          <w:rFonts w:ascii="Arial" w:cs="Arial" w:eastAsia="Arial" w:hAnsi="Arial"/>
          <w:sz w:val="18"/>
          <w:szCs w:val="18"/>
          <w:color w:val="auto"/>
        </w:rPr>
        <w:t>— The Company's trading securities consist of house account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portfolios established and managed for the purpose of benchmarking the performance of its fee-based advisory platforms and temporary positions resulting from the processing of client transactions. Examples of these securities include money market funds, U.S. treasury obligations, mutual funds, certificates of deposit, and traded equity and debt securities.</w:t>
      </w:r>
    </w:p>
    <w:p>
      <w:pPr>
        <w:spacing w:after="0" w:line="91"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June 30, 2014, the Company did not adjust prices received from the independent third-party pricing services.</w:t>
      </w:r>
    </w:p>
    <w:p>
      <w:pPr>
        <w:spacing w:after="0" w:line="76"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b w:val="1"/>
          <w:bCs w:val="1"/>
          <w:i w:val="1"/>
          <w:iCs w:val="1"/>
          <w:color w:val="auto"/>
        </w:rPr>
        <w:t xml:space="preserve">Other Assets </w:t>
      </w:r>
      <w:r>
        <w:rPr>
          <w:rFonts w:ascii="Arial" w:cs="Arial" w:eastAsia="Arial" w:hAnsi="Arial"/>
          <w:sz w:val="18"/>
          <w:szCs w:val="18"/>
          <w:color w:val="auto"/>
        </w:rPr>
        <w:t>— The Company’s other assets include: (1) deferred compensation plan assets that are invested in money market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mutual funds, which are actively traded and valued based on quoted market prices; (2) certain non-traded real estate investment trusts, which are valued using quoted prices for identical or similar securities and other inputs that are observable or can be corroborated by observable market data; and (3) cash flow hedges, which are measured using quoted prices for similar cash flow hedges, taking into account counterparty credit risk and the Company's own non-performance risk.</w:t>
      </w:r>
    </w:p>
    <w:p>
      <w:pPr>
        <w:spacing w:after="0" w:line="72" w:lineRule="exact"/>
        <w:rPr>
          <w:sz w:val="20"/>
          <w:szCs w:val="20"/>
          <w:color w:val="auto"/>
        </w:rPr>
      </w:pPr>
    </w:p>
    <w:p>
      <w:pPr>
        <w:ind w:right="1080" w:firstLine="486"/>
        <w:spacing w:after="0" w:line="287" w:lineRule="auto"/>
        <w:rPr>
          <w:sz w:val="20"/>
          <w:szCs w:val="20"/>
          <w:color w:val="auto"/>
        </w:rPr>
      </w:pPr>
      <w:r>
        <w:rPr>
          <w:rFonts w:ascii="Arial" w:cs="Arial" w:eastAsia="Arial" w:hAnsi="Arial"/>
          <w:sz w:val="18"/>
          <w:szCs w:val="18"/>
          <w:b w:val="1"/>
          <w:bCs w:val="1"/>
          <w:i w:val="1"/>
          <w:iCs w:val="1"/>
          <w:color w:val="auto"/>
        </w:rPr>
        <w:t xml:space="preserve">Accounts Payable and Accrued Liabilities </w:t>
      </w:r>
      <w:r>
        <w:rPr>
          <w:rFonts w:ascii="Arial" w:cs="Arial" w:eastAsia="Arial" w:hAnsi="Arial"/>
          <w:sz w:val="18"/>
          <w:szCs w:val="18"/>
          <w:color w:val="auto"/>
        </w:rPr>
        <w:t>— The Company's accounts payable and accrued liabilities include contingent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liabilities that are measured using Level 3 inputs.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41"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2014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At June 30, 2014:</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8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85,821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85,821</w:t>
            </w: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278</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7,086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7,086</w:t>
            </w: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229</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1,432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1,432</w:t>
            </w: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2,000</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9,593</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1,432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11,025</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68,563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3,148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71,711</w:t>
            </w:r>
          </w:p>
        </w:tc>
      </w:tr>
      <w:tr>
        <w:trPr>
          <w:trHeight w:val="280"/>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163,977</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4,580</w:t>
            </w:r>
          </w:p>
        </w:tc>
        <w:tc>
          <w:tcPr>
            <w:tcW w:w="1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168,557</w:t>
            </w:r>
          </w:p>
        </w:tc>
      </w:tr>
      <w:tr>
        <w:trPr>
          <w:trHeight w:val="22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80</w:t>
            </w: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At December 31, 2013:</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254,032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254,032</w:t>
            </w: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7,291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7,291</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1,400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8,964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8,964</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47,539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3,072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50,611</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310,535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3,072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313,607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39,293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39,293</w:t>
            </w:r>
          </w:p>
        </w:tc>
        <w:tc>
          <w:tcPr>
            <w:tcW w:w="0" w:type="dxa"/>
            <w:vAlign w:val="bottom"/>
          </w:tcPr>
          <w:p>
            <w:pPr>
              <w:spacing w:after="0"/>
              <w:rPr>
                <w:sz w:val="1"/>
                <w:szCs w:val="1"/>
                <w:color w:val="auto"/>
              </w:rPr>
            </w:pPr>
          </w:p>
        </w:tc>
      </w:tr>
      <w:tr>
        <w:trPr>
          <w:trHeight w:val="240"/>
        </w:trPr>
        <w:tc>
          <w:tcPr>
            <w:tcW w:w="5620" w:type="dxa"/>
            <w:vAlign w:val="bottom"/>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39,293</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39,504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1"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441"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As of December 31, 2013, the Company had a contingent consideration obligation related to the acquisition of National Retirement Partners, Inc. (“NRP”). This obligation was based on the achievement of certain revenue-based targets for the twelve-month period ended November 30, 2013, in aggregate for those advisors joining LPL Financial LLC (“LPL Financial”) subsequent to the NRP acquisition for whom retirement plans comprise a significant part of their business. As of December 31, 2013, the Company had finalized the determination of the amount of contingent consideration to be paid to the former shareholders of NRP, resulting in a total payment of $39.3 million, which was made on February 19, 2014.</w:t>
      </w:r>
    </w:p>
    <w:p>
      <w:pPr>
        <w:spacing w:after="0" w:line="101"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The Company determines the fair value for its contingent consideration obligations using an income approach whereby the Company assesses the probability and timing of the achievement of the applicable milestones, which are based on contractually negotiated financial or operating targets that vary by acquisition transaction, such as revenues, gross margin, EBITDA, and assets under custody. The contingent payments are estimated using a probability weighted, multi-scenario analysis of expected future performance of the acquired businesses. The Company then discounts these expected payment amounts to calculate the fair value as of the valuation date. The Company's management evaluates the underlying projections and other related factors used in determining fair value each period and makes updates when there have been significant changes in management's expectations.</w:t>
      </w:r>
    </w:p>
    <w:p>
      <w:pPr>
        <w:spacing w:after="0" w:line="20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principal significant unobservable input used in the valuations of the Company's contingent consideration obligations is a risk-adjusted discount rate. Whereas management's underlying projections adjust for market penetration and adoption rates, the discount rate is risk-adjusted for key factors such as advisor attrition, advisor recruitment, expenses and overhead costs, average client assets, revenue generation of client assets, and credit risk. An increase in the discount rate will result in a decrease in the fair value of contingent consideration. Conversely, a decrease in the discount rate will result in an increase in the fair value of contingent consideration.</w:t>
      </w:r>
    </w:p>
    <w:p>
      <w:pPr>
        <w:spacing w:after="0" w:line="292"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Held-to-Maturity Securities</w:t>
      </w:r>
    </w:p>
    <w:p>
      <w:pPr>
        <w:spacing w:after="0" w:line="247"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The Company holds certain investments in securities, primarily U.S. government notes, which are recorded at amortized cost because the Company has both the intent and the ability to hold these investments to maturity. Interest income is accrued as earned. Premiums and discounts are amortized using a method that approximates the effective yield method over the term of the security and are recorded as an adjustment to the investment yield.</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gross unrealized loss or gain, and fair value of securities held-to-maturity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66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2014</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2013</w:t>
            </w: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Amortized cost</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6,853</w:t>
            </w: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Gross unrealized loss</w:t>
            </w:r>
          </w:p>
        </w:tc>
        <w:tc>
          <w:tcPr>
            <w:tcW w:w="1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40"/>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Fair value</w:t>
            </w:r>
          </w:p>
        </w:tc>
        <w:tc>
          <w:tcPr>
            <w:tcW w:w="126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3,321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6,795</w:t>
            </w:r>
          </w:p>
        </w:tc>
      </w:tr>
      <w:tr>
        <w:trPr>
          <w:trHeight w:val="20"/>
        </w:trPr>
        <w:tc>
          <w:tcPr>
            <w:tcW w:w="7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2014, the securities held-to-maturity were scheduled to mature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one but within</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five but within</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40"/>
              <w:spacing w:after="0"/>
              <w:rPr>
                <w:sz w:val="20"/>
                <w:szCs w:val="20"/>
                <w:color w:val="auto"/>
              </w:rPr>
            </w:pPr>
            <w:r>
              <w:rPr>
                <w:rFonts w:ascii="Arial" w:cs="Arial" w:eastAsia="Arial" w:hAnsi="Arial"/>
                <w:sz w:val="16"/>
                <w:szCs w:val="16"/>
                <w:b w:val="1"/>
                <w:bCs w:val="1"/>
                <w:color w:val="auto"/>
              </w:rPr>
              <w:t>Within one year</w:t>
            </w:r>
          </w:p>
        </w:tc>
        <w:tc>
          <w:tcPr>
            <w:tcW w:w="28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Arial" w:cs="Arial" w:eastAsia="Arial" w:hAnsi="Arial"/>
                <w:sz w:val="16"/>
                <w:szCs w:val="16"/>
                <w:b w:val="1"/>
                <w:bCs w:val="1"/>
                <w:color w:val="auto"/>
              </w:rPr>
              <w:t>five years</w:t>
            </w:r>
          </w:p>
        </w:tc>
        <w:tc>
          <w:tcPr>
            <w:tcW w:w="28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ten years</w:t>
            </w:r>
          </w:p>
        </w:tc>
        <w:tc>
          <w:tcPr>
            <w:tcW w:w="360" w:type="dxa"/>
            <w:vAlign w:val="bottom"/>
          </w:tcPr>
          <w:p>
            <w:pPr>
              <w:spacing w:after="0"/>
              <w:rPr>
                <w:sz w:val="19"/>
                <w:szCs w:val="19"/>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4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notes — at amortized cost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3,346</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notes —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2,086</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3,321</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24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In May 2013, in conjunction with its commitment to expand its Service Value Commitment, the Company entered into a long-term contractual obligation (the “Agreement”) with a third-party provider to enhance the quality, speed, and cost of processes by outsourcing certain functions. The Agreement enables the third-party provider to use the services of its affiliates in India to provide services to the Company and provides for the Company to settle the cost of its contractual obligation to the third-party provider in U.S. dollars each month. However, the Agreement provides that on each annual anniversary date of the signing of the Agreement, the price for services (denominated</w:t>
      </w:r>
    </w:p>
    <w:p>
      <w:pPr>
        <w:sectPr>
          <w:pgSz w:w="11900" w:h="16838" w:orient="portrait"/>
          <w:cols w:equalWidth="0" w:num="1">
            <w:col w:w="11420"/>
          </w:cols>
          <w:pgMar w:left="240" w:top="441" w:right="239" w:bottom="144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441"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U.S. dollars) is to be adjusted for the then-current exchange rate between the U.S. dollar (“USD”) and the Indian rupee (“INR”). The Agreement provides that, once an annual adjustment is calculated, there are no further modifications to the amounts paid by the Company to the third-party provider for fluctuations in the exchange rate between the USD and the INR until the reset on the next anniversary date of the signing of the Agreement.</w:t>
      </w:r>
    </w:p>
    <w:p>
      <w:pPr>
        <w:spacing w:after="0" w:line="200"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third-party provider bore the risk of currency movement from the date of signing the Agreement until the reset on the first anniversary of its signing, and bears such risk during each period until the next annual reset date. The Company bears the risk of currency movement at each of the annual reset dates following the first anniversary.</w:t>
      </w:r>
    </w:p>
    <w:p>
      <w:pPr>
        <w:spacing w:after="0" w:line="202"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To mitigate foreign currency risk arising from these annual anniversary events, the Company entered into four non-deliverable foreign currency contracts, all of which have been designated as cash flow hedges. The first cash flow hedge, with a notional amount of 560.4 million INR, or $8.5 million, settled in June 2014. The Company received a settlement of $1.0 million that will be reclassified out of accumulated other comprehensive income and recognized in net income to match the timing of the underlying hedged item.</w:t>
      </w:r>
    </w:p>
    <w:p>
      <w:pPr>
        <w:spacing w:after="0" w:line="204"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 details related to the remaining non-deliverable foreign currency contracts at June 30, 2014 are as follows (in millions, except foreign exchange rate):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Hedged Notional</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INR/USD</w:t>
            </w:r>
          </w:p>
        </w:tc>
        <w:tc>
          <w:tcPr>
            <w:tcW w:w="220" w:type="dxa"/>
            <w:vAlign w:val="bottom"/>
          </w:tcPr>
          <w:p>
            <w:pPr>
              <w:spacing w:after="0"/>
              <w:rPr>
                <w:sz w:val="16"/>
                <w:szCs w:val="16"/>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b w:val="1"/>
                <w:bCs w:val="1"/>
                <w:color w:val="auto"/>
              </w:rPr>
              <w:t>Hedged Notional</w:t>
            </w:r>
          </w:p>
        </w:tc>
      </w:tr>
      <w:tr>
        <w:trPr>
          <w:trHeight w:val="228"/>
        </w:trPr>
        <w:tc>
          <w:tcPr>
            <w:tcW w:w="390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Settlement Date</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Amount (INR)</w:t>
            </w:r>
          </w:p>
        </w:tc>
        <w:tc>
          <w:tcPr>
            <w:tcW w:w="2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Foreign Exchange Rate</w:t>
            </w:r>
          </w:p>
        </w:tc>
        <w:tc>
          <w:tcPr>
            <w:tcW w:w="220" w:type="dxa"/>
            <w:vAlign w:val="bottom"/>
          </w:tcPr>
          <w:p>
            <w:pPr>
              <w:spacing w:after="0"/>
              <w:rPr>
                <w:sz w:val="19"/>
                <w:szCs w:val="19"/>
                <w:color w:val="auto"/>
              </w:rPr>
            </w:pPr>
          </w:p>
        </w:tc>
        <w:tc>
          <w:tcPr>
            <w:tcW w:w="1720" w:type="dxa"/>
            <w:vAlign w:val="bottom"/>
          </w:tcPr>
          <w:p>
            <w:pPr>
              <w:jc w:val="right"/>
              <w:ind w:right="339"/>
              <w:spacing w:after="0"/>
              <w:rPr>
                <w:sz w:val="20"/>
                <w:szCs w:val="20"/>
                <w:color w:val="auto"/>
              </w:rPr>
            </w:pPr>
            <w:r>
              <w:rPr>
                <w:rFonts w:ascii="Arial" w:cs="Arial" w:eastAsia="Arial" w:hAnsi="Arial"/>
                <w:sz w:val="16"/>
                <w:szCs w:val="16"/>
                <w:b w:val="1"/>
                <w:bCs w:val="1"/>
                <w:color w:val="auto"/>
              </w:rPr>
              <w:t>Amount (USD)</w:t>
            </w:r>
          </w:p>
        </w:tc>
      </w:tr>
      <w:tr>
        <w:trPr>
          <w:trHeight w:val="257"/>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 hedge #2</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6/2/2015</w:t>
            </w:r>
          </w:p>
        </w:tc>
        <w:tc>
          <w:tcPr>
            <w:tcW w:w="12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560.4</w:t>
            </w:r>
          </w:p>
        </w:tc>
        <w:tc>
          <w:tcPr>
            <w:tcW w:w="10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69.35</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r>
      <w:tr>
        <w:trPr>
          <w:trHeight w:val="260"/>
        </w:trPr>
        <w:tc>
          <w:tcPr>
            <w:tcW w:w="3900" w:type="dxa"/>
            <w:vAlign w:val="bottom"/>
          </w:tcPr>
          <w:p>
            <w:pPr>
              <w:ind w:left="40"/>
              <w:spacing w:after="0"/>
              <w:rPr>
                <w:sz w:val="20"/>
                <w:szCs w:val="20"/>
                <w:color w:val="auto"/>
              </w:rPr>
            </w:pPr>
            <w:r>
              <w:rPr>
                <w:rFonts w:ascii="Arial" w:cs="Arial" w:eastAsia="Arial" w:hAnsi="Arial"/>
                <w:sz w:val="16"/>
                <w:szCs w:val="16"/>
                <w:color w:val="auto"/>
              </w:rPr>
              <w:t>Cash flow hedge #3</w:t>
            </w:r>
          </w:p>
        </w:tc>
        <w:tc>
          <w:tcPr>
            <w:tcW w:w="1380" w:type="dxa"/>
            <w:vAlign w:val="bottom"/>
          </w:tcPr>
          <w:p>
            <w:pPr>
              <w:jc w:val="right"/>
              <w:spacing w:after="0"/>
              <w:rPr>
                <w:sz w:val="20"/>
                <w:szCs w:val="20"/>
                <w:color w:val="auto"/>
              </w:rPr>
            </w:pPr>
            <w:r>
              <w:rPr>
                <w:rFonts w:ascii="Arial" w:cs="Arial" w:eastAsia="Arial" w:hAnsi="Arial"/>
                <w:sz w:val="16"/>
                <w:szCs w:val="16"/>
                <w:color w:val="auto"/>
              </w:rPr>
              <w:t>6/2/2016</w:t>
            </w:r>
          </w:p>
        </w:tc>
        <w:tc>
          <w:tcPr>
            <w:tcW w:w="120" w:type="dxa"/>
            <w:vAlign w:val="bottom"/>
          </w:tcPr>
          <w:p>
            <w:pPr>
              <w:spacing w:after="0"/>
              <w:rPr>
                <w:sz w:val="22"/>
                <w:szCs w:val="22"/>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560.4</w:t>
            </w:r>
          </w:p>
        </w:tc>
        <w:tc>
          <w:tcPr>
            <w:tcW w:w="100" w:type="dxa"/>
            <w:vAlign w:val="bottom"/>
          </w:tcPr>
          <w:p>
            <w:pPr>
              <w:spacing w:after="0"/>
              <w:rPr>
                <w:sz w:val="22"/>
                <w:szCs w:val="22"/>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72.21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7.8</w:t>
            </w:r>
          </w:p>
        </w:tc>
      </w:tr>
      <w:tr>
        <w:trPr>
          <w:trHeight w:val="27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hedge #4</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6/2/2017</w:t>
            </w: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560.4</w:t>
            </w: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74.20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40"/>
        </w:trPr>
        <w:tc>
          <w:tcPr>
            <w:tcW w:w="3900" w:type="dxa"/>
            <w:vAlign w:val="bottom"/>
          </w:tcPr>
          <w:p>
            <w:pPr>
              <w:ind w:left="40"/>
              <w:spacing w:after="0"/>
              <w:rPr>
                <w:sz w:val="20"/>
                <w:szCs w:val="20"/>
                <w:color w:val="auto"/>
              </w:rPr>
            </w:pPr>
            <w:r>
              <w:rPr>
                <w:rFonts w:ascii="Arial" w:cs="Arial" w:eastAsia="Arial" w:hAnsi="Arial"/>
                <w:sz w:val="16"/>
                <w:szCs w:val="16"/>
                <w:color w:val="auto"/>
              </w:rPr>
              <w:t>Total hedged amount</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w:t>
            </w:r>
          </w:p>
        </w:tc>
      </w:tr>
      <w:tr>
        <w:trPr>
          <w:trHeight w:val="20"/>
        </w:trPr>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The fair value of the derivative instruments, included in other assets in the unaudited condensed consolidated statements of financial condition, were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6"/>
                <w:szCs w:val="16"/>
                <w:color w:val="auto"/>
              </w:rPr>
            </w:pPr>
          </w:p>
        </w:tc>
        <w:tc>
          <w:tcPr>
            <w:tcW w:w="1500" w:type="dxa"/>
            <w:vAlign w:val="bottom"/>
          </w:tcPr>
          <w:p>
            <w:pPr>
              <w:jc w:val="center"/>
              <w:ind w:right="15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hedges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r>
    </w:tbl>
    <w:p>
      <w:pPr>
        <w:spacing w:after="0" w:line="301"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ind w:right="40" w:firstLine="486"/>
        <w:spacing w:after="0" w:line="282" w:lineRule="auto"/>
        <w:rPr>
          <w:sz w:val="20"/>
          <w:szCs w:val="20"/>
          <w:color w:val="auto"/>
        </w:rPr>
      </w:pPr>
      <w:r>
        <w:rPr>
          <w:rFonts w:ascii="Arial" w:cs="Arial" w:eastAsia="Arial" w:hAnsi="Arial"/>
          <w:sz w:val="18"/>
          <w:szCs w:val="18"/>
          <w:color w:val="auto"/>
        </w:rPr>
        <w:t xml:space="preserve">Goodwill and intangible assets were a result of various acquisitions. See Note 9.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in the Company's 2013 Annual Report on Form 10-K for a discussion of the components of goodwill and additional information regarding intangible assets.</w:t>
      </w:r>
    </w:p>
    <w:p>
      <w:pPr>
        <w:spacing w:after="0" w:line="212"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sz w:val="20"/>
          <w:szCs w:val="20"/>
          <w:color w:val="auto"/>
        </w:rPr>
      </w:pPr>
    </w:p>
    <w:p>
      <w:pPr>
        <w:ind w:right="3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Senior Secured Credit Facilities </w:t>
      </w:r>
      <w:r>
        <w:rPr>
          <w:rFonts w:ascii="Arial" w:cs="Arial" w:eastAsia="Arial" w:hAnsi="Arial"/>
          <w:sz w:val="18"/>
          <w:szCs w:val="18"/>
          <w:color w:val="auto"/>
        </w:rPr>
        <w:t>— On May 13, 2013, the Company entered into the First Amendment and Incremental Assumption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(“Credit Agreement”) with its wholly owned subsidiary, LPL Holdings, Inc., and other parties thereto. The Credit Agreement amended the Company's previous credit agreement, which was dated March 29, 2012.</w:t>
      </w:r>
    </w:p>
    <w:p>
      <w:pPr>
        <w:spacing w:after="0" w:line="177" w:lineRule="exact"/>
        <w:rPr>
          <w:sz w:val="20"/>
          <w:szCs w:val="20"/>
          <w:color w:val="auto"/>
        </w:rPr>
      </w:pPr>
    </w:p>
    <w:p>
      <w:pPr>
        <w:jc w:val="both"/>
        <w:ind w:right="220" w:firstLine="486"/>
        <w:spacing w:after="0" w:line="286" w:lineRule="auto"/>
        <w:rPr>
          <w:sz w:val="20"/>
          <w:szCs w:val="20"/>
          <w:color w:val="auto"/>
        </w:rPr>
      </w:pPr>
      <w:r>
        <w:rPr>
          <w:rFonts w:ascii="Arial" w:cs="Arial" w:eastAsia="Arial" w:hAnsi="Arial"/>
          <w:sz w:val="17"/>
          <w:szCs w:val="17"/>
          <w:color w:val="auto"/>
        </w:rPr>
        <w:t>The Credit Agreement includes a Term Loan A, a Term Loan B, and a revolving credit facility (“Revolving Credit Facility”). Term Loan A had an initial principal amount of $459.4 million maturing on March 29, 2017; Term Loan B had an initial principal amount of $1,083.9 million maturing on March 29, 2019; and the Revolving Credit Facility has a borrowing capacity of $250.0 million maturing on March 29, 2017.</w:t>
      </w:r>
    </w:p>
    <w:p>
      <w:pPr>
        <w:spacing w:after="0" w:line="179"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At the time the Company entered into the Credit Agreement, all mandatory payments required under Term Loan A were prepaid, with the remaining principal and accrued interest due upon maturity. Term Loan B includes quarterly payments at an annual rate of 1.0% of principal per year, with the remaining principal and accrued interest due upon maturity.</w:t>
      </w:r>
    </w:p>
    <w:p>
      <w:pPr>
        <w:spacing w:after="0" w:line="202"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Borrowings under Term Loan A and Term Loan B bear interest at a base rate equal to either one-, two-, three-, six-, nine-, or twelve-month LIBOR (the “Eurodollar Rate”) plus the applicable interest rate margin, or an alternative base rate (“ABR”) plus the applicable interest rate margin. The Eurodollar Rate with respect to Term</w:t>
      </w:r>
    </w:p>
    <w:p>
      <w:pPr>
        <w:sectPr>
          <w:pgSz w:w="11900" w:h="16838" w:orient="portrait"/>
          <w:cols w:equalWidth="0" w:num="1">
            <w:col w:w="11420"/>
          </w:cols>
          <w:pgMar w:left="240" w:top="441" w:right="2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41"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Loan B shall in no event be less than 0.75%. The ABR is equal to the greatest of (a) the prime rate in effect on such day; (b) the effective federal funds rate in effect on such day plus 0.50%; (c) the Eurodollar Rate plus 1.00%; or (d) solely in the case of Term Loan B, 1.75%. The Company may repay outstanding loans under its Credit Agreement at any time without premium or penalty, other than customary “breakage” costs with respect to Eurodollar Rate loans.</w:t>
      </w:r>
    </w:p>
    <w:p>
      <w:pPr>
        <w:spacing w:after="0" w:line="96"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auto"/>
        </w:rPr>
        <w:t>As of June 30, 2014, borrowings under the term loans bore interest at the Eurodollar Rate with an applicable interest rate margin of 2.50%. The Company’s outstanding borrowings were as follows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June 30, 2014</w:t>
            </w:r>
          </w:p>
        </w:tc>
        <w:tc>
          <w:tcPr>
            <w:tcW w:w="70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December 31, 2013</w:t>
            </w:r>
          </w:p>
        </w:tc>
        <w:tc>
          <w:tcPr>
            <w:tcW w:w="420" w:type="dxa"/>
            <w:vAlign w:val="bottom"/>
          </w:tcPr>
          <w:p>
            <w:pPr>
              <w:spacing w:after="0"/>
              <w:rPr>
                <w:sz w:val="19"/>
                <w:szCs w:val="19"/>
                <w:color w:val="auto"/>
              </w:rPr>
            </w:pPr>
          </w:p>
        </w:tc>
      </w:tr>
      <w:tr>
        <w:trPr>
          <w:trHeight w:val="198"/>
        </w:trPr>
        <w:tc>
          <w:tcPr>
            <w:tcW w:w="3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Interest</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Interest</w:t>
            </w:r>
          </w:p>
        </w:tc>
      </w:tr>
      <w:tr>
        <w:trPr>
          <w:trHeight w:val="228"/>
        </w:trPr>
        <w:tc>
          <w:tcPr>
            <w:tcW w:w="396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Maturity</w:t>
            </w:r>
          </w:p>
        </w:tc>
        <w:tc>
          <w:tcPr>
            <w:tcW w:w="200" w:type="dxa"/>
            <w:vAlign w:val="bottom"/>
          </w:tcPr>
          <w:p>
            <w:pPr>
              <w:spacing w:after="0"/>
              <w:rPr>
                <w:sz w:val="19"/>
                <w:szCs w:val="19"/>
                <w:color w:val="auto"/>
              </w:rPr>
            </w:pPr>
          </w:p>
        </w:tc>
        <w:tc>
          <w:tcPr>
            <w:tcW w:w="1720" w:type="dxa"/>
            <w:vAlign w:val="bottom"/>
            <w:gridSpan w:val="3"/>
          </w:tcPr>
          <w:p>
            <w:pPr>
              <w:ind w:left="80"/>
              <w:spacing w:after="0"/>
              <w:rPr>
                <w:sz w:val="20"/>
                <w:szCs w:val="20"/>
                <w:color w:val="auto"/>
              </w:rPr>
            </w:pPr>
            <w:r>
              <w:rPr>
                <w:rFonts w:ascii="Arial" w:cs="Arial" w:eastAsia="Arial" w:hAnsi="Arial"/>
                <w:sz w:val="16"/>
                <w:szCs w:val="16"/>
                <w:b w:val="1"/>
                <w:bCs w:val="1"/>
                <w:color w:val="auto"/>
              </w:rPr>
              <w:t>Balance</w:t>
            </w:r>
          </w:p>
        </w:tc>
        <w:tc>
          <w:tcPr>
            <w:tcW w:w="1220" w:type="dxa"/>
            <w:vAlign w:val="bottom"/>
            <w:gridSpan w:val="2"/>
          </w:tcPr>
          <w:p>
            <w:pPr>
              <w:jc w:val="right"/>
              <w:ind w:right="780"/>
              <w:spacing w:after="0"/>
              <w:rPr>
                <w:sz w:val="20"/>
                <w:szCs w:val="20"/>
                <w:color w:val="auto"/>
              </w:rPr>
            </w:pPr>
            <w:r>
              <w:rPr>
                <w:rFonts w:ascii="Arial" w:cs="Arial" w:eastAsia="Arial" w:hAnsi="Arial"/>
                <w:sz w:val="16"/>
                <w:szCs w:val="16"/>
                <w:b w:val="1"/>
                <w:bCs w:val="1"/>
                <w:color w:val="auto"/>
              </w:rPr>
              <w:t>Rate</w:t>
            </w:r>
          </w:p>
        </w:tc>
        <w:tc>
          <w:tcPr>
            <w:tcW w:w="200" w:type="dxa"/>
            <w:vAlign w:val="bottom"/>
          </w:tcPr>
          <w:p>
            <w:pPr>
              <w:spacing w:after="0"/>
              <w:rPr>
                <w:sz w:val="19"/>
                <w:szCs w:val="19"/>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b w:val="1"/>
                <w:bCs w:val="1"/>
                <w:color w:val="auto"/>
              </w:rPr>
              <w:t>Balance</w:t>
            </w:r>
          </w:p>
        </w:tc>
        <w:tc>
          <w:tcPr>
            <w:tcW w:w="120" w:type="dxa"/>
            <w:vAlign w:val="bottom"/>
          </w:tcPr>
          <w:p>
            <w:pPr>
              <w:spacing w:after="0"/>
              <w:rPr>
                <w:sz w:val="19"/>
                <w:szCs w:val="19"/>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Rate</w:t>
            </w:r>
          </w:p>
        </w:tc>
      </w:tr>
      <w:tr>
        <w:trPr>
          <w:trHeight w:val="260"/>
        </w:trPr>
        <w:tc>
          <w:tcPr>
            <w:tcW w:w="3960" w:type="dxa"/>
            <w:vAlign w:val="bottom"/>
          </w:tcPr>
          <w:p>
            <w:pPr>
              <w:jc w:val="center"/>
              <w:ind w:right="1779"/>
              <w:spacing w:after="0"/>
              <w:rPr>
                <w:sz w:val="20"/>
                <w:szCs w:val="20"/>
                <w:color w:val="auto"/>
              </w:rPr>
            </w:pPr>
            <w:r>
              <w:rPr>
                <w:rFonts w:ascii="Arial" w:cs="Arial" w:eastAsia="Arial" w:hAnsi="Arial"/>
                <w:sz w:val="16"/>
                <w:szCs w:val="16"/>
                <w:color w:val="auto"/>
              </w:rPr>
              <w:t>Senior secured term loans:</w:t>
            </w: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r>
      <w:tr>
        <w:trPr>
          <w:trHeight w:val="280"/>
        </w:trPr>
        <w:tc>
          <w:tcPr>
            <w:tcW w:w="3960" w:type="dxa"/>
            <w:vAlign w:val="bottom"/>
            <w:shd w:val="clear" w:color="auto" w:fill="CCEEFF"/>
          </w:tcPr>
          <w:p>
            <w:pPr>
              <w:ind w:left="840"/>
              <w:spacing w:after="0"/>
              <w:rPr>
                <w:sz w:val="20"/>
                <w:szCs w:val="20"/>
                <w:color w:val="auto"/>
              </w:rPr>
            </w:pPr>
            <w:r>
              <w:rPr>
                <w:rFonts w:ascii="Arial" w:cs="Arial" w:eastAsia="Arial" w:hAnsi="Arial"/>
                <w:sz w:val="16"/>
                <w:szCs w:val="16"/>
                <w:color w:val="auto"/>
              </w:rPr>
              <w:t>Term Loan A</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3/29/2017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459,375</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2.65% (1)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459,375</w:t>
            </w:r>
          </w:p>
        </w:tc>
        <w:tc>
          <w:tcPr>
            <w:tcW w:w="18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2.67% (3)</w:t>
            </w:r>
          </w:p>
        </w:tc>
      </w:tr>
      <w:tr>
        <w:trPr>
          <w:trHeight w:val="264"/>
        </w:trPr>
        <w:tc>
          <w:tcPr>
            <w:tcW w:w="396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rPr>
              <w:t>Term Loan B</w:t>
            </w:r>
          </w:p>
        </w:tc>
        <w:tc>
          <w:tcPr>
            <w:tcW w:w="11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3/29/2019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1,070,302</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6"/>
                <w:szCs w:val="16"/>
                <w:color w:val="auto"/>
              </w:rPr>
              <w:t>3.25% (2)</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1,075,721</w:t>
            </w:r>
          </w:p>
        </w:tc>
        <w:tc>
          <w:tcPr>
            <w:tcW w:w="1840" w:type="dxa"/>
            <w:vAlign w:val="bottom"/>
            <w:tcBorders>
              <w:bottom w:val="single" w:sz="8" w:color="CCEEFF"/>
            </w:tcBorders>
            <w:gridSpan w:val="3"/>
          </w:tcPr>
          <w:p>
            <w:pPr>
              <w:jc w:val="right"/>
              <w:ind w:right="200"/>
              <w:spacing w:after="0"/>
              <w:rPr>
                <w:sz w:val="20"/>
                <w:szCs w:val="20"/>
                <w:color w:val="auto"/>
              </w:rPr>
            </w:pPr>
            <w:r>
              <w:rPr>
                <w:rFonts w:ascii="Arial" w:cs="Arial" w:eastAsia="Arial" w:hAnsi="Arial"/>
                <w:sz w:val="16"/>
                <w:szCs w:val="16"/>
                <w:color w:val="auto"/>
              </w:rPr>
              <w:t>3.25% (4)</w:t>
            </w:r>
          </w:p>
        </w:tc>
      </w:tr>
      <w:tr>
        <w:trPr>
          <w:trHeight w:val="257"/>
        </w:trPr>
        <w:tc>
          <w:tcPr>
            <w:tcW w:w="3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borrowings</w:t>
            </w: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1,529,677</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1,535,096</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r>
      <w:tr>
        <w:trPr>
          <w:trHeight w:val="264"/>
        </w:trPr>
        <w:tc>
          <w:tcPr>
            <w:tcW w:w="3960" w:type="dxa"/>
            <w:vAlign w:val="bottom"/>
            <w:tcBorders>
              <w:bottom w:val="single" w:sz="8" w:color="CCEEFF"/>
            </w:tcBorders>
          </w:tcPr>
          <w:p>
            <w:pPr>
              <w:jc w:val="center"/>
              <w:ind w:right="1759"/>
              <w:spacing w:after="0"/>
              <w:rPr>
                <w:sz w:val="20"/>
                <w:szCs w:val="20"/>
                <w:color w:val="auto"/>
              </w:rPr>
            </w:pPr>
            <w:r>
              <w:rPr>
                <w:rFonts w:ascii="Arial" w:cs="Arial" w:eastAsia="Arial" w:hAnsi="Arial"/>
                <w:sz w:val="16"/>
                <w:szCs w:val="16"/>
                <w:color w:val="auto"/>
              </w:rPr>
              <w:t>Less current portion</w:t>
            </w: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10,839</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10,839</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r>
      <w:tr>
        <w:trPr>
          <w:trHeight w:val="24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Long-term borrowings — net of current portion</w:t>
            </w: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1,518,838</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1,524,257</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8890</wp:posOffset>
            </wp:positionV>
            <wp:extent cx="763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8890</wp:posOffset>
            </wp:positionV>
            <wp:extent cx="763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w:t>
      </w: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June 30, 2014, the variable interest rate for Term Loan A was the one-month LIBOR, designated at an interest rate of 0.15%.</w:t>
      </w:r>
    </w:p>
    <w:p>
      <w:pPr>
        <w:spacing w:after="0" w:line="63" w:lineRule="exact"/>
        <w:rPr>
          <w:rFonts w:ascii="Arial" w:cs="Arial" w:eastAsia="Arial" w:hAnsi="Arial"/>
          <w:sz w:val="18"/>
          <w:szCs w:val="18"/>
          <w:color w:val="auto"/>
        </w:rPr>
      </w:pPr>
    </w:p>
    <w:p>
      <w:pPr>
        <w:ind w:left="500" w:right="320" w:hanging="492"/>
        <w:spacing w:after="0" w:line="262"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June 30, 2014, the Company elected the six-month LIBOR, which was less than 0.75%; as a result, the variable interest rate for Term Loan B was the minimum Eurodollar Rate of 0.75%.</w:t>
      </w:r>
    </w:p>
    <w:p>
      <w:pPr>
        <w:spacing w:after="0" w:line="34"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December 31, 2013, the variable interest rate for Term Loan A was the one-month LIBOR, designated at an interest rate of 0.17%.</w:t>
      </w:r>
    </w:p>
    <w:p>
      <w:pPr>
        <w:spacing w:after="0" w:line="63" w:lineRule="exact"/>
        <w:rPr>
          <w:rFonts w:ascii="Arial" w:cs="Arial" w:eastAsia="Arial" w:hAnsi="Arial"/>
          <w:sz w:val="18"/>
          <w:szCs w:val="18"/>
          <w:color w:val="auto"/>
        </w:rPr>
      </w:pPr>
    </w:p>
    <w:p>
      <w:pPr>
        <w:ind w:left="500" w:right="140" w:hanging="492"/>
        <w:spacing w:after="0" w:line="262"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December 31, 2013, the Company elected the six-month LIBOR, which was less than 0.75%; as a result, the variable interest rate for Term Loan B was the minimum Eurodollar Rate of 0.75%.</w:t>
      </w:r>
    </w:p>
    <w:p>
      <w:pPr>
        <w:spacing w:after="0" w:line="14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As of June 30, 2014, the Revolving Credit Facility was being used to support the issuance of $21.4 million of irrevocable letters of credit for the construction of the Company's San Diego office building and other items, with an applicable interest rate margin of 2.50%. An irrevocable letter of credit for $20.7 million matures on March 29, 2015, while the remaining letters totaling $0.7 million mature on various dates through June 8, 2015. The remaining available balance of $228.6 million was undrawn at June 30, 2014.</w:t>
      </w:r>
    </w:p>
    <w:p>
      <w:pPr>
        <w:spacing w:after="0" w:line="258"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 Credit Agreement subjects the Company to certain financial and non-financial covenants. As of June 30, 2014, the Company was in compliance with such covenants.</w:t>
      </w:r>
    </w:p>
    <w:p>
      <w:pPr>
        <w:spacing w:after="0" w:line="174"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Bank Loans Payable </w:t>
      </w:r>
      <w:r>
        <w:rPr>
          <w:rFonts w:ascii="Arial" w:cs="Arial" w:eastAsia="Arial" w:hAnsi="Arial"/>
          <w:sz w:val="18"/>
          <w:szCs w:val="18"/>
          <w:color w:val="auto"/>
        </w:rPr>
        <w:t>— The Company maintains three uncommitted lines of credit. Two of the lines have unspecified limits, which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dependent on the Company’s ability to provide sufficient collateral. The third line has a $ 200.0 million limit, and allows for both collateralized and uncollateralized borrowings. The lines have not been utilized in 2014, but were utilized in 2013; however, there were no balances outstanding at June 30, 2014 or December 31, 2013.</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borrowing activity in the revolving and uncommitted line of credit facilities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3020" w:type="dxa"/>
            <w:vAlign w:val="bottom"/>
            <w:gridSpan w:val="6"/>
          </w:tcPr>
          <w:p>
            <w:pPr>
              <w:ind w:left="32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9"/>
                <w:szCs w:val="19"/>
                <w:color w:val="auto"/>
              </w:rPr>
            </w:pPr>
          </w:p>
        </w:tc>
        <w:tc>
          <w:tcPr>
            <w:tcW w:w="266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46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balance</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1,424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6,915</w:t>
            </w:r>
          </w:p>
        </w:tc>
      </w:tr>
      <w:tr>
        <w:trPr>
          <w:trHeight w:val="251"/>
        </w:trPr>
        <w:tc>
          <w:tcPr>
            <w:tcW w:w="5460" w:type="dxa"/>
            <w:vAlign w:val="bottom"/>
          </w:tcPr>
          <w:p>
            <w:pPr>
              <w:ind w:left="40"/>
              <w:spacing w:after="0"/>
              <w:rPr>
                <w:sz w:val="20"/>
                <w:szCs w:val="20"/>
                <w:color w:val="auto"/>
              </w:rPr>
            </w:pPr>
            <w:r>
              <w:rPr>
                <w:rFonts w:ascii="Arial" w:cs="Arial" w:eastAsia="Arial" w:hAnsi="Arial"/>
                <w:sz w:val="16"/>
                <w:szCs w:val="16"/>
                <w:color w:val="auto"/>
              </w:rPr>
              <w:t>Weighted-average interest rate</w:t>
            </w:r>
          </w:p>
        </w:tc>
        <w:tc>
          <w:tcPr>
            <w:tcW w:w="960" w:type="dxa"/>
            <w:vAlign w:val="bottom"/>
          </w:tcPr>
          <w:p>
            <w:pPr>
              <w:spacing w:after="0"/>
              <w:rPr>
                <w:sz w:val="21"/>
                <w:szCs w:val="21"/>
                <w:color w:val="auto"/>
              </w:rPr>
            </w:pPr>
          </w:p>
        </w:tc>
        <w:tc>
          <w:tcPr>
            <w:tcW w:w="5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1.81%</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41"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The Company leases office space and equipment under various operating leases. These leases are generally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scheduled base rent and maintenance cost increases, which are recognized on a straight-line basis over the period of the leases. Total rental expense for all operating leases was approximately $8.2 million and $5.0 million for the three months ended June 30, 2014 and 2013, respectively, and $17.0 million and $10.0 million for the six months ended June 30, 2014 and 2013, respectively.</w:t>
      </w:r>
    </w:p>
    <w:p>
      <w:pPr>
        <w:spacing w:after="0" w:line="253"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In March 2014 the Company entered into a lease agreement for additional office space in Charlotte, North Carolina with a lease commencement date of March 1, 2014 and an expiration date of February 28, 2017. Future minimum payments for this lease commitment are $0.4 million, $1.0 million, $1.1 million, and $0.2 million, for the years 2014, 2015, 2016, and 2017, respectively.</w:t>
      </w:r>
    </w:p>
    <w:p>
      <w:pPr>
        <w:spacing w:after="0" w:line="288" w:lineRule="exact"/>
        <w:rPr>
          <w:sz w:val="20"/>
          <w:szCs w:val="20"/>
          <w:color w:val="auto"/>
        </w:rPr>
      </w:pPr>
    </w:p>
    <w:p>
      <w:pPr>
        <w:ind w:right="640" w:firstLine="486"/>
        <w:spacing w:after="0" w:line="287" w:lineRule="auto"/>
        <w:rPr>
          <w:sz w:val="20"/>
          <w:szCs w:val="20"/>
          <w:color w:val="auto"/>
        </w:rPr>
      </w:pPr>
      <w:r>
        <w:rPr>
          <w:rFonts w:ascii="Arial" w:cs="Arial" w:eastAsia="Arial" w:hAnsi="Arial"/>
          <w:sz w:val="18"/>
          <w:szCs w:val="18"/>
          <w:b w:val="1"/>
          <w:bCs w:val="1"/>
          <w:i w:val="1"/>
          <w:iCs w:val="1"/>
          <w:color w:val="auto"/>
        </w:rPr>
        <w:t xml:space="preserve">Service Contracts </w:t>
      </w:r>
      <w:r>
        <w:rPr>
          <w:rFonts w:ascii="Arial" w:cs="Arial" w:eastAsia="Arial" w:hAnsi="Arial"/>
          <w:sz w:val="18"/>
          <w:szCs w:val="18"/>
          <w:color w:val="auto"/>
        </w:rPr>
        <w:t>— The Company is party to certain long-term contracts for systems and services that enable back office trade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processing and clearing for its product and service offerings.</w:t>
      </w:r>
    </w:p>
    <w:p>
      <w:pPr>
        <w:spacing w:after="0" w:line="261" w:lineRule="exact"/>
        <w:rPr>
          <w:sz w:val="20"/>
          <w:szCs w:val="20"/>
          <w:color w:val="auto"/>
        </w:rPr>
      </w:pPr>
    </w:p>
    <w:p>
      <w:pPr>
        <w:jc w:val="both"/>
        <w:ind w:right="2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 The Company occasionally enters into certain types of contracts that contingently require it to indemnify certain parties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298"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Company’s subsidiary, 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may exceed the cash and securities it has posted as collateral. However, the potential requirement for the Company to make payments under these agreements is remote. Accordingly, no liability has been recognized for these transactions.</w:t>
      </w:r>
    </w:p>
    <w:p>
      <w:pPr>
        <w:spacing w:after="0" w:line="295"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b w:val="1"/>
          <w:bCs w:val="1"/>
          <w:i w:val="1"/>
          <w:iCs w:val="1"/>
          <w:color w:val="auto"/>
        </w:rPr>
        <w:t xml:space="preserve">Loan Commitments </w:t>
      </w:r>
      <w:r>
        <w:rPr>
          <w:rFonts w:ascii="Arial" w:cs="Arial" w:eastAsia="Arial" w:hAnsi="Arial"/>
          <w:sz w:val="18"/>
          <w:szCs w:val="18"/>
          <w:color w:val="auto"/>
        </w:rPr>
        <w:t>— From time to time, LPL Financial makes loans to its advisors, primarily to newly recruited advisors to assist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transition process, which may be forgivable. Due to timing differences, LPL Financial may make commitments to issue such loans prior to actually funding them. These unfunded commitments are generally contingent upon certain events occurring, including but not limited to the advisor joining LPL Financial. LPL Financial had no such significant unfunded commitments at June 30, 2014.</w:t>
      </w:r>
    </w:p>
    <w:p>
      <w:pPr>
        <w:spacing w:after="0" w:line="12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Disputed &amp; Regulatory Matters </w:t>
      </w:r>
      <w:r>
        <w:rPr>
          <w:rFonts w:ascii="Arial" w:cs="Arial" w:eastAsia="Arial" w:hAnsi="Arial"/>
          <w:sz w:val="18"/>
          <w:szCs w:val="18"/>
          <w:color w:val="auto"/>
        </w:rPr>
        <w:t>— The Company maintains insurance coverage for certain client claims. With respect to these matters,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estimated losses on the majority of pending matters are less than the applicable deductibles of the insurance policies. The Company is also subject to extensive regulation and supervision by U.S. federal and state agencies and various self-regulatory organizations. The Company and its financial advisors periodically engage with such agencies and organizations, in the context of examinations or otherwise, to respond to inquiries, informational requests, and investigations. From time to time, such engagements result in regulatory complaints or other matters, the resolution of which can include restitution, fines, and other remedies. As of June 30, 2014, the Company believes, based on the information available at this time, consideration of amounts accrued, insurance, if any, and indemnifications provided by the third-party indemnitors, if any, that the outcomes of any such pending claims or matters with estimated losses in excess of applicable deductibles will not have a material impact on its unaudited condensed consolidated statements of income, financial condition, or cash flows.</w:t>
      </w:r>
    </w:p>
    <w:p>
      <w:pPr>
        <w:spacing w:after="0" w:line="136"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Certain former owners of Concord Capital Partners, Inc. (“CCP”), a subsidiary that the Company acquired in June 2011, have filed lawsuits with claims related to contingent consideration under the stock purchase agreement relating to the Company's acquisition of CCP and employment-related claims. As of June 30, 2014, after consideration of amounts accrued and applicable insurance, the Company does not believe that the outcomes of these matters, individually or in the aggregate, will have a material impact on its unaudited condensed consolidated statements of income, financial condition, or cash flows.</w:t>
      </w:r>
    </w:p>
    <w:p>
      <w:pPr>
        <w:spacing w:after="0" w:line="288" w:lineRule="exact"/>
        <w:rPr>
          <w:sz w:val="20"/>
          <w:szCs w:val="20"/>
          <w:color w:val="auto"/>
        </w:rPr>
      </w:pPr>
    </w:p>
    <w:p>
      <w:pPr>
        <w:ind w:right="20" w:firstLine="486"/>
        <w:spacing w:after="0" w:line="283" w:lineRule="auto"/>
        <w:rPr>
          <w:sz w:val="20"/>
          <w:szCs w:val="20"/>
          <w:color w:val="auto"/>
        </w:rPr>
      </w:pPr>
      <w:r>
        <w:rPr>
          <w:rFonts w:ascii="Arial" w:cs="Arial" w:eastAsia="Arial" w:hAnsi="Arial"/>
          <w:sz w:val="17"/>
          <w:szCs w:val="17"/>
          <w:b w:val="1"/>
          <w:bCs w:val="1"/>
          <w:i w:val="1"/>
          <w:iCs w:val="1"/>
          <w:color w:val="auto"/>
        </w:rPr>
        <w:t xml:space="preserve">Other Commitments </w:t>
      </w:r>
      <w:r>
        <w:rPr>
          <w:rFonts w:ascii="Arial" w:cs="Arial" w:eastAsia="Arial" w:hAnsi="Arial"/>
          <w:sz w:val="17"/>
          <w:szCs w:val="17"/>
          <w:color w:val="auto"/>
        </w:rPr>
        <w:t>— As of June 30, 2014, the Company had received collateral primarily in connection with client margin loans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 value of approximately $ 383.2 million, which it can re-pledge, loan, or sell. Of these securities, approximately $31.3 million were client-owned securities pledged to the Options Clearing Corporation as collateral to secure client obligations related to options positions. Additionally, approximately $172.6 million was held at banks in connection with unutilized secured margin lines of credit; these securities may be used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4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as collateral for loans from these banks. The remainder of $179.3 million had not been re-pledged, loaned, or sold, and as of June 30, 2014 there were no restrictions that materially limited the Company's ability to re-pledge, loan, or sell the remaining $351.9 million of client collateral.</w:t>
      </w:r>
    </w:p>
    <w:p>
      <w:pPr>
        <w:spacing w:after="0" w:line="250"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Trading securities on the unaudited condensed consolidated statements of financial condition includes $2.0 million and $1.4 million pledged to clearing organizations at June 30, 2014 and December 31, 2013, respectively.</w:t>
      </w:r>
    </w:p>
    <w:p>
      <w:pPr>
        <w:spacing w:after="0" w:line="1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Brokerage, clearing, and custody services are provided by LPL Financial on a fully disclosed basis. LPL Financial also has a multi-year agreement to provide its investment advisory programs, platforms, technology, and additional processing and related services to the advisors of the broker-dealer subsidiary of a large global insurance company and the clients of such advisors at specified service levels. Failures by LPL Financial to meet certain specified service levels may result in service level credits against future fees payable by or give rise to a termination right for such broker-dealer. Termination fees may be payable by a terminating or breaching party depending on the specific cause of termination.</w:t>
      </w:r>
    </w:p>
    <w:p>
      <w:pPr>
        <w:spacing w:after="0" w:line="24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301"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Certain employees, advisors, institutions, officers, and directors of the Company participate in various long-term incentive plans, which provide for granting stock options, warrants, restricted stock awards, and restricted stock units. Stock options and warrants generally vest in equal increments over a three- to five-year period and expire on the tenth anniversary following the date of grant. Restricted stock awards and restricted stock units generally vest over a two- to four-year period.</w:t>
      </w:r>
    </w:p>
    <w:p>
      <w:pPr>
        <w:spacing w:after="0" w:line="245"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On November 17, 2010, the Company adopted a 2010 Omnibus Equity Incentive Plan (the “2010 Plan”), which provides for the granting of stock options, warrants, restricted stock awards, restricted stock units, and other equity-based compensation. The 2010 Plan serves as the successor to the 2005 Stock Option Plan for Incentive Stock Options, the 2005 Stock Option Plan for Non-qualified Stock Options, the 2008 Advisor and Institution Incentive Plan, the 2008 Stock Option Plan and the Director Restricted Stock Plan (collectively, the “Predecessor Plans”). Upon adoption of the 2010 Plan, awards were no longer made under the Predecessor Plans; however, awards previously granted under the Predecessor Plans remain outstanding until exercised or forfeited.</w:t>
      </w:r>
    </w:p>
    <w:p>
      <w:pPr>
        <w:spacing w:after="0" w:line="207"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There are 12,055,945 shares authorized for grant under the 2010 Plan. As of June 30, 2014, there were 6,157,487 shares reserved for issuance upon exercise or conversion of outstanding awards granted under the 2010 Plan.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47" w:lineRule="exact"/>
        <w:rPr>
          <w:sz w:val="20"/>
          <w:szCs w:val="20"/>
          <w:color w:val="auto"/>
        </w:rPr>
      </w:pPr>
    </w:p>
    <w:p>
      <w:pPr>
        <w:ind w:right="40" w:firstLine="486"/>
        <w:spacing w:after="0" w:line="291" w:lineRule="auto"/>
        <w:rPr>
          <w:sz w:val="20"/>
          <w:szCs w:val="20"/>
          <w:color w:val="auto"/>
        </w:rPr>
      </w:pPr>
      <w:r>
        <w:rPr>
          <w:rFonts w:ascii="Arial" w:cs="Arial" w:eastAsia="Arial" w:hAnsi="Arial"/>
          <w:sz w:val="17"/>
          <w:szCs w:val="17"/>
          <w:color w:val="auto"/>
        </w:rPr>
        <w:t>The following table presents the weighted-average assumptions used in the Black-Scholes valuation model by the Company in calculating the fair value of its employee, officer, and director stock options that have been granted during the six months ended June 30, 2014:</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life (in years)</w:t>
            </w:r>
          </w:p>
        </w:tc>
        <w:tc>
          <w:tcPr>
            <w:tcW w:w="43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6.01</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Expected stock price volatility</w:t>
            </w:r>
          </w:p>
        </w:tc>
        <w:tc>
          <w:tcPr>
            <w:tcW w:w="4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44.33%</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43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4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options</w:t>
            </w:r>
          </w:p>
        </w:tc>
        <w:tc>
          <w:tcPr>
            <w:tcW w:w="4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20.72</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4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The fair value of each stock option or warrant awarded to advisors and financial institutions is estimated on the date of the grant and revalued at each reporting period using the Black-Scholes valuation model with the following weighted-average assumptions used during the six months ended June 30, 2014: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life (in years)</w:t>
            </w:r>
          </w:p>
        </w:tc>
        <w:tc>
          <w:tcPr>
            <w:tcW w:w="43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6.76</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Expected stock price volatility</w:t>
            </w:r>
          </w:p>
        </w:tc>
        <w:tc>
          <w:tcPr>
            <w:tcW w:w="4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39.26%</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43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4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options</w:t>
            </w:r>
          </w:p>
        </w:tc>
        <w:tc>
          <w:tcPr>
            <w:tcW w:w="4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25.18</w:t>
            </w: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stock option and warrant activity for the six months ended June 30, 2014: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Intrinsic</w:t>
            </w:r>
          </w:p>
        </w:tc>
      </w:tr>
      <w:tr>
        <w:trPr>
          <w:trHeight w:val="189"/>
        </w:trPr>
        <w:tc>
          <w:tcPr>
            <w:tcW w:w="504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Average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6"/>
                <w:szCs w:val="16"/>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Value</w:t>
            </w:r>
          </w:p>
        </w:tc>
      </w:tr>
      <w:tr>
        <w:trPr>
          <w:trHeight w:val="228"/>
        </w:trPr>
        <w:tc>
          <w:tcPr>
            <w:tcW w:w="50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 December 31, 2013</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7,016,521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28.45</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5040" w:type="dxa"/>
            <w:vAlign w:val="bottom"/>
          </w:tcPr>
          <w:p>
            <w:pPr>
              <w:ind w:left="1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702,660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54.72</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(872,318)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24.73</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(210,996)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34.48</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June 30, 2014</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6,635,867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31.53</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120,826</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Exercisable — June 30, 2014</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3,185,621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27.36</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71,301</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outstanding stock options and warrants at June 30, 2014: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rPr>
              <w:t>Outstanding</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Exercisable</w:t>
            </w:r>
          </w:p>
        </w:tc>
      </w:tr>
      <w:tr>
        <w:trPr>
          <w:trHeight w:val="198"/>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Average</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Life</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Exercise</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Exercise</w:t>
            </w:r>
          </w:p>
        </w:tc>
      </w:tr>
      <w:tr>
        <w:trPr>
          <w:trHeight w:val="228"/>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Price</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Price</w:t>
            </w:r>
          </w:p>
        </w:tc>
      </w:tr>
      <w:tr>
        <w:trPr>
          <w:trHeight w:val="257"/>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17,382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17,382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r>
      <w:tr>
        <w:trPr>
          <w:trHeight w:val="260"/>
        </w:trPr>
        <w:tc>
          <w:tcPr>
            <w:tcW w:w="4000" w:type="dxa"/>
            <w:vAlign w:val="bottom"/>
          </w:tcPr>
          <w:p>
            <w:pPr>
              <w:ind w:left="180"/>
              <w:spacing w:after="0"/>
              <w:rPr>
                <w:sz w:val="20"/>
                <w:szCs w:val="20"/>
                <w:color w:val="auto"/>
              </w:rPr>
            </w:pPr>
            <w:r>
              <w:rPr>
                <w:rFonts w:ascii="Arial" w:cs="Arial" w:eastAsia="Arial" w:hAnsi="Arial"/>
                <w:sz w:val="16"/>
                <w:szCs w:val="16"/>
                <w:color w:val="auto"/>
              </w:rPr>
              <w:t>$15.84 - $23.02</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1,337,146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21.41</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1,089,063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21.20</w:t>
            </w:r>
          </w:p>
        </w:tc>
      </w:tr>
      <w:tr>
        <w:trPr>
          <w:trHeight w:val="280"/>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$23.41 - $30.00</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1,705,518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28.14</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937,510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27.64</w:t>
            </w:r>
          </w:p>
        </w:tc>
      </w:tr>
      <w:tr>
        <w:trPr>
          <w:trHeight w:val="260"/>
        </w:trPr>
        <w:tc>
          <w:tcPr>
            <w:tcW w:w="4000" w:type="dxa"/>
            <w:vAlign w:val="bottom"/>
          </w:tcPr>
          <w:p>
            <w:pPr>
              <w:ind w:left="180"/>
              <w:spacing w:after="0"/>
              <w:rPr>
                <w:sz w:val="20"/>
                <w:szCs w:val="20"/>
                <w:color w:val="auto"/>
              </w:rPr>
            </w:pPr>
            <w:r>
              <w:rPr>
                <w:rFonts w:ascii="Arial" w:cs="Arial" w:eastAsia="Arial" w:hAnsi="Arial"/>
                <w:sz w:val="16"/>
                <w:szCs w:val="16"/>
                <w:color w:val="auto"/>
              </w:rPr>
              <w:t>$31.60 - $32.33</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1,703,198</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31.87</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502,139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31.95</w:t>
            </w:r>
          </w:p>
        </w:tc>
      </w:tr>
      <w:tr>
        <w:trPr>
          <w:trHeight w:val="280"/>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$34.01 - $39.60</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1,200,404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34.58</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637,834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34.44</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$45.89 - $54.81</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672,219</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9.66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54.72</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1,693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54.81</w:t>
            </w:r>
          </w:p>
        </w:tc>
      </w:tr>
      <w:tr>
        <w:trPr>
          <w:trHeight w:val="240"/>
        </w:trPr>
        <w:tc>
          <w:tcPr>
            <w:tcW w:w="4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6,635,867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31.53</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3,185,621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27.36</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6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Company recognizes share-based compensation for stock options awarded to employees, officers, and directors based on the grant date fair value over the requisite service period of the award, which generally equals the vesting period. The Company recognized share-based compensation related to the vesting of these awards of $3.8 million and $3.8 million during the three months ended June 30, 2014 and 2013, respectively, and $ 7.6 million and $7.3 million during the six months ended June 30, 2014 and 2013, respectively, which is included in compensation and benefits expense on the unaudited condensed consolidated statements of income. As of June 30, 2014, total unrecognized compensation cost related to non-vested stock options granted to employees, officers and directors was $30.2 million, which is expected to be recognized over a weighted-average period of 2.45 years.</w:t>
      </w:r>
    </w:p>
    <w:p>
      <w:pPr>
        <w:spacing w:after="0" w:line="207" w:lineRule="exact"/>
        <w:rPr>
          <w:sz w:val="20"/>
          <w:szCs w:val="20"/>
          <w:color w:val="auto"/>
        </w:rPr>
      </w:pPr>
    </w:p>
    <w:p>
      <w:pPr>
        <w:jc w:val="both"/>
        <w:ind w:right="140" w:firstLine="486"/>
        <w:spacing w:after="0" w:line="256" w:lineRule="auto"/>
        <w:rPr>
          <w:sz w:val="20"/>
          <w:szCs w:val="20"/>
          <w:color w:val="auto"/>
        </w:rPr>
      </w:pPr>
      <w:r>
        <w:rPr>
          <w:rFonts w:ascii="Arial" w:cs="Arial" w:eastAsia="Arial" w:hAnsi="Arial"/>
          <w:sz w:val="18"/>
          <w:szCs w:val="18"/>
          <w:color w:val="auto"/>
        </w:rPr>
        <w:t>The Company recognizes share-based compensation for stock options and warrants awarded to its advisors and to financial institutions based on the fair value of the awards at each reporting period. The Company recognized share-based compensation of $1.6 million and $2.4 million during the three months ended June 30,</w:t>
      </w:r>
    </w:p>
    <w:p>
      <w:pPr>
        <w:sectPr>
          <w:pgSz w:w="11900" w:h="16838" w:orient="portrait"/>
          <w:cols w:equalWidth="0" w:num="1">
            <w:col w:w="11420"/>
          </w:cols>
          <w:pgMar w:left="240" w:top="441" w:right="2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441"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2014 and 2013, respectively, and $4.8 million and $4.3 million for during the six months ended June 30, 2014 and 2013, respectively, related to the vesting of stock options and warrants awarded to its advisors and financial institutions, which is classified within commission and advisory expense on the unaudited condensed consolidated statements of income. As of June 30, 2014, total unrecognized compensation cost related to non-vested stock options and warrants granted to advisors and financial institutions was $16.1 million, which is expected to be recognized over a weighted-average period of 2.68 years.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3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the Company’s activity in its restricted stock awards and restricted stock units for the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35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Restricted Stock Awards</w:t>
            </w:r>
          </w:p>
        </w:tc>
        <w:tc>
          <w:tcPr>
            <w:tcW w:w="100" w:type="dxa"/>
            <w:vAlign w:val="bottom"/>
          </w:tcPr>
          <w:p>
            <w:pPr>
              <w:spacing w:after="0"/>
              <w:rPr>
                <w:sz w:val="19"/>
                <w:szCs w:val="19"/>
                <w:color w:val="auto"/>
              </w:rPr>
            </w:pPr>
          </w:p>
        </w:tc>
        <w:tc>
          <w:tcPr>
            <w:tcW w:w="352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Restricted Stock Units</w:t>
            </w:r>
          </w:p>
        </w:tc>
      </w:tr>
      <w:tr>
        <w:trPr>
          <w:trHeight w:val="198"/>
        </w:trPr>
        <w:tc>
          <w:tcPr>
            <w:tcW w:w="4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Weighted-Average</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rPr>
              <w:t>Weighted-Average</w:t>
            </w:r>
          </w:p>
        </w:tc>
      </w:tr>
      <w:tr>
        <w:trPr>
          <w:trHeight w:val="189"/>
        </w:trPr>
        <w:tc>
          <w:tcPr>
            <w:tcW w:w="4240" w:type="dxa"/>
            <w:vAlign w:val="bottom"/>
          </w:tcPr>
          <w:p>
            <w:pPr>
              <w:spacing w:after="0"/>
              <w:rPr>
                <w:sz w:val="16"/>
                <w:szCs w:val="16"/>
                <w:color w:val="auto"/>
              </w:rPr>
            </w:pPr>
          </w:p>
        </w:tc>
        <w:tc>
          <w:tcPr>
            <w:tcW w:w="1740" w:type="dxa"/>
            <w:vAlign w:val="bottom"/>
          </w:tcPr>
          <w:p>
            <w:pPr>
              <w:jc w:val="right"/>
              <w:ind w:right="3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Grant-Date</w:t>
            </w:r>
          </w:p>
        </w:tc>
        <w:tc>
          <w:tcPr>
            <w:tcW w:w="1720" w:type="dxa"/>
            <w:vAlign w:val="bottom"/>
          </w:tcPr>
          <w:p>
            <w:pPr>
              <w:jc w:val="right"/>
              <w:ind w:right="37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Grant-Date</w:t>
            </w:r>
          </w:p>
        </w:tc>
      </w:tr>
      <w:tr>
        <w:trPr>
          <w:trHeight w:val="228"/>
        </w:trPr>
        <w:tc>
          <w:tcPr>
            <w:tcW w:w="424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Fair Value</w:t>
            </w: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Nonvested at December 31, 2013</w:t>
            </w: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39,153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33.20</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256,684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32.12</w:t>
            </w:r>
          </w:p>
        </w:tc>
      </w:tr>
      <w:tr>
        <w:trPr>
          <w:trHeight w:val="260"/>
        </w:trPr>
        <w:tc>
          <w:tcPr>
            <w:tcW w:w="4240" w:type="dxa"/>
            <w:vAlign w:val="bottom"/>
          </w:tcPr>
          <w:p>
            <w:pPr>
              <w:ind w:left="120"/>
              <w:spacing w:after="0"/>
              <w:rPr>
                <w:sz w:val="20"/>
                <w:szCs w:val="20"/>
                <w:color w:val="auto"/>
              </w:rPr>
            </w:pPr>
            <w:r>
              <w:rPr>
                <w:rFonts w:ascii="Arial" w:cs="Arial" w:eastAsia="Arial" w:hAnsi="Arial"/>
                <w:sz w:val="16"/>
                <w:szCs w:val="16"/>
                <w:color w:val="auto"/>
              </w:rPr>
              <w:t>Granted</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15,846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49.22</w:t>
            </w:r>
          </w:p>
        </w:tc>
        <w:tc>
          <w:tcPr>
            <w:tcW w:w="10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336,405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49.34</w:t>
            </w:r>
          </w:p>
        </w:tc>
      </w:tr>
      <w:tr>
        <w:trPr>
          <w:trHeight w:val="280"/>
        </w:trPr>
        <w:tc>
          <w:tcPr>
            <w:tcW w:w="4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32.26</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30.66</w:t>
            </w:r>
          </w:p>
        </w:tc>
      </w:tr>
      <w:tr>
        <w:trPr>
          <w:trHeight w:val="264"/>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32.96</w:t>
            </w:r>
          </w:p>
        </w:tc>
        <w:tc>
          <w:tcPr>
            <w:tcW w:w="10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(25,063)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36.88</w:t>
            </w:r>
          </w:p>
        </w:tc>
      </w:tr>
      <w:tr>
        <w:trPr>
          <w:trHeight w:val="24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at June 30, 2014</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41,149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39.60</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532,991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42.86</w:t>
            </w: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Company recognizes share-based compensation for restricted stock awards and restricted stock units granted to its employees, officers, and directors based on the grant date fair value over the requisite service period of the award, which generally equals the vesting period. The Company recognized $1.5 million and $0.6 million of share-based compensation related to the vesting of these restricted stock awards and restricted stock units during the three months ended June 30, 2014 and 2013, respectively, and $2.7 million and $1.0 million during the six months ended June 30, 2014 and 2013, respectively, which is included in compensation and benefits expense on the unaudited condensed consolidated statements of income. As of June 30, 2014, total unrecognized compensation cost for restricted stock awards and restricted stock units granted to employees, officers, and directors was $13.7 million, which is expected to be recognized over a weighted-average remaining period of 2.40 years.</w:t>
      </w:r>
    </w:p>
    <w:p>
      <w:pPr>
        <w:spacing w:after="0" w:line="206"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In the second quarter of 2014, the Company began granting restricted stock units to its advisors and to financial institutions. The Company recognizes share-based compensation for restricted stock units granted to its advisors and to financial institutions based on the fair value of the awards at each reporting period. The Company recognized share-based compensation of $0.2 million related to the vesting of these restricted stock units during the three and six months ended June 30, 2014, which is classified within commission and advisory expense on the unaudited condensed consolidated statements of income. As of June 30, 2014, total unrecognized compensation cost for restricted stock units granted to advisors and financial institutions was $5.1 million, which is expected to be recognized over a weighted-average remaining period of 2.87 years.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39" w:lineRule="exact"/>
        <w:rPr>
          <w:sz w:val="20"/>
          <w:szCs w:val="20"/>
          <w:color w:val="auto"/>
        </w:rPr>
      </w:pPr>
    </w:p>
    <w:p>
      <w:pPr>
        <w:jc w:val="both"/>
        <w:ind w:right="260" w:firstLine="486"/>
        <w:spacing w:after="0" w:line="256" w:lineRule="auto"/>
        <w:rPr>
          <w:sz w:val="20"/>
          <w:szCs w:val="20"/>
          <w:color w:val="auto"/>
        </w:rPr>
      </w:pPr>
      <w:r>
        <w:rPr>
          <w:rFonts w:ascii="Arial" w:cs="Arial" w:eastAsia="Arial" w:hAnsi="Arial"/>
          <w:sz w:val="18"/>
          <w:szCs w:val="18"/>
          <w:color w:val="auto"/>
        </w:rPr>
        <w:t>The payment, timing, and amount of any dividends are subject to approval by the Board of Directors as well as certain limits under the Company's credit facilities. Cash dividends per share of common stock and total cash dividends paid on a quarterly basis were as follows for the periods indicated (in millions,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2014</w:t>
            </w: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2013</w:t>
            </w:r>
          </w:p>
        </w:tc>
        <w:tc>
          <w:tcPr>
            <w:tcW w:w="1220" w:type="dxa"/>
            <w:vAlign w:val="bottom"/>
            <w:tcBorders>
              <w:bottom w:val="single" w:sz="8" w:color="auto"/>
            </w:tcBorders>
          </w:tcPr>
          <w:p>
            <w:pPr>
              <w:spacing w:after="0"/>
              <w:rPr>
                <w:sz w:val="19"/>
                <w:szCs w:val="19"/>
                <w:color w:val="auto"/>
              </w:rPr>
            </w:pPr>
          </w:p>
        </w:tc>
      </w:tr>
      <w:tr>
        <w:trPr>
          <w:trHeight w:val="198"/>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Dividend per</w:t>
            </w:r>
          </w:p>
        </w:tc>
        <w:tc>
          <w:tcPr>
            <w:tcW w:w="20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 Cash</w:t>
            </w:r>
          </w:p>
        </w:tc>
        <w:tc>
          <w:tcPr>
            <w:tcW w:w="16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Dividend per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 Cash</w:t>
            </w:r>
          </w:p>
        </w:tc>
      </w:tr>
      <w:tr>
        <w:trPr>
          <w:trHeight w:val="228"/>
        </w:trPr>
        <w:tc>
          <w:tcPr>
            <w:tcW w:w="53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Dividend</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Dividend</w:t>
            </w:r>
          </w:p>
        </w:tc>
      </w:tr>
      <w:tr>
        <w:trPr>
          <w:trHeight w:val="257"/>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0.135</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r>
      <w:tr>
        <w:trPr>
          <w:trHeight w:val="251"/>
        </w:trPr>
        <w:tc>
          <w:tcPr>
            <w:tcW w:w="538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0.135</w:t>
            </w:r>
          </w:p>
        </w:tc>
        <w:tc>
          <w:tcPr>
            <w:tcW w:w="4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14.4</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4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301"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Board of Directors has approved several share repurchase programs pursuant to which the Company may repurchase its issued and outstanding shares of common stock from time to time. Repurchased shares are included in treasury stock on the unaudited condensed consolidated statements of financial condition. Purchases may be effected in open market or privately negotiated transactions, including transactions with affiliates, with the timing of purchases and the amount of stock purchased generally determined at the discretion of the Company's management within the constraints of the Credit Agreement and general liquidity needs.</w:t>
      </w:r>
    </w:p>
    <w:p>
      <w:pPr>
        <w:spacing w:after="0" w:line="152"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For the three months ended June 30, 2014 and 2013, the Company had the following activity under its approved share repurchase programs (in millions, except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6"/>
          </w:tcPr>
          <w:p>
            <w:pPr>
              <w:jc w:val="right"/>
              <w:ind w:right="8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r>
      <w:tr>
        <w:trPr>
          <w:trHeight w:val="264"/>
        </w:trPr>
        <w:tc>
          <w:tcPr>
            <w:tcW w:w="2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r>
      <w:tr>
        <w:trPr>
          <w:trHeight w:val="175"/>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62"/>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268"/>
              <w:spacing w:after="0"/>
              <w:rPr>
                <w:sz w:val="20"/>
                <w:szCs w:val="20"/>
                <w:color w:val="auto"/>
              </w:rPr>
            </w:pPr>
            <w:r>
              <w:rPr>
                <w:rFonts w:ascii="Arial" w:cs="Arial" w:eastAsia="Arial" w:hAnsi="Arial"/>
                <w:sz w:val="14"/>
                <w:szCs w:val="14"/>
                <w:b w:val="1"/>
                <w:bCs w:val="1"/>
                <w:color w:val="auto"/>
              </w:rPr>
              <w:t>Average Price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Average Price</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Repurchase</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Remaining at</w:t>
            </w:r>
          </w:p>
        </w:tc>
        <w:tc>
          <w:tcPr>
            <w:tcW w:w="114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Paid Per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Paid Per</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6"/>
        </w:trPr>
        <w:tc>
          <w:tcPr>
            <w:tcW w:w="21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Cost</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Cost</w:t>
            </w:r>
          </w:p>
        </w:tc>
      </w:tr>
      <w:tr>
        <w:trPr>
          <w:trHeight w:val="256"/>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27, 2012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1,428,576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36.99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52.8</w:t>
            </w:r>
          </w:p>
        </w:tc>
      </w:tr>
      <w:tr>
        <w:trPr>
          <w:trHeight w:val="260"/>
        </w:trPr>
        <w:tc>
          <w:tcPr>
            <w:tcW w:w="2300" w:type="dxa"/>
            <w:vAlign w:val="bottom"/>
            <w:gridSpan w:val="2"/>
          </w:tcPr>
          <w:p>
            <w:pPr>
              <w:ind w:left="40"/>
              <w:spacing w:after="0"/>
              <w:rPr>
                <w:sz w:val="20"/>
                <w:szCs w:val="20"/>
                <w:color w:val="auto"/>
              </w:rPr>
            </w:pPr>
            <w:r>
              <w:rPr>
                <w:rFonts w:ascii="Arial" w:cs="Arial" w:eastAsia="Arial" w:hAnsi="Arial"/>
                <w:sz w:val="16"/>
                <w:szCs w:val="16"/>
                <w:color w:val="auto"/>
              </w:rPr>
              <w:t>May 28, 2013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February 10, 2014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92.9</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535,210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46.73</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535,210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46.73</w:t>
            </w:r>
          </w:p>
        </w:tc>
        <w:tc>
          <w:tcPr>
            <w:tcW w:w="420" w:type="dxa"/>
            <w:vAlign w:val="bottom"/>
            <w:gridSpan w:val="3"/>
          </w:tcPr>
          <w:p>
            <w:pPr>
              <w:jc w:val="right"/>
              <w:ind w:right="48"/>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1,428,576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36.99</w:t>
            </w:r>
          </w:p>
        </w:tc>
        <w:tc>
          <w:tcPr>
            <w:tcW w:w="100" w:type="dxa"/>
            <w:vAlign w:val="bottom"/>
          </w:tcPr>
          <w:p>
            <w:pPr>
              <w:spacing w:after="0"/>
              <w:rPr>
                <w:sz w:val="20"/>
                <w:szCs w:val="20"/>
                <w:color w:val="auto"/>
              </w:rPr>
            </w:pP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52.8</w:t>
            </w: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740" w:firstLine="486"/>
        <w:spacing w:after="0" w:line="262" w:lineRule="auto"/>
        <w:rPr>
          <w:sz w:val="20"/>
          <w:szCs w:val="20"/>
          <w:color w:val="auto"/>
        </w:rPr>
      </w:pPr>
      <w:r>
        <w:rPr>
          <w:rFonts w:ascii="Arial" w:cs="Arial" w:eastAsia="Arial" w:hAnsi="Arial"/>
          <w:sz w:val="18"/>
          <w:szCs w:val="18"/>
          <w:color w:val="auto"/>
        </w:rPr>
        <w:t>For the six months ended June 30, 2014 and 2013, the Company had the following activity under its approved share repurchase programs (in millions, except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right"/>
              <w:ind w:right="162"/>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r>
      <w:tr>
        <w:trPr>
          <w:trHeight w:val="264"/>
        </w:trPr>
        <w:tc>
          <w:tcPr>
            <w:tcW w:w="2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r>
      <w:tr>
        <w:trPr>
          <w:trHeight w:val="175"/>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83"/>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62"/>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 Price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Average Price</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Repurchase</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Remaining at</w:t>
            </w:r>
          </w:p>
        </w:tc>
        <w:tc>
          <w:tcPr>
            <w:tcW w:w="114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83"/>
              <w:spacing w:after="0"/>
              <w:rPr>
                <w:sz w:val="20"/>
                <w:szCs w:val="20"/>
                <w:color w:val="auto"/>
              </w:rPr>
            </w:pPr>
            <w:r>
              <w:rPr>
                <w:rFonts w:ascii="Arial" w:cs="Arial" w:eastAsia="Arial" w:hAnsi="Arial"/>
                <w:sz w:val="14"/>
                <w:szCs w:val="14"/>
                <w:b w:val="1"/>
                <w:bCs w:val="1"/>
                <w:color w:val="auto"/>
                <w:w w:val="99"/>
              </w:rPr>
              <w:t>Paid Per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Paid Per</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6"/>
        </w:trPr>
        <w:tc>
          <w:tcPr>
            <w:tcW w:w="21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Cost</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Cost</w:t>
            </w:r>
          </w:p>
        </w:tc>
      </w:tr>
      <w:tr>
        <w:trPr>
          <w:trHeight w:val="256"/>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27, 2012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1,583,865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36.47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57.8</w:t>
            </w:r>
          </w:p>
        </w:tc>
      </w:tr>
      <w:tr>
        <w:trPr>
          <w:trHeight w:val="260"/>
        </w:trPr>
        <w:tc>
          <w:tcPr>
            <w:tcW w:w="2300" w:type="dxa"/>
            <w:vAlign w:val="bottom"/>
            <w:gridSpan w:val="2"/>
          </w:tcPr>
          <w:p>
            <w:pPr>
              <w:ind w:left="40"/>
              <w:spacing w:after="0"/>
              <w:rPr>
                <w:sz w:val="20"/>
                <w:szCs w:val="20"/>
                <w:color w:val="auto"/>
              </w:rPr>
            </w:pPr>
            <w:r>
              <w:rPr>
                <w:rFonts w:ascii="Arial" w:cs="Arial" w:eastAsia="Arial" w:hAnsi="Arial"/>
                <w:sz w:val="16"/>
                <w:szCs w:val="16"/>
                <w:color w:val="auto"/>
              </w:rPr>
              <w:t>May 28, 2013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1,306,288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52.00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22"/>
                <w:szCs w:val="22"/>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February 10, 2014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92.9</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1,151,998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49.55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2,458,286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50.85</w:t>
            </w:r>
          </w:p>
        </w:tc>
        <w:tc>
          <w:tcPr>
            <w:tcW w:w="30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1,583,865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36.47</w:t>
            </w:r>
          </w:p>
        </w:tc>
        <w:tc>
          <w:tcPr>
            <w:tcW w:w="100" w:type="dxa"/>
            <w:vAlign w:val="bottom"/>
          </w:tcPr>
          <w:p>
            <w:pPr>
              <w:spacing w:after="0"/>
              <w:rPr>
                <w:sz w:val="20"/>
                <w:szCs w:val="20"/>
                <w:color w:val="auto"/>
              </w:rPr>
            </w:pP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57.8</w:t>
            </w: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13 for details regarding the repurchase of shares from related parties.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 The calculation of basic and diluted earnings per share for the three and six months ended June 30, 2014 and 2013 is as follows (in thousands, except per share data):</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9"/>
                <w:szCs w:val="19"/>
                <w:color w:val="auto"/>
              </w:rPr>
            </w:pPr>
          </w:p>
        </w:tc>
        <w:tc>
          <w:tcPr>
            <w:tcW w:w="242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60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2013</w:t>
            </w:r>
          </w:p>
        </w:tc>
      </w:tr>
      <w:tr>
        <w:trPr>
          <w:trHeight w:val="24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43,091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45,091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96,226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99,808</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08"/>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weighted-average number of shares outstanding</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100,244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106,414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100,756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106,381</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Dilutive common share equivalents</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1,281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1,084</w:t>
            </w:r>
          </w:p>
        </w:tc>
      </w:tr>
      <w:tr>
        <w:trPr>
          <w:trHeight w:val="24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weighted-average number of shares outstanding</w:t>
            </w: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102,029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107,695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102,672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107,465</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08"/>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0.94</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0.94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0.93</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computation of diluted earnings per share excludes stock options, warrants, and restricted stock units that are anti-dilutive. For the three months ended June 30, 2014 and 2013, stock options, warrants, and restricted stock units representing common share equivalents of 1,510,813 shares and 3,864,493 shares, respectively, were anti-dilutive. For the six months ended June 30, 2014 and 2013, stock options, warrants, and restricted stock units representing common share equivalents of 1,282,968 shares and 4,689,047 shares, respectively, were anti-dilutive.</w:t>
      </w:r>
    </w:p>
    <w:p>
      <w:pPr>
        <w:spacing w:after="0" w:line="21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0" w:lineRule="exact"/>
        <w:rPr>
          <w:sz w:val="20"/>
          <w:szCs w:val="20"/>
          <w:color w:val="auto"/>
        </w:rPr>
      </w:pPr>
    </w:p>
    <w:p>
      <w:pPr>
        <w:ind w:right="500" w:firstLine="405"/>
        <w:spacing w:after="0" w:line="250" w:lineRule="auto"/>
        <w:rPr>
          <w:sz w:val="20"/>
          <w:szCs w:val="20"/>
          <w:color w:val="auto"/>
        </w:rPr>
      </w:pPr>
      <w:r>
        <w:rPr>
          <w:rFonts w:ascii="Arial" w:cs="Arial" w:eastAsia="Arial" w:hAnsi="Arial"/>
          <w:sz w:val="18"/>
          <w:szCs w:val="18"/>
          <w:color w:val="auto"/>
        </w:rPr>
        <w:t>The Company’s effective income tax rate differs from the federal corporate tax rate of 35.0%, primarily as a result of state taxes, settlement contingencies, and expenses that are not deductible for tax purposes. These items resulted in effective tax rates of 39.4% and</w:t>
      </w:r>
    </w:p>
    <w:p>
      <w:pPr>
        <w:spacing w:after="0" w:line="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39.8% for the three months ended June 30, 2014 and 2013, respectively, and 39.4% and 39.7% for the six months ended June 30, 2014 and 2013, respectively. Deferred income taxes reflect the net tax effects of temporary differences between the carrying amounts of assets and liabilities for financial reporting purposes and the amounts used for income tax purposes.</w:t>
      </w:r>
    </w:p>
    <w:p>
      <w:pPr>
        <w:spacing w:after="0" w:line="18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 has related party transactions with TPG Capital, one of the Company's significant stockholders, as well as certain portfolio companies of TPG Capital. During the six months ended June 30, 2014 and 2013 the Company recognized revenue for services provided to these portfolio companies of $0.4 million and $2.2 million, respectively. During the six months ended June 30, 2014 and 2013, the Company incurred expenses for services provided by TPG Capital or these portfolio companies of $0.5 million and $0.3 million, respectively. As of June 30, 2014 and 2013, receivables from related parties were $0.1 million and $1.1 million, respectively. As of June 30, 2014 and 2013, payables to related parties were not in excess of $0.1 million.</w:t>
      </w:r>
    </w:p>
    <w:p>
      <w:pPr>
        <w:spacing w:after="0" w:line="101" w:lineRule="exact"/>
        <w:rPr>
          <w:sz w:val="20"/>
          <w:szCs w:val="20"/>
          <w:color w:val="auto"/>
        </w:rPr>
      </w:pPr>
    </w:p>
    <w:p>
      <w:pPr>
        <w:ind w:right="680" w:firstLine="486"/>
        <w:spacing w:after="0" w:line="262" w:lineRule="auto"/>
        <w:rPr>
          <w:sz w:val="20"/>
          <w:szCs w:val="20"/>
          <w:color w:val="auto"/>
        </w:rPr>
      </w:pPr>
      <w:r>
        <w:rPr>
          <w:rFonts w:ascii="Arial" w:cs="Arial" w:eastAsia="Arial" w:hAnsi="Arial"/>
          <w:sz w:val="18"/>
          <w:szCs w:val="18"/>
          <w:color w:val="auto"/>
        </w:rPr>
        <w:t>During the six months ended June 30 2013, the Company incurred $0.8 million in expenses for services provided by Aplifi, Inc., a privately held technology company in which the Company held an equity interest until its sale in October 2013.</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February 12, 2014, the Company entered into a share repurchase agreement with an investment fund associated with TPG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which the Company repurchased 1.9 million shares of its common stock at a price of $52.00 per share, for total consideration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million. The share repurchase was effected in a private transaction and was contingent on the closing of a registered sale of 1.9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of the Company's common stock by TPG Capital to a private investor. The repurchase transaction closed on February 19, 2014.</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41"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Net Capital and Regulatory Requirements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The Company operates in a highly regulated industry. Applicable laws and regulations restrict permissible activities and investments and require compliance with various financial and customer-related regulations. The consequences of noncompliance can include substantial monetary and non-monetary sanctions. In addition, the Company is also subject to comprehensive examinations and supervision by various governmental and self-regulatory agencies. These regulatory agencies generally have broad discretion to prescribe greater limitations on the operations of a regulated entity for the protection of investors or public interest. Furthermore, where the agencies determine that such operations are unsafe or unsound, fail to comply with applicable law, or are otherwise inconsistent with the laws and regulations or with the supervisory policies, greater restrictions may be imposed.</w:t>
      </w:r>
    </w:p>
    <w:p>
      <w:pPr>
        <w:spacing w:after="0" w:line="20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Company’s registered broker-dealer, LPL Financial, is subject to the SEC’s Uniform Net Capital Rule (Rule 15c3-1 under the Exchange Act), which requires the maintenance of minimum net capital, as defined. Net capital and the related net capital requirement may fluctuate on a daily basis. LPL Financial is a clearing broker-dealer and had net capital of $187.5 million with a minimum net capital requirement of $6.8 million and net capital in excess of the minimum requirement of $180.7 million as of June 30, 2014.</w:t>
      </w:r>
    </w:p>
    <w:p>
      <w:pPr>
        <w:spacing w:after="0" w:line="191"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The Company's subsidiary, The Private Trust Company N.A. (“PTC”), operates in a highly regulated industry and is subject to various regulatory capital requirements. Failure to meet minimum capital requirements can initiate certain mandatory and possible additional discretionary actions by regulators that, if undertaken, could have substantial monetary and non-monetary impacts to PTC's operations.</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2014 and December 31, 2013, LPL Financial and PTC met all capital adequacy requirements to which they were subject.</w:t>
      </w:r>
    </w:p>
    <w:p>
      <w:pPr>
        <w:spacing w:after="0" w:line="25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Off-Balance-Sheet Credit Risk and Concentrations of Credit Risk</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three business days after the trade date. If clients do not fulfill their contractual obligations, LPL Financial may incur losses. In addition, the Company occasionally enters into certain types of contracts to fulfill its sale of when, as, and if issued securities. When, as, and if issued securities have been authorized but are contingent upon the actual issuance of the security. LPL Financial has established procedures to reduce this risk by generally requiring that clients deposit cash or securities into their account prior to placing an order.</w:t>
      </w:r>
    </w:p>
    <w:p>
      <w:pPr>
        <w:spacing w:after="0" w:line="20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LPL Financial may at times hold equity securities that are recorded on the unaudited condensed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24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47"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On July 29, 2014, the Board of Directors declared a cash dividend of $0.24 per share on the Company's outstanding common stock to be paid on August 29, 2014 to all stockholders of record on August 14, 2014.</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right="240" w:firstLine="486"/>
        <w:spacing w:after="0" w:line="255" w:lineRule="auto"/>
        <w:rPr>
          <w:sz w:val="20"/>
          <w:szCs w:val="20"/>
          <w:color w:val="auto"/>
        </w:rPr>
      </w:pPr>
      <w:r>
        <w:rPr>
          <w:rFonts w:ascii="Arial" w:cs="Arial" w:eastAsia="Arial" w:hAnsi="Arial"/>
          <w:sz w:val="18"/>
          <w:szCs w:val="18"/>
          <w:color w:val="auto"/>
        </w:rPr>
        <w:t>We are the nation's largest independent broker-dealer, a top custodian for registered investment advisors (“RIAs”), and a leading independent consultant to retirement plans. We provide an integrated platform of brokerage and investment advisory services to more than 13,800 independent financial advisors, including financial advisors at more than 700 financial institutions (our “advisors”) across the country, enabling them to provide their retail investors (“clients”) with objective financial advice through a lower conflict model. We also support approximately 4,400 financial advisors who are affiliated and licensed with insurance companies that use our customized clearing, advisory platforms, and technology solutions.</w:t>
      </w:r>
    </w:p>
    <w:p>
      <w:pPr>
        <w:spacing w:after="0" w:line="193"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Fortigent Holdings Company, Inc. and its subsidiaries (“Fortigent”) provide solutions and consulting services to RIAs, banks, and trust companies serving high-net-worth clients, while The Private Trust Company, N.A. (“PTC”) manages trusts and family assets for high-net-worth clients.</w:t>
      </w:r>
    </w:p>
    <w:p>
      <w:pPr>
        <w:spacing w:after="0" w:line="195"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Our singular focus is to provide our advisors with the front-, middle-, and back-office support they need to serve the large and growing market for independent investment advice. We believe we are the only company that offers advisors the unique combination of an integrated technology platform, comprehensive self-clearing services, and open-architecture access to leading financial products, all delivered in an environment unencumbered by conflicts from product manufacturing, underwriting, or market making.</w:t>
      </w:r>
    </w:p>
    <w:p>
      <w:pPr>
        <w:spacing w:after="0" w:line="204"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For over 20 years, we have served the independent advisor market. We currently support the largest independent advisor base and we believe we have the fourth largest overall advisor base in the United States based on the information available as of the date this Quarterly Report on Form 10-Q has been issued. Through our advisors, we are also one of the largest distributors of financial products in the United States. Our scale is a substantial competitive advantage and enables us to more effectively attract and retain advisors. Our unique business model allows us to invest in more resources for our advisors, increasing their revenues and creating a virtuous cycle of growth. We have 3,374 employees, with primary offices in Boston, Charlotte, and San Diego.</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Sources of Revenue</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revenues through our platform of over 11,000 financial products from a broad range of product manufacturers. Under our self-clearing platform, we custody the majority of client assets invested in these financial products, for which we provide statements, transaction processing, and ongoing account management. In return for these services, mutual funds, insurance companies, banks, and other financial product manufacturers pay us fees based on asset levels or number of accounts managed. We also earn interest from margin loans made to our advisors’ clients.</w:t>
      </w:r>
    </w:p>
    <w:p>
      <w:pPr>
        <w:spacing w:after="0" w:line="207" w:lineRule="exact"/>
        <w:rPr>
          <w:sz w:val="20"/>
          <w:szCs w:val="20"/>
          <w:color w:val="auto"/>
        </w:rPr>
      </w:pPr>
    </w:p>
    <w:p>
      <w:pPr>
        <w:ind w:right="260" w:firstLine="486"/>
        <w:spacing w:after="0" w:line="252" w:lineRule="auto"/>
        <w:rPr>
          <w:sz w:val="20"/>
          <w:szCs w:val="20"/>
          <w:color w:val="auto"/>
        </w:rPr>
      </w:pPr>
      <w:r>
        <w:rPr>
          <w:rFonts w:ascii="Arial" w:cs="Arial" w:eastAsia="Arial" w:hAnsi="Arial"/>
          <w:sz w:val="18"/>
          <w:szCs w:val="18"/>
          <w:color w:val="auto"/>
        </w:rPr>
        <w:t>We track recurring revenue, a characterization of net revenue and a statistical measure, which we define to include our revenues from asset-based fees, advisory fees, trailing commissions, cash sweep programs, and certain other fees that are based upon accounts and advisors. Because certain recurring revenues are associated with asset balances, they will fluctuate depending on the market values and current interest rates. These asset balances, specifically related to advisory and asset-based revenues, have a correlation of approximately 60% to the fluctuations of the overall market, as measured by the S&amp;P 500 index. Accordingly, our recurring revenue can be negatively impacted by adverse external market conditions. However, recurring revenue is meaningful to us despite these fluctuations because it is not dependent upon transaction volumes or other activity-based revenues, which are more difficult to predict, particularly in declining or volatile markets.</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60" w:right="259" w:bottom="1440" w:gutter="0" w:footer="0" w:header="0"/>
        </w:sectPr>
      </w:pPr>
    </w:p>
    <w:bookmarkStart w:id="24" w:name="page25"/>
    <w:bookmarkEnd w:id="24"/>
    <w:p>
      <w:pPr>
        <w:ind w:right="620" w:firstLine="486"/>
        <w:spacing w:after="0" w:line="262" w:lineRule="auto"/>
        <w:rPr>
          <w:sz w:val="20"/>
          <w:szCs w:val="20"/>
          <w:color w:val="auto"/>
        </w:rPr>
      </w:pPr>
      <w:r>
        <w:rPr>
          <w:rFonts w:ascii="Arial" w:cs="Arial" w:eastAsia="Arial" w:hAnsi="Arial"/>
          <w:sz w:val="18"/>
          <w:szCs w:val="18"/>
          <w:color w:val="auto"/>
        </w:rPr>
        <w:t>The table below summarizes the sources of our revenue, the primary drivers of each revenue source, and the percentage of each revenue source that represents recurring revenue:</w:t>
      </w:r>
    </w:p>
    <w:p>
      <w:pPr>
        <w:spacing w:after="0" w:line="116" w:lineRule="exact"/>
        <w:rPr>
          <w:sz w:val="20"/>
          <w:szCs w:val="20"/>
          <w:color w:val="auto"/>
        </w:rPr>
      </w:pPr>
    </w:p>
    <w:tbl>
      <w:tblPr>
        <w:tblLayout w:type="fixed"/>
        <w:tblInd w:w="1110" w:type="dxa"/>
        <w:tblCellMar>
          <w:top w:w="0" w:type="dxa"/>
          <w:left w:w="0" w:type="dxa"/>
          <w:bottom w:w="0" w:type="dxa"/>
          <w:right w:w="0" w:type="dxa"/>
        </w:tblCellMar>
      </w:tblPr>
      <w:tr>
        <w:trPr>
          <w:trHeight w:val="274"/>
        </w:trPr>
        <w:tc>
          <w:tcPr>
            <w:tcW w:w="1500" w:type="dxa"/>
            <w:vAlign w:val="bottom"/>
            <w:tcBorders>
              <w:right w:val="single" w:sz="8" w:color="A5A5A5"/>
            </w:tcBorders>
          </w:tcPr>
          <w:p>
            <w:pPr>
              <w:spacing w:after="0"/>
              <w:rPr>
                <w:sz w:val="23"/>
                <w:szCs w:val="23"/>
                <w:color w:val="auto"/>
              </w:rPr>
            </w:pPr>
          </w:p>
        </w:tc>
        <w:tc>
          <w:tcPr>
            <w:tcW w:w="2420" w:type="dxa"/>
            <w:vAlign w:val="bottom"/>
            <w:tcBorders>
              <w:right w:val="single" w:sz="8" w:color="A5A5A5"/>
            </w:tcBorders>
            <w:shd w:val="clear" w:color="auto" w:fill="000000"/>
          </w:tcPr>
          <w:p>
            <w:pPr>
              <w:spacing w:after="0"/>
              <w:rPr>
                <w:sz w:val="23"/>
                <w:szCs w:val="23"/>
                <w:color w:val="auto"/>
              </w:rPr>
            </w:pPr>
          </w:p>
        </w:tc>
        <w:tc>
          <w:tcPr>
            <w:tcW w:w="2400" w:type="dxa"/>
            <w:vAlign w:val="bottom"/>
            <w:tcBorders>
              <w:right w:val="single" w:sz="8" w:color="A5A5A5"/>
            </w:tcBorders>
            <w:shd w:val="clear" w:color="auto" w:fill="000000"/>
          </w:tcPr>
          <w:p>
            <w:pPr>
              <w:spacing w:after="0"/>
              <w:rPr>
                <w:sz w:val="23"/>
                <w:szCs w:val="23"/>
                <w:color w:val="auto"/>
              </w:rPr>
            </w:pPr>
          </w:p>
        </w:tc>
        <w:tc>
          <w:tcPr>
            <w:tcW w:w="2940" w:type="dxa"/>
            <w:vAlign w:val="bottom"/>
            <w:tcBorders>
              <w:right w:val="single" w:sz="8" w:color="A5A5A5"/>
            </w:tcBorders>
            <w:gridSpan w:val="3"/>
            <w:shd w:val="clear" w:color="auto" w:fill="000000"/>
          </w:tcPr>
          <w:p>
            <w:pPr>
              <w:jc w:val="center"/>
              <w:spacing w:after="0"/>
              <w:rPr>
                <w:sz w:val="20"/>
                <w:szCs w:val="20"/>
                <w:color w:val="auto"/>
              </w:rPr>
            </w:pPr>
            <w:r>
              <w:rPr>
                <w:rFonts w:ascii="Arial" w:cs="Arial" w:eastAsia="Arial" w:hAnsi="Arial"/>
                <w:sz w:val="14"/>
                <w:szCs w:val="14"/>
                <w:color w:val="FFFFFF"/>
              </w:rPr>
              <w:t>Six Months Ended June 30, 2014</w:t>
            </w:r>
          </w:p>
        </w:tc>
        <w:tc>
          <w:tcPr>
            <w:tcW w:w="0" w:type="dxa"/>
            <w:vAlign w:val="bottom"/>
          </w:tcPr>
          <w:p>
            <w:pPr>
              <w:spacing w:after="0"/>
              <w:rPr>
                <w:sz w:val="1"/>
                <w:szCs w:val="1"/>
                <w:color w:val="auto"/>
              </w:rPr>
            </w:pPr>
          </w:p>
        </w:tc>
      </w:tr>
      <w:tr>
        <w:trPr>
          <w:trHeight w:val="204"/>
        </w:trPr>
        <w:tc>
          <w:tcPr>
            <w:tcW w:w="1500" w:type="dxa"/>
            <w:vAlign w:val="bottom"/>
            <w:tcBorders>
              <w:right w:val="single" w:sz="8" w:color="A5A5A5"/>
            </w:tcBorders>
          </w:tcPr>
          <w:p>
            <w:pPr>
              <w:spacing w:after="0"/>
              <w:rPr>
                <w:sz w:val="17"/>
                <w:szCs w:val="17"/>
                <w:color w:val="auto"/>
              </w:rPr>
            </w:pPr>
          </w:p>
        </w:tc>
        <w:tc>
          <w:tcPr>
            <w:tcW w:w="2420" w:type="dxa"/>
            <w:vAlign w:val="bottom"/>
            <w:tcBorders>
              <w:right w:val="single" w:sz="8" w:color="A5A5A5"/>
            </w:tcBorders>
            <w:shd w:val="clear" w:color="auto" w:fill="000000"/>
          </w:tcPr>
          <w:p>
            <w:pPr>
              <w:spacing w:after="0"/>
              <w:rPr>
                <w:sz w:val="17"/>
                <w:szCs w:val="17"/>
                <w:color w:val="auto"/>
              </w:rPr>
            </w:pPr>
          </w:p>
        </w:tc>
        <w:tc>
          <w:tcPr>
            <w:tcW w:w="2400" w:type="dxa"/>
            <w:vAlign w:val="bottom"/>
            <w:tcBorders>
              <w:right w:val="single" w:sz="8" w:color="A5A5A5"/>
            </w:tcBorders>
            <w:shd w:val="clear" w:color="auto" w:fill="000000"/>
          </w:tcPr>
          <w:p>
            <w:pPr>
              <w:spacing w:after="0"/>
              <w:rPr>
                <w:sz w:val="17"/>
                <w:szCs w:val="17"/>
                <w:color w:val="auto"/>
              </w:rPr>
            </w:pPr>
          </w:p>
        </w:tc>
        <w:tc>
          <w:tcPr>
            <w:tcW w:w="100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6"/>
              </w:rPr>
              <w:t>Total</w:t>
            </w:r>
          </w:p>
        </w:tc>
        <w:tc>
          <w:tcPr>
            <w:tcW w:w="92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8"/>
              </w:rPr>
              <w:t>% of Total</w:t>
            </w:r>
          </w:p>
        </w:tc>
        <w:tc>
          <w:tcPr>
            <w:tcW w:w="1020" w:type="dxa"/>
            <w:vAlign w:val="bottom"/>
            <w:tcBorders>
              <w:right w:val="single" w:sz="8" w:color="A5A5A5"/>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500" w:type="dxa"/>
            <w:vAlign w:val="bottom"/>
            <w:tcBorders>
              <w:bottom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shd w:val="clear" w:color="auto" w:fill="000000"/>
          </w:tcPr>
          <w:p>
            <w:pPr>
              <w:ind w:left="540"/>
              <w:spacing w:after="0"/>
              <w:rPr>
                <w:sz w:val="20"/>
                <w:szCs w:val="20"/>
                <w:color w:val="auto"/>
              </w:rPr>
            </w:pPr>
            <w:r>
              <w:rPr>
                <w:rFonts w:ascii="Arial" w:cs="Arial" w:eastAsia="Arial" w:hAnsi="Arial"/>
                <w:sz w:val="14"/>
                <w:szCs w:val="14"/>
                <w:color w:val="FFFFFF"/>
              </w:rPr>
              <w:t>Sources of Revenue</w:t>
            </w:r>
          </w:p>
        </w:tc>
        <w:tc>
          <w:tcPr>
            <w:tcW w:w="2400" w:type="dxa"/>
            <w:vAlign w:val="bottom"/>
            <w:tcBorders>
              <w:bottom w:val="single" w:sz="8" w:color="A5A5A5"/>
              <w:right w:val="single" w:sz="8" w:color="A5A5A5"/>
            </w:tcBorders>
            <w:shd w:val="clear" w:color="auto" w:fill="000000"/>
          </w:tcPr>
          <w:p>
            <w:pPr>
              <w:ind w:left="680"/>
              <w:spacing w:after="0"/>
              <w:rPr>
                <w:sz w:val="20"/>
                <w:szCs w:val="20"/>
                <w:color w:val="auto"/>
              </w:rPr>
            </w:pPr>
            <w:r>
              <w:rPr>
                <w:rFonts w:ascii="Arial" w:cs="Arial" w:eastAsia="Arial" w:hAnsi="Arial"/>
                <w:sz w:val="14"/>
                <w:szCs w:val="14"/>
                <w:color w:val="FFFFFF"/>
              </w:rPr>
              <w:t>Primary Drivers</w:t>
            </w:r>
          </w:p>
        </w:tc>
        <w:tc>
          <w:tcPr>
            <w:tcW w:w="100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9"/>
              </w:rPr>
              <w:t>(millions)</w:t>
            </w:r>
          </w:p>
        </w:tc>
        <w:tc>
          <w:tcPr>
            <w:tcW w:w="92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Net Revenue</w:t>
            </w:r>
          </w:p>
        </w:tc>
        <w:tc>
          <w:tcPr>
            <w:tcW w:w="102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 Recurring</w:t>
            </w: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Advisor-driven</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Commission</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Transactions</w:t>
            </w:r>
          </w:p>
        </w:tc>
        <w:tc>
          <w:tcPr>
            <w:tcW w:w="100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$1,070</w:t>
            </w: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49%</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18"/>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revenue with</w:t>
            </w:r>
          </w:p>
        </w:tc>
        <w:tc>
          <w:tcPr>
            <w:tcW w:w="2420" w:type="dxa"/>
            <w:vAlign w:val="bottom"/>
            <w:tcBorders>
              <w:right w:val="single" w:sz="8" w:color="A5A5A5"/>
            </w:tcBorders>
          </w:tcPr>
          <w:p>
            <w:pPr>
              <w:spacing w:after="0"/>
              <w:rPr>
                <w:sz w:val="10"/>
                <w:szCs w:val="10"/>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Brokerage asset levels</w:t>
            </w:r>
          </w:p>
        </w:tc>
        <w:tc>
          <w:tcPr>
            <w:tcW w:w="1000" w:type="dxa"/>
            <w:vAlign w:val="bottom"/>
            <w:tcBorders>
              <w:right w:val="single" w:sz="8" w:color="A5A5A5"/>
            </w:tcBorders>
            <w:vMerge w:val="continue"/>
          </w:tcPr>
          <w:p>
            <w:pPr>
              <w:spacing w:after="0"/>
              <w:rPr>
                <w:sz w:val="10"/>
                <w:szCs w:val="10"/>
                <w:color w:val="auto"/>
              </w:rPr>
            </w:pPr>
          </w:p>
        </w:tc>
        <w:tc>
          <w:tcPr>
            <w:tcW w:w="920" w:type="dxa"/>
            <w:vAlign w:val="bottom"/>
            <w:tcBorders>
              <w:right w:val="single" w:sz="8" w:color="A5A5A5"/>
            </w:tcBorders>
            <w:vMerge w:val="continue"/>
          </w:tcPr>
          <w:p>
            <w:pPr>
              <w:spacing w:after="0"/>
              <w:rPr>
                <w:sz w:val="10"/>
                <w:szCs w:val="10"/>
                <w:color w:val="auto"/>
              </w:rPr>
            </w:pPr>
          </w:p>
        </w:tc>
        <w:tc>
          <w:tcPr>
            <w:tcW w:w="1020" w:type="dxa"/>
            <w:vAlign w:val="bottom"/>
            <w:tcBorders>
              <w:right w:val="single" w:sz="8" w:color="A5A5A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500" w:type="dxa"/>
            <w:vAlign w:val="bottom"/>
            <w:tcBorders>
              <w:left w:val="single" w:sz="8" w:color="999999"/>
              <w:right w:val="single" w:sz="8" w:color="A5A5A5"/>
            </w:tcBorders>
            <w:vMerge w:val="continue"/>
          </w:tcPr>
          <w:p>
            <w:pPr>
              <w:spacing w:after="0"/>
              <w:rPr>
                <w:sz w:val="3"/>
                <w:szCs w:val="3"/>
                <w:color w:val="auto"/>
              </w:rPr>
            </w:pPr>
          </w:p>
        </w:tc>
        <w:tc>
          <w:tcPr>
            <w:tcW w:w="2420" w:type="dxa"/>
            <w:vAlign w:val="bottom"/>
            <w:tcBorders>
              <w:right w:val="single" w:sz="8" w:color="A5A5A5"/>
            </w:tcBorders>
          </w:tcPr>
          <w:p>
            <w:pPr>
              <w:spacing w:after="0"/>
              <w:rPr>
                <w:sz w:val="3"/>
                <w:szCs w:val="3"/>
                <w:color w:val="auto"/>
              </w:rPr>
            </w:pPr>
          </w:p>
        </w:tc>
        <w:tc>
          <w:tcPr>
            <w:tcW w:w="2400" w:type="dxa"/>
            <w:vAlign w:val="bottom"/>
            <w:tcBorders>
              <w:right w:val="single" w:sz="8" w:color="A5A5A5"/>
            </w:tcBorders>
            <w:vMerge w:val="continue"/>
          </w:tcPr>
          <w:p>
            <w:pPr>
              <w:spacing w:after="0"/>
              <w:rPr>
                <w:sz w:val="3"/>
                <w:szCs w:val="3"/>
                <w:color w:val="auto"/>
              </w:rPr>
            </w:pPr>
          </w:p>
        </w:tc>
        <w:tc>
          <w:tcPr>
            <w:tcW w:w="1000" w:type="dxa"/>
            <w:vAlign w:val="bottom"/>
            <w:tcBorders>
              <w:right w:val="single" w:sz="8" w:color="A5A5A5"/>
            </w:tcBorders>
          </w:tcPr>
          <w:p>
            <w:pPr>
              <w:spacing w:after="0"/>
              <w:rPr>
                <w:sz w:val="3"/>
                <w:szCs w:val="3"/>
                <w:color w:val="auto"/>
              </w:rPr>
            </w:pPr>
          </w:p>
        </w:tc>
        <w:tc>
          <w:tcPr>
            <w:tcW w:w="920" w:type="dxa"/>
            <w:vAlign w:val="bottom"/>
            <w:tcBorders>
              <w:right w:val="single" w:sz="8" w:color="A5A5A5"/>
            </w:tcBorders>
          </w:tcPr>
          <w:p>
            <w:pPr>
              <w:spacing w:after="0"/>
              <w:rPr>
                <w:sz w:val="3"/>
                <w:szCs w:val="3"/>
                <w:color w:val="auto"/>
              </w:rPr>
            </w:pPr>
          </w:p>
        </w:tc>
        <w:tc>
          <w:tcPr>
            <w:tcW w:w="1020" w:type="dxa"/>
            <w:vAlign w:val="bottom"/>
            <w:tcBorders>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~85%-90% payout</w:t>
            </w:r>
          </w:p>
        </w:tc>
        <w:tc>
          <w:tcPr>
            <w:tcW w:w="2420" w:type="dxa"/>
            <w:vAlign w:val="bottom"/>
            <w:tcBorders>
              <w:bottom w:val="single" w:sz="8" w:color="A5A5A5"/>
              <w:right w:val="single" w:sz="8" w:color="A5A5A5"/>
            </w:tcBorders>
          </w:tcPr>
          <w:p>
            <w:pPr>
              <w:spacing w:after="0"/>
              <w:rPr>
                <w:sz w:val="6"/>
                <w:szCs w:val="6"/>
                <w:color w:val="auto"/>
              </w:rPr>
            </w:pPr>
          </w:p>
        </w:tc>
        <w:tc>
          <w:tcPr>
            <w:tcW w:w="2400" w:type="dxa"/>
            <w:vAlign w:val="bottom"/>
            <w:tcBorders>
              <w:bottom w:val="single" w:sz="8" w:color="A5A5A5"/>
              <w:right w:val="single" w:sz="8" w:color="A5A5A5"/>
            </w:tcBorders>
          </w:tcPr>
          <w:p>
            <w:pPr>
              <w:spacing w:after="0"/>
              <w:rPr>
                <w:sz w:val="6"/>
                <w:szCs w:val="6"/>
                <w:color w:val="auto"/>
              </w:rPr>
            </w:pPr>
          </w:p>
        </w:tc>
        <w:tc>
          <w:tcPr>
            <w:tcW w:w="1000" w:type="dxa"/>
            <w:vAlign w:val="bottom"/>
            <w:tcBorders>
              <w:bottom w:val="single" w:sz="8" w:color="A5A5A5"/>
              <w:right w:val="single" w:sz="8" w:color="A5A5A5"/>
            </w:tcBorders>
          </w:tcPr>
          <w:p>
            <w:pPr>
              <w:spacing w:after="0"/>
              <w:rPr>
                <w:sz w:val="6"/>
                <w:szCs w:val="6"/>
                <w:color w:val="auto"/>
              </w:rPr>
            </w:pPr>
          </w:p>
        </w:tc>
        <w:tc>
          <w:tcPr>
            <w:tcW w:w="920" w:type="dxa"/>
            <w:vAlign w:val="bottom"/>
            <w:tcBorders>
              <w:bottom w:val="single" w:sz="8" w:color="A5A5A5"/>
              <w:right w:val="single" w:sz="8" w:color="A5A5A5"/>
            </w:tcBorders>
          </w:tcPr>
          <w:p>
            <w:pPr>
              <w:spacing w:after="0"/>
              <w:rPr>
                <w:sz w:val="6"/>
                <w:szCs w:val="6"/>
                <w:color w:val="auto"/>
              </w:rPr>
            </w:pPr>
          </w:p>
        </w:tc>
        <w:tc>
          <w:tcPr>
            <w:tcW w:w="1020" w:type="dxa"/>
            <w:vAlign w:val="bottom"/>
            <w:tcBorders>
              <w:bottom w:val="single" w:sz="8" w:color="A5A5A5"/>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1500" w:type="dxa"/>
            <w:vAlign w:val="bottom"/>
            <w:tcBorders>
              <w:left w:val="single" w:sz="8" w:color="999999"/>
              <w:right w:val="single" w:sz="8" w:color="A5A5A5"/>
            </w:tcBorders>
            <w:vMerge w:val="continue"/>
          </w:tcPr>
          <w:p>
            <w:pPr>
              <w:spacing w:after="0"/>
              <w:rPr>
                <w:sz w:val="5"/>
                <w:szCs w:val="5"/>
                <w:color w:val="auto"/>
              </w:rPr>
            </w:pP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b w:val="1"/>
                <w:bCs w:val="1"/>
                <w:color w:val="auto"/>
              </w:rPr>
              <w:t>Advisory</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Advisory asset levels</w:t>
            </w:r>
          </w:p>
        </w:tc>
        <w:tc>
          <w:tcPr>
            <w:tcW w:w="100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$658</w:t>
            </w: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30%</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bottom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ratio</w:t>
            </w:r>
          </w:p>
        </w:tc>
        <w:tc>
          <w:tcPr>
            <w:tcW w:w="2420" w:type="dxa"/>
            <w:vAlign w:val="bottom"/>
            <w:tcBorders>
              <w:bottom w:val="single" w:sz="8" w:color="A5A5A5"/>
              <w:right w:val="single" w:sz="8" w:color="A5A5A5"/>
            </w:tcBorders>
            <w:vMerge w:val="continue"/>
          </w:tcPr>
          <w:p>
            <w:pPr>
              <w:spacing w:after="0"/>
              <w:rPr>
                <w:sz w:val="15"/>
                <w:szCs w:val="15"/>
                <w:color w:val="auto"/>
              </w:rPr>
            </w:pPr>
          </w:p>
        </w:tc>
        <w:tc>
          <w:tcPr>
            <w:tcW w:w="2400" w:type="dxa"/>
            <w:vAlign w:val="bottom"/>
            <w:tcBorders>
              <w:bottom w:val="single" w:sz="8" w:color="A5A5A5"/>
              <w:right w:val="single" w:sz="8" w:color="A5A5A5"/>
            </w:tcBorders>
            <w:vMerge w:val="continue"/>
          </w:tcPr>
          <w:p>
            <w:pPr>
              <w:spacing w:after="0"/>
              <w:rPr>
                <w:sz w:val="15"/>
                <w:szCs w:val="15"/>
                <w:color w:val="auto"/>
              </w:rPr>
            </w:pPr>
          </w:p>
        </w:tc>
        <w:tc>
          <w:tcPr>
            <w:tcW w:w="1000" w:type="dxa"/>
            <w:vAlign w:val="bottom"/>
            <w:tcBorders>
              <w:bottom w:val="single" w:sz="8" w:color="A5A5A5"/>
              <w:right w:val="single" w:sz="8" w:color="A5A5A5"/>
            </w:tcBorders>
            <w:vMerge w:val="continue"/>
          </w:tcPr>
          <w:p>
            <w:pPr>
              <w:spacing w:after="0"/>
              <w:rPr>
                <w:sz w:val="15"/>
                <w:szCs w:val="15"/>
                <w:color w:val="auto"/>
              </w:rPr>
            </w:pPr>
          </w:p>
        </w:tc>
        <w:tc>
          <w:tcPr>
            <w:tcW w:w="920" w:type="dxa"/>
            <w:vAlign w:val="bottom"/>
            <w:tcBorders>
              <w:bottom w:val="single" w:sz="8" w:color="A5A5A5"/>
              <w:right w:val="single" w:sz="8" w:color="A5A5A5"/>
            </w:tcBorders>
            <w:vMerge w:val="continue"/>
          </w:tcPr>
          <w:p>
            <w:pPr>
              <w:spacing w:after="0"/>
              <w:rPr>
                <w:sz w:val="15"/>
                <w:szCs w:val="15"/>
                <w:color w:val="auto"/>
              </w:rPr>
            </w:pPr>
          </w:p>
        </w:tc>
        <w:tc>
          <w:tcPr>
            <w:tcW w:w="1020" w:type="dxa"/>
            <w:vAlign w:val="bottom"/>
            <w:tcBorders>
              <w:bottom w:val="single" w:sz="8" w:color="A5A5A5"/>
              <w:right w:val="single" w:sz="8" w:color="A5A5A5"/>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Asset-Based</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Cash balances</w:t>
            </w:r>
          </w:p>
        </w:tc>
        <w:tc>
          <w:tcPr>
            <w:tcW w:w="100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tcPr>
          <w:p>
            <w:pPr>
              <w:spacing w:after="0"/>
              <w:rPr>
                <w:sz w:val="16"/>
                <w:szCs w:val="16"/>
                <w:color w:val="auto"/>
              </w:rPr>
            </w:pPr>
          </w:p>
        </w:tc>
        <w:tc>
          <w:tcPr>
            <w:tcW w:w="10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Cash Sweep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Interest rates</w:t>
            </w:r>
          </w:p>
        </w:tc>
        <w:tc>
          <w:tcPr>
            <w:tcW w:w="100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Sponsorship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Client asset levels</w:t>
            </w:r>
          </w:p>
        </w:tc>
        <w:tc>
          <w:tcPr>
            <w:tcW w:w="10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$233</w:t>
            </w: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11%</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7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Record Keeping</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Number of accounts</w:t>
            </w:r>
          </w:p>
        </w:tc>
        <w:tc>
          <w:tcPr>
            <w:tcW w:w="100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tcPr>
          <w:p>
            <w:pPr>
              <w:spacing w:after="0"/>
              <w:rPr>
                <w:sz w:val="15"/>
                <w:szCs w:val="15"/>
                <w:color w:val="auto"/>
              </w:rPr>
            </w:pPr>
          </w:p>
        </w:tc>
        <w:tc>
          <w:tcPr>
            <w:tcW w:w="2400" w:type="dxa"/>
            <w:vAlign w:val="bottom"/>
            <w:tcBorders>
              <w:bottom w:val="single" w:sz="8" w:color="A5A5A5"/>
              <w:right w:val="single" w:sz="8" w:color="A5A5A5"/>
            </w:tcBorders>
          </w:tcPr>
          <w:p>
            <w:pPr>
              <w:spacing w:after="0"/>
              <w:rPr>
                <w:sz w:val="15"/>
                <w:szCs w:val="15"/>
                <w:color w:val="auto"/>
              </w:rPr>
            </w:pPr>
          </w:p>
        </w:tc>
        <w:tc>
          <w:tcPr>
            <w:tcW w:w="100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tcPr>
          <w:p>
            <w:pPr>
              <w:spacing w:after="0"/>
              <w:rPr>
                <w:sz w:val="15"/>
                <w:szCs w:val="15"/>
                <w:color w:val="auto"/>
              </w:rPr>
            </w:pPr>
          </w:p>
        </w:tc>
        <w:tc>
          <w:tcPr>
            <w:tcW w:w="102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Attachment revenue</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Transaction and Fee</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Client activity</w:t>
            </w:r>
          </w:p>
        </w:tc>
        <w:tc>
          <w:tcPr>
            <w:tcW w:w="100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tcPr>
          <w:p>
            <w:pPr>
              <w:spacing w:after="0"/>
              <w:rPr>
                <w:sz w:val="16"/>
                <w:szCs w:val="16"/>
                <w:color w:val="auto"/>
              </w:rPr>
            </w:pPr>
          </w:p>
        </w:tc>
        <w:tc>
          <w:tcPr>
            <w:tcW w:w="10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500" w:type="dxa"/>
            <w:vAlign w:val="bottom"/>
            <w:tcBorders>
              <w:left w:val="single" w:sz="8" w:color="999999"/>
              <w:right w:val="single" w:sz="8" w:color="A5A5A5"/>
            </w:tcBorders>
            <w:vMerge w:val="continue"/>
          </w:tcPr>
          <w:p>
            <w:pPr>
              <w:spacing w:after="0"/>
              <w:rPr>
                <w:sz w:val="11"/>
                <w:szCs w:val="11"/>
                <w:color w:val="auto"/>
              </w:rPr>
            </w:pPr>
          </w:p>
        </w:tc>
        <w:tc>
          <w:tcPr>
            <w:tcW w:w="2420" w:type="dxa"/>
            <w:vAlign w:val="bottom"/>
            <w:tcBorders>
              <w:right w:val="single" w:sz="8" w:color="A5A5A5"/>
            </w:tcBorders>
          </w:tcPr>
          <w:p>
            <w:pPr>
              <w:ind w:left="20"/>
              <w:spacing w:after="0" w:line="131" w:lineRule="exact"/>
              <w:rPr>
                <w:sz w:val="20"/>
                <w:szCs w:val="20"/>
                <w:color w:val="auto"/>
              </w:rPr>
            </w:pPr>
            <w:r>
              <w:rPr>
                <w:rFonts w:ascii="Arial" w:cs="Arial" w:eastAsia="Arial" w:hAnsi="Arial"/>
                <w:sz w:val="14"/>
                <w:szCs w:val="14"/>
                <w:color w:val="auto"/>
              </w:rPr>
              <w:t>- Transactions</w:t>
            </w:r>
          </w:p>
        </w:tc>
        <w:tc>
          <w:tcPr>
            <w:tcW w:w="2400" w:type="dxa"/>
            <w:vAlign w:val="bottom"/>
            <w:tcBorders>
              <w:right w:val="single" w:sz="8" w:color="A5A5A5"/>
            </w:tcBorders>
          </w:tcPr>
          <w:p>
            <w:pPr>
              <w:spacing w:after="0" w:line="131" w:lineRule="exact"/>
              <w:rPr>
                <w:sz w:val="20"/>
                <w:szCs w:val="20"/>
                <w:color w:val="auto"/>
              </w:rPr>
            </w:pPr>
            <w:r>
              <w:rPr>
                <w:rFonts w:ascii="Arial" w:cs="Arial" w:eastAsia="Arial" w:hAnsi="Arial"/>
                <w:sz w:val="14"/>
                <w:szCs w:val="14"/>
                <w:color w:val="auto"/>
              </w:rPr>
              <w:t>- Number of clients</w:t>
            </w:r>
          </w:p>
        </w:tc>
        <w:tc>
          <w:tcPr>
            <w:tcW w:w="1000" w:type="dxa"/>
            <w:vAlign w:val="bottom"/>
            <w:tcBorders>
              <w:right w:val="single" w:sz="8" w:color="A5A5A5"/>
            </w:tcBorders>
          </w:tcPr>
          <w:p>
            <w:pPr>
              <w:spacing w:after="0"/>
              <w:rPr>
                <w:sz w:val="11"/>
                <w:szCs w:val="11"/>
                <w:color w:val="auto"/>
              </w:rPr>
            </w:pPr>
          </w:p>
        </w:tc>
        <w:tc>
          <w:tcPr>
            <w:tcW w:w="920" w:type="dxa"/>
            <w:vAlign w:val="bottom"/>
            <w:tcBorders>
              <w:right w:val="single" w:sz="8" w:color="A5A5A5"/>
            </w:tcBorders>
          </w:tcPr>
          <w:p>
            <w:pPr>
              <w:spacing w:after="0"/>
              <w:rPr>
                <w:sz w:val="11"/>
                <w:szCs w:val="11"/>
                <w:color w:val="auto"/>
              </w:rPr>
            </w:pPr>
          </w:p>
        </w:tc>
        <w:tc>
          <w:tcPr>
            <w:tcW w:w="1020" w:type="dxa"/>
            <w:vAlign w:val="bottom"/>
            <w:tcBorders>
              <w:right w:val="single" w:sz="8" w:color="A5A5A5"/>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retained by us</w:t>
            </w: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Client (Investor) Accounts</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Number of advisors</w:t>
            </w:r>
          </w:p>
        </w:tc>
        <w:tc>
          <w:tcPr>
            <w:tcW w:w="100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$182</w:t>
            </w: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8%</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32"/>
        </w:trPr>
        <w:tc>
          <w:tcPr>
            <w:tcW w:w="1500" w:type="dxa"/>
            <w:vAlign w:val="bottom"/>
            <w:tcBorders>
              <w:left w:val="single" w:sz="8" w:color="999999"/>
              <w:right w:val="single" w:sz="8" w:color="A5A5A5"/>
            </w:tcBorders>
          </w:tcPr>
          <w:p>
            <w:pPr>
              <w:spacing w:after="0"/>
              <w:rPr>
                <w:sz w:val="2"/>
                <w:szCs w:val="2"/>
                <w:color w:val="auto"/>
              </w:rPr>
            </w:pPr>
          </w:p>
        </w:tc>
        <w:tc>
          <w:tcPr>
            <w:tcW w:w="2420" w:type="dxa"/>
            <w:vAlign w:val="bottom"/>
            <w:tcBorders>
              <w:right w:val="single" w:sz="8" w:color="A5A5A5"/>
            </w:tcBorders>
            <w:vMerge w:val="continue"/>
          </w:tcPr>
          <w:p>
            <w:pPr>
              <w:spacing w:after="0"/>
              <w:rPr>
                <w:sz w:val="2"/>
                <w:szCs w:val="2"/>
                <w:color w:val="auto"/>
              </w:rPr>
            </w:pPr>
          </w:p>
        </w:tc>
        <w:tc>
          <w:tcPr>
            <w:tcW w:w="2400" w:type="dxa"/>
            <w:vAlign w:val="bottom"/>
            <w:tcBorders>
              <w:right w:val="single" w:sz="8" w:color="A5A5A5"/>
            </w:tcBorders>
            <w:vMerge w:val="continue"/>
          </w:tcPr>
          <w:p>
            <w:pPr>
              <w:spacing w:after="0"/>
              <w:rPr>
                <w:sz w:val="2"/>
                <w:szCs w:val="2"/>
                <w:color w:val="auto"/>
              </w:rPr>
            </w:pPr>
          </w:p>
        </w:tc>
        <w:tc>
          <w:tcPr>
            <w:tcW w:w="1000" w:type="dxa"/>
            <w:vAlign w:val="bottom"/>
            <w:tcBorders>
              <w:right w:val="single" w:sz="8" w:color="A5A5A5"/>
            </w:tcBorders>
            <w:vMerge w:val="continue"/>
          </w:tcPr>
          <w:p>
            <w:pPr>
              <w:spacing w:after="0"/>
              <w:rPr>
                <w:sz w:val="2"/>
                <w:szCs w:val="2"/>
                <w:color w:val="auto"/>
              </w:rPr>
            </w:pPr>
          </w:p>
        </w:tc>
        <w:tc>
          <w:tcPr>
            <w:tcW w:w="920" w:type="dxa"/>
            <w:vAlign w:val="bottom"/>
            <w:tcBorders>
              <w:right w:val="single" w:sz="8" w:color="A5A5A5"/>
            </w:tcBorders>
            <w:vMerge w:val="continue"/>
          </w:tcPr>
          <w:p>
            <w:pPr>
              <w:spacing w:after="0"/>
              <w:rPr>
                <w:sz w:val="2"/>
                <w:szCs w:val="2"/>
                <w:color w:val="auto"/>
              </w:rPr>
            </w:pPr>
          </w:p>
        </w:tc>
        <w:tc>
          <w:tcPr>
            <w:tcW w:w="1020" w:type="dxa"/>
            <w:vAlign w:val="bottom"/>
            <w:tcBorders>
              <w:right w:val="single" w:sz="8" w:color="A5A5A5"/>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1"/>
        </w:trPr>
        <w:tc>
          <w:tcPr>
            <w:tcW w:w="1500" w:type="dxa"/>
            <w:vAlign w:val="bottom"/>
            <w:tcBorders>
              <w:left w:val="single" w:sz="8" w:color="999999"/>
              <w:right w:val="single" w:sz="8" w:color="A5A5A5"/>
            </w:tcBorders>
          </w:tcPr>
          <w:p>
            <w:pPr>
              <w:spacing w:after="0"/>
              <w:rPr>
                <w:sz w:val="7"/>
                <w:szCs w:val="7"/>
                <w:color w:val="auto"/>
              </w:rPr>
            </w:pP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Advisor Seat and Technology</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Number of accounts</w:t>
            </w:r>
          </w:p>
        </w:tc>
        <w:tc>
          <w:tcPr>
            <w:tcW w:w="1000" w:type="dxa"/>
            <w:vAlign w:val="bottom"/>
            <w:tcBorders>
              <w:right w:val="single" w:sz="8" w:color="A5A5A5"/>
            </w:tcBorders>
            <w:vMerge w:val="continue"/>
          </w:tcPr>
          <w:p>
            <w:pPr>
              <w:spacing w:after="0"/>
              <w:rPr>
                <w:sz w:val="7"/>
                <w:szCs w:val="7"/>
                <w:color w:val="auto"/>
              </w:rPr>
            </w:pPr>
          </w:p>
        </w:tc>
        <w:tc>
          <w:tcPr>
            <w:tcW w:w="920" w:type="dxa"/>
            <w:vAlign w:val="bottom"/>
            <w:tcBorders>
              <w:right w:val="single" w:sz="8" w:color="A5A5A5"/>
            </w:tcBorders>
            <w:vMerge w:val="continue"/>
          </w:tcPr>
          <w:p>
            <w:pPr>
              <w:spacing w:after="0"/>
              <w:rPr>
                <w:sz w:val="7"/>
                <w:szCs w:val="7"/>
                <w:color w:val="auto"/>
              </w:rPr>
            </w:pPr>
          </w:p>
        </w:tc>
        <w:tc>
          <w:tcPr>
            <w:tcW w:w="102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500" w:type="dxa"/>
            <w:vAlign w:val="bottom"/>
            <w:tcBorders>
              <w:left w:val="single" w:sz="8" w:color="999999"/>
              <w:right w:val="single" w:sz="8" w:color="A5A5A5"/>
            </w:tcBorders>
          </w:tcPr>
          <w:p>
            <w:pPr>
              <w:spacing w:after="0"/>
              <w:rPr>
                <w:sz w:val="6"/>
                <w:szCs w:val="6"/>
                <w:color w:val="auto"/>
              </w:rPr>
            </w:pPr>
          </w:p>
        </w:tc>
        <w:tc>
          <w:tcPr>
            <w:tcW w:w="2420" w:type="dxa"/>
            <w:vAlign w:val="bottom"/>
            <w:tcBorders>
              <w:right w:val="single" w:sz="8" w:color="A5A5A5"/>
            </w:tcBorders>
            <w:vMerge w:val="continue"/>
          </w:tcPr>
          <w:p>
            <w:pPr>
              <w:spacing w:after="0"/>
              <w:rPr>
                <w:sz w:val="6"/>
                <w:szCs w:val="6"/>
                <w:color w:val="auto"/>
              </w:rPr>
            </w:pPr>
          </w:p>
        </w:tc>
        <w:tc>
          <w:tcPr>
            <w:tcW w:w="2400" w:type="dxa"/>
            <w:vAlign w:val="bottom"/>
            <w:tcBorders>
              <w:right w:val="single" w:sz="8" w:color="A5A5A5"/>
            </w:tcBorders>
            <w:vMerge w:val="continue"/>
          </w:tcPr>
          <w:p>
            <w:pPr>
              <w:spacing w:after="0"/>
              <w:rPr>
                <w:sz w:val="6"/>
                <w:szCs w:val="6"/>
                <w:color w:val="auto"/>
              </w:rPr>
            </w:pPr>
          </w:p>
        </w:tc>
        <w:tc>
          <w:tcPr>
            <w:tcW w:w="1000" w:type="dxa"/>
            <w:vAlign w:val="bottom"/>
            <w:tcBorders>
              <w:right w:val="single" w:sz="8" w:color="A5A5A5"/>
            </w:tcBorders>
          </w:tcPr>
          <w:p>
            <w:pPr>
              <w:spacing w:after="0"/>
              <w:rPr>
                <w:sz w:val="6"/>
                <w:szCs w:val="6"/>
                <w:color w:val="auto"/>
              </w:rPr>
            </w:pPr>
          </w:p>
        </w:tc>
        <w:tc>
          <w:tcPr>
            <w:tcW w:w="920" w:type="dxa"/>
            <w:vAlign w:val="bottom"/>
            <w:tcBorders>
              <w:right w:val="single" w:sz="8" w:color="A5A5A5"/>
            </w:tcBorders>
          </w:tcPr>
          <w:p>
            <w:pPr>
              <w:spacing w:after="0"/>
              <w:rPr>
                <w:sz w:val="6"/>
                <w:szCs w:val="6"/>
                <w:color w:val="auto"/>
              </w:rPr>
            </w:pPr>
          </w:p>
        </w:tc>
        <w:tc>
          <w:tcPr>
            <w:tcW w:w="1020" w:type="dxa"/>
            <w:vAlign w:val="bottom"/>
            <w:tcBorders>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spacing w:after="0"/>
              <w:rPr>
                <w:sz w:val="14"/>
                <w:szCs w:val="14"/>
                <w:color w:val="auto"/>
              </w:rPr>
            </w:pP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Number of premium technology</w:t>
            </w:r>
          </w:p>
        </w:tc>
        <w:tc>
          <w:tcPr>
            <w:tcW w:w="100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tcPr>
          <w:p>
            <w:pPr>
              <w:spacing w:after="0"/>
              <w:rPr>
                <w:sz w:val="15"/>
                <w:szCs w:val="15"/>
                <w:color w:val="auto"/>
              </w:rPr>
            </w:pPr>
          </w:p>
        </w:tc>
        <w:tc>
          <w:tcPr>
            <w:tcW w:w="2400" w:type="dxa"/>
            <w:vAlign w:val="bottom"/>
            <w:tcBorders>
              <w:bottom w:val="single" w:sz="8" w:color="A5A5A5"/>
              <w:right w:val="single" w:sz="8" w:color="A5A5A5"/>
            </w:tcBorders>
          </w:tcPr>
          <w:p>
            <w:pPr>
              <w:ind w:left="160"/>
              <w:spacing w:after="0"/>
              <w:rPr>
                <w:sz w:val="20"/>
                <w:szCs w:val="20"/>
                <w:color w:val="auto"/>
              </w:rPr>
            </w:pPr>
            <w:r>
              <w:rPr>
                <w:rFonts w:ascii="Arial" w:cs="Arial" w:eastAsia="Arial" w:hAnsi="Arial"/>
                <w:sz w:val="14"/>
                <w:szCs w:val="14"/>
                <w:color w:val="auto"/>
              </w:rPr>
              <w:t>subscribers</w:t>
            </w:r>
          </w:p>
        </w:tc>
        <w:tc>
          <w:tcPr>
            <w:tcW w:w="100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tcPr>
          <w:p>
            <w:pPr>
              <w:spacing w:after="0"/>
              <w:rPr>
                <w:sz w:val="15"/>
                <w:szCs w:val="15"/>
                <w:color w:val="auto"/>
              </w:rPr>
            </w:pPr>
          </w:p>
        </w:tc>
        <w:tc>
          <w:tcPr>
            <w:tcW w:w="102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Other</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Margin account balances</w:t>
            </w:r>
          </w:p>
        </w:tc>
        <w:tc>
          <w:tcPr>
            <w:tcW w:w="100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$37</w:t>
            </w: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2%</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91"/>
        </w:trPr>
        <w:tc>
          <w:tcPr>
            <w:tcW w:w="1500" w:type="dxa"/>
            <w:vAlign w:val="bottom"/>
            <w:tcBorders>
              <w:left w:val="single" w:sz="8" w:color="999999"/>
              <w:right w:val="single" w:sz="8" w:color="A5A5A5"/>
            </w:tcBorders>
          </w:tcPr>
          <w:p>
            <w:pPr>
              <w:spacing w:after="0"/>
              <w:rPr>
                <w:sz w:val="7"/>
                <w:szCs w:val="7"/>
                <w:color w:val="auto"/>
              </w:rPr>
            </w:pPr>
          </w:p>
        </w:tc>
        <w:tc>
          <w:tcPr>
            <w:tcW w:w="2420" w:type="dxa"/>
            <w:vAlign w:val="bottom"/>
            <w:tcBorders>
              <w:right w:val="single" w:sz="8" w:color="A5A5A5"/>
            </w:tcBorders>
          </w:tcPr>
          <w:p>
            <w:pPr>
              <w:spacing w:after="0"/>
              <w:rPr>
                <w:sz w:val="7"/>
                <w:szCs w:val="7"/>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Alternative investment transactions</w:t>
            </w:r>
          </w:p>
        </w:tc>
        <w:tc>
          <w:tcPr>
            <w:tcW w:w="1000" w:type="dxa"/>
            <w:vAlign w:val="bottom"/>
            <w:tcBorders>
              <w:right w:val="single" w:sz="8" w:color="A5A5A5"/>
            </w:tcBorders>
            <w:vMerge w:val="continue"/>
          </w:tcPr>
          <w:p>
            <w:pPr>
              <w:spacing w:after="0"/>
              <w:rPr>
                <w:sz w:val="7"/>
                <w:szCs w:val="7"/>
                <w:color w:val="auto"/>
              </w:rPr>
            </w:pPr>
          </w:p>
        </w:tc>
        <w:tc>
          <w:tcPr>
            <w:tcW w:w="920" w:type="dxa"/>
            <w:vAlign w:val="bottom"/>
            <w:tcBorders>
              <w:right w:val="single" w:sz="8" w:color="A5A5A5"/>
            </w:tcBorders>
            <w:vMerge w:val="continue"/>
          </w:tcPr>
          <w:p>
            <w:pPr>
              <w:spacing w:after="0"/>
              <w:rPr>
                <w:sz w:val="7"/>
                <w:szCs w:val="7"/>
                <w:color w:val="auto"/>
              </w:rPr>
            </w:pPr>
          </w:p>
        </w:tc>
        <w:tc>
          <w:tcPr>
            <w:tcW w:w="102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00" w:type="dxa"/>
            <w:vAlign w:val="bottom"/>
            <w:tcBorders>
              <w:left w:val="single" w:sz="8" w:color="999999"/>
              <w:bottom w:val="single" w:sz="8" w:color="999999"/>
              <w:right w:val="single" w:sz="8" w:color="A5A5A5"/>
            </w:tcBorders>
          </w:tcPr>
          <w:p>
            <w:pPr>
              <w:spacing w:after="0"/>
              <w:rPr>
                <w:sz w:val="7"/>
                <w:szCs w:val="7"/>
                <w:color w:val="auto"/>
              </w:rPr>
            </w:pPr>
          </w:p>
        </w:tc>
        <w:tc>
          <w:tcPr>
            <w:tcW w:w="2420" w:type="dxa"/>
            <w:vAlign w:val="bottom"/>
            <w:tcBorders>
              <w:bottom w:val="single" w:sz="8" w:color="A5A5A5"/>
              <w:right w:val="single" w:sz="8" w:color="A5A5A5"/>
            </w:tcBorders>
          </w:tcPr>
          <w:p>
            <w:pPr>
              <w:spacing w:after="0"/>
              <w:rPr>
                <w:sz w:val="7"/>
                <w:szCs w:val="7"/>
                <w:color w:val="auto"/>
              </w:rPr>
            </w:pPr>
          </w:p>
        </w:tc>
        <w:tc>
          <w:tcPr>
            <w:tcW w:w="2400" w:type="dxa"/>
            <w:vAlign w:val="bottom"/>
            <w:tcBorders>
              <w:bottom w:val="single" w:sz="8" w:color="A5A5A5"/>
              <w:right w:val="single" w:sz="8" w:color="A5A5A5"/>
            </w:tcBorders>
            <w:vMerge w:val="continue"/>
          </w:tcPr>
          <w:p>
            <w:pPr>
              <w:spacing w:after="0"/>
              <w:rPr>
                <w:sz w:val="7"/>
                <w:szCs w:val="7"/>
                <w:color w:val="auto"/>
              </w:rPr>
            </w:pPr>
          </w:p>
        </w:tc>
        <w:tc>
          <w:tcPr>
            <w:tcW w:w="1000" w:type="dxa"/>
            <w:vAlign w:val="bottom"/>
            <w:tcBorders>
              <w:bottom w:val="single" w:sz="8" w:color="A5A5A5"/>
              <w:right w:val="single" w:sz="8" w:color="A5A5A5"/>
            </w:tcBorders>
          </w:tcPr>
          <w:p>
            <w:pPr>
              <w:spacing w:after="0"/>
              <w:rPr>
                <w:sz w:val="7"/>
                <w:szCs w:val="7"/>
                <w:color w:val="auto"/>
              </w:rPr>
            </w:pPr>
          </w:p>
        </w:tc>
        <w:tc>
          <w:tcPr>
            <w:tcW w:w="920" w:type="dxa"/>
            <w:vAlign w:val="bottom"/>
            <w:tcBorders>
              <w:bottom w:val="single" w:sz="8" w:color="A5A5A5"/>
              <w:right w:val="single" w:sz="8" w:color="A5A5A5"/>
            </w:tcBorders>
          </w:tcPr>
          <w:p>
            <w:pPr>
              <w:spacing w:after="0"/>
              <w:rPr>
                <w:sz w:val="7"/>
                <w:szCs w:val="7"/>
                <w:color w:val="auto"/>
              </w:rPr>
            </w:pPr>
          </w:p>
        </w:tc>
        <w:tc>
          <w:tcPr>
            <w:tcW w:w="1020" w:type="dxa"/>
            <w:vAlign w:val="bottom"/>
            <w:tcBorders>
              <w:bottom w:val="single" w:sz="8" w:color="A5A5A5"/>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1500" w:type="dxa"/>
            <w:vAlign w:val="bottom"/>
            <w:tcBorders>
              <w:right w:val="single" w:sz="8" w:color="A5A5A5"/>
            </w:tcBorders>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Total Net Revenue</w:t>
            </w:r>
          </w:p>
        </w:tc>
        <w:tc>
          <w:tcPr>
            <w:tcW w:w="2400" w:type="dxa"/>
            <w:vAlign w:val="bottom"/>
            <w:tcBorders>
              <w:right w:val="single" w:sz="8" w:color="A5A5A5"/>
            </w:tcBorders>
          </w:tcPr>
          <w:p>
            <w:pPr>
              <w:spacing w:after="0"/>
              <w:rPr>
                <w:sz w:val="20"/>
                <w:szCs w:val="20"/>
                <w:color w:val="auto"/>
              </w:rPr>
            </w:pPr>
          </w:p>
        </w:tc>
        <w:tc>
          <w:tcPr>
            <w:tcW w:w="10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$2,180</w:t>
            </w: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100%</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39"/>
        </w:trPr>
        <w:tc>
          <w:tcPr>
            <w:tcW w:w="1500" w:type="dxa"/>
            <w:vAlign w:val="bottom"/>
            <w:tcBorders>
              <w:right w:val="single" w:sz="8" w:color="A5A5A5"/>
            </w:tcBorders>
          </w:tcPr>
          <w:p>
            <w:pPr>
              <w:spacing w:after="0"/>
              <w:rPr>
                <w:sz w:val="3"/>
                <w:szCs w:val="3"/>
                <w:color w:val="auto"/>
              </w:rPr>
            </w:pPr>
          </w:p>
        </w:tc>
        <w:tc>
          <w:tcPr>
            <w:tcW w:w="2420" w:type="dxa"/>
            <w:vAlign w:val="bottom"/>
            <w:tcBorders>
              <w:bottom w:val="single" w:sz="8" w:color="A5A5A5"/>
            </w:tcBorders>
          </w:tcPr>
          <w:p>
            <w:pPr>
              <w:spacing w:after="0"/>
              <w:rPr>
                <w:sz w:val="3"/>
                <w:szCs w:val="3"/>
                <w:color w:val="auto"/>
              </w:rPr>
            </w:pPr>
          </w:p>
        </w:tc>
        <w:tc>
          <w:tcPr>
            <w:tcW w:w="2400" w:type="dxa"/>
            <w:vAlign w:val="bottom"/>
            <w:tcBorders>
              <w:bottom w:val="single" w:sz="8" w:color="A5A5A5"/>
              <w:right w:val="single" w:sz="8" w:color="A5A5A5"/>
            </w:tcBorders>
          </w:tcPr>
          <w:p>
            <w:pPr>
              <w:spacing w:after="0"/>
              <w:rPr>
                <w:sz w:val="3"/>
                <w:szCs w:val="3"/>
                <w:color w:val="auto"/>
              </w:rPr>
            </w:pPr>
          </w:p>
        </w:tc>
        <w:tc>
          <w:tcPr>
            <w:tcW w:w="1000" w:type="dxa"/>
            <w:vAlign w:val="bottom"/>
            <w:tcBorders>
              <w:bottom w:val="single" w:sz="8" w:color="A5A5A5"/>
              <w:right w:val="single" w:sz="8" w:color="A5A5A5"/>
            </w:tcBorders>
          </w:tcPr>
          <w:p>
            <w:pPr>
              <w:spacing w:after="0"/>
              <w:rPr>
                <w:sz w:val="3"/>
                <w:szCs w:val="3"/>
                <w:color w:val="auto"/>
              </w:rPr>
            </w:pPr>
          </w:p>
        </w:tc>
        <w:tc>
          <w:tcPr>
            <w:tcW w:w="920" w:type="dxa"/>
            <w:vAlign w:val="bottom"/>
            <w:tcBorders>
              <w:bottom w:val="single" w:sz="8" w:color="A5A5A5"/>
              <w:right w:val="single" w:sz="8" w:color="A5A5A5"/>
            </w:tcBorders>
          </w:tcPr>
          <w:p>
            <w:pPr>
              <w:spacing w:after="0"/>
              <w:rPr>
                <w:sz w:val="3"/>
                <w:szCs w:val="3"/>
                <w:color w:val="auto"/>
              </w:rPr>
            </w:pPr>
          </w:p>
        </w:tc>
        <w:tc>
          <w:tcPr>
            <w:tcW w:w="1020" w:type="dxa"/>
            <w:vAlign w:val="bottom"/>
            <w:tcBorders>
              <w:bottom w:val="single" w:sz="8" w:color="A5A5A5"/>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500" w:type="dxa"/>
            <w:vAlign w:val="bottom"/>
            <w:tcBorders>
              <w:right w:val="single" w:sz="8" w:color="A5A5A5"/>
            </w:tcBorders>
          </w:tcPr>
          <w:p>
            <w:pPr>
              <w:spacing w:after="0"/>
              <w:rPr>
                <w:sz w:val="19"/>
                <w:szCs w:val="19"/>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Total Recurring Revenue</w:t>
            </w:r>
          </w:p>
        </w:tc>
        <w:tc>
          <w:tcPr>
            <w:tcW w:w="2400" w:type="dxa"/>
            <w:vAlign w:val="bottom"/>
            <w:tcBorders>
              <w:right w:val="single" w:sz="8" w:color="A5A5A5"/>
            </w:tcBorders>
          </w:tcPr>
          <w:p>
            <w:pPr>
              <w:spacing w:after="0"/>
              <w:rPr>
                <w:sz w:val="19"/>
                <w:szCs w:val="19"/>
                <w:color w:val="auto"/>
              </w:rPr>
            </w:pPr>
          </w:p>
        </w:tc>
        <w:tc>
          <w:tcPr>
            <w:tcW w:w="10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$1,463</w:t>
            </w: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67%</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500" w:type="dxa"/>
            <w:vAlign w:val="bottom"/>
            <w:tcBorders>
              <w:right w:val="single" w:sz="8" w:color="A5A5A5"/>
            </w:tcBorders>
          </w:tcPr>
          <w:p>
            <w:pPr>
              <w:spacing w:after="0"/>
              <w:rPr>
                <w:sz w:val="3"/>
                <w:szCs w:val="3"/>
                <w:color w:val="auto"/>
              </w:rPr>
            </w:pPr>
          </w:p>
        </w:tc>
        <w:tc>
          <w:tcPr>
            <w:tcW w:w="2420" w:type="dxa"/>
            <w:vAlign w:val="bottom"/>
            <w:tcBorders>
              <w:bottom w:val="single" w:sz="8" w:color="A5A5A5"/>
            </w:tcBorders>
          </w:tcPr>
          <w:p>
            <w:pPr>
              <w:spacing w:after="0"/>
              <w:rPr>
                <w:sz w:val="3"/>
                <w:szCs w:val="3"/>
                <w:color w:val="auto"/>
              </w:rPr>
            </w:pPr>
          </w:p>
        </w:tc>
        <w:tc>
          <w:tcPr>
            <w:tcW w:w="2400" w:type="dxa"/>
            <w:vAlign w:val="bottom"/>
            <w:tcBorders>
              <w:bottom w:val="single" w:sz="8" w:color="A5A5A5"/>
              <w:right w:val="single" w:sz="8" w:color="A5A5A5"/>
            </w:tcBorders>
          </w:tcPr>
          <w:p>
            <w:pPr>
              <w:spacing w:after="0"/>
              <w:rPr>
                <w:sz w:val="3"/>
                <w:szCs w:val="3"/>
                <w:color w:val="auto"/>
              </w:rPr>
            </w:pPr>
          </w:p>
        </w:tc>
        <w:tc>
          <w:tcPr>
            <w:tcW w:w="1000" w:type="dxa"/>
            <w:vAlign w:val="bottom"/>
            <w:tcBorders>
              <w:bottom w:val="single" w:sz="8" w:color="A5A5A5"/>
              <w:right w:val="single" w:sz="8" w:color="A5A5A5"/>
            </w:tcBorders>
          </w:tcPr>
          <w:p>
            <w:pPr>
              <w:spacing w:after="0"/>
              <w:rPr>
                <w:sz w:val="3"/>
                <w:szCs w:val="3"/>
                <w:color w:val="auto"/>
              </w:rPr>
            </w:pPr>
          </w:p>
        </w:tc>
        <w:tc>
          <w:tcPr>
            <w:tcW w:w="920" w:type="dxa"/>
            <w:vAlign w:val="bottom"/>
            <w:tcBorders>
              <w:bottom w:val="single" w:sz="8" w:color="A5A5A5"/>
              <w:right w:val="single" w:sz="8" w:color="A5A5A5"/>
            </w:tcBorders>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520" w:right="600" w:firstLine="648"/>
        <w:spacing w:after="0" w:line="287" w:lineRule="auto"/>
        <w:rPr>
          <w:sz w:val="20"/>
          <w:szCs w:val="20"/>
          <w:color w:val="auto"/>
        </w:rPr>
      </w:pPr>
      <w:r>
        <w:rPr>
          <w:rFonts w:ascii="Arial" w:cs="Arial" w:eastAsia="Arial" w:hAnsi="Arial"/>
          <w:sz w:val="18"/>
          <w:szCs w:val="18"/>
          <w:b w:val="1"/>
          <w:bCs w:val="1"/>
          <w:i w:val="1"/>
          <w:iCs w:val="1"/>
          <w:color w:val="auto"/>
        </w:rPr>
        <w:t xml:space="preserve">Commission and Advisory Revenues. </w:t>
      </w:r>
      <w:r>
        <w:rPr>
          <w:rFonts w:ascii="Arial" w:cs="Arial" w:eastAsia="Arial" w:hAnsi="Arial"/>
          <w:sz w:val="18"/>
          <w:szCs w:val="18"/>
          <w:color w:val="auto"/>
        </w:rPr>
        <w:t>Commission and advisory revenues both represent advisor-generated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85-90% of which is paid to advisors.</w:t>
      </w:r>
    </w:p>
    <w:p>
      <w:pPr>
        <w:spacing w:after="0" w:line="153" w:lineRule="exact"/>
        <w:rPr>
          <w:sz w:val="20"/>
          <w:szCs w:val="20"/>
          <w:color w:val="auto"/>
        </w:rPr>
      </w:pPr>
    </w:p>
    <w:p>
      <w:pPr>
        <w:ind w:left="1160"/>
        <w:spacing w:after="0" w:line="255" w:lineRule="auto"/>
        <w:rPr>
          <w:sz w:val="20"/>
          <w:szCs w:val="20"/>
          <w:color w:val="auto"/>
        </w:rPr>
      </w:pPr>
      <w:r>
        <w:rPr>
          <w:rFonts w:ascii="Arial" w:cs="Arial" w:eastAsia="Arial" w:hAnsi="Arial"/>
          <w:sz w:val="18"/>
          <w:szCs w:val="18"/>
          <w:b w:val="1"/>
          <w:bCs w:val="1"/>
          <w:i w:val="1"/>
          <w:iCs w:val="1"/>
          <w:color w:val="auto"/>
        </w:rPr>
        <w:t xml:space="preserve">Commission Revenues. </w:t>
      </w:r>
      <w:r>
        <w:rPr>
          <w:rFonts w:ascii="Arial" w:cs="Arial" w:eastAsia="Arial" w:hAnsi="Arial"/>
          <w:sz w:val="18"/>
          <w:szCs w:val="18"/>
          <w:color w:val="auto"/>
        </w:rPr>
        <w:t>We generate two types of commission revenues: transaction-based sales commissions and trailing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Transaction-based sales commission revenues, which occur whenever clients trade securities or purchase various types of investment products, primarily represent gross commissions generated by our advisors. The levels of transaction-based sales commission revenues can vary from period to period based on the overall economic environment, number of trading days in the reporting period, and investment activity of our advisors' clients. We earn trailing commission revenues (a commission that is paid over time, such as 12(b)-1 fees) primarily on mutual funds and variable annuities held by clients of our advisors. Trailing commission revenues are recurring in nature and are earned based on the market value of investment holdings in trail-eligible assets.</w:t>
      </w:r>
    </w:p>
    <w:p>
      <w:pPr>
        <w:spacing w:after="0" w:line="185" w:lineRule="exact"/>
        <w:rPr>
          <w:sz w:val="20"/>
          <w:szCs w:val="20"/>
          <w:color w:val="auto"/>
        </w:rPr>
      </w:pPr>
    </w:p>
    <w:p>
      <w:pPr>
        <w:ind w:left="1160"/>
        <w:spacing w:after="0" w:line="256" w:lineRule="auto"/>
        <w:rPr>
          <w:sz w:val="20"/>
          <w:szCs w:val="20"/>
          <w:color w:val="auto"/>
        </w:rPr>
      </w:pPr>
      <w:r>
        <w:rPr>
          <w:rFonts w:ascii="Arial" w:cs="Arial" w:eastAsia="Arial" w:hAnsi="Arial"/>
          <w:sz w:val="18"/>
          <w:szCs w:val="18"/>
          <w:b w:val="1"/>
          <w:bCs w:val="1"/>
          <w:i w:val="1"/>
          <w:iCs w:val="1"/>
          <w:color w:val="auto"/>
        </w:rPr>
        <w:t xml:space="preserve">Advisory Revenues. </w:t>
      </w:r>
      <w:r>
        <w:rPr>
          <w:rFonts w:ascii="Arial" w:cs="Arial" w:eastAsia="Arial" w:hAnsi="Arial"/>
          <w:sz w:val="18"/>
          <w:szCs w:val="18"/>
          <w:color w:val="auto"/>
        </w:rPr>
        <w:t>Advisory revenues primarily represent fees charged on our corporate RIA platform provided through LPL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LLC (“LPL Financial”) to clients of our advisors based on the value of advisory assets. Advisory fees are typically billed to clients quarterly, in advance, and are recognized as revenue ratably during the quarter. The value of the assets in an advisory account on the billing date determines the amount billed, and accordingly, the revenues earned in the following three month period. The majority of our accounts are billed using values as of the last business day of each calendar quarter. Advisory revenues collected on our corporate RIA platform generally average 1.1% of the underlying assets, and can range anywhere from 0.5% to 3.0%.</w:t>
      </w:r>
    </w:p>
    <w:p>
      <w:pPr>
        <w:spacing w:after="0" w:line="205" w:lineRule="exact"/>
        <w:rPr>
          <w:sz w:val="20"/>
          <w:szCs w:val="20"/>
          <w:color w:val="auto"/>
        </w:rPr>
      </w:pPr>
    </w:p>
    <w:p>
      <w:pPr>
        <w:ind w:left="1140" w:right="80"/>
        <w:spacing w:after="0" w:line="253" w:lineRule="auto"/>
        <w:rPr>
          <w:sz w:val="20"/>
          <w:szCs w:val="20"/>
          <w:color w:val="auto"/>
        </w:rPr>
      </w:pPr>
      <w:r>
        <w:rPr>
          <w:rFonts w:ascii="Arial" w:cs="Arial" w:eastAsia="Arial" w:hAnsi="Arial"/>
          <w:sz w:val="18"/>
          <w:szCs w:val="18"/>
          <w:color w:val="auto"/>
        </w:rPr>
        <w:t>In addition, we support independent RIAs who conduct their advisory business through separate entities by establishing their own RIA (“Independent RIAs”) pursuant to the Investment Advisers Act of 1940, rather than through LPL Financial. The assets held under these investment advisory accounts custodied with LPL Financial are included in our advisory and brokerage assets, net new advisory assets, and advisory assets under custody metrics. The advisory revenue generated by an Independent RIA is earned by the Independent RIA, and accordingly is not included in our advisory</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82" w:right="259" w:bottom="1440" w:gutter="0" w:footer="0" w:header="0"/>
        </w:sectPr>
      </w:pPr>
    </w:p>
    <w:bookmarkStart w:id="25" w:name="page26"/>
    <w:bookmarkEnd w:id="25"/>
    <w:p>
      <w:pPr>
        <w:ind w:left="1140" w:right="120"/>
        <w:spacing w:after="0" w:line="256" w:lineRule="auto"/>
        <w:rPr>
          <w:sz w:val="20"/>
          <w:szCs w:val="20"/>
          <w:color w:val="auto"/>
        </w:rPr>
      </w:pPr>
      <w:r>
        <w:rPr>
          <w:rFonts w:ascii="Arial" w:cs="Arial" w:eastAsia="Arial" w:hAnsi="Arial"/>
          <w:sz w:val="18"/>
          <w:szCs w:val="18"/>
          <w:color w:val="auto"/>
        </w:rPr>
        <w:t>revenue. However, we charge administrative fees to Independent RIAs for clearing and custody of these assets based on the value of assets within these advisory accounts. The administrative fees collected on our Independent RIA platform vary and can reach a maximum of 0.6% of the underlying assets.</w:t>
      </w:r>
    </w:p>
    <w:p>
      <w:pPr>
        <w:spacing w:after="0" w:line="202" w:lineRule="exact"/>
        <w:rPr>
          <w:sz w:val="20"/>
          <w:szCs w:val="20"/>
          <w:color w:val="auto"/>
        </w:rPr>
      </w:pPr>
    </w:p>
    <w:p>
      <w:pPr>
        <w:ind w:left="1140" w:right="100"/>
        <w:spacing w:after="0" w:line="262" w:lineRule="auto"/>
        <w:rPr>
          <w:sz w:val="20"/>
          <w:szCs w:val="20"/>
          <w:color w:val="auto"/>
        </w:rPr>
      </w:pPr>
      <w:r>
        <w:rPr>
          <w:rFonts w:ascii="Arial" w:cs="Arial" w:eastAsia="Arial" w:hAnsi="Arial"/>
          <w:sz w:val="18"/>
          <w:szCs w:val="18"/>
          <w:color w:val="auto"/>
        </w:rPr>
        <w:t>Furthermore, we support certain financial advisors at broker-dealers affiliated with insurance companies through our customized advisory platforms and charge fees to these advisors based on the value of assets within these advisory accounts.</w:t>
      </w:r>
    </w:p>
    <w:p>
      <w:pPr>
        <w:spacing w:after="0" w:line="228" w:lineRule="exact"/>
        <w:rPr>
          <w:sz w:val="20"/>
          <w:szCs w:val="20"/>
          <w:color w:val="auto"/>
        </w:rPr>
      </w:pPr>
    </w:p>
    <w:p>
      <w:pPr>
        <w:ind w:left="520" w:firstLine="648"/>
        <w:spacing w:after="0" w:line="254" w:lineRule="auto"/>
        <w:rPr>
          <w:sz w:val="20"/>
          <w:szCs w:val="20"/>
          <w:color w:val="auto"/>
        </w:rPr>
      </w:pPr>
      <w:r>
        <w:rPr>
          <w:rFonts w:ascii="Arial" w:cs="Arial" w:eastAsia="Arial" w:hAnsi="Arial"/>
          <w:sz w:val="18"/>
          <w:szCs w:val="18"/>
          <w:b w:val="1"/>
          <w:bCs w:val="1"/>
          <w:i w:val="1"/>
          <w:iCs w:val="1"/>
          <w:color w:val="auto"/>
        </w:rPr>
        <w:t xml:space="preserve">Asset-Based Revenues. </w:t>
      </w:r>
      <w:r>
        <w:rPr>
          <w:rFonts w:ascii="Arial" w:cs="Arial" w:eastAsia="Arial" w:hAnsi="Arial"/>
          <w:sz w:val="18"/>
          <w:szCs w:val="18"/>
          <w:color w:val="auto"/>
        </w:rPr>
        <w:t>Asset-based revenues are comprised of fees from cash sweep programs, our sponsorship programs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financial product manufacturers, and omnibus processing and networking services. Pursuant to contractual arrangements, uninvested cash balances in our advisors’ client accounts are swept into either insured deposit accounts at various banks or third-party money market funds, for which we receive fees, including administrative and recordkeeping fees based on account type and the invested balances. In addition, we receive fees from certain financial product manufacturers in connection with sponsorship programs that support our marketing and sales-force education and training efforts. Our omnibus processing and networking revenues represent fees paid to us in exchange for administrative and record-keeping services that we provide to clients of our advisors. Omnibus processing revenues are paid to us by mutual fund product sponsors and are based on the value of custodied assets in advisory accounts and the number of brokerage accounts in which the related mutual fund positions are held. Networking revenues on brokerage assets are correlated to the number of positions we administer and are paid to us by mutual fund and annuity product manufacturers.</w:t>
      </w:r>
    </w:p>
    <w:p>
      <w:pPr>
        <w:spacing w:after="0" w:line="294" w:lineRule="exact"/>
        <w:rPr>
          <w:sz w:val="20"/>
          <w:szCs w:val="20"/>
          <w:color w:val="auto"/>
        </w:rPr>
      </w:pPr>
    </w:p>
    <w:p>
      <w:pPr>
        <w:ind w:left="520" w:right="20" w:firstLine="648"/>
        <w:spacing w:after="0" w:line="256" w:lineRule="auto"/>
        <w:rPr>
          <w:sz w:val="20"/>
          <w:szCs w:val="20"/>
          <w:color w:val="auto"/>
        </w:rPr>
      </w:pPr>
      <w:r>
        <w:rPr>
          <w:rFonts w:ascii="Arial" w:cs="Arial" w:eastAsia="Arial" w:hAnsi="Arial"/>
          <w:sz w:val="18"/>
          <w:szCs w:val="18"/>
          <w:b w:val="1"/>
          <w:bCs w:val="1"/>
          <w:i w:val="1"/>
          <w:iCs w:val="1"/>
          <w:color w:val="auto"/>
        </w:rPr>
        <w:t xml:space="preserve">Transaction and Fee Revenues. </w:t>
      </w:r>
      <w:r>
        <w:rPr>
          <w:rFonts w:ascii="Arial" w:cs="Arial" w:eastAsia="Arial" w:hAnsi="Arial"/>
          <w:sz w:val="18"/>
          <w:szCs w:val="18"/>
          <w:color w:val="auto"/>
        </w:rPr>
        <w:t>Revenues earned from transactions and fees primarily consist of transaction fees and ticket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charges, subscription fees, Individual Retirement Account ("IRA") custodian fees, contract and license fees, conference fees, and other client account fees. We charge fees to our advisors and their clients for executing certain transactions in brokerage and fee-based advisory accounts. We earn subscription fees for various services provided to our advisors and on IRA custodial services that we provide for their client accounts. We charge administrative fees to our advisors and fees to advisors who subscribe to our reporting services. We charge fees to financial product manufacturers for participating in our training and marketing conferences. In addition, we host certain advisor conferences that serve as training, sales, and marketing events, for which we charge a fee for attendance.</w:t>
      </w:r>
    </w:p>
    <w:p>
      <w:pPr>
        <w:spacing w:after="0" w:line="291" w:lineRule="exact"/>
        <w:rPr>
          <w:sz w:val="20"/>
          <w:szCs w:val="20"/>
          <w:color w:val="auto"/>
        </w:rPr>
      </w:pPr>
    </w:p>
    <w:p>
      <w:pPr>
        <w:ind w:left="5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Other Revenues. </w:t>
      </w:r>
      <w:r>
        <w:rPr>
          <w:rFonts w:ascii="Arial" w:cs="Arial" w:eastAsia="Arial" w:hAnsi="Arial"/>
          <w:sz w:val="18"/>
          <w:szCs w:val="18"/>
          <w:color w:val="auto"/>
        </w:rPr>
        <w:t>Other revenues include marketing allowances received from certain financial product manufacturers,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who offer alternative investments, such as non-traded real estate investment trusts and business development companies, mark-to-market gains or losses on assets held by us for the advisors' non-qualified deferred compensation plan and our model portfolios, revenues from our Retirement Partners program, interest income from client margin accounts and cash equivalents, net of operating interest expense, and other items.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Expenses</w:t>
      </w:r>
    </w:p>
    <w:p>
      <w:pPr>
        <w:spacing w:after="0" w:line="333" w:lineRule="exact"/>
        <w:rPr>
          <w:sz w:val="20"/>
          <w:szCs w:val="20"/>
          <w:color w:val="auto"/>
        </w:rPr>
      </w:pPr>
    </w:p>
    <w:p>
      <w:pPr>
        <w:ind w:left="520" w:right="60" w:firstLine="648"/>
        <w:spacing w:after="0" w:line="255" w:lineRule="auto"/>
        <w:rPr>
          <w:sz w:val="20"/>
          <w:szCs w:val="20"/>
          <w:color w:val="auto"/>
        </w:rPr>
      </w:pPr>
      <w:r>
        <w:rPr>
          <w:rFonts w:ascii="Arial" w:cs="Arial" w:eastAsia="Arial" w:hAnsi="Arial"/>
          <w:sz w:val="18"/>
          <w:szCs w:val="18"/>
          <w:b w:val="1"/>
          <w:bCs w:val="1"/>
          <w:i w:val="1"/>
          <w:iCs w:val="1"/>
          <w:color w:val="auto"/>
        </w:rPr>
        <w:t xml:space="preserve">Production Expenses. </w:t>
      </w:r>
      <w:r>
        <w:rPr>
          <w:rFonts w:ascii="Arial" w:cs="Arial" w:eastAsia="Arial" w:hAnsi="Arial"/>
          <w:sz w:val="18"/>
          <w:szCs w:val="18"/>
          <w:color w:val="auto"/>
        </w:rPr>
        <w:t>Production expenses are comprised of the following: base payout amounts that are earned by and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 to advisors based on commission and advisory revenues earned on each client's account (collectively, commission and advisory revenues earned by LPL Financial are referred to as gross dealer concessions, or “GDC”); production bonuses earned by advisors based on the levels of commission and advisory revenues they produce; the recognition of share-based compensation expense from equity awards granted to advisors and financial institutions based on the fair value of the awards at each reporting period; a mark-to-market gain or loss on amounts designated by advisors as deferred commissions in a non-qualified deferred compensation plan at each reporting period; and brokerage, clearing, and exchange fees. Our production payout ratio is calculated as production expenses, excluding brokerage, clearing, and exchange fees, divided by GDC.</w:t>
      </w:r>
    </w:p>
    <w:p>
      <w:pPr>
        <w:spacing w:after="0" w:line="207" w:lineRule="exact"/>
        <w:rPr>
          <w:sz w:val="20"/>
          <w:szCs w:val="20"/>
          <w:color w:val="auto"/>
        </w:rPr>
      </w:pPr>
    </w:p>
    <w:p>
      <w:pPr>
        <w:ind w:left="520" w:right="60"/>
        <w:spacing w:after="0" w:line="252" w:lineRule="auto"/>
        <w:rPr>
          <w:sz w:val="20"/>
          <w:szCs w:val="20"/>
          <w:color w:val="auto"/>
        </w:rPr>
      </w:pPr>
      <w:r>
        <w:rPr>
          <w:rFonts w:ascii="Arial" w:cs="Arial" w:eastAsia="Arial" w:hAnsi="Arial"/>
          <w:sz w:val="18"/>
          <w:szCs w:val="18"/>
          <w:color w:val="auto"/>
        </w:rPr>
        <w:t>We characterize components of production payout, which consists of all production expenses except brokerage, clearing, and exchange fees, as either GDC sensitive or non-GDC sensitive. Base payout amounts and production bonuses earned by and paid to advisors are characterized as GDC sensitive because they are variable and highly correlated to the level of our commission and advisory revenues in a particular reporting period. Payout characterized as non-GDC sensitive includes share-based compensation expense from equity awards granted to advisors and financial institutions based on the fair value of the awards at each reporting period, and mark-to-market gains or losses on amounts designated by advisors as deferred commissions in a non-qualified deferred compensation plan. Non-GDC sensitive payout is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90" w:right="239" w:bottom="1440" w:gutter="0" w:footer="0" w:header="0"/>
        </w:sectPr>
      </w:pPr>
    </w:p>
    <w:bookmarkStart w:id="26" w:name="page27"/>
    <w:bookmarkEnd w:id="26"/>
    <w:p>
      <w:pPr>
        <w:ind w:left="20"/>
        <w:spacing w:after="0" w:line="262" w:lineRule="auto"/>
        <w:rPr>
          <w:sz w:val="20"/>
          <w:szCs w:val="20"/>
          <w:color w:val="auto"/>
        </w:rPr>
      </w:pPr>
      <w:r>
        <w:rPr>
          <w:rFonts w:ascii="Arial" w:cs="Arial" w:eastAsia="Arial" w:hAnsi="Arial"/>
          <w:sz w:val="18"/>
          <w:szCs w:val="18"/>
          <w:color w:val="auto"/>
        </w:rPr>
        <w:t>correlated either to market movement or to the value of our stock. We believe that discussion of production payout, viewed in addition to, and not in lieu of, our production expenses, provides useful information to investors regarding our payouts to advisors.</w:t>
      </w:r>
    </w:p>
    <w:p>
      <w:pPr>
        <w:spacing w:after="0" w:line="66" w:lineRule="exact"/>
        <w:rPr>
          <w:sz w:val="20"/>
          <w:szCs w:val="20"/>
          <w:color w:val="auto"/>
        </w:rPr>
      </w:pPr>
    </w:p>
    <w:p>
      <w:pPr>
        <w:jc w:val="both"/>
        <w:ind w:left="20" w:right="720" w:firstLine="648"/>
        <w:spacing w:after="0" w:line="269" w:lineRule="auto"/>
        <w:rPr>
          <w:sz w:val="20"/>
          <w:szCs w:val="20"/>
          <w:color w:val="auto"/>
        </w:rPr>
      </w:pPr>
      <w:r>
        <w:rPr>
          <w:rFonts w:ascii="Arial" w:cs="Arial" w:eastAsia="Arial" w:hAnsi="Arial"/>
          <w:sz w:val="18"/>
          <w:szCs w:val="18"/>
          <w:b w:val="1"/>
          <w:bCs w:val="1"/>
          <w:i w:val="1"/>
          <w:iCs w:val="1"/>
          <w:color w:val="auto"/>
        </w:rPr>
        <w:t xml:space="preserve">Compensation and Benefits Expense. </w:t>
      </w:r>
      <w:r>
        <w:rPr>
          <w:rFonts w:ascii="Arial" w:cs="Arial" w:eastAsia="Arial" w:hAnsi="Arial"/>
          <w:sz w:val="18"/>
          <w:szCs w:val="18"/>
          <w:color w:val="auto"/>
        </w:rPr>
        <w:t>Compensation and benefits expense includes salaries and wages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benefits and taxes for our employees (including share-based compensation), as well as compensation for temporary employees and consultants.</w:t>
      </w:r>
    </w:p>
    <w:p>
      <w:pPr>
        <w:spacing w:after="0" w:line="114" w:lineRule="exact"/>
        <w:rPr>
          <w:sz w:val="20"/>
          <w:szCs w:val="20"/>
          <w:color w:val="auto"/>
        </w:rPr>
      </w:pPr>
    </w:p>
    <w:p>
      <w:pPr>
        <w:jc w:val="both"/>
        <w:ind w:left="20" w:firstLine="648"/>
        <w:spacing w:after="0" w:line="269"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include promotional, occupancy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services, communications and data processing, regulatory fees, and other expenses. General and administrative expenses also include expenses for our hosting of certain advisor conferences that serve as training, sales, and marketing events.</w:t>
      </w:r>
    </w:p>
    <w:p>
      <w:pPr>
        <w:spacing w:after="0" w:line="276" w:lineRule="exact"/>
        <w:rPr>
          <w:sz w:val="20"/>
          <w:szCs w:val="20"/>
          <w:color w:val="auto"/>
        </w:rPr>
      </w:pPr>
    </w:p>
    <w:p>
      <w:pPr>
        <w:jc w:val="both"/>
        <w:ind w:left="20" w:right="160" w:firstLine="648"/>
        <w:spacing w:after="0" w:line="269" w:lineRule="auto"/>
        <w:rPr>
          <w:sz w:val="20"/>
          <w:szCs w:val="20"/>
          <w:color w:val="auto"/>
        </w:rPr>
      </w:pPr>
      <w:r>
        <w:rPr>
          <w:rFonts w:ascii="Arial" w:cs="Arial" w:eastAsia="Arial" w:hAnsi="Arial"/>
          <w:sz w:val="18"/>
          <w:szCs w:val="18"/>
          <w:b w:val="1"/>
          <w:bCs w:val="1"/>
          <w:i w:val="1"/>
          <w:iCs w:val="1"/>
          <w:color w:val="auto"/>
        </w:rPr>
        <w:t xml:space="preserve">Depreciation and Amortization Expense. </w:t>
      </w:r>
      <w:r>
        <w:rPr>
          <w:rFonts w:ascii="Arial" w:cs="Arial" w:eastAsia="Arial" w:hAnsi="Arial"/>
          <w:sz w:val="18"/>
          <w:szCs w:val="18"/>
          <w:color w:val="auto"/>
        </w:rPr>
        <w:t>Depreciation and amortization expense represents the benefits received for 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long-lived assets. Those assets consist of intangible assets established through our acquisitions, as well as fixed assets, which include internally developed software, hardware, leasehold improvements, and other equipment.</w:t>
      </w:r>
    </w:p>
    <w:p>
      <w:pPr>
        <w:spacing w:after="0" w:line="276" w:lineRule="exact"/>
        <w:rPr>
          <w:sz w:val="20"/>
          <w:szCs w:val="20"/>
          <w:color w:val="auto"/>
        </w:rPr>
      </w:pPr>
    </w:p>
    <w:p>
      <w:pPr>
        <w:jc w:val="both"/>
        <w:ind w:right="540" w:firstLine="648"/>
        <w:spacing w:after="0" w:line="269" w:lineRule="auto"/>
        <w:rPr>
          <w:sz w:val="20"/>
          <w:szCs w:val="20"/>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charges primarily represent expenses incurred as a result of our expansion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Service Value Commitment announced in 2013 (see Note 3. </w:t>
      </w:r>
      <w:r>
        <w:rPr>
          <w:rFonts w:ascii="Arial" w:cs="Arial" w:eastAsia="Arial" w:hAnsi="Arial"/>
          <w:sz w:val="18"/>
          <w:szCs w:val="18"/>
          <w:i w:val="1"/>
          <w:iCs w:val="1"/>
          <w:color w:val="auto"/>
        </w:rPr>
        <w:t>Restructuring</w:t>
      </w:r>
      <w:r>
        <w:rPr>
          <w:rFonts w:ascii="Arial" w:cs="Arial" w:eastAsia="Arial" w:hAnsi="Arial"/>
          <w:sz w:val="18"/>
          <w:szCs w:val="18"/>
          <w:color w:val="auto"/>
        </w:rPr>
        <w:t>, within the notes to unaudited condensed consolidated financial statements).</w:t>
      </w:r>
    </w:p>
    <w:p>
      <w:pPr>
        <w:spacing w:after="0" w:line="3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80"/>
          </w:cols>
          <w:pgMar w:left="740" w:top="490"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How We Evaluate Our Business</w:t>
      </w:r>
    </w:p>
    <w:p>
      <w:pPr>
        <w:spacing w:after="0" w:line="139"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We focus on several business and key financial metrics in evaluating the success of our business relationships and our resulting financial position and operating performance. Our business and key financial metrics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64"/>
        </w:trPr>
        <w:tc>
          <w:tcPr>
            <w:tcW w:w="70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r>
      <w:tr>
        <w:trPr>
          <w:trHeight w:val="260"/>
        </w:trPr>
        <w:tc>
          <w:tcPr>
            <w:tcW w:w="7000" w:type="dxa"/>
            <w:vAlign w:val="bottom"/>
          </w:tcPr>
          <w:p>
            <w:pPr>
              <w:ind w:left="80"/>
              <w:spacing w:after="0"/>
              <w:rPr>
                <w:sz w:val="20"/>
                <w:szCs w:val="20"/>
                <w:color w:val="auto"/>
              </w:rPr>
            </w:pPr>
            <w:r>
              <w:rPr>
                <w:rFonts w:ascii="Arial" w:cs="Arial" w:eastAsia="Arial" w:hAnsi="Arial"/>
                <w:sz w:val="16"/>
                <w:szCs w:val="16"/>
                <w:b w:val="1"/>
                <w:bCs w:val="1"/>
                <w:color w:val="auto"/>
              </w:rPr>
              <w:t>Business Metrics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7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13,840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13,409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60"/>
        </w:trPr>
        <w:tc>
          <w:tcPr>
            <w:tcW w:w="7000" w:type="dxa"/>
            <w:vAlign w:val="bottom"/>
          </w:tcPr>
          <w:p>
            <w:pPr>
              <w:ind w:left="80"/>
              <w:spacing w:after="0"/>
              <w:rPr>
                <w:sz w:val="20"/>
                <w:szCs w:val="20"/>
                <w:color w:val="auto"/>
              </w:rPr>
            </w:pPr>
            <w:r>
              <w:rPr>
                <w:rFonts w:ascii="Arial" w:cs="Arial" w:eastAsia="Arial" w:hAnsi="Arial"/>
                <w:sz w:val="16"/>
                <w:szCs w:val="16"/>
                <w:color w:val="auto"/>
              </w:rPr>
              <w:t>Advisory and brokerage assets (in billions)(1)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465.4</w:t>
            </w:r>
          </w:p>
        </w:tc>
        <w:tc>
          <w:tcPr>
            <w:tcW w:w="12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396.7</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17.3 %</w:t>
            </w:r>
          </w:p>
        </w:tc>
      </w:tr>
      <w:tr>
        <w:trPr>
          <w:trHeight w:val="280"/>
        </w:trPr>
        <w:tc>
          <w:tcPr>
            <w:tcW w:w="7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Advisory assets under custody (in billions)(2)(3)</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26.4 %</w:t>
            </w:r>
          </w:p>
        </w:tc>
      </w:tr>
      <w:tr>
        <w:trPr>
          <w:trHeight w:val="260"/>
        </w:trPr>
        <w:tc>
          <w:tcPr>
            <w:tcW w:w="7000" w:type="dxa"/>
            <w:vAlign w:val="bottom"/>
          </w:tcPr>
          <w:p>
            <w:pPr>
              <w:ind w:left="80"/>
              <w:spacing w:after="0"/>
              <w:rPr>
                <w:sz w:val="20"/>
                <w:szCs w:val="20"/>
                <w:color w:val="auto"/>
              </w:rPr>
            </w:pPr>
            <w:r>
              <w:rPr>
                <w:rFonts w:ascii="Arial" w:cs="Arial" w:eastAsia="Arial" w:hAnsi="Arial"/>
                <w:sz w:val="16"/>
                <w:szCs w:val="16"/>
                <w:color w:val="auto"/>
              </w:rPr>
              <w:t>Net new advisory assets (in billions)(4)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29.9 %</w:t>
            </w:r>
          </w:p>
        </w:tc>
      </w:tr>
      <w:tr>
        <w:trPr>
          <w:trHeight w:val="280"/>
        </w:trPr>
        <w:tc>
          <w:tcPr>
            <w:tcW w:w="7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Insured cash account balances (in billions)(3)</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51"/>
        </w:trPr>
        <w:tc>
          <w:tcPr>
            <w:tcW w:w="7000" w:type="dxa"/>
            <w:vAlign w:val="bottom"/>
          </w:tcPr>
          <w:p>
            <w:pPr>
              <w:ind w:left="80"/>
              <w:spacing w:after="0"/>
              <w:rPr>
                <w:sz w:val="20"/>
                <w:szCs w:val="20"/>
                <w:color w:val="auto"/>
              </w:rPr>
            </w:pPr>
            <w:r>
              <w:rPr>
                <w:rFonts w:ascii="Arial" w:cs="Arial" w:eastAsia="Arial" w:hAnsi="Arial"/>
                <w:sz w:val="16"/>
                <w:szCs w:val="16"/>
                <w:color w:val="auto"/>
              </w:rPr>
              <w:t>Money market account balances (in billions)(3)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(23.0)%</w:t>
            </w:r>
          </w:p>
        </w:tc>
      </w:tr>
    </w:tbl>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9"/>
                <w:szCs w:val="19"/>
                <w:color w:val="auto"/>
              </w:rPr>
            </w:pPr>
          </w:p>
        </w:tc>
        <w:tc>
          <w:tcPr>
            <w:tcW w:w="266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4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r>
      <w:tr>
        <w:trPr>
          <w:trHeight w:val="260"/>
        </w:trPr>
        <w:tc>
          <w:tcPr>
            <w:tcW w:w="5420" w:type="dxa"/>
            <w:vAlign w:val="bottom"/>
          </w:tcPr>
          <w:p>
            <w:pPr>
              <w:ind w:left="80"/>
              <w:spacing w:after="0"/>
              <w:rPr>
                <w:sz w:val="20"/>
                <w:szCs w:val="20"/>
                <w:color w:val="auto"/>
              </w:rPr>
            </w:pPr>
            <w:r>
              <w:rPr>
                <w:rFonts w:ascii="Arial" w:cs="Arial" w:eastAsia="Arial" w:hAnsi="Arial"/>
                <w:sz w:val="16"/>
                <w:szCs w:val="16"/>
                <w:b w:val="1"/>
                <w:bCs w:val="1"/>
                <w:color w:val="auto"/>
              </w:rPr>
              <w:t>Financial Metrics</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5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Revenue growth from prior period</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60"/>
        </w:trPr>
        <w:tc>
          <w:tcPr>
            <w:tcW w:w="5420" w:type="dxa"/>
            <w:vAlign w:val="bottom"/>
          </w:tcPr>
          <w:p>
            <w:pPr>
              <w:ind w:left="200"/>
              <w:spacing w:after="0"/>
              <w:rPr>
                <w:sz w:val="20"/>
                <w:szCs w:val="20"/>
                <w:color w:val="auto"/>
              </w:rPr>
            </w:pPr>
            <w:r>
              <w:rPr>
                <w:rFonts w:ascii="Arial" w:cs="Arial" w:eastAsia="Arial" w:hAnsi="Arial"/>
                <w:sz w:val="16"/>
                <w:szCs w:val="16"/>
                <w:color w:val="auto"/>
              </w:rPr>
              <w:t>Recurring revenue as a % of net revenue(5)</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65.5%</w:t>
            </w:r>
          </w:p>
        </w:tc>
      </w:tr>
      <w:tr>
        <w:trPr>
          <w:trHeight w:val="280"/>
        </w:trPr>
        <w:tc>
          <w:tcPr>
            <w:tcW w:w="5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income (in millions)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96.2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99.8</w:t>
            </w:r>
          </w:p>
        </w:tc>
      </w:tr>
      <w:tr>
        <w:trPr>
          <w:trHeight w:val="260"/>
        </w:trPr>
        <w:tc>
          <w:tcPr>
            <w:tcW w:w="5420" w:type="dxa"/>
            <w:vAlign w:val="bottom"/>
          </w:tcPr>
          <w:p>
            <w:pPr>
              <w:ind w:left="200"/>
              <w:spacing w:after="0"/>
              <w:rPr>
                <w:sz w:val="20"/>
                <w:szCs w:val="20"/>
                <w:color w:val="auto"/>
              </w:rPr>
            </w:pPr>
            <w:r>
              <w:rPr>
                <w:rFonts w:ascii="Arial" w:cs="Arial" w:eastAsia="Arial" w:hAnsi="Arial"/>
                <w:sz w:val="16"/>
                <w:szCs w:val="16"/>
                <w:color w:val="auto"/>
              </w:rPr>
              <w:t>Earnings per share (diluted)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0.94</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0.93</w:t>
            </w:r>
          </w:p>
        </w:tc>
      </w:tr>
      <w:tr>
        <w:trPr>
          <w:trHeight w:val="280"/>
        </w:trPr>
        <w:tc>
          <w:tcPr>
            <w:tcW w:w="5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Non-GAAP Measures:</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5420" w:type="dxa"/>
            <w:vAlign w:val="bottom"/>
          </w:tcPr>
          <w:p>
            <w:pPr>
              <w:ind w:left="200"/>
              <w:spacing w:after="0"/>
              <w:rPr>
                <w:sz w:val="20"/>
                <w:szCs w:val="20"/>
                <w:color w:val="auto"/>
              </w:rPr>
            </w:pPr>
            <w:r>
              <w:rPr>
                <w:rFonts w:ascii="Arial" w:cs="Arial" w:eastAsia="Arial" w:hAnsi="Arial"/>
                <w:sz w:val="16"/>
                <w:szCs w:val="16"/>
                <w:color w:val="auto"/>
              </w:rPr>
              <w:t>Gross margin (in millions)(6)</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328.7</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305.8</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659.5</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610.9</w:t>
            </w:r>
          </w:p>
        </w:tc>
      </w:tr>
      <w:tr>
        <w:trPr>
          <w:trHeight w:val="280"/>
        </w:trPr>
        <w:tc>
          <w:tcPr>
            <w:tcW w:w="5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Gross margin as a % of net revenue(6)</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r>
      <w:tr>
        <w:trPr>
          <w:trHeight w:val="260"/>
        </w:trPr>
        <w:tc>
          <w:tcPr>
            <w:tcW w:w="5420" w:type="dxa"/>
            <w:vAlign w:val="bottom"/>
          </w:tcPr>
          <w:p>
            <w:pPr>
              <w:ind w:left="200"/>
              <w:spacing w:after="0"/>
              <w:rPr>
                <w:sz w:val="20"/>
                <w:szCs w:val="20"/>
                <w:color w:val="auto"/>
              </w:rPr>
            </w:pPr>
            <w:r>
              <w:rPr>
                <w:rFonts w:ascii="Arial" w:cs="Arial" w:eastAsia="Arial" w:hAnsi="Arial"/>
                <w:sz w:val="16"/>
                <w:szCs w:val="16"/>
                <w:color w:val="auto"/>
              </w:rPr>
              <w:t>Adjusted EBITDA (in millions)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128.2</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131.0</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269.7</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267.0</w:t>
            </w:r>
          </w:p>
        </w:tc>
      </w:tr>
      <w:tr>
        <w:trPr>
          <w:trHeight w:val="280"/>
        </w:trPr>
        <w:tc>
          <w:tcPr>
            <w:tcW w:w="5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 EBITDA as a % of net revenue</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60"/>
        </w:trPr>
        <w:tc>
          <w:tcPr>
            <w:tcW w:w="5420" w:type="dxa"/>
            <w:vAlign w:val="bottom"/>
          </w:tcPr>
          <w:p>
            <w:pPr>
              <w:ind w:left="200"/>
              <w:spacing w:after="0"/>
              <w:rPr>
                <w:sz w:val="20"/>
                <w:szCs w:val="20"/>
                <w:color w:val="auto"/>
              </w:rPr>
            </w:pPr>
            <w:r>
              <w:rPr>
                <w:rFonts w:ascii="Arial" w:cs="Arial" w:eastAsia="Arial" w:hAnsi="Arial"/>
                <w:sz w:val="16"/>
                <w:szCs w:val="16"/>
                <w:color w:val="auto"/>
              </w:rPr>
              <w:t>Adjusted EBITDA as a % of gross margin(6)</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43.7%</w:t>
            </w:r>
          </w:p>
        </w:tc>
      </w:tr>
      <w:tr>
        <w:trPr>
          <w:trHeight w:val="280"/>
        </w:trPr>
        <w:tc>
          <w:tcPr>
            <w:tcW w:w="5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 Earnings (in millions)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61.8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132.8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134.0</w:t>
            </w:r>
          </w:p>
        </w:tc>
      </w:tr>
      <w:tr>
        <w:trPr>
          <w:trHeight w:val="251"/>
        </w:trPr>
        <w:tc>
          <w:tcPr>
            <w:tcW w:w="5420" w:type="dxa"/>
            <w:vAlign w:val="bottom"/>
          </w:tcPr>
          <w:p>
            <w:pPr>
              <w:ind w:left="200"/>
              <w:spacing w:after="0"/>
              <w:rPr>
                <w:sz w:val="20"/>
                <w:szCs w:val="20"/>
                <w:color w:val="auto"/>
              </w:rPr>
            </w:pPr>
            <w:r>
              <w:rPr>
                <w:rFonts w:ascii="Arial" w:cs="Arial" w:eastAsia="Arial" w:hAnsi="Arial"/>
                <w:sz w:val="16"/>
                <w:szCs w:val="16"/>
                <w:color w:val="auto"/>
              </w:rPr>
              <w:t>Adjusted Earnings per share (diluted)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0.61</w:t>
            </w: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0.61</w:t>
            </w:r>
          </w:p>
        </w:tc>
        <w:tc>
          <w:tcPr>
            <w:tcW w:w="12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1.25</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660" w:right="80" w:hanging="328"/>
        <w:spacing w:after="0" w:line="25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Advisory and brokerage assets are comprised of assets that are custodied, networked, and non-networked and reflect market movement in addition to new assets, inclusive of new business development and net of attrition. Set forth below are other client assets at June 30, 2014 and 2013, including retirement plan assets, and certain trust and high-net-worth assets, that are custodied with third-party providers and therefore excluded from advisory and brokerage assets (in billions):</w:t>
      </w:r>
    </w:p>
    <w:p>
      <w:pPr>
        <w:spacing w:after="0" w:line="160" w:lineRule="exact"/>
        <w:rPr>
          <w:sz w:val="20"/>
          <w:szCs w:val="20"/>
          <w:color w:val="auto"/>
        </w:rPr>
      </w:pPr>
    </w:p>
    <w:tbl>
      <w:tblPr>
        <w:tblLayout w:type="fixed"/>
        <w:tblInd w:w="1080" w:type="dxa"/>
        <w:tblCellMar>
          <w:top w:w="0" w:type="dxa"/>
          <w:left w:w="0" w:type="dxa"/>
          <w:bottom w:w="0" w:type="dxa"/>
          <w:right w:w="0" w:type="dxa"/>
        </w:tblCellMar>
      </w:tblPr>
      <w:tr>
        <w:trPr>
          <w:trHeight w:val="228"/>
        </w:trPr>
        <w:tc>
          <w:tcPr>
            <w:tcW w:w="72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9"/>
                <w:szCs w:val="19"/>
                <w:color w:val="auto"/>
              </w:rPr>
            </w:pPr>
          </w:p>
        </w:tc>
      </w:tr>
      <w:tr>
        <w:trPr>
          <w:trHeight w:val="264"/>
        </w:trPr>
        <w:tc>
          <w:tcPr>
            <w:tcW w:w="72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2013</w:t>
            </w:r>
          </w:p>
        </w:tc>
      </w:tr>
      <w:tr>
        <w:trPr>
          <w:trHeight w:val="257"/>
        </w:trPr>
        <w:tc>
          <w:tcPr>
            <w:tcW w:w="7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Retirement plan assets(a)</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52.1</w:t>
            </w:r>
          </w:p>
        </w:tc>
      </w:tr>
      <w:tr>
        <w:trPr>
          <w:trHeight w:val="251"/>
        </w:trPr>
        <w:tc>
          <w:tcPr>
            <w:tcW w:w="7220" w:type="dxa"/>
            <w:vAlign w:val="bottom"/>
          </w:tcPr>
          <w:p>
            <w:pPr>
              <w:ind w:left="80"/>
              <w:spacing w:after="0"/>
              <w:rPr>
                <w:sz w:val="20"/>
                <w:szCs w:val="20"/>
                <w:color w:val="auto"/>
              </w:rPr>
            </w:pPr>
            <w:r>
              <w:rPr>
                <w:rFonts w:ascii="Arial" w:cs="Arial" w:eastAsia="Arial" w:hAnsi="Arial"/>
                <w:sz w:val="16"/>
                <w:szCs w:val="16"/>
                <w:color w:val="auto"/>
              </w:rPr>
              <w:t>Trust assets(b)</w:t>
            </w: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10.4</w:t>
            </w:r>
          </w:p>
        </w:tc>
      </w:tr>
      <w:tr>
        <w:trPr>
          <w:trHeight w:val="270"/>
        </w:trPr>
        <w:tc>
          <w:tcPr>
            <w:tcW w:w="7220" w:type="dxa"/>
            <w:vAlign w:val="bottom"/>
          </w:tcPr>
          <w:p>
            <w:pPr>
              <w:ind w:left="80"/>
              <w:spacing w:after="0"/>
              <w:rPr>
                <w:sz w:val="20"/>
                <w:szCs w:val="20"/>
                <w:color w:val="auto"/>
              </w:rPr>
            </w:pPr>
            <w:r>
              <w:rPr>
                <w:rFonts w:ascii="Arial" w:cs="Arial" w:eastAsia="Arial" w:hAnsi="Arial"/>
                <w:sz w:val="16"/>
                <w:szCs w:val="16"/>
                <w:color w:val="auto"/>
              </w:rPr>
              <w:t>High-net-worth assets(c)</w:t>
            </w: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23"/>
                <w:szCs w:val="23"/>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-158750</wp:posOffset>
            </wp:positionV>
            <wp:extent cx="629475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1714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1"/>
          <w:szCs w:val="11"/>
          <w:color w:val="auto"/>
        </w:rPr>
        <w:t>_______________________</w:t>
      </w:r>
    </w:p>
    <w:p>
      <w:pPr>
        <w:spacing w:after="0" w:line="4" w:lineRule="exact"/>
        <w:rPr>
          <w:sz w:val="20"/>
          <w:szCs w:val="20"/>
          <w:color w:val="auto"/>
        </w:rPr>
      </w:pPr>
    </w:p>
    <w:p>
      <w:pPr>
        <w:ind w:left="980" w:hanging="324"/>
        <w:spacing w:after="0" w:line="252"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Retirement plan assets are held in retirement plans that are supported by advisors licensed with LPL Financial. At June 30, 2014 and 2013, our retirement plan assets represent assets that are custodied with 34 third-party providers and 27 third-party providers, respectively, of retirement plan administrative services who provide reporting feeds. We estimate the total assets in retirement plans supported to be between $110.0 billion and $120.0 billion at June 30, 2014 and between $75.0 billion and $90.0 billion at June 30, 2013. If we receive reporting feeds in the future from providers for whom we do not currently receive feeds, we intend to include and identify such additional assets in this metric. Since June 30, 2013, we began receiving reporting feeds from seven such providers, which accounted for $7.3 billion of the $20.9 billion increase in retirement plan assets.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22" w:right="239" w:bottom="1440" w:gutter="0" w:footer="0" w:header="0"/>
        </w:sectPr>
      </w:pPr>
    </w:p>
    <w:bookmarkStart w:id="28" w:name="page29"/>
    <w:bookmarkEnd w:id="28"/>
    <w:p>
      <w:pPr>
        <w:ind w:left="980" w:right="180" w:hanging="324"/>
        <w:spacing w:after="0" w:line="262"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trust assets that are on the comprehensive wealth management platform of the Concord Trust and Wealth Solutions division of LPL Financial (“Concord”).</w:t>
      </w:r>
    </w:p>
    <w:p>
      <w:pPr>
        <w:spacing w:after="0" w:line="196" w:lineRule="exact"/>
        <w:rPr>
          <w:sz w:val="20"/>
          <w:szCs w:val="20"/>
          <w:color w:val="auto"/>
        </w:rPr>
      </w:pPr>
    </w:p>
    <w:p>
      <w:pPr>
        <w:ind w:left="1200" w:right="460" w:hanging="539"/>
        <w:spacing w:after="0" w:line="262" w:lineRule="auto"/>
        <w:rPr>
          <w:sz w:val="20"/>
          <w:szCs w:val="20"/>
          <w:color w:val="auto"/>
        </w:rPr>
      </w:pPr>
      <w:r>
        <w:rPr>
          <w:rFonts w:ascii="Arial" w:cs="Arial" w:eastAsia="Arial" w:hAnsi="Arial"/>
          <w:sz w:val="18"/>
          <w:szCs w:val="18"/>
          <w:color w:val="auto"/>
        </w:rPr>
        <w:t>(c)Represents high-net-worth assets that are on the comprehensive platform of performance reporting, investment research, and practice management services of Fortigent.</w:t>
      </w:r>
    </w:p>
    <w:p>
      <w:pPr>
        <w:spacing w:after="0" w:line="88" w:lineRule="exact"/>
        <w:rPr>
          <w:sz w:val="20"/>
          <w:szCs w:val="20"/>
          <w:color w:val="auto"/>
        </w:rPr>
      </w:pPr>
    </w:p>
    <w:p>
      <w:pPr>
        <w:ind w:left="660" w:right="180" w:hanging="328"/>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Advisory assets under custody are comprised of advisory assets under management in our corporate RIA platform and Independent RIA assets in advisory accounts custodied by us. See “Results of Operations” for a tabular presentation of advisory assets under custody.</w:t>
      </w:r>
    </w:p>
    <w:p>
      <w:pPr>
        <w:spacing w:after="0" w:line="93"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Advisory assets under custody, insured cash account balances, and money market account balances are components of advisory and brokerage assets.</w:t>
      </w:r>
    </w:p>
    <w:p>
      <w:pPr>
        <w:spacing w:after="0" w:line="88"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net new advisory assets consisting of funds from new accounts and additional funds deposited into existing advisory accounts that are custodied in our fee-based advisory platforms, less account attrition and funds withdrawn from advisory accounts.</w:t>
      </w:r>
    </w:p>
    <w:p>
      <w:pPr>
        <w:spacing w:after="0" w:line="88" w:lineRule="exact"/>
        <w:rPr>
          <w:rFonts w:ascii="Arial" w:cs="Arial" w:eastAsia="Arial" w:hAnsi="Arial"/>
          <w:sz w:val="18"/>
          <w:szCs w:val="18"/>
          <w:color w:val="auto"/>
        </w:rPr>
      </w:pPr>
    </w:p>
    <w:p>
      <w:pPr>
        <w:jc w:val="both"/>
        <w:ind w:left="660" w:right="340" w:hanging="328"/>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Recurring revenue, which is a characterization of net revenue and a statistical measure, is derived from sources such as advisory revenues, asset-based revenues, trailing commission revenues, revenues related to our cash sweep programs, interest earned on margin accounts, and technology and service revenues, and is not meant as a substitute for net revenues.</w:t>
      </w:r>
    </w:p>
    <w:p>
      <w:pPr>
        <w:spacing w:after="0" w:line="93" w:lineRule="exact"/>
        <w:rPr>
          <w:rFonts w:ascii="Arial" w:cs="Arial" w:eastAsia="Arial" w:hAnsi="Arial"/>
          <w:sz w:val="18"/>
          <w:szCs w:val="18"/>
          <w:color w:val="auto"/>
        </w:rPr>
      </w:pPr>
    </w:p>
    <w:p>
      <w:pPr>
        <w:ind w:left="660" w:right="700" w:hanging="328"/>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Gross margin is calculated as net revenues less production expenses. Because our gross margin amounts do not include any depreciation and amortization expense, we consider our gross margin amounts to be non-GAAP measures that may not be comparable to those of others in our industry.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355"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Adjusted EBITDA is defined as EBITDA (net income plus interest expense, income tax expense, depreciation, and amortization), further adjusted to exclude certain non-cash charges and other adjustments set forth below. We present Adjusted EBITDA because we consider it an important measure of our performance. Adjusted EBITDA is a useful financial metric in assessing our operating performance from period to period by excluding certain items that we believe are not representative of our core business, such as certain material non-cash items and other adjustments.</w:t>
      </w:r>
    </w:p>
    <w:p>
      <w:pPr>
        <w:spacing w:after="0" w:line="314"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We believe that Adjusted EBITDA, viewed in addition to, and not in lieu of, our reported GAAP results, provides useful information to investors regarding our performance and overall results of operations for the following reasons:</w:t>
      </w:r>
    </w:p>
    <w:p>
      <w:pPr>
        <w:spacing w:after="0" w:line="196" w:lineRule="exact"/>
        <w:rPr>
          <w:sz w:val="20"/>
          <w:szCs w:val="20"/>
          <w:color w:val="auto"/>
        </w:rPr>
      </w:pPr>
    </w:p>
    <w:p>
      <w:pPr>
        <w:ind w:left="520" w:right="40" w:hanging="120"/>
        <w:spacing w:after="0" w:line="256"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directors at a certain price and point in time do not necessarily reflect how our business is performing at any particular time, share-based compensation expense is not a key measure of our operating performance; and</w:t>
      </w:r>
    </w:p>
    <w:p>
      <w:pPr>
        <w:spacing w:after="0" w:line="201" w:lineRule="exact"/>
        <w:rPr>
          <w:rFonts w:ascii="Arial" w:cs="Arial" w:eastAsia="Arial" w:hAnsi="Arial"/>
          <w:sz w:val="18"/>
          <w:szCs w:val="18"/>
          <w:color w:val="auto"/>
        </w:rPr>
      </w:pPr>
    </w:p>
    <w:p>
      <w:pPr>
        <w:jc w:val="both"/>
        <w:ind w:left="520" w:hanging="120"/>
        <w:spacing w:after="0" w:line="256"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because costs associated with acquisitions and the resulting integrations, debt refinancing, and restructuring and conversions costs can vary from period to period and transaction to transaction, expenses associated with these activities are not considered a key measure of our operating performance.</w:t>
      </w:r>
    </w:p>
    <w:p>
      <w:pPr>
        <w:spacing w:after="0" w:line="31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use Adjusted EBITDA:</w:t>
      </w:r>
    </w:p>
    <w:p>
      <w:pPr>
        <w:spacing w:after="0" w:line="279" w:lineRule="exact"/>
        <w:rPr>
          <w:sz w:val="20"/>
          <w:szCs w:val="20"/>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a measure of operating performance;</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budgets and forecasts;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evaluate the effectiveness of our business strategies;</w:t>
      </w:r>
    </w:p>
    <w:p>
      <w:pPr>
        <w:spacing w:after="0" w:line="211" w:lineRule="exact"/>
        <w:rPr>
          <w:rFonts w:ascii="Arial" w:cs="Arial" w:eastAsia="Arial" w:hAnsi="Arial"/>
          <w:sz w:val="18"/>
          <w:szCs w:val="18"/>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communications with our Board of Directors (the “Board”) concerning our financial performance; and</w:t>
      </w:r>
    </w:p>
    <w:p>
      <w:pPr>
        <w:spacing w:after="0" w:line="238" w:lineRule="exact"/>
        <w:rPr>
          <w:rFonts w:ascii="Arial" w:cs="Arial" w:eastAsia="Arial" w:hAnsi="Arial"/>
          <w:sz w:val="18"/>
          <w:szCs w:val="18"/>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a factor in determining employee and executive bonuses.</w:t>
      </w:r>
    </w:p>
    <w:p>
      <w:pPr>
        <w:spacing w:after="0" w:line="279"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Adjusted EBITDA is a non-GAAP measure and does not purport to be an alternative to net income as a measure of operating performance or to cash flows from operating activities as a measure of liquidity. Adjusted EBITDA is not a measure of net income, operating income, or any other performance measure derived in accordance with GAAP.</w:t>
      </w:r>
    </w:p>
    <w:p>
      <w:pPr>
        <w:sectPr>
          <w:pgSz w:w="11900" w:h="16838" w:orient="portrait"/>
          <w:cols w:equalWidth="0" w:num="1">
            <w:col w:w="11340"/>
          </w:cols>
          <w:pgMar w:left="240" w:top="490" w:right="319" w:bottom="1440" w:gutter="0" w:footer="0" w:header="0"/>
        </w:sectPr>
      </w:pP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340"/>
          </w:cols>
          <w:pgMar w:left="240" w:top="490" w:right="319" w:bottom="1440" w:gutter="0" w:footer="0" w:header="0"/>
          <w:type w:val="continuous"/>
        </w:sectPr>
      </w:pPr>
    </w:p>
    <w:bookmarkStart w:id="29" w:name="page30"/>
    <w:bookmarkEnd w:id="29"/>
    <w:p>
      <w:pPr>
        <w:ind w:right="500" w:firstLine="486"/>
        <w:spacing w:after="0" w:line="262" w:lineRule="auto"/>
        <w:rPr>
          <w:sz w:val="20"/>
          <w:szCs w:val="20"/>
          <w:color w:val="auto"/>
        </w:rPr>
      </w:pPr>
      <w:r>
        <w:rPr>
          <w:rFonts w:ascii="Arial" w:cs="Arial" w:eastAsia="Arial" w:hAnsi="Arial"/>
          <w:sz w:val="18"/>
          <w:szCs w:val="18"/>
          <w:color w:val="auto"/>
        </w:rPr>
        <w:t>Adjusted EBITDA has limitations as an analytical tool and should not be considered in isolation or as a substitute for analysis of our results as reported under GAAP. Some of these limitations are:</w:t>
      </w:r>
    </w:p>
    <w:p>
      <w:pPr>
        <w:spacing w:after="0" w:line="196" w:lineRule="exact"/>
        <w:rPr>
          <w:sz w:val="20"/>
          <w:szCs w:val="20"/>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does not reflect all cash expenditures, future requirements for capital expenditures or contractual commitments;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225" w:lineRule="exact"/>
        <w:rPr>
          <w:rFonts w:ascii="Arial" w:cs="Arial" w:eastAsia="Arial" w:hAnsi="Arial"/>
          <w:sz w:val="18"/>
          <w:szCs w:val="18"/>
          <w:color w:val="auto"/>
        </w:rPr>
      </w:pPr>
    </w:p>
    <w:p>
      <w:pPr>
        <w:ind w:left="520" w:right="340" w:hanging="120"/>
        <w:spacing w:after="0" w:line="262"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cash requirements necessary to service interest or principal payments, on our debt; and</w:t>
      </w:r>
    </w:p>
    <w:p>
      <w:pPr>
        <w:spacing w:after="0" w:line="196" w:lineRule="exact"/>
        <w:rPr>
          <w:rFonts w:ascii="Arial" w:cs="Arial" w:eastAsia="Arial" w:hAnsi="Arial"/>
          <w:sz w:val="18"/>
          <w:szCs w:val="18"/>
          <w:color w:val="auto"/>
        </w:rPr>
      </w:pPr>
    </w:p>
    <w:p>
      <w:pPr>
        <w:ind w:left="520" w:right="340" w:hanging="120"/>
        <w:spacing w:after="0" w:line="291"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Adjusted EBITDA can differ significantly from company to company depending on long-term strategic decisions regarding capital structure, the tax jurisdictions in which companies operate and capital investments, limiting its usefulness as a comparative measure.</w:t>
      </w:r>
    </w:p>
    <w:p>
      <w:pPr>
        <w:spacing w:after="0" w:line="228"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Adjusted EBITDA should not be considered as a measure of discretionary cash available to us to invest in our business. We compensate for these limitations by relying primarily on the GAAP results and using Adjusted EBITDA as supplemental information.</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from our net income to Adjusted EBITDA, a non-GAAP measure, for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2014 and 2013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5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57"/>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43,091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45,091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96,226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99,808</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Non-operating interest expense</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12,914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12,667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25,754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24,827</w:t>
            </w:r>
          </w:p>
        </w:tc>
      </w:tr>
      <w:tr>
        <w:trPr>
          <w:trHeight w:val="280"/>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28,070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29,811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62,482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65,645</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9,696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9,768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19,412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19,544</w:t>
            </w:r>
          </w:p>
        </w:tc>
      </w:tr>
      <w:tr>
        <w:trPr>
          <w:trHeight w:val="273"/>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Depreciation and amortization of fixed assets</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14,122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10,477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26,687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20,475</w:t>
            </w:r>
          </w:p>
        </w:tc>
      </w:tr>
      <w:tr>
        <w:trPr>
          <w:trHeight w:val="250"/>
        </w:trPr>
        <w:tc>
          <w:tcPr>
            <w:tcW w:w="56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EBITDA</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107,893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107,814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230,561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230,299</w:t>
            </w:r>
          </w:p>
        </w:tc>
      </w:tr>
      <w:tr>
        <w:trPr>
          <w:trHeight w:val="270"/>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EBITDA Adjustments:</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0"/>
        </w:trPr>
        <w:tc>
          <w:tcPr>
            <w:tcW w:w="5620" w:type="dxa"/>
            <w:vAlign w:val="bottom"/>
          </w:tcPr>
          <w:p>
            <w:pPr>
              <w:ind w:left="260"/>
              <w:spacing w:after="0"/>
              <w:rPr>
                <w:sz w:val="20"/>
                <w:szCs w:val="20"/>
                <w:color w:val="auto"/>
              </w:rPr>
            </w:pPr>
            <w:r>
              <w:rPr>
                <w:rFonts w:ascii="Arial" w:cs="Arial" w:eastAsia="Arial" w:hAnsi="Arial"/>
                <w:sz w:val="16"/>
                <w:szCs w:val="16"/>
                <w:color w:val="auto"/>
              </w:rPr>
              <w:t>Employee share-based compensation expense(1)</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5,426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4,486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10,537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8,448</w:t>
            </w:r>
          </w:p>
        </w:tc>
      </w:tr>
      <w:tr>
        <w:trPr>
          <w:trHeight w:val="280"/>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and integration related expenses(2)</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3,726</w:t>
            </w:r>
          </w:p>
        </w:tc>
      </w:tr>
      <w:tr>
        <w:trPr>
          <w:trHeight w:val="260"/>
        </w:trPr>
        <w:tc>
          <w:tcPr>
            <w:tcW w:w="5620" w:type="dxa"/>
            <w:vAlign w:val="bottom"/>
          </w:tcPr>
          <w:p>
            <w:pPr>
              <w:ind w:left="260"/>
              <w:spacing w:after="0"/>
              <w:rPr>
                <w:sz w:val="20"/>
                <w:szCs w:val="20"/>
                <w:color w:val="auto"/>
              </w:rPr>
            </w:pPr>
            <w:r>
              <w:rPr>
                <w:rFonts w:ascii="Arial" w:cs="Arial" w:eastAsia="Arial" w:hAnsi="Arial"/>
                <w:sz w:val="16"/>
                <w:szCs w:val="16"/>
                <w:color w:val="auto"/>
              </w:rPr>
              <w:t>Restructuring and conversion costs(3)</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9,377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7,322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16,648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13,585</w:t>
            </w:r>
          </w:p>
        </w:tc>
      </w:tr>
      <w:tr>
        <w:trPr>
          <w:trHeight w:val="280"/>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Debt extinguishment costs(4)</w:t>
            </w:r>
          </w:p>
        </w:tc>
        <w:tc>
          <w:tcPr>
            <w:tcW w:w="2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7,968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7,968</w:t>
            </w:r>
          </w:p>
        </w:tc>
      </w:tr>
      <w:tr>
        <w:trPr>
          <w:trHeight w:val="264"/>
        </w:trPr>
        <w:tc>
          <w:tcPr>
            <w:tcW w:w="56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Other(5)</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4,770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10,838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2,939</w:t>
            </w:r>
          </w:p>
        </w:tc>
      </w:tr>
      <w:tr>
        <w:trPr>
          <w:trHeight w:val="250"/>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Total EBITDA Adjustments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20,306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23,231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39,115</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36,666</w:t>
            </w:r>
          </w:p>
        </w:tc>
      </w:tr>
      <w:tr>
        <w:trPr>
          <w:trHeight w:val="237"/>
        </w:trPr>
        <w:tc>
          <w:tcPr>
            <w:tcW w:w="5620" w:type="dxa"/>
            <w:vAlign w:val="bottom"/>
          </w:tcPr>
          <w:p>
            <w:pPr>
              <w:ind w:left="80"/>
              <w:spacing w:after="0"/>
              <w:rPr>
                <w:sz w:val="20"/>
                <w:szCs w:val="20"/>
                <w:color w:val="auto"/>
              </w:rPr>
            </w:pPr>
            <w:r>
              <w:rPr>
                <w:rFonts w:ascii="Arial" w:cs="Arial" w:eastAsia="Arial" w:hAnsi="Arial"/>
                <w:sz w:val="16"/>
                <w:szCs w:val="16"/>
                <w:color w:val="auto"/>
              </w:rPr>
              <w:t>Adjusted EBITDA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128,199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131,045</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269,676</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266,965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3810</wp:posOffset>
            </wp:positionV>
            <wp:extent cx="368744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87445" cy="2603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w:t>
      </w:r>
    </w:p>
    <w:p>
      <w:pPr>
        <w:ind w:left="660" w:right="40" w:hanging="328"/>
        <w:spacing w:after="0" w:line="25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share-based compensation for equity awards granted to employees, officers, and directors. Such awards are measured based on the grant-date fair value and recognized over the requisite service period of the individual awards, which generally equals the vesting period.</w:t>
      </w:r>
    </w:p>
    <w:p>
      <w:pPr>
        <w:spacing w:after="0" w:line="93" w:lineRule="exact"/>
        <w:rPr>
          <w:rFonts w:ascii="Arial" w:cs="Arial" w:eastAsia="Arial" w:hAnsi="Arial"/>
          <w:sz w:val="18"/>
          <w:szCs w:val="18"/>
          <w:color w:val="auto"/>
        </w:rPr>
      </w:pPr>
    </w:p>
    <w:p>
      <w:pPr>
        <w:ind w:left="660" w:right="120" w:hanging="328"/>
        <w:spacing w:after="0" w:line="25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 including changes in the estimated fair value of future payments, or contingent consideration, required to be made to former shareholders of certain acquired entities. During the three and six months ended June 30, 2013, approximately $2.2 million and $1.2 million, respectively, was recognized as a charge against earnings due to a net increase in the estimated fair value of contingent consideration.</w:t>
      </w:r>
    </w:p>
    <w:p>
      <w:pPr>
        <w:spacing w:after="0" w:line="96"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organizational restructuring charges, conversion, and other related costs primarily resulting from the expansion of our Service Value Commitment.</w:t>
      </w:r>
    </w:p>
    <w:p>
      <w:pPr>
        <w:spacing w:after="0" w:line="88" w:lineRule="exact"/>
        <w:rPr>
          <w:rFonts w:ascii="Arial" w:cs="Arial" w:eastAsia="Arial" w:hAnsi="Arial"/>
          <w:sz w:val="18"/>
          <w:szCs w:val="18"/>
          <w:color w:val="auto"/>
        </w:rPr>
      </w:pPr>
    </w:p>
    <w:p>
      <w:pPr>
        <w:ind w:left="660" w:right="54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expenses incurred resulting from the early extinguishment and repayment of amounts outstanding under prior senior secured credit facilities and the establishment of new senior secured credit facilities.</w:t>
      </w:r>
    </w:p>
    <w:p>
      <w:pPr>
        <w:spacing w:after="0" w:line="88" w:lineRule="exact"/>
        <w:rPr>
          <w:rFonts w:ascii="Arial" w:cs="Arial" w:eastAsia="Arial" w:hAnsi="Arial"/>
          <w:sz w:val="18"/>
          <w:szCs w:val="18"/>
          <w:color w:val="auto"/>
        </w:rPr>
      </w:pPr>
    </w:p>
    <w:p>
      <w:pPr>
        <w:ind w:left="660" w:right="180" w:hanging="328"/>
        <w:spacing w:after="0" w:line="25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Results for the three and six months ended June 30, 2014 include approximately $3.9 million and $9.2 million, respectively, in parallel rent, property tax, fixed asset disposals, and common area maintenance expenses incurred in connection with our relocation to our San Diego office building. Also included in the three and six months ended June 30, 2014 are $0.5 million in losses on equity investments. Results for the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44" w:right="239" w:bottom="1440" w:gutter="0" w:footer="0" w:header="0"/>
        </w:sectPr>
      </w:pPr>
    </w:p>
    <w:bookmarkStart w:id="30" w:name="page31"/>
    <w:bookmarkEnd w:id="30"/>
    <w:p>
      <w:pPr>
        <w:ind w:left="660" w:right="600"/>
        <w:spacing w:after="0" w:line="309" w:lineRule="auto"/>
        <w:rPr>
          <w:sz w:val="20"/>
          <w:szCs w:val="20"/>
          <w:color w:val="auto"/>
        </w:rPr>
      </w:pPr>
      <w:r>
        <w:rPr>
          <w:rFonts w:ascii="Arial" w:cs="Arial" w:eastAsia="Arial" w:hAnsi="Arial"/>
          <w:sz w:val="18"/>
          <w:szCs w:val="18"/>
          <w:color w:val="auto"/>
        </w:rPr>
        <w:t>six months ended June 30, 2013 include $2.7 million of severance and termination benefits related to a change in management structure. Other amounts include certain excise and other taxes.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Earnings and Adjusted Earnings per share</w:t>
      </w:r>
    </w:p>
    <w:p>
      <w:pPr>
        <w:spacing w:after="0" w:line="247"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Adjusted Earnings represents net income before: (a) employee share-based compensation expense, (b) amortization of intangible assets, (c) acquisition and integration related expenses, (d) restructuring and conversion costs, (e) debt extinguishment costs, and (f) other. Reconciling items are tax effected using the income tax rates in effect for the applicable period, adjusted for any potentially non-deductible amounts.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per share represents Adjusted Earnings divided by weighted-average outstanding shares on a fully diluted basis.</w:t>
      </w:r>
    </w:p>
    <w:p>
      <w:pPr>
        <w:spacing w:after="0" w:line="225"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We prepared Adjusted Earnings and Adjusted Earnings per share to eliminate the effects of items that we do not consider indicative of our core operating performance.</w:t>
      </w:r>
    </w:p>
    <w:p>
      <w:pPr>
        <w:spacing w:after="0" w:line="196"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We believe that Adjusted Earnings and Adjusted Earnings per share, viewed in addition to, and not in lieu of, our reported GAAP results provide useful information to investors regarding our performance and overall results of operations for the following reasons:</w:t>
      </w:r>
    </w:p>
    <w:p>
      <w:pPr>
        <w:spacing w:after="0" w:line="196" w:lineRule="exact"/>
        <w:rPr>
          <w:sz w:val="20"/>
          <w:szCs w:val="20"/>
          <w:color w:val="auto"/>
        </w:rPr>
      </w:pPr>
    </w:p>
    <w:p>
      <w:pPr>
        <w:ind w:left="520" w:right="80" w:hanging="120"/>
        <w:spacing w:after="0" w:line="256"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directors at a certain price and point in time do not necessarily reflect how our business is performing, the related share-based compensation expense is not a key measure of our current operating performance;</w:t>
      </w:r>
    </w:p>
    <w:p>
      <w:pPr>
        <w:spacing w:after="0" w:line="201" w:lineRule="exact"/>
        <w:rPr>
          <w:rFonts w:ascii="Arial" w:cs="Arial" w:eastAsia="Arial" w:hAnsi="Arial"/>
          <w:sz w:val="18"/>
          <w:szCs w:val="18"/>
          <w:color w:val="auto"/>
        </w:rPr>
      </w:pPr>
    </w:p>
    <w:p>
      <w:pPr>
        <w:ind w:left="520" w:right="180" w:hanging="120"/>
        <w:spacing w:after="0" w:line="256"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because costs associated with acquisitions and related integrations, debt refinancing, and restructuring and conversions can vary from period to period and transaction to transaction, expenses associated with these activities are not considered a key measure of our operating performance; and</w:t>
      </w:r>
    </w:p>
    <w:p>
      <w:pPr>
        <w:spacing w:after="0" w:line="201" w:lineRule="exact"/>
        <w:rPr>
          <w:rFonts w:ascii="Arial" w:cs="Arial" w:eastAsia="Arial" w:hAnsi="Arial"/>
          <w:sz w:val="18"/>
          <w:szCs w:val="18"/>
          <w:color w:val="auto"/>
        </w:rPr>
      </w:pPr>
    </w:p>
    <w:p>
      <w:pPr>
        <w:ind w:left="520" w:right="40" w:hanging="120"/>
        <w:spacing w:after="0" w:line="25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because amortization expenses can vary substantially from company to company and from period to period depending upon each company’s financing and accounting methods, the fair value and average expected life of acquired intangible assets and the method by which assets were acquired, the amortization of intangible assets obtained in acquisitions is not considered a key measure in comparing our operating performance.</w:t>
      </w:r>
    </w:p>
    <w:p>
      <w:pPr>
        <w:spacing w:after="0" w:line="258"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use Adjusted Earnings for internal management reporting and evaluation purposes. We also believe Adjusted Earnings and Adjusted Earnings per share are useful to investors in evaluating our operating performance because securities analysts use them as supplemental measures to evaluate the overall performance of companies, and our investor and analyst presentations, which are generally available to investors through our website, include references to Adjusted Earnings and Adjusted Earnings per share.</w:t>
      </w:r>
    </w:p>
    <w:p>
      <w:pPr>
        <w:spacing w:after="0" w:line="312"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Adjusted Earnings and Adjusted Earnings per share are not measures of our financial performance under GAAP and should not be considered as an alternative to net income or earnings per share or any other performance measure derived in accordance with GAAP, or as an alternative to cash flows from operating activities as a measure of our profitability or liquidity.</w:t>
      </w:r>
    </w:p>
    <w:p>
      <w:pPr>
        <w:spacing w:after="0" w:line="310"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Although Adjusted Earnings and Adjusted Earnings per share are frequently used by securities analysts and others in their evaluation of companies, they have limitations as analytical tools, and you should not consider Adjusted Earnings and Adjusted Earnings per share in isolation, or as substitutes for an analysis of our results as reported under GAAP. In particular you should consider:</w:t>
      </w:r>
    </w:p>
    <w:p>
      <w:pPr>
        <w:spacing w:after="0" w:line="202" w:lineRule="exact"/>
        <w:rPr>
          <w:sz w:val="20"/>
          <w:szCs w:val="20"/>
          <w:color w:val="auto"/>
        </w:rPr>
      </w:pPr>
    </w:p>
    <w:p>
      <w:pPr>
        <w:ind w:left="520" w:right="40" w:hanging="120"/>
        <w:spacing w:after="0" w:line="262"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our cash expenditures, or future requirements for capital expenditures or contractual commitments;</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changes in, or cash requirements for, our working capital needs; and</w:t>
      </w:r>
    </w:p>
    <w:p>
      <w:pPr>
        <w:spacing w:after="0" w:line="225" w:lineRule="exact"/>
        <w:rPr>
          <w:rFonts w:ascii="Arial" w:cs="Arial" w:eastAsia="Arial" w:hAnsi="Arial"/>
          <w:sz w:val="18"/>
          <w:szCs w:val="18"/>
          <w:color w:val="auto"/>
        </w:rPr>
      </w:pPr>
    </w:p>
    <w:p>
      <w:pPr>
        <w:ind w:left="520" w:right="200" w:hanging="120"/>
        <w:spacing w:after="0" w:line="262"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Earnings and Adjusted Earnings per share differently than we do, limiting their usefulness as comparative measures.</w:t>
      </w:r>
    </w:p>
    <w:p>
      <w:pPr>
        <w:spacing w:after="0" w:line="250"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Management compensates for the inherent limitations associated with using Adjusted Earnings and Adjusted Earnings per share through disclosure of such limitations, presentation of our financial statements in accordance with GAAP, and reconciliation of Adjusted Earnings to the most directly comparable GAAP measure, net income.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63" w:right="279" w:bottom="1440" w:gutter="0" w:footer="0" w:header="0"/>
        </w:sectPr>
      </w:pPr>
    </w:p>
    <w:bookmarkStart w:id="31" w:name="page32"/>
    <w:bookmarkEnd w:id="31"/>
    <w:p>
      <w:pPr>
        <w:ind w:right="320" w:firstLine="486"/>
        <w:spacing w:after="0" w:line="262" w:lineRule="auto"/>
        <w:rPr>
          <w:sz w:val="20"/>
          <w:szCs w:val="20"/>
          <w:color w:val="auto"/>
        </w:rPr>
      </w:pPr>
      <w:r>
        <w:rPr>
          <w:rFonts w:ascii="Arial" w:cs="Arial" w:eastAsia="Arial" w:hAnsi="Arial"/>
          <w:sz w:val="18"/>
          <w:szCs w:val="18"/>
          <w:color w:val="auto"/>
        </w:rPr>
        <w:t>The following table sets forth a reconciliation of net income to the non-GAAP measures Adjusted Earnings and Adjusted Earnings per share for the three and six months ended June 30, 2014 and 2013 (in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5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57"/>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43,091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45,091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96,226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99,808</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After-Tax:</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EBITDA Adjustments(1)</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5620" w:type="dxa"/>
            <w:vAlign w:val="bottom"/>
          </w:tcPr>
          <w:p>
            <w:pPr>
              <w:ind w:left="260"/>
              <w:spacing w:after="0"/>
              <w:rPr>
                <w:sz w:val="20"/>
                <w:szCs w:val="20"/>
                <w:color w:val="auto"/>
              </w:rPr>
            </w:pPr>
            <w:r>
              <w:rPr>
                <w:rFonts w:ascii="Arial" w:cs="Arial" w:eastAsia="Arial" w:hAnsi="Arial"/>
                <w:sz w:val="16"/>
                <w:szCs w:val="16"/>
                <w:color w:val="auto"/>
              </w:rPr>
              <w:t>Employee share-based compensation expense(2)</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3,594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3,200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7,112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6,102</w:t>
            </w:r>
          </w:p>
        </w:tc>
      </w:tr>
      <w:tr>
        <w:trPr>
          <w:trHeight w:val="280"/>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and integration related expenses(3)</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946</w:t>
            </w:r>
          </w:p>
        </w:tc>
      </w:tr>
      <w:tr>
        <w:trPr>
          <w:trHeight w:val="260"/>
        </w:trPr>
        <w:tc>
          <w:tcPr>
            <w:tcW w:w="5620" w:type="dxa"/>
            <w:vAlign w:val="bottom"/>
          </w:tcPr>
          <w:p>
            <w:pPr>
              <w:ind w:left="260"/>
              <w:spacing w:after="0"/>
              <w:rPr>
                <w:sz w:val="20"/>
                <w:szCs w:val="20"/>
                <w:color w:val="auto"/>
              </w:rPr>
            </w:pPr>
            <w:r>
              <w:rPr>
                <w:rFonts w:ascii="Arial" w:cs="Arial" w:eastAsia="Arial" w:hAnsi="Arial"/>
                <w:sz w:val="16"/>
                <w:szCs w:val="16"/>
                <w:color w:val="auto"/>
              </w:rPr>
              <w:t>Restructuring and conversion costs</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5,758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4,518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10,222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8,382</w:t>
            </w:r>
          </w:p>
        </w:tc>
      </w:tr>
      <w:tr>
        <w:trPr>
          <w:trHeight w:val="280"/>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Debt extinguishment costs</w:t>
            </w:r>
          </w:p>
        </w:tc>
        <w:tc>
          <w:tcPr>
            <w:tcW w:w="2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4,916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4,916</w:t>
            </w:r>
          </w:p>
        </w:tc>
      </w:tr>
      <w:tr>
        <w:trPr>
          <w:trHeight w:val="264"/>
        </w:trPr>
        <w:tc>
          <w:tcPr>
            <w:tcW w:w="56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2,929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6,655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1,813</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EBITDA Adjustments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12,731</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14,765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24,659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22,159</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Amortization of intangible assets(1)</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5,953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6,027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11,919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12,059</w:t>
            </w:r>
          </w:p>
        </w:tc>
      </w:tr>
      <w:tr>
        <w:trPr>
          <w:trHeight w:val="240"/>
        </w:trPr>
        <w:tc>
          <w:tcPr>
            <w:tcW w:w="5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Adjusted Earnings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61,775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65,883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132,804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134,026</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64"/>
        </w:trPr>
        <w:tc>
          <w:tcPr>
            <w:tcW w:w="56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Adjusted Earnings per share(4)</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0.61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w:t>
            </w:r>
          </w:p>
        </w:tc>
      </w:tr>
      <w:tr>
        <w:trPr>
          <w:trHeight w:val="224"/>
        </w:trPr>
        <w:tc>
          <w:tcPr>
            <w:tcW w:w="5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Weighted-average shares outstanding — diluted</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102,029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107,695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102,672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107,465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8890</wp:posOffset>
            </wp:positionV>
            <wp:extent cx="3687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w:t>
      </w:r>
    </w:p>
    <w:p>
      <w:pPr>
        <w:ind w:left="660" w:right="60" w:hanging="328"/>
        <w:spacing w:after="0" w:line="25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Generally, EBITDA Adjustments and amortization of intangible assets have been tax effected using a federal rate of 35.0% and the applicable effective state rate, which was 3.6% and 3.3%, net of the federal tax benefit, for the periods ended June 30, 2014 and 2013, respectively, except as noted below.</w:t>
      </w:r>
    </w:p>
    <w:p>
      <w:pPr>
        <w:spacing w:after="0" w:line="93"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Represents the after-tax expense of non-qualified stock options for which we receive a tax deduction upon exercise, restricted stock awards and restricted stock units for which we receive a tax deduction upon vesting, and the full expense impact of incentive stock options granted to employees that qualify for preferential tax treatment and conversely for which we do not receive a tax deduction. Share-based compensation expense for vesting of incentive stock options was $0.7 million and $1.1 million for the three months ended June 30, 2014 and 2013, respectively, and $1.7 million and $2.3 million for the six months ended June 30, 2014 and 2013, respectively.</w:t>
      </w:r>
    </w:p>
    <w:p>
      <w:pPr>
        <w:spacing w:after="0" w:line="84" w:lineRule="exact"/>
        <w:rPr>
          <w:rFonts w:ascii="Arial" w:cs="Arial" w:eastAsia="Arial" w:hAnsi="Arial"/>
          <w:sz w:val="17"/>
          <w:szCs w:val="17"/>
          <w:color w:val="auto"/>
        </w:rPr>
      </w:pPr>
    </w:p>
    <w:p>
      <w:pPr>
        <w:ind w:left="660" w:right="120" w:hanging="328"/>
        <w:spacing w:after="0" w:line="25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after-tax expense of acquisition and related costs for which we receive a tax deduction. In addition, the results for the six months ended June 30, 2013 include a reduction of expense of $3.8 million relating to the fair value of contingent consideration for the stock acquisition of Concord Capital Partners, Inc., that is not deductible for tax purposes.</w:t>
      </w:r>
    </w:p>
    <w:p>
      <w:pPr>
        <w:spacing w:after="0" w:line="39"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Adjusted Earnings, a non-GAAP measure, divided by weighted-average number of shares outstanding on a fully diluted basis. Set forth below is a reconciliation of earnings per share on a fully diluted basis, as calculated in accordance with GAAP, to Adjusted Earnings per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960" w:type="dxa"/>
            <w:vAlign w:val="bottom"/>
            <w:gridSpan w:val="6"/>
          </w:tcPr>
          <w:p>
            <w:pPr>
              <w:ind w:left="2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5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57"/>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Earnings per share — diluted</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0.93</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After-Tax:</w:t>
            </w: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EBITDA Adjustments per share</w:t>
            </w:r>
          </w:p>
        </w:tc>
        <w:tc>
          <w:tcPr>
            <w:tcW w:w="9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0.21</w:t>
            </w:r>
          </w:p>
        </w:tc>
      </w:tr>
      <w:tr>
        <w:trPr>
          <w:trHeight w:val="26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Amortization of intangible assets per share</w:t>
            </w:r>
          </w:p>
        </w:tc>
        <w:tc>
          <w:tcPr>
            <w:tcW w:w="9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0.11</w:t>
            </w:r>
          </w:p>
        </w:tc>
      </w:tr>
      <w:tr>
        <w:trPr>
          <w:trHeight w:val="24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Earnings per share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Value Commitment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Program</w:t>
      </w:r>
    </w:p>
    <w:p>
      <w:pPr>
        <w:spacing w:after="0" w:line="230" w:lineRule="exact"/>
        <w:rPr>
          <w:sz w:val="20"/>
          <w:szCs w:val="20"/>
          <w:color w:val="auto"/>
        </w:rPr>
      </w:pPr>
    </w:p>
    <w:p>
      <w:pPr>
        <w:jc w:val="both"/>
        <w:ind w:right="160" w:firstLine="486"/>
        <w:spacing w:after="0" w:line="264" w:lineRule="auto"/>
        <w:rPr>
          <w:sz w:val="20"/>
          <w:szCs w:val="20"/>
          <w:color w:val="auto"/>
        </w:rPr>
      </w:pPr>
      <w:r>
        <w:rPr>
          <w:rFonts w:ascii="Arial" w:cs="Arial" w:eastAsia="Arial" w:hAnsi="Arial"/>
          <w:sz w:val="18"/>
          <w:szCs w:val="18"/>
          <w:color w:val="auto"/>
        </w:rPr>
        <w:t>In February 2013, we committed to an expansion of our Service Value Commitment (the “Program”), an ongoing effort to position us for sustainable long-term growth by improving the service experience of our advisors and delivering efficiencies in our operating model. We have assessed our information technology delivery,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82" w:right="239" w:bottom="1440" w:gutter="0" w:footer="0" w:header="0"/>
        </w:sectPr>
      </w:pPr>
    </w:p>
    <w:bookmarkStart w:id="32" w:name="page33"/>
    <w:bookmarkEnd w:id="32"/>
    <w:p>
      <w:pPr>
        <w:ind w:right="220"/>
        <w:spacing w:after="0" w:line="262" w:lineRule="auto"/>
        <w:rPr>
          <w:sz w:val="20"/>
          <w:szCs w:val="20"/>
          <w:color w:val="auto"/>
        </w:rPr>
      </w:pPr>
      <w:r>
        <w:rPr>
          <w:rFonts w:ascii="Arial" w:cs="Arial" w:eastAsia="Arial" w:hAnsi="Arial"/>
          <w:sz w:val="18"/>
          <w:szCs w:val="18"/>
          <w:color w:val="auto"/>
        </w:rPr>
        <w:t>governance, organization, and strategy and committed to undertake a course of action to reposition our labor force and invest in technology, human capital, marketing, and other key areas to enable future growth.</w:t>
      </w:r>
    </w:p>
    <w:p>
      <w:pPr>
        <w:spacing w:after="0" w:line="196"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Program is expected to be completed in 2015, and we estimate total charges of $65.0 million for technology transformation costs, outsourcing and other related costs, employee severance obligations and other related costs, and non-cash charges for impairment of certain fixed assets related to internally developed software.</w:t>
      </w:r>
    </w:p>
    <w:p>
      <w:pPr>
        <w:spacing w:after="0" w:line="202"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 xml:space="preserve">We expect to incur approximately $ 30.3 million of expense during 2014, of which we had incurred $15.7 million as of June 30, 2014, consisting of: $4.4 million for outsourcing and other services such as parallel processing provided by outside consultants; $9.8 million for the implementation of foundational changes to our technology platform and outsourcing of our disaster recovery facilities; and $1.6 million for employee severance and termination benefits related to positions that were outsourced in the first half of 2014 within accounting, data reconciliation, operations, and insurance processing. We remain focused on the next wave of outsourced functions in the remainder of 2014, including additional opportunities in compliance and back office processing activities. By 2015, we expect annual pre-tax savings to approach $30.0 million. See Note 3. </w:t>
      </w:r>
      <w:r>
        <w:rPr>
          <w:rFonts w:ascii="Arial" w:cs="Arial" w:eastAsia="Arial" w:hAnsi="Arial"/>
          <w:sz w:val="18"/>
          <w:szCs w:val="18"/>
          <w:i w:val="1"/>
          <w:iCs w:val="1"/>
          <w:color w:val="auto"/>
        </w:rPr>
        <w:t>Restructuring</w:t>
      </w:r>
      <w:r>
        <w:rPr>
          <w:rFonts w:ascii="Arial" w:cs="Arial" w:eastAsia="Arial" w:hAnsi="Arial"/>
          <w:sz w:val="18"/>
          <w:szCs w:val="18"/>
          <w:color w:val="auto"/>
        </w:rPr>
        <w:t>, within the notes to unaudited condensed consolidated financial statements for additional information regarding the Program.</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43"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During the second quarter of 2013, and in conjunction with the Program, we entered into a long-term contractual obligation (the “Agreement”) with a third-party provider to enhance the quality, speed, and cost of our processes by outsourcing certain functions. The Agreement enables the third-party provider to use the services of its affiliates in India to provide services to us. The Agreement provides that we settle the cost of our contractual obligation to the third-party provider each month in U.S. dollars. However, the Agreement provides that on each annual anniversary date, the price for services (as denominated in U.S. dollars) is to be adjusted for the then-current exchange rate between the U.S. dollar and the Indian rupee. Once an annual adjustment is calculated, there are no further modifications to the amounts paid by us to the third-party provider for fluctuations in the exchange rate until the reset on the next anniversary date. The third-party provider bore the risk of currency movement from the date of signing the Agreement until the reset on the first anniversary of its signing, and bears the risk during each period until the next annual reset. We bear the risk of currency movement at each annual reset date following the first anniversary.</w:t>
      </w:r>
    </w:p>
    <w:p>
      <w:pPr>
        <w:spacing w:after="0" w:line="196"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Upon completion of the Program, we estimate annual costs for our long-term contractual obligation with the third-party provider to be approximately $10.0 million to $14.0 million annually. We use derivative financial instruments consisting solely of non-deliverable foreign currency contracts, all of which have been designated as cash flow hedges. These instruments are operating effectively as intended and our use of them has mitigated foreign currency risk arising from a substantial portion of our contract obligation with the third-party provider arising from annual anniversary adjustments. We will continue to assess the effectiveness of our use of cash flow hedges to mitigate risk from foreign currency contracts.</w:t>
      </w:r>
    </w:p>
    <w:p>
      <w:pPr>
        <w:spacing w:after="0" w:line="191" w:lineRule="exact"/>
        <w:rPr>
          <w:sz w:val="20"/>
          <w:szCs w:val="20"/>
          <w:color w:val="auto"/>
        </w:rPr>
      </w:pPr>
    </w:p>
    <w:p>
      <w:pPr>
        <w:ind w:right="200" w:firstLine="486"/>
        <w:spacing w:after="0" w:line="282"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within the notes to unaudited condensed consolidated financial statements for additional information regarding our derivative financial instruments.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247" w:lineRule="exact"/>
        <w:rPr>
          <w:sz w:val="20"/>
          <w:szCs w:val="20"/>
          <w:color w:val="auto"/>
        </w:rPr>
      </w:pPr>
    </w:p>
    <w:p>
      <w:pPr>
        <w:ind w:right="420" w:firstLine="486"/>
        <w:spacing w:after="0" w:line="254" w:lineRule="auto"/>
        <w:rPr>
          <w:sz w:val="20"/>
          <w:szCs w:val="20"/>
          <w:color w:val="auto"/>
        </w:rPr>
      </w:pPr>
      <w:r>
        <w:rPr>
          <w:rFonts w:ascii="Arial" w:cs="Arial" w:eastAsia="Arial" w:hAnsi="Arial"/>
          <w:sz w:val="18"/>
          <w:szCs w:val="18"/>
          <w:color w:val="auto"/>
        </w:rPr>
        <w:t>From time to time we undertake acquisitions or divestitures outside the ordinary course of business based on opportunities in the competitive landscape. These activities are part of our overall growth strategy, but can distort comparability when reviewing revenue and expense trends for periods presented. There have been no material acquisitions, integrations, or divestitures during the six months ended June 30, 2014. See our 2013 Annual Report on Form 10-K for 2013 activity.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business is directly and indirectly sensitive to several macro-economic factors, primarily in the United States. One of these factors is the current and expected future level of short-term interest rates, particularly overnight rates. In the second quarter of 2014, the Federal Reserve reaffirmed its view that a highly accommodative stance on monetary policy remains appropriate. In determining how long to maintain the current 0.0% to 0.25% target range for the federal funds rate, the Federal Reserve stated that it will assess both realized and expected progress toward its objectives of maximum employment and 2.0% inflation. This assessment will take into account a wide range of information, including measures of labor market conditions, indicators of inflation pressures and inflation expectations, and readings on financial developments. The Federal Reserve continues to anticipate, based on its assessment of these factors, that it likely will be appropriate to maintain the current target range for the</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90" w:right="299" w:bottom="1440" w:gutter="0" w:footer="0" w:header="0"/>
        </w:sectPr>
      </w:pPr>
    </w:p>
    <w:bookmarkStart w:id="33" w:name="page34"/>
    <w:bookmarkEnd w:id="33"/>
    <w:p>
      <w:pPr>
        <w:ind w:right="440"/>
        <w:spacing w:after="0" w:line="262" w:lineRule="auto"/>
        <w:rPr>
          <w:sz w:val="20"/>
          <w:szCs w:val="20"/>
          <w:color w:val="auto"/>
        </w:rPr>
      </w:pPr>
      <w:r>
        <w:rPr>
          <w:rFonts w:ascii="Arial" w:cs="Arial" w:eastAsia="Arial" w:hAnsi="Arial"/>
          <w:sz w:val="18"/>
          <w:szCs w:val="18"/>
          <w:color w:val="auto"/>
        </w:rPr>
        <w:t>federal funds effective rate for a considerable time after the asset purchase program ends, especially if projected inflation continues to run below the Federal Reserve's 2.0% longer-run goal, and provided that longer-term inflation expectations remain well anchored.</w:t>
      </w:r>
    </w:p>
    <w:p>
      <w:pPr>
        <w:spacing w:after="0" w:line="88"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As a result of the accommodative monetary policy, interest rates, including the rate on overnight funds, remain low on a historical basis. The average federal funds effective rate was 9 basis points in the second quarter of 2014, a decrease from the average of 12 basis points in the second quarter of 2013. The low interest rate environment continued to pressure our revenues from our cash sweep programs and continued to diminish investor demand for fixed income securities and fixed annuities.</w:t>
      </w:r>
    </w:p>
    <w:p>
      <w:pPr>
        <w:spacing w:after="0" w:line="2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Another macro-economic factor affecting our business is the valuation of equity securities across the various markets in the United States. The S&amp;P 500 index closed the quarter at 1,960, up 4.7% from its close on March 31, 2014, finished up for the sixth consecutive quarter, and posted its best second-quarter gain since 2009. Investor confidence grew as the economic background continued to improve despite the reduction in the Federal Reserve’s bond-buying program. This helped to lift stock valuations and prompted individual investors to put money into the market at the strongest pace in years. As a result, our advisors maintained strong productivity in the first half 2014. While the equity markets improved, lingering economic worries remain about Federal Reserve monetary policy, U.S. and global growth rates, geopolitical concerns, and policy uncertainty in Washington, D.C.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382"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following discussion presents an analysis of our results of operations for the three and six months ended June 30, 2014 and 2013. Where appropriate, we have identified specific events and changes that affect comparability or identification or monitoring of trends, and where possible and practical, have quantified the impact of such items.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 June 30,</w:t>
            </w:r>
          </w:p>
        </w:tc>
        <w:tc>
          <w:tcPr>
            <w:tcW w:w="1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Six Months Ended June 30,</w:t>
            </w:r>
          </w:p>
        </w:tc>
        <w:tc>
          <w:tcPr>
            <w:tcW w:w="1360" w:type="dxa"/>
            <w:vAlign w:val="bottom"/>
          </w:tcPr>
          <w:p>
            <w:pPr>
              <w:spacing w:after="0"/>
              <w:rPr>
                <w:sz w:val="19"/>
                <w:szCs w:val="19"/>
                <w:color w:val="auto"/>
              </w:rPr>
            </w:pPr>
          </w:p>
        </w:tc>
      </w:tr>
      <w:tr>
        <w:trPr>
          <w:trHeight w:val="264"/>
        </w:trPr>
        <w:tc>
          <w:tcPr>
            <w:tcW w:w="30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920" w:type="dxa"/>
            <w:vAlign w:val="bottom"/>
            <w:gridSpan w:val="4"/>
          </w:tcPr>
          <w:p>
            <w:pPr>
              <w:ind w:left="86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80"/>
        </w:trPr>
        <w:tc>
          <w:tcPr>
            <w:tcW w:w="3000" w:type="dxa"/>
            <w:vAlign w:val="bottom"/>
          </w:tcPr>
          <w:p>
            <w:pPr>
              <w:ind w:left="8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Commission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535,177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508,399</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5.3 %</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1,069,751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993,971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r>
      <w:tr>
        <w:trPr>
          <w:trHeight w:val="260"/>
        </w:trPr>
        <w:tc>
          <w:tcPr>
            <w:tcW w:w="3000" w:type="dxa"/>
            <w:vAlign w:val="bottom"/>
          </w:tcPr>
          <w:p>
            <w:pPr>
              <w:ind w:left="80"/>
              <w:spacing w:after="0"/>
              <w:rPr>
                <w:sz w:val="20"/>
                <w:szCs w:val="20"/>
                <w:color w:val="auto"/>
              </w:rPr>
            </w:pPr>
            <w:r>
              <w:rPr>
                <w:rFonts w:ascii="Arial" w:cs="Arial" w:eastAsia="Arial" w:hAnsi="Arial"/>
                <w:sz w:val="16"/>
                <w:szCs w:val="16"/>
                <w:color w:val="auto"/>
              </w:rPr>
              <w:t>Advisory</w:t>
            </w: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330,394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298,094</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10.8 %</w:t>
            </w:r>
          </w:p>
        </w:tc>
        <w:tc>
          <w:tcPr>
            <w:tcW w:w="2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657,647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579,320</w:t>
            </w:r>
          </w:p>
        </w:tc>
        <w:tc>
          <w:tcPr>
            <w:tcW w:w="1360" w:type="dxa"/>
            <w:vAlign w:val="bottom"/>
          </w:tcPr>
          <w:p>
            <w:pPr>
              <w:jc w:val="right"/>
              <w:spacing w:after="0"/>
              <w:rPr>
                <w:sz w:val="20"/>
                <w:szCs w:val="20"/>
                <w:color w:val="auto"/>
              </w:rPr>
            </w:pPr>
            <w:r>
              <w:rPr>
                <w:rFonts w:ascii="Arial" w:cs="Arial" w:eastAsia="Arial" w:hAnsi="Arial"/>
                <w:sz w:val="16"/>
                <w:szCs w:val="16"/>
                <w:color w:val="auto"/>
              </w:rPr>
              <w:t>13.5 %</w:t>
            </w:r>
          </w:p>
        </w:tc>
      </w:tr>
      <w:tr>
        <w:trPr>
          <w:trHeight w:val="28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Asset-based</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118,537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107,505</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10.3 %</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233,211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211,271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10.4 %</w:t>
            </w:r>
          </w:p>
        </w:tc>
      </w:tr>
      <w:tr>
        <w:trPr>
          <w:trHeight w:val="260"/>
        </w:trPr>
        <w:tc>
          <w:tcPr>
            <w:tcW w:w="3000" w:type="dxa"/>
            <w:vAlign w:val="bottom"/>
          </w:tcPr>
          <w:p>
            <w:pPr>
              <w:ind w:left="80"/>
              <w:spacing w:after="0"/>
              <w:rPr>
                <w:sz w:val="20"/>
                <w:szCs w:val="20"/>
                <w:color w:val="auto"/>
              </w:rPr>
            </w:pPr>
            <w:r>
              <w:rPr>
                <w:rFonts w:ascii="Arial" w:cs="Arial" w:eastAsia="Arial" w:hAnsi="Arial"/>
                <w:sz w:val="16"/>
                <w:szCs w:val="16"/>
                <w:color w:val="auto"/>
              </w:rPr>
              <w:t>Transaction and fee</w:t>
            </w: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91,625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88,631</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3.4 %</w:t>
            </w:r>
          </w:p>
        </w:tc>
        <w:tc>
          <w:tcPr>
            <w:tcW w:w="2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181,610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178,009</w:t>
            </w:r>
          </w:p>
        </w:tc>
        <w:tc>
          <w:tcPr>
            <w:tcW w:w="136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28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16,996</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16,291</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4.3 %</w:t>
            </w: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37,941</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31,145</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21.8 %</w:t>
            </w:r>
          </w:p>
        </w:tc>
      </w:tr>
      <w:tr>
        <w:trPr>
          <w:trHeight w:val="244"/>
        </w:trPr>
        <w:tc>
          <w:tcPr>
            <w:tcW w:w="3000" w:type="dxa"/>
            <w:vAlign w:val="bottom"/>
            <w:tcBorders>
              <w:bottom w:val="single" w:sz="8" w:color="CCEEFF"/>
            </w:tcBorders>
          </w:tcPr>
          <w:p>
            <w:pPr>
              <w:ind w:left="160"/>
              <w:spacing w:after="0"/>
              <w:rPr>
                <w:sz w:val="20"/>
                <w:szCs w:val="20"/>
                <w:color w:val="auto"/>
              </w:rPr>
            </w:pPr>
            <w:r>
              <w:rPr>
                <w:rFonts w:ascii="Arial" w:cs="Arial" w:eastAsia="Arial" w:hAnsi="Arial"/>
                <w:sz w:val="16"/>
                <w:szCs w:val="16"/>
                <w:b w:val="1"/>
                <w:bCs w:val="1"/>
                <w:color w:val="auto"/>
              </w:rPr>
              <w:t>Net revenues</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1,092,729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1,018,920</w:t>
            </w:r>
          </w:p>
        </w:tc>
        <w:tc>
          <w:tcPr>
            <w:tcW w:w="14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7.2 %</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2,180,160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1,993,716</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9.4 %</w:t>
            </w:r>
          </w:p>
        </w:tc>
      </w:tr>
      <w:tr>
        <w:trPr>
          <w:trHeight w:val="27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Expenses</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3000" w:type="dxa"/>
            <w:vAlign w:val="bottom"/>
          </w:tcPr>
          <w:p>
            <w:pPr>
              <w:ind w:left="80"/>
              <w:spacing w:after="0"/>
              <w:rPr>
                <w:sz w:val="20"/>
                <w:szCs w:val="20"/>
                <w:color w:val="auto"/>
              </w:rPr>
            </w:pPr>
            <w:r>
              <w:rPr>
                <w:rFonts w:ascii="Arial" w:cs="Arial" w:eastAsia="Arial" w:hAnsi="Arial"/>
                <w:sz w:val="16"/>
                <w:szCs w:val="16"/>
                <w:color w:val="auto"/>
              </w:rPr>
              <w:t>Production</w:t>
            </w: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763,991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713,115</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7.1 %</w:t>
            </w:r>
          </w:p>
        </w:tc>
        <w:tc>
          <w:tcPr>
            <w:tcW w:w="2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1,520,709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1,382,838</w:t>
            </w:r>
          </w:p>
        </w:tc>
        <w:tc>
          <w:tcPr>
            <w:tcW w:w="136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28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Compensation and benefits</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104,821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98,227</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6.7 %</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211,169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197,007</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7.2 %</w:t>
            </w:r>
          </w:p>
        </w:tc>
      </w:tr>
      <w:tr>
        <w:trPr>
          <w:trHeight w:val="260"/>
        </w:trPr>
        <w:tc>
          <w:tcPr>
            <w:tcW w:w="3000" w:type="dxa"/>
            <w:vAlign w:val="bottom"/>
          </w:tcPr>
          <w:p>
            <w:pPr>
              <w:ind w:left="8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106,799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84,470</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26.4 %</w:t>
            </w:r>
          </w:p>
        </w:tc>
        <w:tc>
          <w:tcPr>
            <w:tcW w:w="2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201,176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162,241</w:t>
            </w:r>
          </w:p>
        </w:tc>
        <w:tc>
          <w:tcPr>
            <w:tcW w:w="1360" w:type="dxa"/>
            <w:vAlign w:val="bottom"/>
          </w:tcPr>
          <w:p>
            <w:pPr>
              <w:jc w:val="right"/>
              <w:spacing w:after="0"/>
              <w:rPr>
                <w:sz w:val="20"/>
                <w:szCs w:val="20"/>
                <w:color w:val="auto"/>
              </w:rPr>
            </w:pPr>
            <w:r>
              <w:rPr>
                <w:rFonts w:ascii="Arial" w:cs="Arial" w:eastAsia="Arial" w:hAnsi="Arial"/>
                <w:sz w:val="16"/>
                <w:szCs w:val="16"/>
                <w:color w:val="auto"/>
              </w:rPr>
              <w:t>24.0 %</w:t>
            </w:r>
          </w:p>
        </w:tc>
      </w:tr>
      <w:tr>
        <w:trPr>
          <w:trHeight w:val="28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23,818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20,245</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17.6 %</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46,099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40,019</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15.2 %</w:t>
            </w:r>
          </w:p>
        </w:tc>
      </w:tr>
      <w:tr>
        <w:trPr>
          <w:trHeight w:val="264"/>
        </w:trPr>
        <w:tc>
          <w:tcPr>
            <w:tcW w:w="30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Restructuring charges</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9,225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7,332</w:t>
            </w:r>
          </w:p>
        </w:tc>
        <w:tc>
          <w:tcPr>
            <w:tcW w:w="14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25.8 %</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16,545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13,369</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23.8 %</w:t>
            </w:r>
          </w:p>
        </w:tc>
      </w:tr>
      <w:tr>
        <w:trPr>
          <w:trHeight w:val="250"/>
        </w:trPr>
        <w:tc>
          <w:tcPr>
            <w:tcW w:w="30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Total operating expenses</w:t>
            </w: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1,008,654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923,389</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9.2 %</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1,995,698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1,795,474</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11.2 %</w:t>
            </w:r>
          </w:p>
        </w:tc>
      </w:tr>
      <w:tr>
        <w:trPr>
          <w:trHeight w:val="247"/>
        </w:trPr>
        <w:tc>
          <w:tcPr>
            <w:tcW w:w="3000" w:type="dxa"/>
            <w:vAlign w:val="bottom"/>
          </w:tcPr>
          <w:p>
            <w:pPr>
              <w:ind w:left="80"/>
              <w:spacing w:after="0"/>
              <w:rPr>
                <w:sz w:val="20"/>
                <w:szCs w:val="20"/>
                <w:color w:val="auto"/>
              </w:rPr>
            </w:pPr>
            <w:r>
              <w:rPr>
                <w:rFonts w:ascii="Arial" w:cs="Arial" w:eastAsia="Arial" w:hAnsi="Arial"/>
                <w:sz w:val="16"/>
                <w:szCs w:val="16"/>
                <w:color w:val="auto"/>
              </w:rPr>
              <w:t>Non-operating interest expense</w:t>
            </w:r>
          </w:p>
        </w:tc>
        <w:tc>
          <w:tcPr>
            <w:tcW w:w="18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12,914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12,667</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1.9 %</w:t>
            </w:r>
          </w:p>
        </w:tc>
        <w:tc>
          <w:tcPr>
            <w:tcW w:w="2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25,754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24,827</w:t>
            </w:r>
          </w:p>
        </w:tc>
        <w:tc>
          <w:tcPr>
            <w:tcW w:w="1360" w:type="dxa"/>
            <w:vAlign w:val="bottom"/>
          </w:tcPr>
          <w:p>
            <w:pPr>
              <w:jc w:val="right"/>
              <w:spacing w:after="0"/>
              <w:rPr>
                <w:sz w:val="20"/>
                <w:szCs w:val="20"/>
                <w:color w:val="auto"/>
              </w:rPr>
            </w:pPr>
            <w:r>
              <w:rPr>
                <w:rFonts w:ascii="Arial" w:cs="Arial" w:eastAsia="Arial" w:hAnsi="Arial"/>
                <w:sz w:val="16"/>
                <w:szCs w:val="16"/>
                <w:color w:val="auto"/>
              </w:rPr>
              <w:t>3.7 %</w:t>
            </w:r>
          </w:p>
        </w:tc>
      </w:tr>
      <w:tr>
        <w:trPr>
          <w:trHeight w:val="28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Loss on extinguishment of debt</w:t>
            </w: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7,962</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7,962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44"/>
        </w:trPr>
        <w:tc>
          <w:tcPr>
            <w:tcW w:w="3000" w:type="dxa"/>
            <w:vAlign w:val="bottom"/>
            <w:tcBorders>
              <w:bottom w:val="single" w:sz="8" w:color="CCEEFF"/>
            </w:tcBorders>
          </w:tcPr>
          <w:p>
            <w:pPr>
              <w:ind w:left="160"/>
              <w:spacing w:after="0"/>
              <w:rPr>
                <w:sz w:val="20"/>
                <w:szCs w:val="20"/>
                <w:color w:val="auto"/>
              </w:rPr>
            </w:pPr>
            <w:r>
              <w:rPr>
                <w:rFonts w:ascii="Arial" w:cs="Arial" w:eastAsia="Arial" w:hAnsi="Arial"/>
                <w:sz w:val="16"/>
                <w:szCs w:val="16"/>
                <w:b w:val="1"/>
                <w:bCs w:val="1"/>
                <w:color w:val="auto"/>
              </w:rPr>
              <w:t>Total expenses</w:t>
            </w: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1,021,568</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944,018</w:t>
            </w:r>
          </w:p>
        </w:tc>
        <w:tc>
          <w:tcPr>
            <w:tcW w:w="14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8.2 %</w:t>
            </w: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2,021,452</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1,828,263</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10.6 %</w:t>
            </w:r>
          </w:p>
        </w:tc>
      </w:tr>
      <w:tr>
        <w:trPr>
          <w:trHeight w:val="204"/>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provision for income</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4"/>
        </w:trPr>
        <w:tc>
          <w:tcPr>
            <w:tcW w:w="3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71,161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74,902</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158,708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165,453</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64"/>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28,070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29,811</w:t>
            </w:r>
          </w:p>
        </w:tc>
        <w:tc>
          <w:tcPr>
            <w:tcW w:w="14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(5.8)%</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62,482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65,645</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w:t>
            </w:r>
          </w:p>
        </w:tc>
      </w:tr>
      <w:tr>
        <w:trPr>
          <w:trHeight w:val="267"/>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43,091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45,091</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96,226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99,808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
        </w:trPr>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2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Revenues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189" w:lineRule="exact"/>
        <w:rPr>
          <w:sz w:val="20"/>
          <w:szCs w:val="20"/>
          <w:color w:val="auto"/>
        </w:rPr>
      </w:pPr>
    </w:p>
    <w:p>
      <w:pPr>
        <w:ind w:right="860" w:firstLine="486"/>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for the three months ended June 30, 2014 and 2013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Variable annuities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206,708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206,081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Mutual funds</w:t>
            </w:r>
          </w:p>
        </w:tc>
        <w:tc>
          <w:tcPr>
            <w:tcW w:w="2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154,207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146,395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7,812</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5.3 %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Alternative investments</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50,692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46,397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4,295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9.3 %</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Fixed annuities</w:t>
            </w:r>
          </w:p>
        </w:tc>
        <w:tc>
          <w:tcPr>
            <w:tcW w:w="2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42,831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23,178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19,653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84.8 %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Equities</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26,511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Fixed income</w:t>
            </w:r>
          </w:p>
        </w:tc>
        <w:tc>
          <w:tcPr>
            <w:tcW w:w="2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22,443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22,314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129</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0.6 %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Insurance</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17,910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Group annuities</w:t>
            </w:r>
          </w:p>
        </w:tc>
        <w:tc>
          <w:tcPr>
            <w:tcW w:w="2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13,611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13,073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538</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4.1 %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264</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34"/>
        </w:trPr>
        <w:tc>
          <w:tcPr>
            <w:tcW w:w="5540" w:type="dxa"/>
            <w:vAlign w:val="bottom"/>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535,177</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508,399</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26,778</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5.3 %</w:t>
            </w: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commission revenue, by sales-based and trailing commission revenue,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2014 and 2013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Sales-based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303,232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304,654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Trailing</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231,945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203,745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28,200</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13.8 %</w:t>
            </w:r>
          </w:p>
        </w:tc>
      </w:tr>
      <w:tr>
        <w:trPr>
          <w:trHeight w:val="240"/>
        </w:trPr>
        <w:tc>
          <w:tcPr>
            <w:tcW w:w="5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535,177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508,399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26,778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5.3 %</w:t>
            </w: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140" w:firstLine="486"/>
        <w:spacing w:after="0" w:line="254" w:lineRule="auto"/>
        <w:rPr>
          <w:sz w:val="20"/>
          <w:szCs w:val="20"/>
          <w:color w:val="auto"/>
        </w:rPr>
      </w:pPr>
      <w:r>
        <w:rPr>
          <w:rFonts w:ascii="Arial" w:cs="Arial" w:eastAsia="Arial" w:hAnsi="Arial"/>
          <w:sz w:val="18"/>
          <w:szCs w:val="18"/>
          <w:color w:val="auto"/>
        </w:rPr>
        <w:t>Commission revenue increased by $26.8 million, or 5.3%, for the three months ended June 30, 2014 compared with the same period in 2013, due primarily to an increase in sales-based activity for fixed annuities and alternative investments, and increases in trailing revenues for mutual funds and variable and group annuities. Such growth reflects improved investor engagement and strong market conditions, resulting in the increase of the underlying assets.</w:t>
      </w:r>
    </w:p>
    <w:p>
      <w:pPr>
        <w:spacing w:after="0" w:line="312" w:lineRule="exact"/>
        <w:rPr>
          <w:sz w:val="20"/>
          <w:szCs w:val="20"/>
          <w:color w:val="auto"/>
        </w:rPr>
      </w:pPr>
    </w:p>
    <w:p>
      <w:pPr>
        <w:ind w:right="20" w:firstLine="567"/>
        <w:spacing w:after="0" w:line="262" w:lineRule="auto"/>
        <w:rPr>
          <w:sz w:val="20"/>
          <w:szCs w:val="20"/>
          <w:color w:val="auto"/>
        </w:rPr>
      </w:pPr>
      <w:r>
        <w:rPr>
          <w:rFonts w:ascii="Arial" w:cs="Arial" w:eastAsia="Arial" w:hAnsi="Arial"/>
          <w:sz w:val="18"/>
          <w:szCs w:val="18"/>
          <w:color w:val="auto"/>
        </w:rPr>
        <w:t>Fixed annuity sales-based commissions have risen, despite historically low interest rates, as investors have sought income streams with minimal risk to principal. Commissions from fixed annuities also include commissions earned on indexed annuities.</w:t>
      </w:r>
    </w:p>
    <w:p>
      <w:pPr>
        <w:spacing w:after="0" w:line="304" w:lineRule="exact"/>
        <w:rPr>
          <w:sz w:val="20"/>
          <w:szCs w:val="20"/>
          <w:color w:val="auto"/>
        </w:rPr>
      </w:pPr>
    </w:p>
    <w:p>
      <w:pPr>
        <w:ind w:right="300" w:firstLine="567"/>
        <w:spacing w:after="0" w:line="256" w:lineRule="auto"/>
        <w:rPr>
          <w:sz w:val="20"/>
          <w:szCs w:val="20"/>
          <w:color w:val="auto"/>
        </w:rPr>
      </w:pPr>
      <w:r>
        <w:rPr>
          <w:rFonts w:ascii="Arial" w:cs="Arial" w:eastAsia="Arial" w:hAnsi="Arial"/>
          <w:sz w:val="18"/>
          <w:szCs w:val="18"/>
          <w:color w:val="auto"/>
        </w:rPr>
        <w:t>The increase in commission revenues associated with alternative investments during the periods presented reflects investors' preferences for diversification, as income-producing alternative strategies have continued to grow in popularity and investors have sought to diversify their risk exposure away from traditional fixed income and equity assets.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22" w:right="239" w:bottom="1440" w:gutter="0" w:footer="0" w:header="0"/>
        </w:sectPr>
      </w:pPr>
    </w:p>
    <w:bookmarkStart w:id="36" w:name="page37"/>
    <w:bookmarkEnd w:id="36"/>
    <w:p>
      <w:pPr>
        <w:ind w:right="860" w:firstLine="486"/>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for the six months ended June 30, 2014 and 2013 (dollars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 June 30,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Variable annuities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404,904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408,523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Mutual funds</w:t>
            </w:r>
          </w:p>
        </w:tc>
        <w:tc>
          <w:tcPr>
            <w:tcW w:w="3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302,962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287,298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15,664</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5.5 %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Alternative investments</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106,374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86,808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19,566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22.5 %</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Fixed annuities</w:t>
            </w:r>
          </w:p>
        </w:tc>
        <w:tc>
          <w:tcPr>
            <w:tcW w:w="3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89,557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41,772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47,785</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114.4 %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Equities</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55,621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56,460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Fixed income</w:t>
            </w:r>
          </w:p>
        </w:tc>
        <w:tc>
          <w:tcPr>
            <w:tcW w:w="3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44,427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44,462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Insurance</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37,322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41,868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Group annuities</w:t>
            </w:r>
          </w:p>
        </w:tc>
        <w:tc>
          <w:tcPr>
            <w:tcW w:w="3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28,221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26,210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2,011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7.7 %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570</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34"/>
        </w:trPr>
        <w:tc>
          <w:tcPr>
            <w:tcW w:w="5540" w:type="dxa"/>
            <w:vAlign w:val="bottom"/>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1,069,751</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993,971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75,780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7.6 %</w:t>
            </w: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commission revenue, by sales-based and trailing commission revenue, for the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2014 and 2013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5"/>
          </w:tcPr>
          <w:p>
            <w:pPr>
              <w:ind w:left="200"/>
              <w:spacing w:after="0"/>
              <w:rPr>
                <w:sz w:val="20"/>
                <w:szCs w:val="20"/>
                <w:color w:val="auto"/>
              </w:rPr>
            </w:pPr>
            <w:r>
              <w:rPr>
                <w:rFonts w:ascii="Arial" w:cs="Arial" w:eastAsia="Arial" w:hAnsi="Arial"/>
                <w:sz w:val="16"/>
                <w:szCs w:val="16"/>
                <w:b w:val="1"/>
                <w:bCs w:val="1"/>
                <w:color w:val="auto"/>
              </w:rPr>
              <w:t>Six Months Ended June 30,</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Sales-based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615,252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597,516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17,736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Trailing</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454,499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396,455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58,044</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14.6%</w:t>
            </w:r>
          </w:p>
        </w:tc>
      </w:tr>
      <w:tr>
        <w:trPr>
          <w:trHeight w:val="240"/>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1,069,751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993,971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75,780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Commission revenue increased by $ 75.8 million, or 7.6%, for the six months ended June 30, 2014 compared with the same period in 2013. We attribute this growth to the same factors that impacted our quarterly performance for most product categories, which are described above.</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Advisory Revenues</w:t>
      </w:r>
    </w:p>
    <w:p>
      <w:pPr>
        <w:spacing w:after="0" w:line="189"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The following table summarizes the activity within our advisory assets under custody for the three and six months ended June 30, 2014 and 2013 (in billions):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960" w:type="dxa"/>
            <w:vAlign w:val="bottom"/>
            <w:gridSpan w:val="6"/>
          </w:tcPr>
          <w:p>
            <w:pPr>
              <w:ind w:left="2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5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 Beginning of period</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158.0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122.1</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Net new advisory assets</w:t>
            </w:r>
          </w:p>
        </w:tc>
        <w:tc>
          <w:tcPr>
            <w:tcW w:w="8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6.7</w:t>
            </w:r>
          </w:p>
        </w:tc>
      </w:tr>
      <w:tr>
        <w:trPr>
          <w:trHeight w:val="273"/>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 impact and other</w:t>
            </w:r>
          </w:p>
        </w:tc>
        <w:tc>
          <w:tcPr>
            <w:tcW w:w="8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240"/>
        </w:trPr>
        <w:tc>
          <w:tcPr>
            <w:tcW w:w="5620" w:type="dxa"/>
            <w:vAlign w:val="bottom"/>
          </w:tcPr>
          <w:p>
            <w:pPr>
              <w:ind w:left="40"/>
              <w:spacing w:after="0"/>
              <w:rPr>
                <w:sz w:val="20"/>
                <w:szCs w:val="20"/>
                <w:color w:val="auto"/>
              </w:rPr>
            </w:pPr>
            <w:r>
              <w:rPr>
                <w:rFonts w:ascii="Arial" w:cs="Arial" w:eastAsia="Arial" w:hAnsi="Arial"/>
                <w:sz w:val="16"/>
                <w:szCs w:val="16"/>
                <w:color w:val="auto"/>
              </w:rPr>
              <w:t>Balance - End of period</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167.3</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167.3</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132.4</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Net new advisory assets for the three and six months ended June 30, 2014 and 2013 have only a limited impact on advisory fee revenue for those respective periods, given the comparatively large assets at the beginning of each period. Rather, net new advisory assets are anticipated to be a larger driver of advisory revenue in future reporting periods. Net new advisory assets were $4.2 billion for the three months ended June 30, 2014, resulting from the continued shift by our existing advisors from brokerage towards more advisory business.</w:t>
      </w:r>
    </w:p>
    <w:p>
      <w:pPr>
        <w:spacing w:after="0" w:line="31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Advisory revenue for a particular quarter is predominately driven by the prior quarter-end advisory assets under management. Advisory revenues increased by $32.3 million, or 10.8%, for the three months ended June 30, 2014 compared to the same period in 2013. The growth in advisory revenue is due to net new advisory assets resulting from increased investor engagement and strong advisor productivity, newly recruited advisors that were added in the first quarter of 2014, as well as market gains as represented by higher levels of the S&amp;P 500 index 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82" w:right="239" w:bottom="1440" w:gutter="0" w:footer="0" w:header="0"/>
        </w:sectPr>
      </w:pPr>
    </w:p>
    <w:bookmarkStart w:id="37" w:name="page38"/>
    <w:bookmarkEnd w:id="37"/>
    <w:p>
      <w:pPr>
        <w:ind w:right="100"/>
        <w:spacing w:after="0" w:line="262" w:lineRule="auto"/>
        <w:rPr>
          <w:sz w:val="20"/>
          <w:szCs w:val="20"/>
          <w:color w:val="auto"/>
        </w:rPr>
      </w:pPr>
      <w:r>
        <w:rPr>
          <w:rFonts w:ascii="Arial" w:cs="Arial" w:eastAsia="Arial" w:hAnsi="Arial"/>
          <w:sz w:val="18"/>
          <w:szCs w:val="18"/>
          <w:color w:val="auto"/>
        </w:rPr>
        <w:t>the applicable billing dates in 2014 compared to 2013. The S&amp;P 500 index closed at 1,872 on March 31, 2014, which is a 19.3% increase over the close of 1,569 on March 31, 2013.</w:t>
      </w:r>
    </w:p>
    <w:p>
      <w:pPr>
        <w:spacing w:after="0" w:line="304"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The Independent RIA model has continued to attract advisors as they seek the freedom to run their business in a manner that best enables them to meet their clients' needs. This continued shift of advisors to the Independent RIA platform (for which we custody assets but do not earn advisory revenues for managing such assets) has caused the rate of revenue growth of advisory assets under management to lag behind the rate of growth of advisory assets under custody. Advisory revenues do not include fees for advisory services charged by Independent RIA advisors to their clients. Accordingly, there is no corresponding payout. However, there are administrative fees charged to Independent RIA advisors including custody and clearing fees, based on the value of assets.</w:t>
      </w:r>
    </w:p>
    <w:p>
      <w:pPr>
        <w:spacing w:after="0" w:line="317" w:lineRule="exact"/>
        <w:rPr>
          <w:sz w:val="20"/>
          <w:szCs w:val="20"/>
          <w:color w:val="auto"/>
        </w:rPr>
      </w:pPr>
    </w:p>
    <w:p>
      <w:pPr>
        <w:ind w:right="480" w:firstLine="486"/>
        <w:spacing w:after="0" w:line="256" w:lineRule="auto"/>
        <w:rPr>
          <w:sz w:val="20"/>
          <w:szCs w:val="20"/>
          <w:color w:val="auto"/>
        </w:rPr>
      </w:pPr>
      <w:r>
        <w:rPr>
          <w:rFonts w:ascii="Arial" w:cs="Arial" w:eastAsia="Arial" w:hAnsi="Arial"/>
          <w:sz w:val="18"/>
          <w:szCs w:val="18"/>
          <w:color w:val="auto"/>
        </w:rPr>
        <w:t>Advisory revenues increased by $78.3 million, or 13.5%, for the six months ended June 30, 2014 compared with the same period in 2013. This growth is attributable to the same net new advisory asset flows and shift of advisors toward more advisory business that has impacted our quarterly performance, and to a positive market impact for the six months ended June 30, 2014.</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composition of our advisory assets under custody as of June 30, 2014 and 2013 (in billions):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4"/>
        </w:trPr>
        <w:tc>
          <w:tcPr>
            <w:tcW w:w="6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Advisory assets under management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6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Independent RIA assets in advisory accounts custodied by LPL Financial</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65.8%</w:t>
            </w:r>
          </w:p>
        </w:tc>
      </w:tr>
      <w:tr>
        <w:trPr>
          <w:trHeight w:val="24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advisory assets under custody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0"/>
        </w:trPr>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Growth of the Independent RIA assets in advisory accounts custodied by LPL Financial has outpaced the growth in advisory assets under management. This growth is consistent with the industry trend as more advisors shift their business toward the Independent RIA model.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 Revenues</w:t>
      </w:r>
    </w:p>
    <w:p>
      <w:pPr>
        <w:spacing w:after="0" w:line="243" w:lineRule="exact"/>
        <w:rPr>
          <w:sz w:val="20"/>
          <w:szCs w:val="20"/>
          <w:color w:val="auto"/>
        </w:rPr>
      </w:pPr>
    </w:p>
    <w:p>
      <w:pPr>
        <w:ind w:right="40" w:firstLine="486"/>
        <w:spacing w:after="0" w:line="250" w:lineRule="auto"/>
        <w:rPr>
          <w:sz w:val="20"/>
          <w:szCs w:val="20"/>
          <w:color w:val="auto"/>
        </w:rPr>
      </w:pPr>
      <w:r>
        <w:rPr>
          <w:rFonts w:ascii="Arial" w:cs="Arial" w:eastAsia="Arial" w:hAnsi="Arial"/>
          <w:sz w:val="18"/>
          <w:szCs w:val="18"/>
          <w:color w:val="auto"/>
        </w:rPr>
        <w:t>Asset-based revenues increased by $11.0 million, or 10.3%, to $118.5 million for the three months ended June 30, 2014 compared with the same period in 2013. Revenues for sponsorship programs and record-keeping services, which are largely based on underlying asset values, increased due to the impact of the higher average market indices on the value of such underlying assets and net new sales of eligible assets. The S&amp;P 500 index for the three months ended June 30, 2014 averaged 1,900, an increase of 18.1% over the average in the prior-year period. Asset-based revenues also include revenues from our cash sweep programs, which decreased by $6.2 million, or 20.1%, to</w:t>
      </w:r>
    </w:p>
    <w:p>
      <w:pPr>
        <w:spacing w:after="0" w:line="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$24.8 million for the three months ended June 30, 2014 from $31.0 million for the three months ended June 30, 2013. The decrease in our cash sweep revenues is a result of fee compression resulting from contract repricing, a year-over-year 3 basis point decline in the average federal funds effective rate to 0.09% for the three months ended June 30, 2014, and a decrease of 1.3% in average assets in our cash sweep programs, which were $23.4 billion and $23.7 billion for the three months ended June 30, 2014 and 2013, respectively.</w:t>
      </w:r>
    </w:p>
    <w:p>
      <w:pPr>
        <w:spacing w:after="0" w:line="272" w:lineRule="exact"/>
        <w:rPr>
          <w:sz w:val="20"/>
          <w:szCs w:val="20"/>
          <w:color w:val="auto"/>
        </w:rPr>
      </w:pPr>
    </w:p>
    <w:p>
      <w:pPr>
        <w:ind w:right="40" w:firstLine="486"/>
        <w:spacing w:after="0" w:line="250" w:lineRule="auto"/>
        <w:rPr>
          <w:sz w:val="20"/>
          <w:szCs w:val="20"/>
          <w:color w:val="auto"/>
        </w:rPr>
      </w:pPr>
      <w:r>
        <w:rPr>
          <w:rFonts w:ascii="Arial" w:cs="Arial" w:eastAsia="Arial" w:hAnsi="Arial"/>
          <w:sz w:val="18"/>
          <w:szCs w:val="18"/>
          <w:color w:val="auto"/>
        </w:rPr>
        <w:t>Asset-based revenues increased by $21.9 million, or 10.4%, to $233.2 million for the six months ended June 30, 2014 compared with the same period in 2013. Revenues for record-keeping services and from product sponsors, which are each largely based on underlying asset values, increased due to the impact of the higher average market indices on the value of such underlying assets and net new sales of eligible assets. The S&amp;P 500 index for the six months ended June 30, 2014 averaged 1,868, an increase of 19.5% over the average in the prior year period. Asset-based revenues also include revenues from our cash sweep programs, which decreased by $13.8 million, or 22.0%, to</w:t>
      </w:r>
    </w:p>
    <w:p>
      <w:pPr>
        <w:spacing w:after="0" w:line="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$48.8 million for the six months ended June 30, 2014 from $62.5 million for the six months ended June 30, 2013. The decrease is due to fee compression that resulted from a repricing of certain contracts that underlie our cash sweep programs. Average assets in our cash sweep programs were $23.8 billion and $23.4 billion for the six months ended June 30, 2014 and 2013,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Fee Revenues</w:t>
      </w:r>
    </w:p>
    <w:p>
      <w:pPr>
        <w:spacing w:after="0" w:line="243"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Transaction and fee revenues increased by $ 3.0 million, or 3.4%, for the three months ended June 30, 2014 compared with the same period in 2013, primarily due to the timing of one of our advisor conferences and increase in the number of advisors.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44" w:right="239" w:bottom="1440" w:gutter="0" w:footer="0" w:header="0"/>
        </w:sectPr>
      </w:pPr>
    </w:p>
    <w:bookmarkStart w:id="38" w:name="page39"/>
    <w:bookmarkEnd w:id="38"/>
    <w:p>
      <w:pPr>
        <w:ind w:right="520" w:firstLine="486"/>
        <w:spacing w:after="0" w:line="262" w:lineRule="auto"/>
        <w:rPr>
          <w:sz w:val="20"/>
          <w:szCs w:val="20"/>
          <w:color w:val="auto"/>
        </w:rPr>
      </w:pPr>
      <w:r>
        <w:rPr>
          <w:rFonts w:ascii="Arial" w:cs="Arial" w:eastAsia="Arial" w:hAnsi="Arial"/>
          <w:sz w:val="18"/>
          <w:szCs w:val="18"/>
          <w:color w:val="auto"/>
        </w:rPr>
        <w:t>Transaction and fee revenues increased by $3.6 million, or 2.0%, for the six months ended June 30, 2014 compared with the same period in 2013, due to a 2.8% increase in the average number of advisors and an increase in client retirement accounts.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4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Other revenues increased $0.7 million, or 4.3%, to $17.0 million for the three months ended June 30, 2014 compared with the same period in 2013. The primary contributor to such increase for the three months ended June 30, 2014 was alternative investment marketing allowances received from product sponsor programs, which increased by $1.5 million compared to the same period in 2013, driven primarily by increased sales of alternative investments. Other revenue includes gains or losses on assets held for the advisor non-qualified deferred compensation plan. Losses were $0.3 million for the three months ended June 30, 2014, compared to gains of $1.4 million for the three months ended June 30, 2013. The gains or losses on assets held for the advisor non-qualified deferred compensation plan were offset by increases or decreases in non-GDC sensitive production expenses as noted below.</w:t>
      </w:r>
    </w:p>
    <w:p>
      <w:pPr>
        <w:spacing w:after="0" w:line="27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Other revenues increased $6.8 million, or 21.8%, to $37.9 million for the six months ended June 30, 2014 compared to 2013. The primary contributor to such increase for the six months ended June 30, 2014 was direct investment marketing allowances received from product sponsor programs, which increased by $6.1 million compared to the same period in 2013, driven primarily by increased sales of alternative investments. Other revenue includes gains or losses on assets held for the advisor non-qualified deferred compensation plan. Gains were $2.5 million for the six months ended June 30, 2014, compared to gains of $2.7 million for the same period in 2013. The gains or losses on assets held for the advisor non-qualified deferred compensation plan were offset by the increases or decreases in non-GDC sensitive production expenses as noted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Expenses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production payout ratio for the three and six months ended June 30, 2014 and 2013: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Pr>
          <w:p>
            <w:pPr>
              <w:spacing w:after="0"/>
              <w:rPr>
                <w:sz w:val="19"/>
                <w:szCs w:val="19"/>
                <w:color w:val="auto"/>
              </w:rPr>
            </w:pPr>
          </w:p>
        </w:tc>
        <w:tc>
          <w:tcPr>
            <w:tcW w:w="2580" w:type="dxa"/>
            <w:vAlign w:val="bottom"/>
            <w:gridSpan w:val="4"/>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4"/>
          </w:tcPr>
          <w:p>
            <w:pPr>
              <w:ind w:left="200"/>
              <w:spacing w:after="0"/>
              <w:rPr>
                <w:sz w:val="20"/>
                <w:szCs w:val="20"/>
                <w:color w:val="auto"/>
              </w:rPr>
            </w:pPr>
            <w:r>
              <w:rPr>
                <w:rFonts w:ascii="Arial" w:cs="Arial" w:eastAsia="Arial" w:hAnsi="Arial"/>
                <w:sz w:val="16"/>
                <w:szCs w:val="16"/>
                <w:b w:val="1"/>
                <w:bCs w:val="1"/>
                <w:color w:val="auto"/>
              </w:rPr>
              <w:t>Six Months Ended June 30,</w:t>
            </w:r>
          </w:p>
        </w:tc>
        <w:tc>
          <w:tcPr>
            <w:tcW w:w="900" w:type="dxa"/>
            <w:vAlign w:val="bottom"/>
          </w:tcPr>
          <w:p>
            <w:pPr>
              <w:spacing w:after="0"/>
              <w:rPr>
                <w:sz w:val="19"/>
                <w:szCs w:val="19"/>
                <w:color w:val="auto"/>
              </w:rPr>
            </w:pPr>
          </w:p>
        </w:tc>
      </w:tr>
      <w:tr>
        <w:trPr>
          <w:trHeight w:val="264"/>
        </w:trPr>
        <w:tc>
          <w:tcPr>
            <w:tcW w:w="432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r>
      <w:tr>
        <w:trPr>
          <w:trHeight w:val="257"/>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Base payout rate</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84.01%</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84.06%</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bps)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83.99%</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83.97%</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 bps</w:t>
            </w:r>
          </w:p>
        </w:tc>
      </w:tr>
      <w:tr>
        <w:trPr>
          <w:trHeight w:val="264"/>
        </w:trPr>
        <w:tc>
          <w:tcPr>
            <w:tcW w:w="4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Production based bonuses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17 bps</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 bps</w:t>
            </w:r>
          </w:p>
        </w:tc>
      </w:tr>
      <w:tr>
        <w:trPr>
          <w:trHeight w:val="257"/>
        </w:trPr>
        <w:tc>
          <w:tcPr>
            <w:tcW w:w="4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GDC sensitive payout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86.65%</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86.53%</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12 bps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86.16%</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86.07%</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 bps</w:t>
            </w:r>
          </w:p>
        </w:tc>
      </w:tr>
      <w:tr>
        <w:trPr>
          <w:trHeight w:val="264"/>
        </w:trPr>
        <w:tc>
          <w:tcPr>
            <w:tcW w:w="4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Non-GDC sensitive payout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0.47%</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(28 bps)</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0.46%</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 bps</w:t>
            </w:r>
          </w:p>
        </w:tc>
      </w:tr>
      <w:tr>
        <w:trPr>
          <w:trHeight w:val="240"/>
        </w:trPr>
        <w:tc>
          <w:tcPr>
            <w:tcW w:w="4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Payout Ratio</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86.84%</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87.00%</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(16 bps)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86.62%</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86.52%</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bps</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Production expenses increased by $50.9 million, or 7.1%, for the three months ended June 30, 2014 compared with the same period in 2013. The increase correlates with our commission and advisory revenues, which increased by 7.3% during the same period. Our GDC sensitive payout ratio was 86.65% for the three months ended June 30, 2014, compared to 86.53% for the prior-year period. The base payout rate decreased by 5 basis points in part due to the growth of our advisory platform, which on average has a lower base rate than our brokerage platform. The decrease in non-GDC sensitive payout is attributable to decreased advisor share-based compensation for the three months ended June 30, 2014 compared to the same period in 2013 correlating to market movement in our stock and the advisor non-qualified deferred compensation plan as noted above.</w:t>
      </w:r>
    </w:p>
    <w:p>
      <w:pPr>
        <w:spacing w:after="0" w:line="31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Production expenses increased by $137.9 million, or 10.0%, for the six months ended June 30, 2014 compared with the same period in 2013. The increase correlates with our commission and advisory revenues, which increased by 9.8% during the same period. Our production payout was 86.62% for the six months ended June 30, 2014, compared to 86.52% for the prior year period. The increase in non-GDC sensitive payout ratio is attributable to increased advisor share-based compensation for the six months ended June 30, 2014 compared to the same period in 2013 correlating to market movement in our stock and production expenses related to the advisor non-qualified deferred compensation plan as noted above.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5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Compensation and Benefits Expense</w:t>
      </w:r>
    </w:p>
    <w:p>
      <w:pPr>
        <w:spacing w:after="0" w:line="243"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Compensation and benefits expense increased by $6.6 million, or 6.7%, for the three months ended June 30, 2014 compared with the same period in 2013. This was primarily driven by a 10.2% increase in our average number of full-time employees from 3,015 for the three months ended June 30, 2013 to 3,323 for the three months ended June 30, 2014, to support business growth and investments in staffing related to service and compliance.</w:t>
      </w:r>
    </w:p>
    <w:p>
      <w:pPr>
        <w:spacing w:after="0" w:line="32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Compensation and benefits expense increased by $14.2 million, or 7.2%, for the six months ended June 30, 2014 compared with the same period in 2013. Our average number of full-time employees increased 10.6% from 2,972 for the six months ended June 30, 2013 to 3,288 for the six months ended June 30, 2014, due to higher staffing levels to support investments in staffing related to service and compliance and increased levels of advisor and client activities.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43"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General and administrative expenses increased by $22.3 million, or 26.4%, to $106.8 million for the three months ended June 30, 2014 compared with the same period in 2013. The primary drivers behind the increase were increases of $11.6 million for professional fees, $4.9 million for business development and promotional expenses, and $3.9 million for parallel rent, property tax, fixed asset disposals, and common area maintenance expenses incurred in connection with the relocation to our San Diego office building. The increase in professional fees include the costs of the investigation, settlement, and remediation of several regulatory matters.</w:t>
      </w:r>
    </w:p>
    <w:p>
      <w:pPr>
        <w:spacing w:after="0" w:line="314"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General and administrative expenses increased by $38.9 million, or 24.0%, to $201.2 million for the six months ended June 30, 2014 compared with the same period in 2013. The primary drivers behind the increase were increases of $15.9 million for professional fees, $8.4 million for business development and promotional expenses, and $9.2 million for parallel rent, property tax, fixed asset disposals, and common area maintenance expenses incurred in connection with the relocation to our San Diego office building.</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43" w:lineRule="exact"/>
        <w:rPr>
          <w:sz w:val="20"/>
          <w:szCs w:val="20"/>
          <w:color w:val="auto"/>
        </w:rPr>
      </w:pPr>
    </w:p>
    <w:p>
      <w:pPr>
        <w:jc w:val="both"/>
        <w:ind w:right="140" w:firstLine="486"/>
        <w:spacing w:after="0" w:line="256" w:lineRule="auto"/>
        <w:rPr>
          <w:sz w:val="20"/>
          <w:szCs w:val="20"/>
          <w:color w:val="auto"/>
        </w:rPr>
      </w:pPr>
      <w:r>
        <w:rPr>
          <w:rFonts w:ascii="Arial" w:cs="Arial" w:eastAsia="Arial" w:hAnsi="Arial"/>
          <w:sz w:val="18"/>
          <w:szCs w:val="18"/>
          <w:color w:val="auto"/>
        </w:rPr>
        <w:t>For the three and six months ended June 30, 2014, depreciation and amortization increased by $3.6 million, or 17.6%, and $6.1 million, or 15.2%, respectively, compared with the same periods in 2013. The increases were due primarily to capital assets placed into service during the latter half of 2013 related to the San Diego office building and capitalized software.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3"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 xml:space="preserve">Restructuring charges increased by $1.9 million, or 25.8%, and $3.2 million, or 23.8%, for the three and six months ended June 30, 2014, respectively, compared with the same periods in 2013. These charges relate primarily to consulting fees paid to support our technology transformation as well as employee severance obligations and other related costs and non-cash charges for impairment incurred through our expansion of our Service Value Commitment. Refer to Note 3. </w:t>
      </w:r>
      <w:r>
        <w:rPr>
          <w:rFonts w:ascii="Arial" w:cs="Arial" w:eastAsia="Arial" w:hAnsi="Arial"/>
          <w:sz w:val="18"/>
          <w:szCs w:val="18"/>
          <w:i w:val="1"/>
          <w:iCs w:val="1"/>
          <w:color w:val="auto"/>
        </w:rPr>
        <w:t>Restructuring</w:t>
      </w:r>
      <w:r>
        <w:rPr>
          <w:rFonts w:ascii="Arial" w:cs="Arial" w:eastAsia="Arial" w:hAnsi="Arial"/>
          <w:sz w:val="18"/>
          <w:szCs w:val="18"/>
          <w:color w:val="auto"/>
        </w:rPr>
        <w:t>, within the notes to unaudited condensed consolidated financial statements for additional details regarding this matter.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43"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Interest expense represents non-operating interest expense for our senior secured credit facilities. Interest expense increased $0.2 million, or 1.9%, and $ 0.9 million, or 3.7%, for the three and six months ended June 30, 2014, respectively, compared with the same periods in 2013. The increase in interest expense for the 2014 periods is primarily due to the increase in outstanding indebtedness following the amendment to the credit agreement in May 2013.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43" w:lineRule="exact"/>
        <w:rPr>
          <w:sz w:val="20"/>
          <w:szCs w:val="20"/>
          <w:color w:val="auto"/>
        </w:rPr>
      </w:pPr>
    </w:p>
    <w:p>
      <w:pPr>
        <w:ind w:right="240" w:firstLine="500"/>
        <w:spacing w:after="0" w:line="253" w:lineRule="auto"/>
        <w:rPr>
          <w:sz w:val="20"/>
          <w:szCs w:val="20"/>
          <w:color w:val="auto"/>
        </w:rPr>
      </w:pPr>
      <w:r>
        <w:rPr>
          <w:rFonts w:ascii="Arial" w:cs="Arial" w:eastAsia="Arial" w:hAnsi="Arial"/>
          <w:sz w:val="18"/>
          <w:szCs w:val="18"/>
          <w:color w:val="auto"/>
        </w:rPr>
        <w:t xml:space="preserve">Losses from the extinguishment of debt totaled $8.0 million for the six months ended June 30, 2013. In May 2013, we refinanced and amended our previous credit agreement and effectively increased our borrowing by approximately $236.1 million, with net proceeds used primarily for working capital requirements and other general corporate purposes. Accordingly, we wrote off $8.0 million of unamortized debt issuance costs that had no future economic benefit related to our prior credit agreement. Refer to Note 8. </w:t>
      </w:r>
      <w:r>
        <w:rPr>
          <w:rFonts w:ascii="Arial" w:cs="Arial" w:eastAsia="Arial" w:hAnsi="Arial"/>
          <w:sz w:val="18"/>
          <w:szCs w:val="18"/>
          <w:i w:val="1"/>
          <w:iCs w:val="1"/>
          <w:color w:val="auto"/>
        </w:rPr>
        <w:t>Debt</w:t>
      </w:r>
      <w:r>
        <w:rPr>
          <w:rFonts w:ascii="Arial" w:cs="Arial" w:eastAsia="Arial" w:hAnsi="Arial"/>
          <w:sz w:val="18"/>
          <w:szCs w:val="18"/>
          <w:color w:val="auto"/>
        </w:rPr>
        <w:t>, within the notes to unaudited condensed consolidated financial statements for additional details regarding this matter.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2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Provision for Income Taxes</w:t>
      </w:r>
    </w:p>
    <w:p>
      <w:pPr>
        <w:spacing w:after="0" w:line="243"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We estimate our full-year effective income tax rate at the end of each reporting period. This estimate is used in providing for income taxes on a year-to-date basis and may change in subsequent interim periods. The tax rate in any quarter can be affected positively and negatively by adjustments that are required to be reported in the quarter in which resolution of the item occurs. The effective income tax rates reflect the impact of state taxes, settlement contingencies, and expenses that are not deductible for tax purposes.</w:t>
      </w:r>
    </w:p>
    <w:p>
      <w:pPr>
        <w:spacing w:after="0" w:line="204"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During the three months ended June 30, 2014, we recorded income tax expense of $28.1 million, compared with $29.8 million in the prior year period. Our effective income tax rate was 39.4% and 39.8% for the three months ended June 30, 2014 and 2013, respectively.</w:t>
      </w:r>
    </w:p>
    <w:p>
      <w:pPr>
        <w:spacing w:after="0" w:line="304"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During the six months ended June 30, 2014, we recorded income tax expense of $62.5 million, compared with $65.6 million in the prior year period. Our effective income tax rate was 39.4% and 39.7% for the six months ended June 30, 2014 and 2013,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monthly capital expenditures, and daily monitoring of liquidity for our subsidiaries. Decisions on the allocation of capital are based on, among other things,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and maintains relationships with various lenders. The objectives of these policies are to support the executive business strategies while ensuring ongoing and sufficient liquidity.</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changes in our cash flow is provided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83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260"/>
        </w:trPr>
        <w:tc>
          <w:tcPr>
            <w:tcW w:w="8340" w:type="dxa"/>
            <w:vAlign w:val="bottom"/>
          </w:tcPr>
          <w:p>
            <w:pPr>
              <w:ind w:left="80"/>
              <w:spacing w:after="0"/>
              <w:rPr>
                <w:sz w:val="20"/>
                <w:szCs w:val="20"/>
                <w:color w:val="auto"/>
              </w:rPr>
            </w:pPr>
            <w:r>
              <w:rPr>
                <w:rFonts w:ascii="Arial" w:cs="Arial" w:eastAsia="Arial" w:hAnsi="Arial"/>
                <w:sz w:val="16"/>
                <w:szCs w:val="16"/>
                <w:color w:val="auto"/>
              </w:rPr>
              <w:t>Net cash flows provided by (used in):</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116,481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(4,344)</w:t>
            </w:r>
          </w:p>
        </w:tc>
      </w:tr>
      <w:tr>
        <w:trPr>
          <w:trHeight w:val="260"/>
        </w:trPr>
        <w:tc>
          <w:tcPr>
            <w:tcW w:w="8340" w:type="dxa"/>
            <w:vAlign w:val="bottom"/>
          </w:tcPr>
          <w:p>
            <w:pPr>
              <w:ind w:left="26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(41,226)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(33,156)</w:t>
            </w:r>
          </w:p>
        </w:tc>
      </w:tr>
      <w:tr>
        <w:trPr>
          <w:trHeight w:val="273"/>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Financing activities</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(153,263)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156,110</w:t>
            </w:r>
          </w:p>
        </w:tc>
      </w:tr>
      <w:tr>
        <w:trPr>
          <w:trHeight w:val="247"/>
        </w:trPr>
        <w:tc>
          <w:tcPr>
            <w:tcW w:w="834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(78,008)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118,610</w:t>
            </w:r>
          </w:p>
        </w:tc>
      </w:tr>
      <w:tr>
        <w:trPr>
          <w:trHeight w:val="273"/>
        </w:trPr>
        <w:tc>
          <w:tcPr>
            <w:tcW w:w="8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 —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516,584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466,261</w:t>
            </w:r>
          </w:p>
        </w:tc>
      </w:tr>
      <w:tr>
        <w:trPr>
          <w:trHeight w:val="240"/>
        </w:trPr>
        <w:tc>
          <w:tcPr>
            <w:tcW w:w="8340" w:type="dxa"/>
            <w:vAlign w:val="bottom"/>
          </w:tcPr>
          <w:p>
            <w:pPr>
              <w:ind w:left="80"/>
              <w:spacing w:after="0"/>
              <w:rPr>
                <w:sz w:val="20"/>
                <w:szCs w:val="20"/>
                <w:color w:val="auto"/>
              </w:rPr>
            </w:pPr>
            <w:r>
              <w:rPr>
                <w:rFonts w:ascii="Arial" w:cs="Arial" w:eastAsia="Arial" w:hAnsi="Arial"/>
                <w:sz w:val="16"/>
                <w:szCs w:val="16"/>
                <w:color w:val="auto"/>
              </w:rPr>
              <w:t>Cash and cash equivalents —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438,576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584,871</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700" w:firstLine="486"/>
        <w:spacing w:after="0" w:line="262" w:lineRule="auto"/>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196"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Net cash provided by or used in operating activities includes net income adjusted for non-cash expenses such as depreciation and amortization, restructuring related charges, share-based compensation, amortization of debt issuance costs, deferred income tax provision, and changes in operating assets and liabilities. Operating assets and liabilities include balances related to settlement and funding of client transactions, receivables from product sponsors, and accrued commissions and advisory expenses due to our advisors. Operating assets and liabilities that arise from the settlement and funding of transactions by our advisors’ clients are the principal cause of changes to our net cash from operating activities and can fluctuate significantly from day to day and period to period depending on overall trends and clients' behaviors.</w:t>
      </w:r>
    </w:p>
    <w:p>
      <w:pPr>
        <w:spacing w:after="0" w:line="19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Net cash provided by operating activities for the six months ended June 30, 2014 totaled $116.5 million. Net cash used in operating activities for the six months ended June 30, 2013 totaled $4.3 million. The change in cash flows between periods primarily reflects the impact of client trading and settlement activity and represented a net source of funds of $47.8 million in 2014, compared to a net use of funds of $155.2 million in 2013. Cash flows from operating activities for 2014 also included increases in receivables from others and other assets of $17.8 million and $25.9 million, respectively, and a net payment of $36.8 million in accounts payable and accrued liabilities, which included contingent consideration paid to the former shareholders of National Retirement Partners, Inc. The net use of funds in 2013 was offset by net income of $99.8 million, depreciation and amortization of $40.0 million, and a total change of $10.4 million in income taxes receivable and payable.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26" w:right="239" w:bottom="1440" w:gutter="0" w:footer="0" w:header="0"/>
        </w:sectPr>
      </w:pPr>
    </w:p>
    <w:bookmarkStart w:id="41" w:name="page42"/>
    <w:bookmarkEnd w:id="41"/>
    <w:p>
      <w:pPr>
        <w:ind w:right="160" w:firstLine="486"/>
        <w:spacing w:after="0" w:line="256" w:lineRule="auto"/>
        <w:rPr>
          <w:sz w:val="20"/>
          <w:szCs w:val="20"/>
          <w:color w:val="auto"/>
        </w:rPr>
      </w:pPr>
      <w:r>
        <w:rPr>
          <w:rFonts w:ascii="Arial" w:cs="Arial" w:eastAsia="Arial" w:hAnsi="Arial"/>
          <w:sz w:val="18"/>
          <w:szCs w:val="18"/>
          <w:color w:val="auto"/>
        </w:rPr>
        <w:t>Net cash used in investing activities for the six months ended June 30, 2014 and 2013 totaled $41.2 million and $33.2 million, respectively. The net cash used in 2014 primarily consisted of $45.9 million in capital expenditures. The net cash used in 2013 included $32.2 million in capital expenditures.</w:t>
      </w:r>
    </w:p>
    <w:p>
      <w:pPr>
        <w:spacing w:after="0" w:line="202"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Net cash used in financing activities for the six months ended June 30, 2014 totaled $ 153.3 million. Net cash provided by financing activities for the six months ended June 30, 2013 totaled $156.1 million. Cash flows used in financing activities in 2014 primarily consisted of $125.0 million for repurchases of common stock and $48.1 million for cash dividends paid, partially offset by $22.3 million in proceeds from stock option exercises. Cash flows provided by financing activities in 2013 include $1,079.0 million in proceeds from the issuance on senior debt, $ 861.2 million to pay down term loans under our senior secured credit facility, $51.0 million for repurchases of common stock, and $28.8 million of cash dividends paid.</w:t>
      </w:r>
    </w:p>
    <w:p>
      <w:pPr>
        <w:spacing w:after="0" w:line="209" w:lineRule="exact"/>
        <w:rPr>
          <w:sz w:val="20"/>
          <w:szCs w:val="20"/>
          <w:color w:val="auto"/>
        </w:rPr>
      </w:pPr>
    </w:p>
    <w:p>
      <w:pPr>
        <w:ind w:right="120" w:firstLine="486"/>
        <w:spacing w:after="0" w:line="251"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includes three uncommitted lines of credit available and the revolving credit facility available through our credit agreement, will be adequate to satisfy our working capital needs, the payment of all of our obligations, and the funding of anticipated capital expenditures for the foreseeable future. In addition, we have certain capital adequacy requirements due to our registered broker-dealer entity and bank trust subsidiaries and have met all such requirements and expect to continue to do so for the foreseeable future. We regularly evaluate our existing indebtedness based on a number of factors, including our capital requirements, future prospects, contractual restrictions, the availability of refinancing on attractive terms, and general market conditions. Notwithstanding the foregoing, see the Risks Related to our Debt section within Part I, “Item 1A. Risk Factors” in our 2013 Annual Report on Form 10-K for more information about the risks associated with our debt obligations and their potential effect on our liquidity.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The Board has periodically approved share repurchase programs pursuant to which we may repurchase issued and outstanding shares of our common stock. Purchases may be effected in open market or privately negotiated transactions, including transactions with our affiliates, with the timing of purchases and the amount of stock purchased generally determined at our discretion within the constraints of our credit agreement and general liquidity needs.</w:t>
      </w:r>
    </w:p>
    <w:p>
      <w:pPr>
        <w:spacing w:after="0" w:line="204"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For the three months ended June 30, 2014 and 2013, we had the following activity under our approved share repurchase programs (in millions, except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5"/>
          </w:tcPr>
          <w:p>
            <w:pPr>
              <w:jc w:val="right"/>
              <w:ind w:right="82"/>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264"/>
        </w:trPr>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r>
      <w:tr>
        <w:trPr>
          <w:trHeight w:val="175"/>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82"/>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62"/>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Repurchase</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Remaining</w:t>
            </w: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 Price</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96"/>
        </w:trPr>
        <w:tc>
          <w:tcPr>
            <w:tcW w:w="16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at June 30, 2014</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Total Cost</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Total Cost</w:t>
            </w:r>
          </w:p>
        </w:tc>
      </w:tr>
      <w:tr>
        <w:trPr>
          <w:trHeight w:val="25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27, 2012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1,428,576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36.99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52.8</w:t>
            </w:r>
          </w:p>
        </w:tc>
      </w:tr>
      <w:tr>
        <w:trPr>
          <w:trHeight w:val="260"/>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May 28, 2013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February 10, 2014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92.9</w:t>
            </w: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535,210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46.73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92.9</w:t>
            </w:r>
          </w:p>
        </w:tc>
        <w:tc>
          <w:tcPr>
            <w:tcW w:w="12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535,210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46.73</w:t>
            </w:r>
          </w:p>
        </w:tc>
        <w:tc>
          <w:tcPr>
            <w:tcW w:w="420" w:type="dxa"/>
            <w:vAlign w:val="bottom"/>
            <w:gridSpan w:val="2"/>
          </w:tcPr>
          <w:p>
            <w:pPr>
              <w:jc w:val="right"/>
              <w:ind w:right="108"/>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1,428,576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36.99</w:t>
            </w:r>
          </w:p>
        </w:tc>
        <w:tc>
          <w:tcPr>
            <w:tcW w:w="120" w:type="dxa"/>
            <w:vAlign w:val="bottom"/>
          </w:tcPr>
          <w:p>
            <w:pPr>
              <w:spacing w:after="0"/>
              <w:rPr>
                <w:sz w:val="20"/>
                <w:szCs w:val="20"/>
                <w:color w:val="auto"/>
              </w:rPr>
            </w:pP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52.8</w:t>
            </w: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90" w:right="239" w:bottom="1440" w:gutter="0" w:footer="0" w:header="0"/>
        </w:sectPr>
      </w:pPr>
    </w:p>
    <w:bookmarkStart w:id="42" w:name="page43"/>
    <w:bookmarkEnd w:id="42"/>
    <w:p>
      <w:pPr>
        <w:ind w:right="440" w:firstLine="486"/>
        <w:spacing w:after="0" w:line="262" w:lineRule="auto"/>
        <w:rPr>
          <w:sz w:val="20"/>
          <w:szCs w:val="20"/>
          <w:color w:val="auto"/>
        </w:rPr>
      </w:pPr>
      <w:r>
        <w:rPr>
          <w:rFonts w:ascii="Arial" w:cs="Arial" w:eastAsia="Arial" w:hAnsi="Arial"/>
          <w:sz w:val="18"/>
          <w:szCs w:val="18"/>
          <w:color w:val="auto"/>
        </w:rPr>
        <w:t>For the six months ended June 30, 2014 and 2013, we had the following activity under our approved share repurchase programs (in millions, except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264"/>
        </w:trPr>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r>
      <w:tr>
        <w:trPr>
          <w:trHeight w:val="175"/>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62"/>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Repurchase</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Remaining</w:t>
            </w: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96"/>
        </w:trPr>
        <w:tc>
          <w:tcPr>
            <w:tcW w:w="16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at June 30, 2014</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Total Cost</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Total Cost</w:t>
            </w:r>
          </w:p>
        </w:tc>
      </w:tr>
      <w:tr>
        <w:trPr>
          <w:trHeight w:val="25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27, 2012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1,583,865</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36.47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57.8</w:t>
            </w:r>
          </w:p>
        </w:tc>
      </w:tr>
      <w:tr>
        <w:trPr>
          <w:trHeight w:val="260"/>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May 28, 2013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1,306,288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52.00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22"/>
                <w:szCs w:val="22"/>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February 10, 2014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92.9</w:t>
            </w: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1,151,998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49.55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57.1</w:t>
            </w: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92.9</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2,458,286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50.85</w:t>
            </w:r>
          </w:p>
        </w:tc>
        <w:tc>
          <w:tcPr>
            <w:tcW w:w="120" w:type="dxa"/>
            <w:vAlign w:val="bottom"/>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1,583,865</w:t>
            </w:r>
          </w:p>
        </w:tc>
        <w:tc>
          <w:tcPr>
            <w:tcW w:w="30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36.47</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57.8</w:t>
            </w: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On February 12, 2014, we entered into a share repurchase agreement with an investment fund associated with TPG Capital, pursuant to which we repurchased 1.9 million shares of our common stock at a price of $52.00 per share, for total consideration of $100.0 million. The share repurchase was effected in a private transaction and was contingent on the closing of a registered sale of 1.9 million shares of our common stock by TPG Capital to a private investor. The repurchase transaction closed on February 19, 2014.</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payment, timing, and amount of any dividends are subject to approval by our Board as well as certain limits under our credit facilities. Cash dividends per share of common stock and total cash dividends paid quarterly were as follows for the periods indicated (in millions, except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2014</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1240" w:type="dxa"/>
            <w:vAlign w:val="bottom"/>
            <w:tcBorders>
              <w:bottom w:val="single" w:sz="8" w:color="auto"/>
            </w:tcBorders>
          </w:tcPr>
          <w:p>
            <w:pPr>
              <w:spacing w:after="0"/>
              <w:rPr>
                <w:sz w:val="19"/>
                <w:szCs w:val="19"/>
                <w:color w:val="auto"/>
              </w:rPr>
            </w:pPr>
          </w:p>
        </w:tc>
      </w:tr>
      <w:tr>
        <w:trPr>
          <w:trHeight w:val="198"/>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Dividend per</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Total Cash</w:t>
            </w: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Dividend per</w:t>
            </w:r>
          </w:p>
        </w:tc>
        <w:tc>
          <w:tcPr>
            <w:tcW w:w="240" w:type="dxa"/>
            <w:vAlign w:val="bottom"/>
          </w:tcPr>
          <w:p>
            <w:pPr>
              <w:spacing w:after="0"/>
              <w:rPr>
                <w:sz w:val="17"/>
                <w:szCs w:val="17"/>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 Cash</w:t>
            </w:r>
          </w:p>
        </w:tc>
      </w:tr>
      <w:tr>
        <w:trPr>
          <w:trHeight w:val="228"/>
        </w:trPr>
        <w:tc>
          <w:tcPr>
            <w:tcW w:w="5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Share</w:t>
            </w: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Dividend</w:t>
            </w: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Share</w:t>
            </w:r>
          </w:p>
        </w:tc>
        <w:tc>
          <w:tcPr>
            <w:tcW w:w="240" w:type="dxa"/>
            <w:vAlign w:val="bottom"/>
          </w:tcPr>
          <w:p>
            <w:pPr>
              <w:spacing w:after="0"/>
              <w:rPr>
                <w:sz w:val="19"/>
                <w:szCs w:val="19"/>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Dividend</w:t>
            </w:r>
          </w:p>
        </w:tc>
      </w:tr>
      <w:tr>
        <w:trPr>
          <w:trHeight w:val="257"/>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0.135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r>
      <w:tr>
        <w:trPr>
          <w:trHeight w:val="251"/>
        </w:trPr>
        <w:tc>
          <w:tcPr>
            <w:tcW w:w="516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0.135</w:t>
            </w: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14.4</w:t>
            </w:r>
          </w:p>
        </w:tc>
      </w:tr>
    </w:tbl>
    <w:p>
      <w:pPr>
        <w:spacing w:after="0" w:line="289"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On July 29, 2014, the Board declared a cash dividend of $0.24 per share on our outstanding common stock to be paid on August 29, 2014 to all stockholders of record on August 14, 2014.</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primary requirement for working capital relates to funds we loan to our advisors’ clients for trading conducted on margin and funds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maintain at clearing organizations to support these clients’ trading activities. We have several sources of funds that enable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to meet increases in working capital requirements that relate to increases in client margin activities and balances. These sources include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on hand, cash and securities segregated under federal and other regulations, and proceeds from re-pledging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selling client securities in margin accounts. When a client purchases securities on margin or uses securities as collateral to borrow from us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margin, we are permitted, pursuant to the applicable securities industry regulations, to re-pledge, loan, or sell securities that collateralize those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margin accounts. As of June 30, 2014, we had received collateral primarily in connection with client margin loans with a fair value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approximately $383.2 million, which can be re-pledged, loaned, or sold. Of these securities, approximately $31.3 million had been pledged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Options Clearing Corporation as collateral to secure certain client obligations related to options positions. Additionally,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$172.6 million was held at banks in connection with unutilized secured margin lines of credit at June 30, 2014; these securities may be used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collateral for loans from these banks. The remainder of $179.3 million had not been re-pledged, loaned, or sold, and as of June 30, 2014 there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were no restrictions that materially limited our ability to re-pledge, loan, or sell the remaining $351.9 million of client collateral.</w:t>
      </w:r>
    </w:p>
    <w:p>
      <w:pPr>
        <w:spacing w:after="0" w:line="117"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Our other working capital needs are primarily related to regulatory capital requirements at our broker-dealer and bank trust subsidiaries and software development, which we have satisfied in the past from internally generated cash flows.</w:t>
      </w:r>
    </w:p>
    <w:p>
      <w:pPr>
        <w:spacing w:after="0" w:line="196"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8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funds drawn on our uncommitted lines of credit at our broker-dealer subsidiary LPL Financial, or under our revolving credit facility.</w:t>
      </w:r>
    </w:p>
    <w:p>
      <w:pPr>
        <w:spacing w:after="0" w:line="22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Our registered broker-dealer, LPL Financial, is subject to the SEC’s Uniform Net Capital Rule, which requires the maintenance of minimum net capital. LPL Financial computes net capital requirements under the alternative method, which requires firms to maintain minimum net capital, as defined, equal to the greater of $250,000 or 2.0% of aggregate debit balances arising from client transactions. At June 30, 2014, LPL Financial's excess net capital was $180.7 million.</w:t>
      </w:r>
    </w:p>
    <w:p>
      <w:pPr>
        <w:spacing w:after="0" w:line="204"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LPL Financial also acts as an introducing broker for commodities and futures. Accordingly, its trading activities are subject to the National Futures Association's ("NFA") financial requirements and it is required to maintain net capital that is in excess of or equal to the greatest of NFA's minimum financial requirements. The NFA was designated by the Commodity Futures Trading Commission as LPL Financial's primary regulator for such activities. Currently, the highest NFA requirement is the minimum net capital calculated pursuant to the SEC's Uniform Net Capital Rule.</w:t>
      </w:r>
    </w:p>
    <w:p>
      <w:pPr>
        <w:spacing w:after="0" w:line="19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addition to the minimum net capital requirements, the SEC and FINRA have established “early warning” capital requirements for broker-dealers that, when exceeded, limit certain activities of the broker-dealer. Early warning requirements provide advance warning that a firm's net capital is dropping toward its minimum requirement, allowing time for initiation of corrective action. For LPL Financial, an early warning level is reached if its net capital falls below 5.0% of aggregate debit balances. At June 30, 2014, LPL Financial's net capital was $187.5 million and its early warning requirement was $17.0 million. LPL Financial typically maintains net capital in excess of the early warning level to maintain its ability to grow its business, demonstrate the stability of its operations, and provide a safeguard in the event of sustained levels of market volatility.</w:t>
      </w:r>
    </w:p>
    <w:p>
      <w:pPr>
        <w:spacing w:after="0" w:line="203" w:lineRule="exact"/>
        <w:rPr>
          <w:sz w:val="20"/>
          <w:szCs w:val="20"/>
          <w:color w:val="auto"/>
        </w:rPr>
      </w:pPr>
    </w:p>
    <w:p>
      <w:pPr>
        <w:jc w:val="both"/>
        <w:ind w:right="80" w:firstLine="486"/>
        <w:spacing w:after="0" w:line="256" w:lineRule="auto"/>
        <w:rPr>
          <w:sz w:val="20"/>
          <w:szCs w:val="20"/>
          <w:color w:val="auto"/>
        </w:rPr>
      </w:pPr>
      <w:r>
        <w:rPr>
          <w:rFonts w:ascii="Arial" w:cs="Arial" w:eastAsia="Arial" w:hAnsi="Arial"/>
          <w:sz w:val="18"/>
          <w:szCs w:val="18"/>
          <w:color w:val="auto"/>
        </w:rPr>
        <w:t>LPL Financial's ability to pay dividends greater than 10% of its excess net capital during any 35-day rolling period requires approval from FINRA. In addition, payment of dividends is restricted if LPL Financial's net capital would be less than the FINRA early warning requirement of 5.0% of aggregate debit balances.</w:t>
      </w:r>
    </w:p>
    <w:p>
      <w:pPr>
        <w:spacing w:after="0" w:line="202" w:lineRule="exact"/>
        <w:rPr>
          <w:sz w:val="20"/>
          <w:szCs w:val="20"/>
          <w:color w:val="auto"/>
        </w:rPr>
      </w:pPr>
    </w:p>
    <w:p>
      <w:pPr>
        <w:jc w:val="both"/>
        <w:ind w:right="840" w:firstLine="486"/>
        <w:spacing w:after="0" w:line="256" w:lineRule="auto"/>
        <w:rPr>
          <w:sz w:val="20"/>
          <w:szCs w:val="20"/>
          <w:color w:val="auto"/>
        </w:rPr>
      </w:pPr>
      <w:r>
        <w:rPr>
          <w:rFonts w:ascii="Arial" w:cs="Arial" w:eastAsia="Arial" w:hAnsi="Arial"/>
          <w:sz w:val="18"/>
          <w:szCs w:val="18"/>
          <w:color w:val="auto"/>
        </w:rPr>
        <w:t>Our subsidiary, PTC, is also subject to various regulatory capital requirements. Failure to meet the respective minimum capital requirements can initiate certain mandatory and possible additional discretionary actions by regulators that, if undertaken, could have substantial monetary and non-monetary impacts on PTC's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34" w:lineRule="exact"/>
        <w:rPr>
          <w:sz w:val="20"/>
          <w:szCs w:val="20"/>
          <w:color w:val="auto"/>
        </w:rPr>
      </w:pPr>
    </w:p>
    <w:p>
      <w:pPr>
        <w:jc w:val="both"/>
        <w:ind w:right="260" w:firstLine="486"/>
        <w:spacing w:after="0" w:line="264" w:lineRule="auto"/>
        <w:rPr>
          <w:sz w:val="20"/>
          <w:szCs w:val="20"/>
          <w:color w:val="auto"/>
        </w:rPr>
      </w:pPr>
      <w:r>
        <w:rPr>
          <w:rFonts w:ascii="Arial" w:cs="Arial" w:eastAsia="Arial" w:hAnsi="Arial"/>
          <w:sz w:val="18"/>
          <w:szCs w:val="18"/>
          <w:color w:val="auto"/>
        </w:rPr>
        <w:t>On May 13, 2013, we entered into the First Amendment and Incremental Assumption Agreement (“Credit Agreement”) with our wholly owned subsidiary, LPL Holdings, Inc., and other parties thereto. The Credit Agreement amended our previous credit agreement, dated as of March 29, 2012.</w:t>
      </w:r>
    </w:p>
    <w:p>
      <w:pPr>
        <w:spacing w:after="0" w:line="195"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The Credit Agreement includes Term Loan A, which had an initial principal amount of $459.4 million maturing on March 29, 2017; Term Loan B, which had an initial principal amount of $1,083.9 million maturing on March 29, 2019; and the Revolving Credit Facility, which had an initial borrowing capacity of $250.0 million maturing on March 29, 2017.</w:t>
      </w:r>
    </w:p>
    <w:p>
      <w:pPr>
        <w:spacing w:after="0" w:line="202"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In addition, we maintain three uncommitted lines of credit at LPL Financial. Two of the lines have unspecified limits and are primarily dependent on our ability to provide sufficient collateral. The third line had a $200.0 million limit at June 30, 2014 and December 31, 2013, and allows for both collateralized and uncollateralized borrowings. The lines were utilized in 2013; however, there were no balances outstanding at June 30, 2014 or December 31, 2013.</w:t>
      </w:r>
    </w:p>
    <w:p>
      <w:pPr>
        <w:spacing w:after="0" w:line="204"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While our term loan is unhedged as of June 30, 2014, the risk of variability on our floating interest rate is partially mitigated by our cash sweep programs and client margin loans, which carry floating interest rates, as well as fees received from our cash sweep programs. At June 30, 2014, our receivables from our advisors’ clients for margin loan activity were approximately $273.7 million, and the balance of deposits in the cash sweep programs was $22.8 billion.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247"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Borrowings under Term Loan A and Term Loan B bear interest at a base rate equal to either one-, two-, three-, six-, nine-, or twelve-month LIBOR (the “Eurodollar Rate”) plus the applicable interest rate margin, or an alternative base rate (“ABR”) plus the applicable interest rate margin. The Eurodollar Rate with respect to Term Loan B shall in no event be less than 0.75%. The ABR is equal to the greatest of (a) the prime rate in effect on such day; (b) the effective federal funds rate in effect on such day plus 0.50%; (c) the Eurodollar Rate plus 1.00%; or (d) solely in the case of Term Loan B, 1.75%.</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90" w:right="239" w:bottom="1440" w:gutter="0" w:footer="0" w:header="0"/>
        </w:sectPr>
      </w:pPr>
    </w:p>
    <w:bookmarkStart w:id="44" w:name="page45"/>
    <w:bookmarkEnd w:id="44"/>
    <w:p>
      <w:pPr>
        <w:ind w:right="280" w:firstLine="486"/>
        <w:spacing w:after="0" w:line="256" w:lineRule="auto"/>
        <w:rPr>
          <w:sz w:val="20"/>
          <w:szCs w:val="20"/>
          <w:color w:val="auto"/>
        </w:rPr>
      </w:pPr>
      <w:r>
        <w:rPr>
          <w:rFonts w:ascii="Arial" w:cs="Arial" w:eastAsia="Arial" w:hAnsi="Arial"/>
          <w:sz w:val="18"/>
          <w:szCs w:val="18"/>
          <w:color w:val="auto"/>
        </w:rPr>
        <w:t>As of June 30, 2014, borrowings under the term loans bear interest at the Eurodollar Rate with an applicable interest rate margin of 2.50%. Borrowings under our Revolving Credit Facility bear interest with an applicable interest rate margin of 2.50%. The applicable interest rate margin on Term Loan A and the Revolving Credit Facility could change depending on our total leverage ratio.</w:t>
      </w:r>
    </w:p>
    <w:p>
      <w:pPr>
        <w:spacing w:after="0" w:line="202" w:lineRule="exact"/>
        <w:rPr>
          <w:sz w:val="20"/>
          <w:szCs w:val="20"/>
          <w:color w:val="auto"/>
        </w:rPr>
      </w:pPr>
    </w:p>
    <w:p>
      <w:pPr>
        <w:ind w:right="340" w:firstLine="486"/>
        <w:spacing w:after="0" w:line="254" w:lineRule="auto"/>
        <w:rPr>
          <w:sz w:val="20"/>
          <w:szCs w:val="20"/>
          <w:color w:val="auto"/>
        </w:rPr>
      </w:pPr>
      <w:r>
        <w:rPr>
          <w:rFonts w:ascii="Arial" w:cs="Arial" w:eastAsia="Arial" w:hAnsi="Arial"/>
          <w:sz w:val="18"/>
          <w:szCs w:val="18"/>
          <w:color w:val="auto"/>
        </w:rPr>
        <w:t>In addition to paying interest on outstanding principal under the Credit Agreement, we are required to pay a commitment fee to the lenders under the Revolving Credit Facility in respect of the unutilized commitments thereunder. The commitment fee rate at June 30, 2014 was 0.50% for our Revolving Credit Facility, but is subject to change depending on our leverage ratio. We must also pay customary letter of credit fees.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Prepayments</w:t>
      </w:r>
    </w:p>
    <w:p>
      <w:pPr>
        <w:spacing w:after="0" w:line="247" w:lineRule="exact"/>
        <w:rPr>
          <w:sz w:val="20"/>
          <w:szCs w:val="20"/>
          <w:color w:val="auto"/>
        </w:rPr>
      </w:pPr>
    </w:p>
    <w:p>
      <w:pPr>
        <w:ind w:right="860" w:firstLine="486"/>
        <w:spacing w:after="0" w:line="262" w:lineRule="auto"/>
        <w:rPr>
          <w:sz w:val="20"/>
          <w:szCs w:val="20"/>
          <w:color w:val="auto"/>
        </w:rPr>
      </w:pPr>
      <w:r>
        <w:rPr>
          <w:rFonts w:ascii="Arial" w:cs="Arial" w:eastAsia="Arial" w:hAnsi="Arial"/>
          <w:sz w:val="18"/>
          <w:szCs w:val="18"/>
          <w:color w:val="auto"/>
        </w:rPr>
        <w:t>The Credit Agreement requires us to prepay outstanding amounts under our senior secured term loan facility subject to certain exceptions, with:</w:t>
      </w:r>
    </w:p>
    <w:p>
      <w:pPr>
        <w:spacing w:after="0" w:line="196" w:lineRule="exact"/>
        <w:rPr>
          <w:sz w:val="20"/>
          <w:szCs w:val="20"/>
          <w:color w:val="auto"/>
        </w:rPr>
      </w:pPr>
    </w:p>
    <w:p>
      <w:pPr>
        <w:ind w:left="520" w:right="20" w:hanging="120"/>
        <w:spacing w:after="0" w:line="256"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100% of the net cash proceeds of all non-ordinary course asset sales or other dispositions of property (including insurance recoveries), if we do not reinvest or commit to reinvest those proceeds in assets to be used in our business or to make certain other permitted investments within 15 months as long as such reinvestment is completed within 180 days;</w:t>
      </w:r>
    </w:p>
    <w:p>
      <w:pPr>
        <w:spacing w:after="0" w:line="93" w:lineRule="exact"/>
        <w:rPr>
          <w:rFonts w:ascii="Arial" w:cs="Arial" w:eastAsia="Arial" w:hAnsi="Arial"/>
          <w:sz w:val="18"/>
          <w:szCs w:val="18"/>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100% of the net cash proceeds of any incurrence of debt, other than proceeds from debt permitted under the Credit Agreement; and</w:t>
      </w:r>
    </w:p>
    <w:p>
      <w:pPr>
        <w:spacing w:after="0" w:line="117" w:lineRule="exact"/>
        <w:rPr>
          <w:rFonts w:ascii="Arial" w:cs="Arial" w:eastAsia="Arial" w:hAnsi="Arial"/>
          <w:sz w:val="18"/>
          <w:szCs w:val="18"/>
          <w:color w:val="auto"/>
        </w:rPr>
      </w:pPr>
    </w:p>
    <w:p>
      <w:pPr>
        <w:ind w:left="520" w:right="100" w:hanging="120"/>
        <w:spacing w:after="0" w:line="256"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solely in the case of Term Loan B, 50% (percentage will be reduced to 0% if our total leverage ratio is 3.00 to 1.00 or less) of our annual excess cash flow (as defined in the Credit Agreement) adjusted for, among other things, changes in our net working capital (as of June 30, 2014 our total leverage ratio was 2.49).</w:t>
      </w:r>
    </w:p>
    <w:p>
      <w:pPr>
        <w:spacing w:after="0" w:line="25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Mandatory prepayments in respect of the incurrence of any debt can be applied by us to scheduled installments of principal of Term Loan A and Term Loan B in any order at our direction. Any other mandatory prepayments described above will be applied to scheduled installments of principal of Term Loan A and Term Loan B in direct order. We may voluntarily repay outstanding term loans under the Credit Agreement at any time without premium or penalty, other than customary “breakage” costs with respect to Eurodollar Rate loans.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At the time we entered into the Credit Agreement, we prepaid all mandatory payments required under Term Loan A with the remaining principal and accrued interest due upon maturity. Term Loan B includes quarterly payments at an annual rate of 1.0% of principal per year with the remaining principal and accrued interest due upon maturity. Any outstanding principal under the Revolving Credit Facility will be due upon maturity.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loans under the Credit Agreement are secured primarily through pledges of the capital stock in certain of our subsidiaries.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 and Events of Default</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contains a number of covenants that, among other things, may restrict our ability to:</w:t>
      </w:r>
    </w:p>
    <w:p>
      <w:pPr>
        <w:spacing w:after="0" w:line="117" w:lineRule="exact"/>
        <w:rPr>
          <w:sz w:val="20"/>
          <w:szCs w:val="20"/>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dividends and distributions or repurchase our capital stock;</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investments, loans, or advances; or</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1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Our Credit Agreement prohibits us from paying dividends and distributions or repurchasing our capital stock except for limited purposes, including, but not limited to payments in connection with: (i) redemption, repurchase, retirement, or other acquisition of our equity interests from present or former officers, managers, consultants, employees and directors upon the death, disability, retirement, or termination of employment of any such person or otherwise in accordance with any stock option or stock appreciation rights plan, any management or employee stock ownership plan, stock subscription plan, employment termination agreement or any employment agreements or stockholders’ agreement, in an aggregate amount not to exceed $10.0 million in any fiscal year plus the amount of cash proceeds from certain equity issuances to such persons, and the amount of certain key-man life insurance</w:t>
      </w:r>
    </w:p>
    <w:p>
      <w:pPr>
        <w:sectPr>
          <w:pgSz w:w="11900" w:h="16838" w:orient="portrait"/>
          <w:cols w:equalWidth="0" w:num="1">
            <w:col w:w="11400"/>
          </w:cols>
          <w:pgMar w:left="240" w:top="490" w:right="259" w:bottom="1440" w:gutter="0" w:footer="0" w:header="0"/>
        </w:sect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00"/>
          </w:cols>
          <w:pgMar w:left="240" w:top="490" w:right="259" w:bottom="1440" w:gutter="0" w:footer="0" w:header="0"/>
          <w:type w:val="continuous"/>
        </w:sectPr>
      </w:pPr>
    </w:p>
    <w:bookmarkStart w:id="45" w:name="page46"/>
    <w:bookmarkEnd w:id="45"/>
    <w:p>
      <w:pPr>
        <w:ind w:right="80"/>
        <w:spacing w:after="0" w:line="252" w:lineRule="auto"/>
        <w:rPr>
          <w:sz w:val="20"/>
          <w:szCs w:val="20"/>
          <w:color w:val="auto"/>
        </w:rPr>
      </w:pPr>
      <w:r>
        <w:rPr>
          <w:rFonts w:ascii="Arial" w:cs="Arial" w:eastAsia="Arial" w:hAnsi="Arial"/>
          <w:sz w:val="18"/>
          <w:szCs w:val="18"/>
          <w:color w:val="auto"/>
        </w:rPr>
        <w:t>proceeds, (ii) franchise taxes, general corporate and operating expenses not to exceed $3.0 million in any fiscal year, and fees and expenses related to any unsuccessful equity or debt offering permitted by the Amended Credit Agreement, (iii) tax liabilities to the extent attributable to our business and our subsidiaries and (iv) dividends and other distributions in an aggregate amount not to exceed the sum of (a) the greater of $250,000,000 or 6.75% of our consolidated total assets, (b) the available amount (as defined in the Credit Agreement), (c) the available equity amount (as defined in the Credit Agreement), and (d) the incremental dividend amount (as defined in the Credit Agreement). Notwithstanding the foregoing, we may make unlimited dividends and distributions provided that after giving pro forma effect thereto, our total leverage ratio does not exceed 2.0. As of June 30, 2014, we have the ability to make dividends and distributions or repurchase our capital stock totaling $381.1 million, subject to approval by the Board.</w:t>
      </w:r>
    </w:p>
    <w:p>
      <w:pPr>
        <w:spacing w:after="0" w:line="98"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The share repurchase programs approved in September 2012, May 2013, and February 2014 were authorized by the Board pursuant to item (iv) above. Any future declarations of quarterly cash dividends will be authorized pursuant to item (iv) above.</w:t>
      </w:r>
    </w:p>
    <w:p>
      <w:pPr>
        <w:spacing w:after="0" w:line="88"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In addition, our financial covenant requirements include a total leverage ratio test and an interest coverage ratio test. Each of our financial ratios is measured at the end of each fiscal quarter. Our Credit Agreement provides us with a right to cure in the event we fail to comply with our leverage ratio test or our interest coverage ratio test. We must exercise this right to cure within ten days of the delivery of our quarterly certificate calculating the financial ratios for that quarter.</w:t>
      </w:r>
    </w:p>
    <w:p>
      <w:pPr>
        <w:spacing w:after="0" w:line="96"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The leverage ratio test and interest coverage ratio test use a Credit Agreement Adjusted EBITDA, which starts with Adjusted EBITDA and then excludes the recognition of share-based compensation expense from equity awards granted to advisors and financial institutions based on the fair value of the awards at each reporting period as well as other items, including employee severance costs, employee signing costs, and employee retention or completion bonuses.</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covenant requirements and actual ratios as of June 30, 2014 and December 31, 2013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20" w:type="dxa"/>
            <w:vAlign w:val="bottom"/>
          </w:tcPr>
          <w:p>
            <w:pPr>
              <w:spacing w:after="0"/>
              <w:rPr>
                <w:sz w:val="19"/>
                <w:szCs w:val="19"/>
                <w:color w:val="auto"/>
              </w:rPr>
            </w:pPr>
          </w:p>
        </w:tc>
        <w:tc>
          <w:tcPr>
            <w:tcW w:w="2880" w:type="dxa"/>
            <w:vAlign w:val="bottom"/>
            <w:gridSpan w:val="4"/>
          </w:tcPr>
          <w:p>
            <w:pPr>
              <w:ind w:left="860"/>
              <w:spacing w:after="0"/>
              <w:rPr>
                <w:sz w:val="20"/>
                <w:szCs w:val="20"/>
                <w:color w:val="auto"/>
              </w:rPr>
            </w:pPr>
            <w:r>
              <w:rPr>
                <w:rFonts w:ascii="Arial" w:cs="Arial" w:eastAsia="Arial" w:hAnsi="Arial"/>
                <w:sz w:val="16"/>
                <w:szCs w:val="16"/>
                <w:b w:val="1"/>
                <w:bCs w:val="1"/>
                <w:color w:val="auto"/>
              </w:rPr>
              <w:t>June 30, 2014</w:t>
            </w:r>
          </w:p>
        </w:tc>
        <w:tc>
          <w:tcPr>
            <w:tcW w:w="2720" w:type="dxa"/>
            <w:vAlign w:val="bottom"/>
            <w:gridSpan w:val="3"/>
          </w:tcPr>
          <w:p>
            <w:pPr>
              <w:ind w:left="640"/>
              <w:spacing w:after="0"/>
              <w:rPr>
                <w:sz w:val="20"/>
                <w:szCs w:val="20"/>
                <w:color w:val="auto"/>
              </w:rPr>
            </w:pPr>
            <w:r>
              <w:rPr>
                <w:rFonts w:ascii="Arial" w:cs="Arial" w:eastAsia="Arial" w:hAnsi="Arial"/>
                <w:sz w:val="16"/>
                <w:szCs w:val="16"/>
                <w:b w:val="1"/>
                <w:bCs w:val="1"/>
                <w:color w:val="auto"/>
              </w:rPr>
              <w:t>December 31, 2013</w:t>
            </w:r>
          </w:p>
        </w:tc>
      </w:tr>
      <w:tr>
        <w:trPr>
          <w:trHeight w:val="198"/>
        </w:trPr>
        <w:tc>
          <w:tcPr>
            <w:tcW w:w="5820" w:type="dxa"/>
            <w:vAlign w:val="bottom"/>
          </w:tcPr>
          <w:p>
            <w:pPr>
              <w:spacing w:after="0"/>
              <w:rPr>
                <w:sz w:val="17"/>
                <w:szCs w:val="17"/>
                <w:color w:val="auto"/>
              </w:rPr>
            </w:pPr>
          </w:p>
        </w:tc>
        <w:tc>
          <w:tcPr>
            <w:tcW w:w="16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Covenant</w:t>
            </w: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Covenant</w:t>
            </w:r>
          </w:p>
        </w:tc>
        <w:tc>
          <w:tcPr>
            <w:tcW w:w="1140" w:type="dxa"/>
            <w:vAlign w:val="bottom"/>
            <w:tcBorders>
              <w:top w:val="single" w:sz="8" w:color="auto"/>
            </w:tcBorders>
          </w:tcPr>
          <w:p>
            <w:pPr>
              <w:spacing w:after="0"/>
              <w:rPr>
                <w:sz w:val="17"/>
                <w:szCs w:val="17"/>
                <w:color w:val="auto"/>
              </w:rPr>
            </w:pPr>
          </w:p>
        </w:tc>
      </w:tr>
      <w:tr>
        <w:trPr>
          <w:trHeight w:val="228"/>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Financial Ratio</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Requirement</w:t>
            </w: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Actual Ratio</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Requirement</w:t>
            </w:r>
          </w:p>
        </w:tc>
        <w:tc>
          <w:tcPr>
            <w:tcW w:w="1140" w:type="dxa"/>
            <w:vAlign w:val="bottom"/>
          </w:tcPr>
          <w:p>
            <w:pPr>
              <w:ind w:left="100"/>
              <w:spacing w:after="0"/>
              <w:rPr>
                <w:sz w:val="20"/>
                <w:szCs w:val="20"/>
                <w:color w:val="auto"/>
              </w:rPr>
            </w:pPr>
            <w:r>
              <w:rPr>
                <w:rFonts w:ascii="Arial" w:cs="Arial" w:eastAsia="Arial" w:hAnsi="Arial"/>
                <w:sz w:val="16"/>
                <w:szCs w:val="16"/>
                <w:b w:val="1"/>
                <w:bCs w:val="1"/>
                <w:color w:val="auto"/>
              </w:rPr>
              <w:t>Actual Ratio</w:t>
            </w:r>
          </w:p>
        </w:tc>
      </w:tr>
      <w:tr>
        <w:trPr>
          <w:trHeight w:val="257"/>
        </w:trPr>
        <w:tc>
          <w:tcPr>
            <w:tcW w:w="5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Leverage Test (Maximum)</w:t>
            </w: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4.25</w:t>
            </w:r>
          </w:p>
        </w:tc>
        <w:tc>
          <w:tcPr>
            <w:tcW w:w="120" w:type="dxa"/>
            <w:vAlign w:val="bottom"/>
            <w:tcBorders>
              <w:top w:val="single" w:sz="8" w:color="CCEEFF"/>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2.49</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4.25</w:t>
            </w:r>
          </w:p>
        </w:tc>
        <w:tc>
          <w:tcPr>
            <w:tcW w:w="10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2.34</w:t>
            </w:r>
          </w:p>
        </w:tc>
      </w:tr>
      <w:tr>
        <w:trPr>
          <w:trHeight w:val="251"/>
        </w:trPr>
        <w:tc>
          <w:tcPr>
            <w:tcW w:w="5820" w:type="dxa"/>
            <w:vAlign w:val="bottom"/>
          </w:tcPr>
          <w:p>
            <w:pPr>
              <w:ind w:left="40"/>
              <w:spacing w:after="0"/>
              <w:rPr>
                <w:sz w:val="20"/>
                <w:szCs w:val="20"/>
                <w:color w:val="auto"/>
              </w:rPr>
            </w:pPr>
            <w:r>
              <w:rPr>
                <w:rFonts w:ascii="Arial" w:cs="Arial" w:eastAsia="Arial" w:hAnsi="Arial"/>
                <w:sz w:val="16"/>
                <w:szCs w:val="16"/>
                <w:color w:val="auto"/>
              </w:rPr>
              <w:t>Interest Coverage (Minimum)</w:t>
            </w:r>
          </w:p>
        </w:tc>
        <w:tc>
          <w:tcPr>
            <w:tcW w:w="1500" w:type="dxa"/>
            <w:vAlign w:val="bottom"/>
          </w:tcPr>
          <w:p>
            <w:pPr>
              <w:jc w:val="center"/>
              <w:spacing w:after="0"/>
              <w:rPr>
                <w:sz w:val="20"/>
                <w:szCs w:val="20"/>
                <w:color w:val="auto"/>
              </w:rPr>
            </w:pPr>
            <w:r>
              <w:rPr>
                <w:rFonts w:ascii="Arial" w:cs="Arial" w:eastAsia="Arial" w:hAnsi="Arial"/>
                <w:sz w:val="16"/>
                <w:szCs w:val="16"/>
                <w:color w:val="auto"/>
                <w:w w:val="96"/>
              </w:rPr>
              <w:t>3.00</w:t>
            </w:r>
          </w:p>
        </w:tc>
        <w:tc>
          <w:tcPr>
            <w:tcW w:w="1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1"/>
                <w:szCs w:val="21"/>
                <w:color w:val="auto"/>
              </w:rPr>
            </w:pPr>
          </w:p>
        </w:tc>
        <w:tc>
          <w:tcPr>
            <w:tcW w:w="1140" w:type="dxa"/>
            <w:vAlign w:val="bottom"/>
          </w:tcPr>
          <w:p>
            <w:pPr>
              <w:jc w:val="right"/>
              <w:ind w:right="279"/>
              <w:spacing w:after="0"/>
              <w:rPr>
                <w:sz w:val="20"/>
                <w:szCs w:val="20"/>
                <w:color w:val="auto"/>
              </w:rPr>
            </w:pPr>
            <w:r>
              <w:rPr>
                <w:rFonts w:ascii="Arial" w:cs="Arial" w:eastAsia="Arial" w:hAnsi="Arial"/>
                <w:sz w:val="16"/>
                <w:szCs w:val="16"/>
                <w:color w:val="auto"/>
              </w:rPr>
              <w:t>10.91</w:t>
            </w:r>
          </w:p>
        </w:tc>
      </w:tr>
    </w:tbl>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2014 and December 31, 2013 we were in compliance with all of our covenant requirements.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 xml:space="preserve">We enter into various off-balance-sheet arrangements in the ordinary course of business, primarily to meet the needs of our advisors’ clients. These arrangements include firm commitments to extend credit. For information on these arrangements, see Note 9.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and Note 15.</w:t>
      </w:r>
      <w:r>
        <w:rPr>
          <w:rFonts w:ascii="Arial" w:cs="Arial" w:eastAsia="Arial" w:hAnsi="Arial"/>
          <w:sz w:val="18"/>
          <w:szCs w:val="18"/>
          <w:i w:val="1"/>
          <w:iCs w:val="1"/>
          <w:color w:val="auto"/>
        </w:rPr>
        <w:t xml:space="preserve"> Financial Instruments with Off-Balance-Sheet Credit Risk and Concentrations of Credit Risk</w:t>
      </w:r>
      <w:r>
        <w:rPr>
          <w:rFonts w:ascii="Arial" w:cs="Arial" w:eastAsia="Arial" w:hAnsi="Arial"/>
          <w:sz w:val="18"/>
          <w:szCs w:val="18"/>
          <w:color w:val="auto"/>
        </w:rPr>
        <w:t>, within the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unaudited condensed consolidated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In March 2014 we entered into a lease agreement for additional office space in Charlotte, North Carolina with a lease commencement date of March 1, 2014 and an expiration date of February 28, 2017. Future minimum payments for this lease commitment are $0.4 million, $1.0 million, $1.1 million, and $0.2 million, for the years 2014, 2015, 2016, and 2017, respectively.</w:t>
      </w:r>
    </w:p>
    <w:p>
      <w:pPr>
        <w:spacing w:after="0" w:line="25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 xml:space="preserve">In the three months ended June 30, 2014 there have been no material changes in our contractual obligations, other than in the ordinary course of business, from those above or disclosed in our 2013 Annual Report on Form 10-K. See Note 8.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Commitment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within the notes to unaudited condensed consolidated financial statements, as well as the Contractual Obligations section within</w:t>
      </w:r>
      <w:r>
        <w:rPr>
          <w:rFonts w:ascii="Arial" w:cs="Arial" w:eastAsia="Arial" w:hAnsi="Arial"/>
          <w:sz w:val="18"/>
          <w:szCs w:val="18"/>
          <w:i w:val="1"/>
          <w:iCs w:val="1"/>
          <w:color w:val="auto"/>
        </w:rPr>
        <w:t xml:space="preserve"> </w:t>
      </w:r>
      <w:r>
        <w:rPr>
          <w:rFonts w:ascii="Arial" w:cs="Arial" w:eastAsia="Arial" w:hAnsi="Arial"/>
          <w:sz w:val="18"/>
          <w:szCs w:val="18"/>
          <w:color w:val="auto"/>
        </w:rPr>
        <w:t>Part II, “Item 7. Management’s Discussion and Analysis of Financial Condition and Results of Operations” in our 2013 Annual Report on Form 10-K, for further detail on operating lease obligations and obligations under noncancelable service contracts.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8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w:t>
      </w:r>
    </w:p>
    <w:p>
      <w:pPr>
        <w:spacing w:after="0" w:line="225" w:lineRule="exact"/>
        <w:rPr>
          <w:sz w:val="20"/>
          <w:szCs w:val="20"/>
          <w:color w:val="auto"/>
        </w:rPr>
      </w:pPr>
    </w:p>
    <w:p>
      <w:pPr>
        <w:ind w:right="280" w:firstLine="486"/>
        <w:spacing w:after="0" w:line="278" w:lineRule="auto"/>
        <w:rPr>
          <w:sz w:val="20"/>
          <w:szCs w:val="20"/>
          <w:color w:val="auto"/>
        </w:rPr>
      </w:pPr>
      <w:r>
        <w:rPr>
          <w:rFonts w:ascii="Arial" w:cs="Arial" w:eastAsia="Arial" w:hAnsi="Arial"/>
          <w:sz w:val="17"/>
          <w:szCs w:val="17"/>
          <w:color w:val="auto"/>
        </w:rPr>
        <w:t>We use prices obtained from an independent third-party pricing service to measure the fair value of our trading securities. We validate prices received from the pricing service using various methods, including comparison to prices received from additional pricing services, comparison to available market prices and review of other relevant market data including implied yields of major categories of securities.</w:t>
      </w:r>
    </w:p>
    <w:p>
      <w:pPr>
        <w:spacing w:after="0" w:line="185" w:lineRule="exact"/>
        <w:rPr>
          <w:sz w:val="20"/>
          <w:szCs w:val="20"/>
          <w:color w:val="auto"/>
        </w:rPr>
      </w:pPr>
    </w:p>
    <w:p>
      <w:pPr>
        <w:ind w:right="340" w:firstLine="486"/>
        <w:spacing w:after="0" w:line="256" w:lineRule="auto"/>
        <w:rPr>
          <w:sz w:val="20"/>
          <w:szCs w:val="20"/>
          <w:color w:val="auto"/>
        </w:rPr>
      </w:pPr>
      <w:r>
        <w:rPr>
          <w:rFonts w:ascii="Arial" w:cs="Arial" w:eastAsia="Arial" w:hAnsi="Arial"/>
          <w:sz w:val="18"/>
          <w:szCs w:val="18"/>
          <w:color w:val="auto"/>
        </w:rPr>
        <w:t>At June 30, 2014, we did not adjust prices received from the independent third-party pricing service. For certificates of deposit and treasury securities, we utilize market-based inputs including observable market interest rates that correspond to the remaining maturities or next interest reset dates.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In the notes to our consolidated financial statements and in “Item 7-Management’s Discussion and Analysis of Financial Condition and Results of Operations” included in our 2013 Annual Report on Form 10-K, we have disclosed those accounting policies that we consider to be significant in determining our results of operations and financial condition. There have been no material changes to those policies that we consider to be significant since the filing of our 2013 Annual Report on Form 10-K. The accounting principles used in preparing our unaudited condensed consolidated financial statements conform in all material respects to GAAP.</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83"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 xml:space="preserve">In April 2014, the Financial Accounting Standards Board (“FASB”) issued Accounting Standards Update (“ASU”) 2014-08, </w:t>
      </w:r>
      <w:r>
        <w:rPr>
          <w:rFonts w:ascii="Arial" w:cs="Arial" w:eastAsia="Arial" w:hAnsi="Arial"/>
          <w:sz w:val="18"/>
          <w:szCs w:val="18"/>
          <w:i w:val="1"/>
          <w:iCs w:val="1"/>
          <w:color w:val="auto"/>
        </w:rPr>
        <w:t>Presentation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Statements (Topic 205) and Property, Plant and Equipment (Topic 360)</w:t>
      </w:r>
      <w:r>
        <w:rPr>
          <w:rFonts w:ascii="Arial" w:cs="Arial" w:eastAsia="Arial" w:hAnsi="Arial"/>
          <w:sz w:val="18"/>
          <w:szCs w:val="18"/>
          <w:color w:val="auto"/>
        </w:rPr>
        <w:t>, which changes the requirements for reporting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that may include a component of an entity or a group of components of an entity, or a business or nonprofit activity. A disposal of a component of an entity or a group of components of an entity is required to be reported in discontinued operations if the disposal represents a strategic shift that has, or will have, a major effect on an entity's operations and financial results when any of the following criteria is met with respect to the disposal: it can be classified as held for sale, disposed of by sale, or disposed of other than by sale (such as by abandonment, or in a distribution to owners in a spinoff). ASU 2014-08 will become effective for us beginning January 1, 2015. We do not anticipate that the adoption of ASU 2014-08 will have a material impact on its results of operations, financial condition, or cash flows.</w:t>
      </w:r>
    </w:p>
    <w:p>
      <w:pPr>
        <w:spacing w:after="0" w:line="239" w:lineRule="exact"/>
        <w:rPr>
          <w:sz w:val="20"/>
          <w:szCs w:val="20"/>
          <w:color w:val="auto"/>
        </w:rPr>
      </w:pPr>
    </w:p>
    <w:p>
      <w:pPr>
        <w:ind w:right="120" w:firstLine="486"/>
        <w:spacing w:after="0" w:line="261"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completes the joint effort by the FASB and the International Accounting Standards Board to improve financial reporting by creating common revenue recognition guidance for GAAP and the International Financial Reporting Standards. ASU 2014-09 will become effective for us beginning January 1, 2017 and early adoption is not permitted. We are currently evaluating the potential impact of ASU 2014-09 on its consolidated financial statements.</w:t>
      </w:r>
    </w:p>
    <w:p>
      <w:pPr>
        <w:spacing w:after="0" w:line="234"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 xml:space="preserve">In June 2014, the FASB issued ASU 2014-12,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 which requires that a performance target that affects vesting and that could be achieved after the requisite service period be treated as a performance condition. ASU 2014-12 will become effective for us beginning January 1, 2016 and early adoption is permitted. We do not anticipate that the adoption of ASU 2014-08 will have a material impact on its results of operations, financial condition, or cash flows.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4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include mutual funds, debt securities issued by the U.S. government, money market funds, corporate debt securities, certificates of deposit, and equity securities.</w:t>
      </w:r>
    </w:p>
    <w:p>
      <w:pPr>
        <w:spacing w:after="0" w:line="204" w:lineRule="exact"/>
        <w:rPr>
          <w:sz w:val="20"/>
          <w:szCs w:val="20"/>
          <w:color w:val="auto"/>
        </w:rPr>
      </w:pPr>
    </w:p>
    <w:p>
      <w:pPr>
        <w:jc w:val="both"/>
        <w:ind w:right="140" w:firstLine="486"/>
        <w:spacing w:after="0" w:line="274" w:lineRule="auto"/>
        <w:rPr>
          <w:sz w:val="20"/>
          <w:szCs w:val="20"/>
          <w:color w:val="auto"/>
        </w:rPr>
      </w:pPr>
      <w:r>
        <w:rPr>
          <w:rFonts w:ascii="Arial" w:cs="Arial" w:eastAsia="Arial" w:hAnsi="Arial"/>
          <w:sz w:val="17"/>
          <w:szCs w:val="17"/>
          <w:color w:val="auto"/>
        </w:rPr>
        <w:t>Changes in the value of our trading inventory may result from fluctuations in interest rates, credit ratings of the issuer, equity prices, and the correlation among these factors. We manage our trading inventory by product type. Our activities to facilitate client transactions generally involve mutual fund activities, including dividend reinvestments. The balances are based on pending client activities that which are monitored by our Client Support Services department. Because these positions arise from pending client transactions, there are no specific trading</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22" w:right="259" w:bottom="1440" w:gutter="0" w:footer="0" w:header="0"/>
        </w:sectPr>
      </w:pPr>
    </w:p>
    <w:bookmarkStart w:id="47" w:name="page48"/>
    <w:bookmarkEnd w:id="47"/>
    <w:p>
      <w:pPr>
        <w:ind w:right="120"/>
        <w:spacing w:after="0" w:line="252" w:lineRule="auto"/>
        <w:rPr>
          <w:sz w:val="20"/>
          <w:szCs w:val="20"/>
          <w:color w:val="auto"/>
        </w:rPr>
      </w:pPr>
      <w:r>
        <w:rPr>
          <w:rFonts w:ascii="Arial" w:cs="Arial" w:eastAsia="Arial" w:hAnsi="Arial"/>
          <w:sz w:val="18"/>
          <w:szCs w:val="18"/>
          <w:color w:val="auto"/>
        </w:rPr>
        <w:t>or position limits. Positions held to meet clearing deposit requirements consist of U.S. government securities. The amount of securities deposited depends upon the requirements of the clearing organization. The level of securities deposited is monitored by the settlement area within our Client Support Services department. Our research department develops model portfolios that are used by advisors in developing client portfolios. We currently maintain approximately 185 accounts based on model portfolios. At the time a portfolio is developed, we purchase the securities in that model portfolio in an amount equal to the account minimum for a client. Account minimums vary by product and can range from $10,000 to $250,000 per model. We utilize these positions to track the performance of the research department. The limits on this activity are established at the inception of each new model.</w:t>
      </w:r>
    </w:p>
    <w:p>
      <w:pPr>
        <w:spacing w:after="0" w:line="207" w:lineRule="exact"/>
        <w:rPr>
          <w:sz w:val="20"/>
          <w:szCs w:val="20"/>
          <w:color w:val="auto"/>
        </w:rPr>
      </w:pPr>
    </w:p>
    <w:p>
      <w:pPr>
        <w:ind w:right="220" w:firstLine="486"/>
        <w:spacing w:after="0" w:line="252" w:lineRule="auto"/>
        <w:rPr>
          <w:sz w:val="20"/>
          <w:szCs w:val="20"/>
          <w:color w:val="auto"/>
        </w:rPr>
      </w:pPr>
      <w:r>
        <w:rPr>
          <w:rFonts w:ascii="Arial" w:cs="Arial" w:eastAsia="Arial" w:hAnsi="Arial"/>
          <w:sz w:val="18"/>
          <w:szCs w:val="18"/>
          <w:color w:val="auto"/>
        </w:rPr>
        <w:t xml:space="preserve">At June 30, 2014, the fair value of our trading securities owned were $11.0 million. Securities sold, but not yet purchased were $ 0.1 million at June 30, 2014. The fair value of securities included within other assets were $71.7 million at June 30, 2014. See Note 4.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within the notes to unaudited condensed consolidated financial statements for information regarding the fair value of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securities owned, securities sold, but not yet purchased and other assets associated with our client facilitation activities. See Note 5. </w:t>
      </w:r>
      <w:r>
        <w:rPr>
          <w:rFonts w:ascii="Arial" w:cs="Arial" w:eastAsia="Arial" w:hAnsi="Arial"/>
          <w:sz w:val="18"/>
          <w:szCs w:val="18"/>
          <w:i w:val="1"/>
          <w:iCs w:val="1"/>
          <w:color w:val="auto"/>
        </w:rPr>
        <w:t>Held-to-Maturity Securities</w:t>
      </w:r>
      <w:r>
        <w:rPr>
          <w:rFonts w:ascii="Arial" w:cs="Arial" w:eastAsia="Arial" w:hAnsi="Arial"/>
          <w:sz w:val="18"/>
          <w:szCs w:val="18"/>
          <w:color w:val="auto"/>
        </w:rPr>
        <w:t>, within the notes to unaudited condensed consolidated financial statements for information regarding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held to maturity.</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enter into contracts involving derivatives or other similar financial instruments for trading or proprietary purposes.</w:t>
      </w:r>
    </w:p>
    <w:p>
      <w:pPr>
        <w:spacing w:after="0" w:line="225"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We also have market risk on the fees we earn that are based on the market value of advisory and brokerage assets, assets on which trailing commissions are paid, and assets eligible for sponsor payments.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7"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We are exposed to risk associated with changes in interest rates. As of June 30, 2014, all of the outstanding debt under our Credit Agreement, $1.5 billion, was subject to floating interest rate risk. While our senior secured term loans are subject to increases in interest rates, we do not believe that a short-term change in interest rates would have a material impact on our income before taxes.</w:t>
      </w:r>
    </w:p>
    <w:p>
      <w:pPr>
        <w:spacing w:after="0" w:line="94"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at June 30, 2014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Outstanding at</w:t>
            </w:r>
          </w:p>
        </w:tc>
        <w:tc>
          <w:tcPr>
            <w:tcW w:w="16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10"/>
          </w:tcPr>
          <w:p>
            <w:pPr>
              <w:jc w:val="right"/>
              <w:ind w:right="414"/>
              <w:spacing w:after="0"/>
              <w:rPr>
                <w:sz w:val="20"/>
                <w:szCs w:val="20"/>
                <w:color w:val="auto"/>
              </w:rPr>
            </w:pPr>
            <w:r>
              <w:rPr>
                <w:rFonts w:ascii="Arial" w:cs="Arial" w:eastAsia="Arial" w:hAnsi="Arial"/>
                <w:sz w:val="16"/>
                <w:szCs w:val="16"/>
                <w:b w:val="1"/>
                <w:bCs w:val="1"/>
                <w:color w:val="auto"/>
              </w:rPr>
              <w:t>Annual Impact of an Interest Rate Increase of</w:t>
            </w:r>
          </w:p>
        </w:tc>
        <w:tc>
          <w:tcPr>
            <w:tcW w:w="0" w:type="dxa"/>
            <w:vAlign w:val="bottom"/>
          </w:tcPr>
          <w:p>
            <w:pPr>
              <w:spacing w:after="0"/>
              <w:rPr>
                <w:sz w:val="1"/>
                <w:szCs w:val="1"/>
                <w:color w:val="auto"/>
              </w:rPr>
            </w:pPr>
          </w:p>
        </w:tc>
      </w:tr>
      <w:tr>
        <w:trPr>
          <w:trHeight w:val="117"/>
        </w:trPr>
        <w:tc>
          <w:tcPr>
            <w:tcW w:w="5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10 Basis</w:t>
            </w:r>
          </w:p>
        </w:tc>
        <w:tc>
          <w:tcPr>
            <w:tcW w:w="16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25 Basis</w:t>
            </w:r>
          </w:p>
        </w:tc>
        <w:tc>
          <w:tcPr>
            <w:tcW w:w="16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50 Basis</w:t>
            </w:r>
          </w:p>
        </w:tc>
        <w:tc>
          <w:tcPr>
            <w:tcW w:w="140" w:type="dxa"/>
            <w:vAlign w:val="bottom"/>
          </w:tcPr>
          <w:p>
            <w:pPr>
              <w:spacing w:after="0"/>
              <w:rPr>
                <w:sz w:val="10"/>
                <w:szCs w:val="10"/>
                <w:color w:val="auto"/>
              </w:rPr>
            </w:pPr>
          </w:p>
        </w:tc>
        <w:tc>
          <w:tcPr>
            <w:tcW w:w="900" w:type="dxa"/>
            <w:vAlign w:val="bottom"/>
            <w:vMerge w:val="restart"/>
          </w:tcPr>
          <w:p>
            <w:pPr>
              <w:jc w:val="right"/>
              <w:ind w:right="54"/>
              <w:spacing w:after="0"/>
              <w:rPr>
                <w:sz w:val="20"/>
                <w:szCs w:val="20"/>
                <w:color w:val="auto"/>
              </w:rPr>
            </w:pPr>
            <w:r>
              <w:rPr>
                <w:rFonts w:ascii="Arial" w:cs="Arial" w:eastAsia="Arial" w:hAnsi="Arial"/>
                <w:sz w:val="16"/>
                <w:szCs w:val="16"/>
                <w:b w:val="1"/>
                <w:bCs w:val="1"/>
                <w:color w:val="auto"/>
              </w:rPr>
              <w:t>100 Basis</w:t>
            </w:r>
          </w:p>
        </w:tc>
        <w:tc>
          <w:tcPr>
            <w:tcW w:w="0" w:type="dxa"/>
            <w:vAlign w:val="bottom"/>
          </w:tcPr>
          <w:p>
            <w:pPr>
              <w:spacing w:after="0"/>
              <w:rPr>
                <w:sz w:val="1"/>
                <w:szCs w:val="1"/>
                <w:color w:val="auto"/>
              </w:rPr>
            </w:pPr>
          </w:p>
        </w:tc>
      </w:tr>
      <w:tr>
        <w:trPr>
          <w:trHeight w:val="134"/>
        </w:trPr>
        <w:tc>
          <w:tcPr>
            <w:tcW w:w="5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Variable Interest</w:t>
            </w: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5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Senior Secured Term Loans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rPr>
              <w:t>Rates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Points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0" w:type="dxa"/>
            <w:vAlign w:val="bottom"/>
          </w:tcPr>
          <w:p>
            <w:pPr>
              <w:spacing w:after="0"/>
              <w:rPr>
                <w:sz w:val="1"/>
                <w:szCs w:val="1"/>
                <w:color w:val="auto"/>
              </w:rPr>
            </w:pPr>
          </w:p>
        </w:tc>
      </w:tr>
      <w:tr>
        <w:trPr>
          <w:trHeight w:val="257"/>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Loan A(1)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459,375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64"/>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Term Loan B(2)</w:t>
            </w:r>
          </w:p>
        </w:tc>
        <w:tc>
          <w:tcPr>
            <w:tcW w:w="180" w:type="dxa"/>
            <w:vAlign w:val="bottom"/>
          </w:tcPr>
          <w:p>
            <w:pPr>
              <w:spacing w:after="0"/>
              <w:rPr>
                <w:sz w:val="22"/>
                <w:szCs w:val="22"/>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1,070,302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57"/>
        </w:trPr>
        <w:tc>
          <w:tcPr>
            <w:tcW w:w="5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Variable Rate Debt Outstanding</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1,529,677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1,148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3,231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10,859</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1"/>
                <w:szCs w:val="11"/>
                <w:color w:val="auto"/>
              </w:rPr>
              <w:t>_______________________</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320" w:hanging="328"/>
        <w:spacing w:after="0" w:line="26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variable interest rate for Term Loan A is the one-month LIBOR, designated at 0.15%, plus the applicable interest rate margin of 2.50%.</w:t>
      </w:r>
    </w:p>
    <w:p>
      <w:pPr>
        <w:spacing w:after="0" w:line="88" w:lineRule="exact"/>
        <w:rPr>
          <w:rFonts w:ascii="Arial" w:cs="Arial" w:eastAsia="Arial" w:hAnsi="Arial"/>
          <w:sz w:val="18"/>
          <w:szCs w:val="18"/>
          <w:color w:val="auto"/>
        </w:rPr>
      </w:pPr>
    </w:p>
    <w:p>
      <w:pPr>
        <w:ind w:left="660" w:right="160" w:hanging="328"/>
        <w:spacing w:after="0" w:line="25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variable interest rate for Term Loan B is the greater of the LIBOR rate for the period selected (one-, three-, six-, nine-, or twelve-month) or 0.75%, plus the applicable interest rate margin of 2.50%. As of June 30, 2014, we elected the six-month LIBOR, which was less than 0.75%; as a result, the variable interest rate for Term Loan B was 0.75%, plus the applicable interest rate margin of 2.50%.</w:t>
      </w:r>
    </w:p>
    <w:p>
      <w:pPr>
        <w:spacing w:after="0" w:line="161"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offer our advisors and their clients two primary cash sweep programs that are interest rate sensitive: our insured cash programs and money market sweep vehicles involving multiple money market fund providers. Our insured cash programs use multiple non-affiliated banks to provide up to $1.5 million ($3.0 million in joint accounts) of FDIC insurance for client deposits custodied at the banks. While clients earn interest for balances on deposit in the insured cash programs, we earn a fee. Our fees from the insured cash programs are based on prevailing interest rates in the current interest rate environment. Changes in interest rates and fees for the insured cash programs are monitored by our fee and rate setting committee (the “FRS committee”), which governs and approves any changes to our fees. By meeting promptly after interest rates change, or for other market or non-market reasons, the FRS committee balances financial risk of the insured cash programs with products that offer competitive client yields. However, as short-term interest rates hit lower levels, the FRS committee may be compelled to set lower fees.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90" w:right="239" w:bottom="1440" w:gutter="0" w:footer="0" w:header="0"/>
        </w:sectPr>
      </w:pPr>
    </w:p>
    <w:bookmarkStart w:id="48" w:name="page49"/>
    <w:bookmarkEnd w:id="48"/>
    <w:p>
      <w:pPr>
        <w:ind w:firstLine="486"/>
        <w:spacing w:after="0" w:line="264" w:lineRule="auto"/>
        <w:rPr>
          <w:sz w:val="20"/>
          <w:szCs w:val="20"/>
          <w:color w:val="auto"/>
        </w:rPr>
      </w:pPr>
      <w:r>
        <w:rPr>
          <w:rFonts w:ascii="Arial" w:cs="Arial" w:eastAsia="Arial" w:hAnsi="Arial"/>
          <w:sz w:val="18"/>
          <w:szCs w:val="18"/>
          <w:color w:val="auto"/>
        </w:rPr>
        <w:t>The average Federal Reserve effective federal funds rate (“FFER”) for the three months ended June 30, 2014 was 0.09%. The following table reflects the approximate annual impact to asset-based revenues on our insured cash programs (assuming that client balances at June 30, 2014 remain unchanged) of an upward or downward change in short-term interest rates of one basis point (dollars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Federal Reserve Effective Federal Funds</w:t>
            </w:r>
          </w:p>
        </w:tc>
        <w:tc>
          <w:tcPr>
            <w:tcW w:w="7360" w:type="dxa"/>
            <w:vAlign w:val="bottom"/>
          </w:tcPr>
          <w:p>
            <w:pPr>
              <w:jc w:val="center"/>
              <w:ind w:left="656"/>
              <w:spacing w:after="0"/>
              <w:rPr>
                <w:sz w:val="20"/>
                <w:szCs w:val="20"/>
                <w:color w:val="auto"/>
              </w:rPr>
            </w:pPr>
            <w:r>
              <w:rPr>
                <w:rFonts w:ascii="Arial" w:cs="Arial" w:eastAsia="Arial" w:hAnsi="Arial"/>
                <w:sz w:val="16"/>
                <w:szCs w:val="16"/>
                <w:b w:val="1"/>
                <w:bCs w:val="1"/>
                <w:color w:val="auto"/>
              </w:rPr>
              <w:t>Annualized Increase or Decrease in Asset-Based</w:t>
            </w:r>
          </w:p>
        </w:tc>
        <w:tc>
          <w:tcPr>
            <w:tcW w:w="740" w:type="dxa"/>
            <w:vAlign w:val="bottom"/>
          </w:tcPr>
          <w:p>
            <w:pPr>
              <w:spacing w:after="0"/>
              <w:rPr>
                <w:sz w:val="16"/>
                <w:szCs w:val="16"/>
                <w:color w:val="auto"/>
              </w:rPr>
            </w:pPr>
          </w:p>
        </w:tc>
      </w:tr>
      <w:tr>
        <w:trPr>
          <w:trHeight w:val="228"/>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Rate</w:t>
            </w:r>
          </w:p>
        </w:tc>
        <w:tc>
          <w:tcPr>
            <w:tcW w:w="7360" w:type="dxa"/>
            <w:vAlign w:val="bottom"/>
          </w:tcPr>
          <w:p>
            <w:pPr>
              <w:jc w:val="center"/>
              <w:ind w:left="656"/>
              <w:spacing w:after="0"/>
              <w:rPr>
                <w:sz w:val="20"/>
                <w:szCs w:val="20"/>
                <w:color w:val="auto"/>
              </w:rPr>
            </w:pPr>
            <w:r>
              <w:rPr>
                <w:rFonts w:ascii="Arial" w:cs="Arial" w:eastAsia="Arial" w:hAnsi="Arial"/>
                <w:sz w:val="16"/>
                <w:szCs w:val="16"/>
                <w:b w:val="1"/>
                <w:bCs w:val="1"/>
                <w:color w:val="auto"/>
              </w:rPr>
              <w:t>Revenues per One Basis Point Change</w:t>
            </w:r>
          </w:p>
        </w:tc>
        <w:tc>
          <w:tcPr>
            <w:tcW w:w="740" w:type="dxa"/>
            <w:vAlign w:val="bottom"/>
          </w:tcPr>
          <w:p>
            <w:pPr>
              <w:spacing w:after="0"/>
              <w:rPr>
                <w:sz w:val="19"/>
                <w:szCs w:val="19"/>
                <w:color w:val="auto"/>
              </w:rPr>
            </w:pPr>
          </w:p>
        </w:tc>
      </w:tr>
      <w:tr>
        <w:trPr>
          <w:trHeight w:val="257"/>
        </w:trPr>
        <w:tc>
          <w:tcPr>
            <w:tcW w:w="3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0.00% - 0.25%</w:t>
            </w:r>
          </w:p>
        </w:tc>
        <w:tc>
          <w:tcPr>
            <w:tcW w:w="120" w:type="dxa"/>
            <w:vAlign w:val="bottom"/>
            <w:tcBorders>
              <w:top w:val="single" w:sz="8" w:color="CCEEFF"/>
            </w:tcBorders>
            <w:shd w:val="clear" w:color="auto" w:fill="CCEEFF"/>
          </w:tcPr>
          <w:p>
            <w:pPr>
              <w:spacing w:after="0"/>
              <w:rPr>
                <w:sz w:val="22"/>
                <w:szCs w:val="22"/>
                <w:color w:val="auto"/>
              </w:rPr>
            </w:pPr>
          </w:p>
        </w:tc>
        <w:tc>
          <w:tcPr>
            <w:tcW w:w="73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r>
      <w:tr>
        <w:trPr>
          <w:trHeight w:val="26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0.26% - 1.25%</w:t>
            </w:r>
          </w:p>
        </w:tc>
        <w:tc>
          <w:tcPr>
            <w:tcW w:w="120" w:type="dxa"/>
            <w:vAlign w:val="bottom"/>
          </w:tcPr>
          <w:p>
            <w:pPr>
              <w:spacing w:after="0"/>
              <w:rPr>
                <w:sz w:val="22"/>
                <w:szCs w:val="22"/>
                <w:color w:val="auto"/>
              </w:rPr>
            </w:pPr>
          </w:p>
        </w:tc>
        <w:tc>
          <w:tcPr>
            <w:tcW w:w="736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7"/>
        </w:trPr>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1.26% - 2.60%</w:t>
            </w:r>
          </w:p>
        </w:tc>
        <w:tc>
          <w:tcPr>
            <w:tcW w:w="120" w:type="dxa"/>
            <w:vAlign w:val="bottom"/>
            <w:shd w:val="clear" w:color="auto" w:fill="CCEEFF"/>
          </w:tcPr>
          <w:p>
            <w:pPr>
              <w:spacing w:after="0"/>
              <w:rPr>
                <w:sz w:val="24"/>
                <w:szCs w:val="24"/>
                <w:color w:val="auto"/>
              </w:rPr>
            </w:pPr>
          </w:p>
        </w:tc>
        <w:tc>
          <w:tcPr>
            <w:tcW w:w="73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bl>
    <w:p>
      <w:pPr>
        <w:spacing w:after="0" w:line="161" w:lineRule="exact"/>
        <w:rPr>
          <w:sz w:val="20"/>
          <w:szCs w:val="20"/>
          <w:color w:val="auto"/>
        </w:rPr>
      </w:pPr>
    </w:p>
    <w:p>
      <w:pPr>
        <w:ind w:right="400" w:firstLine="486"/>
        <w:spacing w:after="0" w:line="256" w:lineRule="auto"/>
        <w:rPr>
          <w:sz w:val="20"/>
          <w:szCs w:val="20"/>
          <w:color w:val="auto"/>
        </w:rPr>
      </w:pPr>
      <w:r>
        <w:rPr>
          <w:rFonts w:ascii="Arial" w:cs="Arial" w:eastAsia="Arial" w:hAnsi="Arial"/>
          <w:sz w:val="18"/>
          <w:szCs w:val="18"/>
          <w:color w:val="auto"/>
        </w:rPr>
        <w:t>The actual impact to asset-based revenues, including a change in the FFER of greater than 2.60%, may vary depending on the FRS committee's strategy in response to a change in interest rate levels, the significance of a change and actual balances at the time of such change.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47"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Credit risk includes the risk that collateral posted with LPL Financial by clients to support margin lending or derivative trading is insufficient to meet client’s contractual obligations to LPL Financial. We bear credit risk on the activities of our advisors’ clients, including the execution, settlement, and financing of various transactions on behalf of these clients.</w:t>
      </w:r>
    </w:p>
    <w:p>
      <w:pPr>
        <w:spacing w:after="0" w:line="204"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advisors' clients collateralized by cash (for purposes of margin lending, cash is not used as collateral) and securities in the client’s account. Under many of these agreements, we are permitted to re-pledge, loan, or sell these securities held as collateral and use these securities to enter into securities lending arrangements or to deliver to counterparties to cover short positions.</w:t>
      </w:r>
    </w:p>
    <w:p>
      <w:pPr>
        <w:spacing w:after="0" w:line="204"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the client’s account is insufficient to fully cover losses from such investments, and our advisors fail to reimburse us for such losses. Our loss on margin accounts is immaterial and did not exceed $0.1 million during the six months ended June 30, 2014 and 2013.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206"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or if we accept a concentrated position as collateral for a margin loan. Receivables from and payables to clients and stock borrowing and lending activities are conducted with a large number of clients and counterparties and potential concentration is carefully monitored. We seek to limit this risk through careful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Operational risk is defined as the risk of loss from the failure of internal controls, people, processes, procedures, or third parties. We operate in diverse markets and are reliant on the ability of our employees and systems, as well as third-party service providers and their systems, to process a large number of transactions effectively. These risks are less direct and quantifiable than credit and market risk, but managing them is critical, particularly in a rapidly changing environment with increasing transaction volumes and in light of increasing reliance on third-party service providers and electronic data processing and communications systems. In the event of a breakdown, unauthorized access, or improper operation of systems or improper action by employees, advisors, or third-party service providers, we could suffer financial loss, data loss, regulatory sanctions and damage to our reputation. Business continuity plans exist for critical systems, and redundancies are built into the systems as deemed appropriate. In order to mitigate and control operational risk, we have developed and continue to enhance specific policies and procedures that are designed to identify and manage operational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 Notwithstanding the foregoing, please consult the Risks Related to our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76" w:right="239" w:bottom="1440" w:gutter="0" w:footer="0" w:header="0"/>
        </w:sectPr>
      </w:pPr>
    </w:p>
    <w:bookmarkStart w:id="49" w:name="page50"/>
    <w:bookmarkEnd w:id="49"/>
    <w:p>
      <w:pPr>
        <w:ind w:right="700"/>
        <w:spacing w:after="0" w:line="277" w:lineRule="auto"/>
        <w:rPr>
          <w:sz w:val="20"/>
          <w:szCs w:val="20"/>
          <w:color w:val="auto"/>
        </w:rPr>
      </w:pPr>
      <w:r>
        <w:rPr>
          <w:rFonts w:ascii="Arial" w:cs="Arial" w:eastAsia="Arial" w:hAnsi="Arial"/>
          <w:sz w:val="18"/>
          <w:szCs w:val="18"/>
          <w:color w:val="auto"/>
        </w:rPr>
        <w:t>Technology section within Part I, “Item 1A. Risk Factors” in our 2013 Annual Report on Form 10-K for more information about the risks associated with our technology, including risks related to security, and the potential related effects on our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Legal Risk</w:t>
      </w:r>
    </w:p>
    <w:p>
      <w:pPr>
        <w:spacing w:after="0" w:line="13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regulatory environment in which we operate is discussed in detail within Part I, “Item 1, Business Section” in our 2013 Annual Report on Form 10-K. In recent quarters, and during the period presented in this Quarterly Report on Form 10-Q, we have observed regulators broaden the scope, frequency, and depth of their examinations to include greater emphasis on the quality and consistency of the industry’s execution of policies and procedures. Please consult the Risks Related to Our Regulatory Environment section within Part I, “Item 1A. Risk Factors” in our 2013 Annual Report on Form 10-K for more information about the risks associated with operating within our regulatory environment, and the potential related effects on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34" w:lineRule="exact"/>
        <w:rPr>
          <w:sz w:val="20"/>
          <w:szCs w:val="20"/>
          <w:color w:val="auto"/>
        </w:rPr>
      </w:pPr>
    </w:p>
    <w:p>
      <w:pPr>
        <w:jc w:val="both"/>
        <w:ind w:right="280" w:firstLine="486"/>
        <w:spacing w:after="0" w:line="264" w:lineRule="auto"/>
        <w:rPr>
          <w:sz w:val="20"/>
          <w:szCs w:val="20"/>
          <w:color w:val="auto"/>
        </w:rPr>
      </w:pPr>
      <w:r>
        <w:rPr>
          <w:rFonts w:ascii="Arial" w:cs="Arial" w:eastAsia="Arial" w:hAnsi="Arial"/>
          <w:sz w:val="18"/>
          <w:szCs w:val="18"/>
          <w:color w:val="auto"/>
        </w:rPr>
        <w:t>We employ an enterprise risk management (“ERM”) framework that is intended to address key risks and responsibilities, enable us to execute our business strategy, and protect our firm and its franchise. Our framework is designed to promote clear lines of risk management accountability and a structured escalation process for key risk information and events.</w:t>
      </w:r>
    </w:p>
    <w:p>
      <w:pPr>
        <w:spacing w:after="0" w:line="195"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Our risk management governance approach includes our Board and certain of its committees; the Risk Oversight Committee of LPL Financial (the “ROC”) and its subcommittees; the Internal Audit department and the Governance, Risk and Compliance (the “GRC”) department of LPL Financial; and business line management. We regularly reevaluate and, when necessary, modify our processes to improve the identification and escalation of risks and events.</w:t>
      </w:r>
    </w:p>
    <w:p>
      <w:pPr>
        <w:spacing w:after="0" w:line="186" w:lineRule="exact"/>
        <w:rPr>
          <w:sz w:val="20"/>
          <w:szCs w:val="20"/>
          <w:color w:val="auto"/>
        </w:rPr>
      </w:pPr>
    </w:p>
    <w:p>
      <w:pPr>
        <w:ind w:right="120" w:firstLine="486"/>
        <w:spacing w:after="0" w:line="261" w:lineRule="auto"/>
        <w:rPr>
          <w:sz w:val="20"/>
          <w:szCs w:val="20"/>
          <w:color w:val="auto"/>
        </w:rPr>
      </w:pPr>
      <w:r>
        <w:rPr>
          <w:rFonts w:ascii="Arial" w:cs="Arial" w:eastAsia="Arial" w:hAnsi="Arial"/>
          <w:sz w:val="18"/>
          <w:szCs w:val="18"/>
          <w:i w:val="1"/>
          <w:iCs w:val="1"/>
          <w:color w:val="auto"/>
        </w:rPr>
        <w:t>Audit Committee of the Board</w:t>
      </w:r>
      <w:r>
        <w:rPr>
          <w:rFonts w:ascii="Arial" w:cs="Arial" w:eastAsia="Arial" w:hAnsi="Arial"/>
          <w:sz w:val="18"/>
          <w:szCs w:val="18"/>
          <w:color w:val="auto"/>
        </w:rPr>
        <w:t>. In addition to its other responsibilities, the Audit Committee of the Board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Committee”) reviews</w:t>
      </w:r>
      <w:r>
        <w:rPr>
          <w:rFonts w:ascii="Arial" w:cs="Arial" w:eastAsia="Arial" w:hAnsi="Arial"/>
          <w:sz w:val="18"/>
          <w:szCs w:val="18"/>
          <w:i w:val="1"/>
          <w:iCs w:val="1"/>
          <w:color w:val="auto"/>
        </w:rPr>
        <w:t xml:space="preserve"> </w:t>
      </w:r>
      <w:r>
        <w:rPr>
          <w:rFonts w:ascii="Arial" w:cs="Arial" w:eastAsia="Arial" w:hAnsi="Arial"/>
          <w:sz w:val="18"/>
          <w:szCs w:val="18"/>
          <w:color w:val="auto"/>
        </w:rPr>
        <w:t>our policies with respect to risk assessment and risk management, as well as our major financial risk exposures and the steps management has undertaken to control them. The Audit Committee provides reports to the Board at each of the Board’s regularly scheduled quarterly meetings.</w:t>
      </w:r>
    </w:p>
    <w:p>
      <w:pPr>
        <w:spacing w:after="0" w:line="180" w:lineRule="exact"/>
        <w:rPr>
          <w:sz w:val="20"/>
          <w:szCs w:val="20"/>
          <w:color w:val="auto"/>
        </w:rPr>
      </w:pPr>
    </w:p>
    <w:p>
      <w:pPr>
        <w:ind w:right="60" w:firstLine="486"/>
        <w:spacing w:after="0" w:line="266" w:lineRule="auto"/>
        <w:rPr>
          <w:sz w:val="20"/>
          <w:szCs w:val="20"/>
          <w:color w:val="auto"/>
        </w:rPr>
      </w:pPr>
      <w:r>
        <w:rPr>
          <w:rFonts w:ascii="Arial" w:cs="Arial" w:eastAsia="Arial" w:hAnsi="Arial"/>
          <w:sz w:val="18"/>
          <w:szCs w:val="18"/>
          <w:i w:val="1"/>
          <w:iCs w:val="1"/>
          <w:color w:val="auto"/>
        </w:rPr>
        <w:t>Compensation and Human Resources Committee of the Board</w:t>
      </w:r>
      <w:r>
        <w:rPr>
          <w:rFonts w:ascii="Arial" w:cs="Arial" w:eastAsia="Arial" w:hAnsi="Arial"/>
          <w:sz w:val="18"/>
          <w:szCs w:val="18"/>
          <w:color w:val="auto"/>
        </w:rPr>
        <w:t>. In addition to its other responsibilities, the Compensation and Human</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Committee of the Board assesses whether our compensation arrangements encourage inappropriate risk-taking, and whether risks arising from our compensation arrangements are reasonably likely to have a material adverse effect on the Company.</w:t>
      </w:r>
    </w:p>
    <w:p>
      <w:pPr>
        <w:spacing w:after="0" w:line="17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i w:val="1"/>
          <w:iCs w:val="1"/>
          <w:color w:val="auto"/>
        </w:rPr>
        <w:t>Risk Oversight Committee of LPL Financial</w:t>
      </w:r>
      <w:r>
        <w:rPr>
          <w:rFonts w:ascii="Arial" w:cs="Arial" w:eastAsia="Arial" w:hAnsi="Arial"/>
          <w:sz w:val="18"/>
          <w:szCs w:val="18"/>
          <w:color w:val="auto"/>
        </w:rPr>
        <w:t>. The Audit Committee has mandated that the ROC oversee our risk management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those of our subsidiaries. As of July 30, 2014, the Chief Risk Officer of LPL Financial serves as chair, and an Executive Vice President, Deputy General Counsel of LPL Financial serves as vice chair, of the ROC, which generally meets on a monthly basis with </w:t>
      </w:r>
      <w:r>
        <w:rPr>
          <w:rFonts w:ascii="Arial" w:cs="Arial" w:eastAsia="Arial" w:hAnsi="Arial"/>
          <w:sz w:val="18"/>
          <w:szCs w:val="18"/>
          <w:i w:val="1"/>
          <w:iCs w:val="1"/>
          <w:color w:val="auto"/>
        </w:rPr>
        <w:t>ad hoc</w:t>
      </w:r>
      <w:r>
        <w:rPr>
          <w:rFonts w:ascii="Arial" w:cs="Arial" w:eastAsia="Arial" w:hAnsi="Arial"/>
          <w:sz w:val="18"/>
          <w:szCs w:val="18"/>
          <w:color w:val="auto"/>
        </w:rPr>
        <w:t xml:space="preserve"> meetings as necessary. As of July 30, 2014, each member of the Management Committee of LPL Financial and the three other Managing Directors (Managing Director, Chief Investment Officer; Managing Director, Independent Advisor Services; and Managing Director, Institution Services) serve on the ROC. Additional members of the Company’s senior management team are also included as ex-officio members, representing the key control areas of the Company. These individuals include, but are not limited to, the Chief Compliance Officer, Brokerage; the Chief Compliance Officer, Advisory; the Chief Information Security Officer; and the Chief Privacy Officer of LPL Financial. Participation in the ROC by senior officers is intended to ensure that the ROC covers the key risk areas of the Company, including its subsidiaries, and that the ROC thoroughly reviews significant matters relating to risk priorities, policies and control procedures and related exceptions, certain new and complex products and business arrangements, transactions with significant risk elements, and identified emerging risks.</w:t>
      </w:r>
    </w:p>
    <w:p>
      <w:pPr>
        <w:spacing w:after="0" w:line="211"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auto"/>
        </w:rPr>
        <w:t>The chair of the ROC provides reports to the Audit Committee at each of the Audit Committee’s regularly scheduled quarterly meetings and, as necessary or requested, to the Board. The reports generally cover topics addressed by the ROC at its meetings since the immediately preceding report. If warranted, matters of material risk are escalated to the Audit Committee or Board more frequently.</w:t>
      </w:r>
    </w:p>
    <w:p>
      <w:pPr>
        <w:spacing w:after="0" w:line="184"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i w:val="1"/>
          <w:iCs w:val="1"/>
          <w:color w:val="auto"/>
        </w:rPr>
        <w:t>Subcommittees of the Risk Oversight Committee</w:t>
      </w:r>
      <w:r>
        <w:rPr>
          <w:rFonts w:ascii="Arial" w:cs="Arial" w:eastAsia="Arial" w:hAnsi="Arial"/>
          <w:sz w:val="18"/>
          <w:szCs w:val="18"/>
          <w:color w:val="auto"/>
        </w:rPr>
        <w:t>. The ROC has established multiple subcommittees that cover key areas of risk. The</w:t>
      </w:r>
      <w:r>
        <w:rPr>
          <w:rFonts w:ascii="Arial" w:cs="Arial" w:eastAsia="Arial" w:hAnsi="Arial"/>
          <w:sz w:val="18"/>
          <w:szCs w:val="18"/>
          <w:i w:val="1"/>
          <w:iCs w:val="1"/>
          <w:color w:val="auto"/>
        </w:rPr>
        <w:t xml:space="preserve"> </w:t>
      </w:r>
      <w:r>
        <w:rPr>
          <w:rFonts w:ascii="Arial" w:cs="Arial" w:eastAsia="Arial" w:hAnsi="Arial"/>
          <w:sz w:val="18"/>
          <w:szCs w:val="18"/>
          <w:color w:val="auto"/>
        </w:rPr>
        <w:t>subcommittees meet regularly and are responsible for keeping the ROC informed and escalating issues in accordance with the Company’s escalation policies. The responsibilities of such subcommittees include, for example, oversight of the approval of new and complex investment products offered to advisors’ clients; oversight of the Company’s investment advisory business; issues and trends related to advisor compliance and</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76"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examination findings; whistle-blower hotline allegations; and oversight of disclosures related to our financial reporting.</w:t>
      </w:r>
    </w:p>
    <w:p>
      <w:pPr>
        <w:spacing w:after="0" w:line="207" w:lineRule="exact"/>
        <w:rPr>
          <w:sz w:val="20"/>
          <w:szCs w:val="20"/>
          <w:color w:val="auto"/>
        </w:rPr>
      </w:pPr>
    </w:p>
    <w:p>
      <w:pPr>
        <w:ind w:firstLine="486"/>
        <w:spacing w:after="0" w:line="266" w:lineRule="auto"/>
        <w:rPr>
          <w:sz w:val="20"/>
          <w:szCs w:val="20"/>
          <w:color w:val="auto"/>
        </w:rPr>
      </w:pPr>
      <w:r>
        <w:rPr>
          <w:rFonts w:ascii="Arial" w:cs="Arial" w:eastAsia="Arial" w:hAnsi="Arial"/>
          <w:sz w:val="18"/>
          <w:szCs w:val="18"/>
          <w:i w:val="1"/>
          <w:iCs w:val="1"/>
          <w:color w:val="auto"/>
        </w:rPr>
        <w:t xml:space="preserve">Internal Audit Department. </w:t>
      </w:r>
      <w:r>
        <w:rPr>
          <w:rFonts w:ascii="Arial" w:cs="Arial" w:eastAsia="Arial" w:hAnsi="Arial"/>
          <w:sz w:val="18"/>
          <w:szCs w:val="18"/>
          <w:color w:val="auto"/>
        </w:rPr>
        <w:t>The Internal Audit department provides independent verification of the effectiveness of the Company’s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by conducting risk assessments and audits designed to identify and cover important risk categories. The Internal Audit department provides regular reports to the ROC and reports to the Audit Committee at least as often as quarterly.</w:t>
      </w:r>
    </w:p>
    <w:p>
      <w:pPr>
        <w:spacing w:after="0" w:line="176" w:lineRule="exact"/>
        <w:rPr>
          <w:sz w:val="20"/>
          <w:szCs w:val="20"/>
          <w:color w:val="auto"/>
        </w:rPr>
      </w:pPr>
    </w:p>
    <w:p>
      <w:pPr>
        <w:ind w:right="20" w:firstLine="486"/>
        <w:spacing w:after="0" w:line="261" w:lineRule="auto"/>
        <w:rPr>
          <w:sz w:val="20"/>
          <w:szCs w:val="20"/>
          <w:color w:val="auto"/>
        </w:rPr>
      </w:pPr>
      <w:r>
        <w:rPr>
          <w:rFonts w:ascii="Arial" w:cs="Arial" w:eastAsia="Arial" w:hAnsi="Arial"/>
          <w:sz w:val="18"/>
          <w:szCs w:val="18"/>
          <w:i w:val="1"/>
          <w:iCs w:val="1"/>
          <w:color w:val="auto"/>
        </w:rPr>
        <w:t>Control Groups</w:t>
      </w:r>
      <w:r>
        <w:rPr>
          <w:rFonts w:ascii="Arial" w:cs="Arial" w:eastAsia="Arial" w:hAnsi="Arial"/>
          <w:sz w:val="18"/>
          <w:szCs w:val="18"/>
          <w:color w:val="auto"/>
        </w:rPr>
        <w:t>. The GRC department provides compliance oversight and guidance, and conducts various risk and other assessments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address regulatory and firm-specific risks and requirements. The GRC department reports to the Chief Risk Officer, who reviews the results of the firm’s risk management process with the ROC, the Audit Committee and the Board as necessary. We also consider the Internal Audit department to be a control group.</w:t>
      </w:r>
    </w:p>
    <w:p>
      <w:pPr>
        <w:spacing w:after="0" w:line="180" w:lineRule="exact"/>
        <w:rPr>
          <w:sz w:val="20"/>
          <w:szCs w:val="20"/>
          <w:color w:val="auto"/>
        </w:rPr>
      </w:pPr>
    </w:p>
    <w:p>
      <w:pPr>
        <w:ind w:right="140" w:firstLine="486"/>
        <w:spacing w:after="0" w:line="274" w:lineRule="auto"/>
        <w:rPr>
          <w:sz w:val="20"/>
          <w:szCs w:val="20"/>
          <w:color w:val="auto"/>
        </w:rPr>
      </w:pPr>
      <w:r>
        <w:rPr>
          <w:rFonts w:ascii="Arial" w:cs="Arial" w:eastAsia="Arial" w:hAnsi="Arial"/>
          <w:sz w:val="17"/>
          <w:szCs w:val="17"/>
          <w:i w:val="1"/>
          <w:iCs w:val="1"/>
          <w:color w:val="auto"/>
        </w:rPr>
        <w:t xml:space="preserve">Business Line Management. </w:t>
      </w:r>
      <w:r>
        <w:rPr>
          <w:rFonts w:ascii="Arial" w:cs="Arial" w:eastAsia="Arial" w:hAnsi="Arial"/>
          <w:sz w:val="17"/>
          <w:szCs w:val="17"/>
          <w:color w:val="auto"/>
        </w:rPr>
        <w:t>Each business line is responsible for managing its risk, and business line management is responsible for</w:t>
      </w:r>
      <w:r>
        <w:rPr>
          <w:rFonts w:ascii="Arial" w:cs="Arial" w:eastAsia="Arial" w:hAnsi="Arial"/>
          <w:sz w:val="17"/>
          <w:szCs w:val="17"/>
          <w:i w:val="1"/>
          <w:iCs w:val="1"/>
          <w:color w:val="auto"/>
        </w:rPr>
        <w:t xml:space="preserve"> </w:t>
      </w:r>
      <w:r>
        <w:rPr>
          <w:rFonts w:ascii="Arial" w:cs="Arial" w:eastAsia="Arial" w:hAnsi="Arial"/>
          <w:sz w:val="17"/>
          <w:szCs w:val="17"/>
          <w:color w:val="auto"/>
        </w:rPr>
        <w:t>keeping senior management, including the members of the ROC, informed of operational risk and escalating risk matters (as defined by the Company’s escalation policies). We regularly conduct firm-wide escalation training for our employees. Certain business lines, including Client Support Services and Business Technology Services, have dedicated personnel with responsibilities for monitoring and managing risk-related matters. Business lines are subject to oversight by the control groups, and the Finance, Legal, Business Technology Services and Human Capital departments also execute certain control functions and report matters to the ROC, Audit Committee, and Board, as appropriate.</w:t>
      </w:r>
    </w:p>
    <w:p>
      <w:pPr>
        <w:spacing w:after="0" w:line="19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to the ERM framework, we have written policies and procedures that govern the conduct of business by our advisors, employees, and the terms and conditions of our relationships with product manufacturers. Our client and advisor policies address the extension of credit for client accounts, data and physical security, compliance with industry regulation and codes of ethics to govern employee and advisor conduct, among other matters.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247"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second quarter ended June 30, 2014 that have materially affected, or are reasonably likely to materially affect, our internal control over financial reporting.</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90" w:right="25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4"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There have been no material changes in the information regarding the Company’s risks, as set forth under Part I, “Item 1A. Risk Factors” in the Company’s 2013 Annual Report on Form 10-K, except for the following revised risk factor which appeared in Part I, “Item 1A. Risk Factors” in the Company's 2013 Annual Report on Form 10-K, and which has been revised to reflect the declassification of the Board that occurred during the current reporting period:</w:t>
      </w:r>
    </w:p>
    <w:p>
      <w:pPr>
        <w:spacing w:after="0" w:line="124"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i w:val="1"/>
          <w:iCs w:val="1"/>
          <w:color w:val="auto"/>
        </w:rPr>
        <w:t>Anti-takeover provisions in our certificate of incorporation and bylaws could prevent or delay a change in control of our company.</w:t>
      </w:r>
    </w:p>
    <w:p>
      <w:pPr>
        <w:spacing w:after="0" w:line="193" w:lineRule="exact"/>
        <w:rPr>
          <w:sz w:val="20"/>
          <w:szCs w:val="20"/>
          <w:color w:val="auto"/>
        </w:rPr>
      </w:pPr>
    </w:p>
    <w:p>
      <w:pPr>
        <w:ind w:right="820" w:firstLine="486"/>
        <w:spacing w:after="0" w:line="262" w:lineRule="auto"/>
        <w:rPr>
          <w:sz w:val="20"/>
          <w:szCs w:val="20"/>
          <w:color w:val="auto"/>
        </w:rPr>
      </w:pPr>
      <w:r>
        <w:rPr>
          <w:rFonts w:ascii="Arial" w:cs="Arial" w:eastAsia="Arial" w:hAnsi="Arial"/>
          <w:sz w:val="18"/>
          <w:szCs w:val="18"/>
          <w:color w:val="auto"/>
        </w:rPr>
        <w:t>Our certificate of incorporation and our bylaws contain certain provisions that may discourage, delay or prevent a change in our management or control over us that stockholders may consider favorable, including the following:</w:t>
      </w:r>
    </w:p>
    <w:p>
      <w:pPr>
        <w:spacing w:after="0" w:line="304" w:lineRule="exact"/>
        <w:rPr>
          <w:sz w:val="20"/>
          <w:szCs w:val="20"/>
          <w:color w:val="auto"/>
        </w:rPr>
      </w:pPr>
    </w:p>
    <w:p>
      <w:pPr>
        <w:ind w:left="520" w:hanging="120"/>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sole ability of the board of directors to fill a vacancy created by the expansion of the board of directors;</w:t>
      </w:r>
    </w:p>
    <w:p>
      <w:pPr>
        <w:spacing w:after="0" w:line="333" w:lineRule="exact"/>
        <w:rPr>
          <w:rFonts w:ascii="Arial" w:cs="Arial" w:eastAsia="Arial" w:hAnsi="Arial"/>
          <w:sz w:val="18"/>
          <w:szCs w:val="18"/>
          <w:color w:val="auto"/>
        </w:rPr>
      </w:pPr>
    </w:p>
    <w:p>
      <w:pPr>
        <w:ind w:left="520" w:hanging="120"/>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333" w:lineRule="exact"/>
        <w:rPr>
          <w:rFonts w:ascii="Arial" w:cs="Arial" w:eastAsia="Arial" w:hAnsi="Arial"/>
          <w:sz w:val="18"/>
          <w:szCs w:val="18"/>
          <w:color w:val="auto"/>
        </w:rPr>
      </w:pPr>
    </w:p>
    <w:p>
      <w:pPr>
        <w:ind w:left="520" w:hanging="120"/>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on the ability of stockholders to call special meetings and to take action by written consent;</w:t>
      </w:r>
    </w:p>
    <w:p>
      <w:pPr>
        <w:spacing w:after="0" w:line="333" w:lineRule="exact"/>
        <w:rPr>
          <w:rFonts w:ascii="Arial" w:cs="Arial" w:eastAsia="Arial" w:hAnsi="Arial"/>
          <w:sz w:val="18"/>
          <w:szCs w:val="18"/>
          <w:color w:val="auto"/>
        </w:rPr>
      </w:pPr>
    </w:p>
    <w:p>
      <w:pPr>
        <w:ind w:left="520" w:right="160" w:hanging="120"/>
        <w:spacing w:after="0" w:line="256"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approval of holders of at least two-thirds of the shares entitled to vote generally on the making, alteration, amendment or repeal of our certificate of incorporation or bylaws will be required to adopt, amend or repeal our bylaws, or amend or repeal certain provisions of our certificate of incorporation;</w:t>
      </w:r>
    </w:p>
    <w:p>
      <w:pPr>
        <w:spacing w:after="0" w:line="310" w:lineRule="exact"/>
        <w:rPr>
          <w:rFonts w:ascii="Arial" w:cs="Arial" w:eastAsia="Arial" w:hAnsi="Arial"/>
          <w:sz w:val="18"/>
          <w:szCs w:val="18"/>
          <w:color w:val="auto"/>
        </w:rPr>
      </w:pPr>
    </w:p>
    <w:p>
      <w:pPr>
        <w:ind w:left="520" w:hanging="120"/>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required approval of holders of at least two-thirds of the shares entitled to vote at an election of the directors to remove directors; and</w:t>
      </w:r>
    </w:p>
    <w:p>
      <w:pPr>
        <w:spacing w:after="0" w:line="333" w:lineRule="exact"/>
        <w:rPr>
          <w:rFonts w:ascii="Arial" w:cs="Arial" w:eastAsia="Arial" w:hAnsi="Arial"/>
          <w:sz w:val="18"/>
          <w:szCs w:val="18"/>
          <w:color w:val="auto"/>
        </w:rPr>
      </w:pPr>
    </w:p>
    <w:p>
      <w:pPr>
        <w:ind w:left="520" w:right="20" w:hanging="120"/>
        <w:spacing w:after="0" w:line="256"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be used to institute a rights plan, or a poison pill, that would work to dilute the stock ownership of a potential hostile acquirer, likely preventing acquisitions that have not been approved by our board of directors.</w:t>
      </w:r>
    </w:p>
    <w:p>
      <w:pPr>
        <w:spacing w:after="0" w:line="310"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the acquisition.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regarding repurchases on a monthly basis during the three months ended June 30, 2014: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24"/>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24"/>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9"/>
              </w:rPr>
              <w:t>Total Number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 Average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24"/>
              <w:spacing w:after="0"/>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Price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62"/>
        </w:trPr>
        <w:tc>
          <w:tcPr>
            <w:tcW w:w="44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 per Share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Programs(1)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rPr>
              <w:t>the Programs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April 1, 2014 through April 30, 2014</w:t>
            </w:r>
          </w:p>
        </w:tc>
        <w:tc>
          <w:tcPr>
            <w:tcW w:w="17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535,210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46.73</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535,210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92,927,054</w:t>
            </w:r>
          </w:p>
        </w:tc>
        <w:tc>
          <w:tcPr>
            <w:tcW w:w="0" w:type="dxa"/>
            <w:vAlign w:val="bottom"/>
          </w:tcPr>
          <w:p>
            <w:pPr>
              <w:spacing w:after="0"/>
              <w:rPr>
                <w:sz w:val="1"/>
                <w:szCs w:val="1"/>
                <w:color w:val="auto"/>
              </w:rPr>
            </w:pPr>
          </w:p>
        </w:tc>
      </w:tr>
      <w:tr>
        <w:trPr>
          <w:trHeight w:val="260"/>
        </w:trPr>
        <w:tc>
          <w:tcPr>
            <w:tcW w:w="4460" w:type="dxa"/>
            <w:vAlign w:val="bottom"/>
            <w:gridSpan w:val="3"/>
          </w:tcPr>
          <w:p>
            <w:pPr>
              <w:ind w:left="40"/>
              <w:spacing w:after="0"/>
              <w:rPr>
                <w:sz w:val="20"/>
                <w:szCs w:val="20"/>
                <w:color w:val="auto"/>
              </w:rPr>
            </w:pPr>
            <w:r>
              <w:rPr>
                <w:rFonts w:ascii="Arial" w:cs="Arial" w:eastAsia="Arial" w:hAnsi="Arial"/>
                <w:sz w:val="16"/>
                <w:szCs w:val="16"/>
                <w:color w:val="auto"/>
              </w:rPr>
              <w:t>May 1, 2014 through May 31, 2014</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June 1, 2014 through June 30, 2014</w:t>
            </w:r>
          </w:p>
        </w:tc>
        <w:tc>
          <w:tcPr>
            <w:tcW w:w="17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460" w:type="dxa"/>
            <w:vAlign w:val="bottom"/>
            <w:gridSpan w:val="3"/>
          </w:tcPr>
          <w:p>
            <w:pPr>
              <w:ind w:left="40"/>
              <w:spacing w:after="0"/>
              <w:rPr>
                <w:sz w:val="20"/>
                <w:szCs w:val="20"/>
                <w:color w:val="auto"/>
              </w:rPr>
            </w:pPr>
            <w:r>
              <w:rPr>
                <w:rFonts w:ascii="Arial" w:cs="Arial" w:eastAsia="Arial" w:hAnsi="Arial"/>
                <w:sz w:val="16"/>
                <w:szCs w:val="16"/>
                <w:color w:val="auto"/>
              </w:rPr>
              <w:t>April 1, 2014 through June 30, 2014</w:t>
            </w:r>
          </w:p>
        </w:tc>
        <w:tc>
          <w:tcPr>
            <w:tcW w:w="17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535,210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46.73</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535,210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
              <w:spacing w:after="0"/>
              <w:rPr>
                <w:sz w:val="20"/>
                <w:szCs w:val="20"/>
                <w:color w:val="auto"/>
              </w:rPr>
            </w:pPr>
            <w:r>
              <w:rPr>
                <w:rFonts w:ascii="Arial" w:cs="Arial" w:eastAsia="Arial" w:hAnsi="Arial"/>
                <w:sz w:val="16"/>
                <w:szCs w:val="16"/>
                <w:color w:val="auto"/>
              </w:rPr>
              <w:t>92,927,054</w:t>
            </w: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1"/>
                <w:szCs w:val="11"/>
                <w:color w:val="auto"/>
              </w:rPr>
              <w:t>____________________</w:t>
            </w: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460" w:type="dxa"/>
            <w:vAlign w:val="bottom"/>
            <w:gridSpan w:val="3"/>
            <w:vMerge w:val="continue"/>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60" w:right="94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unaudited condensed consolidated financial statements for additional information.</w:t>
      </w:r>
    </w:p>
    <w:p>
      <w:pPr>
        <w:sectPr>
          <w:pgSz w:w="11900" w:h="16838" w:orient="portrait"/>
          <w:cols w:equalWidth="0" w:num="1">
            <w:col w:w="11420"/>
          </w:cols>
          <w:pgMar w:left="240" w:top="414" w:right="2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414"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8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On July 28, 2014, our subsidiary LPL Financial LLC (“LPL Financial”) entered into an amendment (the “Amendment”) to its existing master subscription agreement (the "Agreement") with Thomson Reuters (Markets) LLC (“Thomson”). Under the Agreement, Thomson provides LPL Financial with operational support, including data processing services for securities transactions and back office processing support. The Amendment extends the term of the Agreement to January 1, 2019 and amends a schedule to the Agreement, for which we previously received confidential treatment pursuant to an order granted by the Securities and Exchange Commission on November 17, 2010. We have requested an order granting confidential treatment of the Amendment’s schedule in accordance with 5 U.S.C. § 552(b)(4), 17 C.F.R. § 200.80(b)(4) and Rule 24b-2 under the Securities Exchange Act of 1934, as amended.</w:t>
      </w:r>
    </w:p>
    <w:p>
      <w:pPr>
        <w:spacing w:after="0" w:line="203"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 foregoing summary of the terms of the Amendment is qualified in its entirety by the Amendment, which is attached as Exhibit 10.1 to this Quarterly Report on Form 10-Q and incorporated herein by reference.</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522" w:right="2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10080" w:type="dxa"/>
            <w:vAlign w:val="bottom"/>
          </w:tcPr>
          <w:p>
            <w:pPr>
              <w:ind w:left="180"/>
              <w:spacing w:after="0"/>
              <w:rPr>
                <w:sz w:val="20"/>
                <w:szCs w:val="20"/>
                <w:color w:val="auto"/>
              </w:rPr>
            </w:pPr>
            <w:r>
              <w:rPr>
                <w:rFonts w:ascii="Arial" w:cs="Arial" w:eastAsia="Arial" w:hAnsi="Arial"/>
                <w:sz w:val="18"/>
                <w:szCs w:val="18"/>
                <w:color w:val="auto"/>
              </w:rPr>
              <w:t>Amended and Restated Certificate of Incorporation (previously filed as Exhibit 3.1 to the registration statement on Form S-1</w:t>
            </w:r>
          </w:p>
        </w:tc>
      </w:tr>
      <w:tr>
        <w:trPr>
          <w:trHeight w:val="217"/>
        </w:trPr>
        <w:tc>
          <w:tcPr>
            <w:tcW w:w="920" w:type="dxa"/>
            <w:vAlign w:val="bottom"/>
          </w:tcPr>
          <w:p>
            <w:pPr>
              <w:spacing w:after="0"/>
              <w:rPr>
                <w:sz w:val="18"/>
                <w:szCs w:val="18"/>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(File Number 333-167325) on July 9, 2010, and incorporated herein by reference)</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10080" w:type="dxa"/>
            <w:vAlign w:val="bottom"/>
          </w:tcPr>
          <w:p>
            <w:pPr>
              <w:ind w:left="180"/>
              <w:spacing w:after="0"/>
              <w:rPr>
                <w:sz w:val="20"/>
                <w:szCs w:val="20"/>
                <w:color w:val="auto"/>
              </w:rPr>
            </w:pPr>
            <w:r>
              <w:rPr>
                <w:rFonts w:ascii="Arial" w:cs="Arial" w:eastAsia="Arial" w:hAnsi="Arial"/>
                <w:sz w:val="18"/>
                <w:szCs w:val="18"/>
                <w:color w:val="auto"/>
              </w:rPr>
              <w:t>Certificate of Ownership and Merger (previously filed as Exhibit 3.1 to the Current Report on Form 8-K (File Number 001-</w:t>
            </w:r>
          </w:p>
        </w:tc>
      </w:tr>
      <w:tr>
        <w:trPr>
          <w:trHeight w:val="217"/>
        </w:trPr>
        <w:tc>
          <w:tcPr>
            <w:tcW w:w="920" w:type="dxa"/>
            <w:vAlign w:val="bottom"/>
          </w:tcPr>
          <w:p>
            <w:pPr>
              <w:spacing w:after="0"/>
              <w:rPr>
                <w:sz w:val="18"/>
                <w:szCs w:val="18"/>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34963) on June 19, 2012, and incorporated herein by reference)</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0080" w:type="dxa"/>
            <w:vAlign w:val="bottom"/>
          </w:tcPr>
          <w:p>
            <w:pPr>
              <w:ind w:left="180"/>
              <w:spacing w:after="0"/>
              <w:rPr>
                <w:sz w:val="20"/>
                <w:szCs w:val="20"/>
                <w:color w:val="auto"/>
              </w:rPr>
            </w:pPr>
            <w:r>
              <w:rPr>
                <w:rFonts w:ascii="Arial" w:cs="Arial" w:eastAsia="Arial" w:hAnsi="Arial"/>
                <w:sz w:val="18"/>
                <w:szCs w:val="18"/>
                <w:color w:val="auto"/>
              </w:rPr>
              <w:t>Certificate of Amendment to the Amended and Restated Certificate of Incorporation (previously filed as Exhibit 3.1 to the</w:t>
            </w:r>
          </w:p>
        </w:tc>
      </w:tr>
      <w:tr>
        <w:trPr>
          <w:trHeight w:val="217"/>
        </w:trPr>
        <w:tc>
          <w:tcPr>
            <w:tcW w:w="920" w:type="dxa"/>
            <w:vAlign w:val="bottom"/>
          </w:tcPr>
          <w:p>
            <w:pPr>
              <w:spacing w:after="0"/>
              <w:rPr>
                <w:sz w:val="18"/>
                <w:szCs w:val="18"/>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Current Report on Form 8-K (File Number 001-34963) on May 9, 2014, and incorporated herein by reference)</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10080" w:type="dxa"/>
            <w:vAlign w:val="bottom"/>
          </w:tcPr>
          <w:p>
            <w:pPr>
              <w:ind w:left="180"/>
              <w:spacing w:after="0"/>
              <w:rPr>
                <w:sz w:val="20"/>
                <w:szCs w:val="20"/>
                <w:color w:val="auto"/>
              </w:rPr>
            </w:pPr>
            <w:r>
              <w:rPr>
                <w:rFonts w:ascii="Arial" w:cs="Arial" w:eastAsia="Arial" w:hAnsi="Arial"/>
                <w:sz w:val="18"/>
                <w:szCs w:val="18"/>
                <w:color w:val="auto"/>
              </w:rPr>
              <w:t>Fifth Amended and Restated Bylaws (previously filed as Exhibit 3.1 to the Current Report on Form 8-K (File Number 001-</w:t>
            </w:r>
          </w:p>
        </w:tc>
      </w:tr>
      <w:tr>
        <w:trPr>
          <w:trHeight w:val="217"/>
        </w:trPr>
        <w:tc>
          <w:tcPr>
            <w:tcW w:w="920" w:type="dxa"/>
            <w:vAlign w:val="bottom"/>
          </w:tcPr>
          <w:p>
            <w:pPr>
              <w:spacing w:after="0"/>
              <w:rPr>
                <w:sz w:val="18"/>
                <w:szCs w:val="18"/>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34963) on March 12, 2014 and incorporated herein by reference)</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10080" w:type="dxa"/>
            <w:vAlign w:val="bottom"/>
          </w:tcPr>
          <w:p>
            <w:pPr>
              <w:ind w:left="180"/>
              <w:spacing w:after="0"/>
              <w:rPr>
                <w:sz w:val="20"/>
                <w:szCs w:val="20"/>
                <w:color w:val="auto"/>
              </w:rPr>
            </w:pPr>
            <w:r>
              <w:rPr>
                <w:rFonts w:ascii="Arial" w:cs="Arial" w:eastAsia="Arial" w:hAnsi="Arial"/>
                <w:sz w:val="18"/>
                <w:szCs w:val="18"/>
                <w:color w:val="auto"/>
                <w:w w:val="99"/>
              </w:rPr>
              <w:t>First Amendment dated July 28, 2014 to Master Subscription Agreement dated as of January 5, 2009 between LPL Financial</w:t>
            </w:r>
          </w:p>
        </w:tc>
      </w:tr>
      <w:tr>
        <w:trPr>
          <w:trHeight w:val="217"/>
        </w:trPr>
        <w:tc>
          <w:tcPr>
            <w:tcW w:w="920" w:type="dxa"/>
            <w:vAlign w:val="bottom"/>
          </w:tcPr>
          <w:p>
            <w:pPr>
              <w:spacing w:after="0"/>
              <w:rPr>
                <w:sz w:val="18"/>
                <w:szCs w:val="18"/>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Corporation and Thomson Financial LLC* †</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10.2</w:t>
            </w:r>
          </w:p>
        </w:tc>
        <w:tc>
          <w:tcPr>
            <w:tcW w:w="10080" w:type="dxa"/>
            <w:vAlign w:val="bottom"/>
          </w:tcPr>
          <w:p>
            <w:pPr>
              <w:ind w:left="180"/>
              <w:spacing w:after="0"/>
              <w:rPr>
                <w:sz w:val="20"/>
                <w:szCs w:val="20"/>
                <w:color w:val="auto"/>
              </w:rPr>
            </w:pPr>
            <w:r>
              <w:rPr>
                <w:rFonts w:ascii="Arial" w:cs="Arial" w:eastAsia="Arial" w:hAnsi="Arial"/>
                <w:sz w:val="18"/>
                <w:szCs w:val="18"/>
                <w:color w:val="auto"/>
              </w:rPr>
              <w:t>Non-Employee Director Compensation Policy dated as of May 8, 2014*</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31.1</w:t>
            </w:r>
          </w:p>
        </w:tc>
        <w:tc>
          <w:tcPr>
            <w:tcW w:w="1008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Rule 13a-14(a) (filed herewith)</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31.2</w:t>
            </w:r>
          </w:p>
        </w:tc>
        <w:tc>
          <w:tcPr>
            <w:tcW w:w="1008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Rule 13a-14(a) (filed herewith)</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32.1</w:t>
            </w:r>
          </w:p>
        </w:tc>
        <w:tc>
          <w:tcPr>
            <w:tcW w:w="1008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Sarbanes-Oxley Act of 2002 (furnished herewith)</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32.2</w:t>
            </w:r>
          </w:p>
        </w:tc>
        <w:tc>
          <w:tcPr>
            <w:tcW w:w="1008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Sarbanes-Oxley Act of 2002 (furnished herewith)</w:t>
            </w:r>
          </w:p>
        </w:tc>
      </w:tr>
      <w:tr>
        <w:trPr>
          <w:trHeight w:val="513"/>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101.INS</w:t>
            </w:r>
          </w:p>
        </w:tc>
        <w:tc>
          <w:tcPr>
            <w:tcW w:w="100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5"/>
              </w:rPr>
              <w:t>101.SCH</w:t>
            </w:r>
          </w:p>
        </w:tc>
        <w:tc>
          <w:tcPr>
            <w:tcW w:w="1008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9"/>
              </w:rPr>
              <w:t>101.CAL</w:t>
            </w:r>
          </w:p>
        </w:tc>
        <w:tc>
          <w:tcPr>
            <w:tcW w:w="1008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101.LAB</w:t>
            </w:r>
          </w:p>
        </w:tc>
        <w:tc>
          <w:tcPr>
            <w:tcW w:w="1008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7"/>
              </w:rPr>
              <w:t>101.PRE</w:t>
            </w:r>
          </w:p>
        </w:tc>
        <w:tc>
          <w:tcPr>
            <w:tcW w:w="1008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8"/>
              </w:rPr>
              <w:t>101.DEF</w:t>
            </w:r>
          </w:p>
        </w:tc>
        <w:tc>
          <w:tcPr>
            <w:tcW w:w="1008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160" w:lineRule="exact"/>
        <w:rPr>
          <w:sz w:val="20"/>
          <w:szCs w:val="20"/>
          <w:color w:val="auto"/>
        </w:rPr>
      </w:pPr>
    </w:p>
    <w:p>
      <w:pPr>
        <w:ind w:left="620" w:hanging="128"/>
        <w:spacing w:after="0"/>
        <w:tabs>
          <w:tab w:leader="none" w:pos="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49" w:lineRule="exact"/>
        <w:rPr>
          <w:rFonts w:ascii="Arial" w:cs="Arial" w:eastAsia="Arial" w:hAnsi="Arial"/>
          <w:sz w:val="18"/>
          <w:szCs w:val="18"/>
          <w:color w:val="auto"/>
        </w:rPr>
      </w:pPr>
    </w:p>
    <w:p>
      <w:pPr>
        <w:ind w:left="620" w:right="120" w:hanging="158"/>
        <w:spacing w:after="0" w:line="246"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which portions have been omitted and filed separately with the Securities and Exchange Commission.</w:t>
      </w: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20"/>
          </w:cols>
          <w:pgMar w:left="240" w:top="360" w:right="339" w:bottom="1440" w:gutter="0" w:footer="0" w:header="0"/>
        </w:sectPr>
      </w:pPr>
    </w:p>
    <w:bookmarkStart w:id="54" w:name="page55"/>
    <w:bookmarkEnd w:id="54"/>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3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LPL Financial Holdings Inc.</w:t>
      </w:r>
    </w:p>
    <w:p>
      <w:pPr>
        <w:spacing w:after="0" w:line="274"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July 30, 2014</w:t>
      </w:r>
      <w:r>
        <w:rPr>
          <w:sz w:val="20"/>
          <w:szCs w:val="20"/>
          <w:color w:val="auto"/>
        </w:rPr>
        <w:tab/>
      </w:r>
      <w:r>
        <w:rPr>
          <w:rFonts w:ascii="Arial" w:cs="Arial" w:eastAsia="Arial" w:hAnsi="Arial"/>
          <w:sz w:val="18"/>
          <w:szCs w:val="18"/>
          <w:color w:val="auto"/>
        </w:rPr>
        <w:t>By:</w:t>
        <w:tab/>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S. Casady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320"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July 30, 2014</w:t>
      </w:r>
      <w:r>
        <w:rPr>
          <w:sz w:val="20"/>
          <w:szCs w:val="20"/>
          <w:color w:val="auto"/>
        </w:rPr>
        <w:tab/>
      </w:r>
      <w:r>
        <w:rPr>
          <w:rFonts w:ascii="Arial" w:cs="Arial" w:eastAsia="Arial" w:hAnsi="Arial"/>
          <w:sz w:val="18"/>
          <w:szCs w:val="18"/>
          <w:color w:val="auto"/>
        </w:rPr>
        <w:t>By:</w:t>
        <w:tab/>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Dan H. Arnold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860"/>
          </w:cols>
          <w:pgMar w:left="240" w:top="360" w:right="799" w:bottom="1440" w:gutter="0" w:footer="0" w:header="0"/>
        </w:sectPr>
      </w:pPr>
    </w:p>
    <w:bookmarkStart w:id="55" w:name="page56"/>
    <w:bookmarkEnd w:id="55"/>
    <w:p>
      <w:pPr>
        <w:jc w:val="center"/>
        <w:ind w:left="260" w:right="20"/>
        <w:spacing w:after="0" w:line="287" w:lineRule="auto"/>
        <w:rPr>
          <w:sz w:val="20"/>
          <w:szCs w:val="20"/>
          <w:color w:val="auto"/>
        </w:rPr>
      </w:pPr>
      <w:r>
        <w:rPr>
          <w:rFonts w:ascii="Arial" w:cs="Arial" w:eastAsia="Arial" w:hAnsi="Arial"/>
          <w:sz w:val="18"/>
          <w:szCs w:val="18"/>
          <w:b w:val="1"/>
          <w:bCs w:val="1"/>
          <w:color w:val="auto"/>
        </w:rPr>
        <w:t>THIS EXHIBIT HAS BEEN REDACTED AND IS THE SUBJECT OF A CONFIDENTIAL TREATMENT REQUEST. REDACTED MATERIAL IS MARKED WITH [**] AND HAS BEEN FILED SEPARATELY WITH THE SECURITIES AND EXCHANGED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SUBSCRIPTION AGREEMENT</w:t>
      </w:r>
    </w:p>
    <w:p>
      <w:pPr>
        <w:spacing w:after="0" w:line="223"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THIS FIRST AMENDMENT (the “Amendment”), made effective this1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day of December, 2013 to that certain BETAHost Master Subscription Agreement by and between Thomson Reuters BETA Systems (“BETA”), a division of Thomson Financial LLC, a Thomson Reuters company, and LPL Financial LLC (formerly, LPL Financial Corporation and hereinafter “Subscriber”) dated December 30, 2008 (the “Agreement”).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 THAT:</w:t>
      </w:r>
    </w:p>
    <w:p>
      <w:pPr>
        <w:spacing w:after="0" w:line="225" w:lineRule="exact"/>
        <w:rPr>
          <w:sz w:val="20"/>
          <w:szCs w:val="20"/>
          <w:color w:val="auto"/>
        </w:rPr>
      </w:pPr>
    </w:p>
    <w:p>
      <w:pPr>
        <w:ind w:right="400" w:firstLine="648"/>
        <w:spacing w:after="0" w:line="262" w:lineRule="auto"/>
        <w:rPr>
          <w:sz w:val="20"/>
          <w:szCs w:val="20"/>
          <w:color w:val="auto"/>
        </w:rPr>
      </w:pPr>
      <w:r>
        <w:rPr>
          <w:rFonts w:ascii="Arial" w:cs="Arial" w:eastAsia="Arial" w:hAnsi="Arial"/>
          <w:sz w:val="18"/>
          <w:szCs w:val="18"/>
          <w:color w:val="auto"/>
        </w:rPr>
        <w:t>WHEREAS, the parties hereto have entered into the Agreement pursuant to which BETA provides to Subscriber a data processing service called BETAHost;</w:t>
      </w:r>
    </w:p>
    <w:p>
      <w:pPr>
        <w:spacing w:after="0" w:line="196" w:lineRule="exact"/>
        <w:rPr>
          <w:sz w:val="20"/>
          <w:szCs w:val="20"/>
          <w:color w:val="auto"/>
        </w:rPr>
      </w:pPr>
    </w:p>
    <w:p>
      <w:pPr>
        <w:ind w:right="760" w:firstLine="648"/>
        <w:spacing w:after="0" w:line="262" w:lineRule="auto"/>
        <w:rPr>
          <w:sz w:val="20"/>
          <w:szCs w:val="20"/>
          <w:color w:val="auto"/>
        </w:rPr>
      </w:pPr>
      <w:r>
        <w:rPr>
          <w:rFonts w:ascii="Arial" w:cs="Arial" w:eastAsia="Arial" w:hAnsi="Arial"/>
          <w:sz w:val="18"/>
          <w:szCs w:val="18"/>
          <w:color w:val="auto"/>
        </w:rPr>
        <w:t>WHEREAS, BETA and Subscriber desire to amend the Agreement to extend the term of the Agreement and provide a revised processing charge schedule and other related revisions; and</w:t>
      </w:r>
    </w:p>
    <w:p>
      <w:pPr>
        <w:spacing w:after="0" w:line="196"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WHEREAS, this Amendment supersedes all prior discussion and agreements between the parties with respect to the subject matter of this Amendment.</w:t>
      </w:r>
    </w:p>
    <w:p>
      <w:pPr>
        <w:spacing w:after="0" w:line="196" w:lineRule="exact"/>
        <w:rPr>
          <w:sz w:val="20"/>
          <w:szCs w:val="20"/>
          <w:color w:val="auto"/>
        </w:rPr>
      </w:pPr>
    </w:p>
    <w:p>
      <w:pPr>
        <w:ind w:right="380" w:firstLine="648"/>
        <w:spacing w:after="0" w:line="262" w:lineRule="auto"/>
        <w:rPr>
          <w:sz w:val="20"/>
          <w:szCs w:val="20"/>
          <w:color w:val="auto"/>
        </w:rPr>
      </w:pPr>
      <w:r>
        <w:rPr>
          <w:rFonts w:ascii="Arial" w:cs="Arial" w:eastAsia="Arial" w:hAnsi="Arial"/>
          <w:sz w:val="18"/>
          <w:szCs w:val="18"/>
          <w:color w:val="auto"/>
        </w:rPr>
        <w:t>NOW THEREFORE, in consideration of the mutual covenants hereinafter set forth, and other good and valuable consideration, the receipt and adequacy of which is hereby acknowledged, the parties hereto agree to amend the Agreement as follows:</w:t>
      </w:r>
    </w:p>
    <w:p>
      <w:pPr>
        <w:spacing w:after="0" w:line="196" w:lineRule="exact"/>
        <w:rPr>
          <w:sz w:val="20"/>
          <w:szCs w:val="20"/>
          <w:color w:val="auto"/>
        </w:rPr>
      </w:pPr>
    </w:p>
    <w:p>
      <w:pPr>
        <w:ind w:left="980" w:right="60"/>
        <w:spacing w:after="0" w:line="254" w:lineRule="auto"/>
        <w:rPr>
          <w:sz w:val="20"/>
          <w:szCs w:val="20"/>
          <w:color w:val="auto"/>
        </w:rPr>
      </w:pPr>
      <w:r>
        <w:rPr>
          <w:rFonts w:ascii="Arial" w:cs="Arial" w:eastAsia="Arial" w:hAnsi="Arial"/>
          <w:sz w:val="18"/>
          <w:szCs w:val="18"/>
          <w:color w:val="auto"/>
        </w:rPr>
        <w:t>Paragraph 2 (b) of the Agreement will be deleted in its entirety and replaced with the following: “Provided Subscriber adheres to BETA’s reasonable recommendations regarding system use and equipment configuration, BETA will provide the Services in accordance with the service level standards (each, a “Performance Standard”) as set forth in Service Level Agreement schedule of the Agreement.”</w:t>
      </w:r>
    </w:p>
    <w:p>
      <w:pPr>
        <w:spacing w:after="0" w:line="204" w:lineRule="exact"/>
        <w:rPr>
          <w:sz w:val="20"/>
          <w:szCs w:val="20"/>
          <w:color w:val="auto"/>
        </w:rPr>
      </w:pPr>
    </w:p>
    <w:p>
      <w:pPr>
        <w:ind w:left="980" w:right="80"/>
        <w:spacing w:after="0" w:line="254" w:lineRule="auto"/>
        <w:rPr>
          <w:sz w:val="20"/>
          <w:szCs w:val="20"/>
          <w:color w:val="auto"/>
        </w:rPr>
      </w:pPr>
      <w:r>
        <w:rPr>
          <w:rFonts w:ascii="Arial" w:cs="Arial" w:eastAsia="Arial" w:hAnsi="Arial"/>
          <w:sz w:val="18"/>
          <w:szCs w:val="18"/>
          <w:color w:val="auto"/>
        </w:rPr>
        <w:t>Paragraph 5 (a) of the Agreement will be deleted in its entirety and replaced with the following; “</w:t>
      </w:r>
      <w:r>
        <w:rPr>
          <w:rFonts w:ascii="Arial" w:cs="Arial" w:eastAsia="Arial" w:hAnsi="Arial"/>
          <w:sz w:val="18"/>
          <w:szCs w:val="18"/>
          <w:u w:val="single" w:color="auto"/>
          <w:color w:val="auto"/>
        </w:rPr>
        <w:t>General</w:t>
      </w:r>
      <w:r>
        <w:rPr>
          <w:rFonts w:ascii="Arial" w:cs="Arial" w:eastAsia="Arial" w:hAnsi="Arial"/>
          <w:sz w:val="18"/>
          <w:szCs w:val="18"/>
          <w:color w:val="auto"/>
        </w:rPr>
        <w:t>. In addition to reimbursements required elsewhere in this Agreement, Subscriber shall pay for services in accordance Schedule A attached hereto and as may be adjusted as provided herein. Charges for any partial month of service shall be prorated on the basis of a 30-day month.”</w:t>
      </w:r>
    </w:p>
    <w:p>
      <w:pPr>
        <w:spacing w:after="0" w:line="204" w:lineRule="exact"/>
        <w:rPr>
          <w:sz w:val="20"/>
          <w:szCs w:val="20"/>
          <w:color w:val="auto"/>
        </w:rPr>
      </w:pPr>
    </w:p>
    <w:p>
      <w:pPr>
        <w:ind w:left="980" w:right="660"/>
        <w:spacing w:after="0" w:line="262" w:lineRule="auto"/>
        <w:rPr>
          <w:sz w:val="20"/>
          <w:szCs w:val="20"/>
          <w:color w:val="auto"/>
        </w:rPr>
      </w:pPr>
      <w:r>
        <w:rPr>
          <w:rFonts w:ascii="Arial" w:cs="Arial" w:eastAsia="Arial" w:hAnsi="Arial"/>
          <w:sz w:val="18"/>
          <w:szCs w:val="18"/>
          <w:color w:val="auto"/>
        </w:rPr>
        <w:t>The first sentence of paragraph 6 (a) of the Agreement will be deleted and replaced with the following: “This Agreement will terminate on January 1, 2019.”</w:t>
      </w:r>
    </w:p>
    <w:p>
      <w:pPr>
        <w:spacing w:after="0" w:line="196" w:lineRule="exact"/>
        <w:rPr>
          <w:sz w:val="20"/>
          <w:szCs w:val="20"/>
          <w:color w:val="auto"/>
        </w:rPr>
      </w:pPr>
    </w:p>
    <w:p>
      <w:pPr>
        <w:ind w:left="980" w:right="20"/>
        <w:spacing w:after="0" w:line="253" w:lineRule="auto"/>
        <w:rPr>
          <w:sz w:val="20"/>
          <w:szCs w:val="20"/>
          <w:color w:val="auto"/>
        </w:rPr>
      </w:pPr>
      <w:r>
        <w:rPr>
          <w:rFonts w:ascii="Arial" w:cs="Arial" w:eastAsia="Arial" w:hAnsi="Arial"/>
          <w:sz w:val="18"/>
          <w:szCs w:val="18"/>
          <w:color w:val="auto"/>
        </w:rPr>
        <w:t>Paragraph 6 (b) will be deleted in its entirety and replaced with the following: “Unless notice of non-renewal has been provided, this Agreement shall be extended automatically for successive periods of one year until a successor agreement is signed by the parties or until the Agreement, upon 180 days prior written notice, is terminated. During any period of extension the charges for services provided shall be equal to those in effect in the last year of the term or the immediately preceding extension period, whichever is applicable, plus 5%.”</w:t>
      </w:r>
    </w:p>
    <w:p>
      <w:pPr>
        <w:spacing w:after="0" w:line="20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will be added as Paragraph 12 (d) of the Agreement:</w:t>
      </w:r>
    </w:p>
    <w:p>
      <w:pPr>
        <w:spacing w:after="0" w:line="9" w:lineRule="exact"/>
        <w:rPr>
          <w:sz w:val="20"/>
          <w:szCs w:val="20"/>
          <w:color w:val="auto"/>
        </w:rPr>
      </w:pPr>
    </w:p>
    <w:p>
      <w:pPr>
        <w:ind w:left="980" w:right="160"/>
        <w:spacing w:after="0" w:line="253" w:lineRule="auto"/>
        <w:rPr>
          <w:sz w:val="20"/>
          <w:szCs w:val="20"/>
          <w:color w:val="auto"/>
        </w:rPr>
      </w:pPr>
      <w:r>
        <w:rPr>
          <w:rFonts w:ascii="Arial" w:cs="Arial" w:eastAsia="Arial" w:hAnsi="Arial"/>
          <w:sz w:val="18"/>
          <w:szCs w:val="18"/>
          <w:color w:val="auto"/>
        </w:rPr>
        <w:t xml:space="preserve">“Third party providers whose information is included in the Services may impose additional restrictions on usage of their information or materials and those restrictions may change from time to time. These restrictions may include prohibiting certain types of usage or requiring Subscriber to report its usage to obtain agreement from, or pay additional fees either through BETA or directly to, the relevant third party provider. Subscriber can view restrictions that third party providers have supplied to BETA at </w:t>
      </w:r>
      <w:r>
        <w:rPr>
          <w:rFonts w:ascii="Arial" w:cs="Arial" w:eastAsia="Arial" w:hAnsi="Arial"/>
          <w:sz w:val="18"/>
          <w:szCs w:val="18"/>
          <w:i w:val="1"/>
          <w:iCs w:val="1"/>
          <w:u w:val="single" w:color="auto"/>
          <w:color w:val="7030A0"/>
        </w:rPr>
        <w:t>www.thomsonreuters.com/3ptyterms</w:t>
      </w:r>
      <w:r>
        <w:rPr>
          <w:rFonts w:ascii="Arial" w:cs="Arial" w:eastAsia="Arial" w:hAnsi="Arial"/>
          <w:sz w:val="18"/>
          <w:szCs w:val="18"/>
          <w:i w:val="1"/>
          <w:iCs w:val="1"/>
          <w:color w:val="7030A0"/>
        </w:rPr>
        <w:t xml:space="preserve"> </w:t>
      </w:r>
      <w:r>
        <w:rPr>
          <w:rFonts w:ascii="Arial" w:cs="Arial" w:eastAsia="Arial" w:hAnsi="Arial"/>
          <w:sz w:val="18"/>
          <w:szCs w:val="18"/>
          <w:color w:val="000000"/>
        </w:rPr>
        <w:t>(the “</w:t>
      </w:r>
      <w:r>
        <w:rPr>
          <w:rFonts w:ascii="Arial" w:cs="Arial" w:eastAsia="Arial" w:hAnsi="Arial"/>
          <w:sz w:val="18"/>
          <w:szCs w:val="18"/>
          <w:b w:val="1"/>
          <w:bCs w:val="1"/>
          <w:color w:val="000000"/>
        </w:rPr>
        <w:t>Third Party Terms Site</w:t>
      </w:r>
      <w:r>
        <w:rPr>
          <w:rFonts w:ascii="Arial" w:cs="Arial" w:eastAsia="Arial" w:hAnsi="Arial"/>
          <w:sz w:val="18"/>
          <w:szCs w:val="18"/>
          <w:color w:val="000000"/>
        </w:rPr>
        <w:t>”), or alternatively, in some cases,</w:t>
      </w:r>
    </w:p>
    <w:p>
      <w:pPr>
        <w:sectPr>
          <w:pgSz w:w="11900" w:h="16838" w:orient="portrait"/>
          <w:cols w:equalWidth="0" w:num="1">
            <w:col w:w="11420"/>
          </w:cols>
          <w:pgMar w:left="240" w:top="333" w:right="239" w:bottom="1440" w:gutter="0" w:footer="0" w:header="0"/>
        </w:sectPr>
      </w:pPr>
    </w:p>
    <w:bookmarkStart w:id="56" w:name="page57"/>
    <w:bookmarkEnd w:id="56"/>
    <w:p>
      <w:pPr>
        <w:jc w:val="center"/>
        <w:spacing w:after="0" w:line="287" w:lineRule="auto"/>
        <w:rPr>
          <w:sz w:val="20"/>
          <w:szCs w:val="20"/>
          <w:color w:val="auto"/>
        </w:rPr>
      </w:pPr>
      <w:r>
        <w:rPr>
          <w:rFonts w:ascii="Arial" w:cs="Arial" w:eastAsia="Arial" w:hAnsi="Arial"/>
          <w:sz w:val="18"/>
          <w:szCs w:val="18"/>
          <w:b w:val="1"/>
          <w:bCs w:val="1"/>
          <w:color w:val="auto"/>
        </w:rPr>
        <w:t>THIS EXHIBIT HAS BEEN REDACTED AND IS THE SUBJECT OF A CONFIDENTIAL TREATMENT REQUEST. REDACTED MATERIAL IS MARKED WITH [**] AND HAS BEEN FILED SEPARATELY WITH THE SECURITIES AND EXCHANGED COMMISSION.</w:t>
      </w:r>
    </w:p>
    <w:p>
      <w:pPr>
        <w:spacing w:after="0" w:line="202" w:lineRule="exact"/>
        <w:rPr>
          <w:sz w:val="20"/>
          <w:szCs w:val="20"/>
          <w:color w:val="auto"/>
        </w:rPr>
      </w:pPr>
    </w:p>
    <w:p>
      <w:pPr>
        <w:ind w:left="940" w:right="80"/>
        <w:spacing w:after="0" w:line="251" w:lineRule="auto"/>
        <w:rPr>
          <w:sz w:val="20"/>
          <w:szCs w:val="20"/>
          <w:color w:val="auto"/>
        </w:rPr>
      </w:pPr>
      <w:r>
        <w:rPr>
          <w:rFonts w:ascii="Arial" w:cs="Arial" w:eastAsia="Arial" w:hAnsi="Arial"/>
          <w:sz w:val="18"/>
          <w:szCs w:val="18"/>
          <w:color w:val="auto"/>
        </w:rPr>
        <w:t>within the relevant Service. BETA will use commercially reasonable efforts to ensure that the Third Party Terms Site or the Service (as relevant) is maintained with the latest policies of each relevant third party provider. Changes to the Third Party Terms Site will be published on the Thomson Reuters Customer Portal quarterly, where BETA will endeavor to provide Subscriber 30 days’ notice before a change goes into effect, but may not be able to do so if BETA does not receive sufficient prior notice from such third parties. These restrictions are binding on Subscriber in the same way as any other provision in this Agreement Third party providers may have the right to require that BETA restrict, suspend or terminate Subscriber’s access to that third Party provider’s information or materials., If BETA takes any such action, it will use reasonable efforts to provide Subscriber with prior notice and not be liable for any resulting damages Subscriber may suffer. BETA may provide third party providers with details of Subscriber’s usage of and any suspected breach of this Agreement relating to, that third party provider’s information or materials.”</w:t>
      </w:r>
    </w:p>
    <w:p>
      <w:pPr>
        <w:spacing w:after="0" w:line="200" w:lineRule="exact"/>
        <w:rPr>
          <w:sz w:val="20"/>
          <w:szCs w:val="20"/>
          <w:color w:val="auto"/>
        </w:rPr>
      </w:pPr>
    </w:p>
    <w:p>
      <w:pPr>
        <w:spacing w:after="0" w:line="22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Schedule A to the Agreement will be deleted in its entirety and replaced with the attached Schedule A.</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Schedule B to the Agreement will be deleted in its entirety.</w:t>
      </w:r>
    </w:p>
    <w:p>
      <w:pPr>
        <w:spacing w:after="0" w:line="225" w:lineRule="exact"/>
        <w:rPr>
          <w:sz w:val="20"/>
          <w:szCs w:val="20"/>
          <w:color w:val="auto"/>
        </w:rPr>
      </w:pPr>
    </w:p>
    <w:p>
      <w:pPr>
        <w:ind w:left="940" w:right="680" w:firstLine="648"/>
        <w:spacing w:after="0" w:line="262" w:lineRule="auto"/>
        <w:rPr>
          <w:sz w:val="20"/>
          <w:szCs w:val="20"/>
          <w:color w:val="auto"/>
        </w:rPr>
      </w:pPr>
      <w:r>
        <w:rPr>
          <w:rFonts w:ascii="Arial" w:cs="Arial" w:eastAsia="Arial" w:hAnsi="Arial"/>
          <w:sz w:val="18"/>
          <w:szCs w:val="18"/>
          <w:color w:val="auto"/>
        </w:rPr>
        <w:t>All terms and conditions of the Agreement (and any Schedules and Exhibits thereto) not expressly modified by this Amendment shall remain in full force and effect.</w:t>
      </w:r>
    </w:p>
    <w:p>
      <w:pPr>
        <w:spacing w:after="0" w:line="196" w:lineRule="exact"/>
        <w:rPr>
          <w:sz w:val="20"/>
          <w:szCs w:val="20"/>
          <w:color w:val="auto"/>
        </w:rPr>
      </w:pPr>
    </w:p>
    <w:p>
      <w:pPr>
        <w:jc w:val="both"/>
        <w:ind w:left="940" w:right="440"/>
        <w:spacing w:after="0" w:line="256" w:lineRule="auto"/>
        <w:rPr>
          <w:sz w:val="20"/>
          <w:szCs w:val="20"/>
          <w:color w:val="auto"/>
        </w:rPr>
      </w:pPr>
      <w:r>
        <w:rPr>
          <w:rFonts w:ascii="Arial" w:cs="Arial" w:eastAsia="Arial" w:hAnsi="Arial"/>
          <w:sz w:val="18"/>
          <w:szCs w:val="18"/>
          <w:color w:val="auto"/>
        </w:rPr>
        <w:t>This Amendment together with the Agreement (and any Schedules and Exhibits thereto) shall be the complete and exclusive statement of the arrangement between the parties as to the subject matter of the Agreement. Neither this Amendment nor the Agreement can be amended or otherwise modified, expect as agreed to in writing by both parties.</w:t>
      </w:r>
    </w:p>
    <w:p>
      <w:pPr>
        <w:spacing w:after="0" w:line="200" w:lineRule="exact"/>
        <w:rPr>
          <w:sz w:val="20"/>
          <w:szCs w:val="20"/>
          <w:color w:val="auto"/>
        </w:rPr>
      </w:pPr>
    </w:p>
    <w:p>
      <w:pPr>
        <w:spacing w:after="0" w:line="21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Made and executed this 28th day of July, 2014.</w:t>
      </w:r>
    </w:p>
    <w:p>
      <w:pPr>
        <w:spacing w:after="0" w:line="200" w:lineRule="exact"/>
        <w:rPr>
          <w:sz w:val="20"/>
          <w:szCs w:val="20"/>
          <w:color w:val="auto"/>
        </w:rPr>
      </w:pPr>
    </w:p>
    <w:p>
      <w:pPr>
        <w:spacing w:after="0" w:line="39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Thomson Reuters Beta Systems</w:t>
      </w:r>
    </w:p>
    <w:p>
      <w:pPr>
        <w:spacing w:after="0" w:line="1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division of Thomson Reuters (Markets)</w:t>
      </w:r>
    </w:p>
    <w:p>
      <w:pPr>
        <w:ind w:left="4540"/>
        <w:spacing w:after="0"/>
        <w:rPr>
          <w:sz w:val="20"/>
          <w:szCs w:val="20"/>
          <w:color w:val="auto"/>
        </w:rPr>
      </w:pPr>
      <w:r>
        <w:rPr>
          <w:rFonts w:ascii="Arial" w:cs="Arial" w:eastAsia="Arial" w:hAnsi="Arial"/>
          <w:sz w:val="18"/>
          <w:szCs w:val="18"/>
          <w:color w:val="auto"/>
        </w:rPr>
        <w:t>LLC</w:t>
      </w:r>
    </w:p>
    <w:p>
      <w:pPr>
        <w:spacing w:after="0" w:line="4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By:_</w:t>
      </w:r>
      <w:r>
        <w:rPr>
          <w:rFonts w:ascii="Arial" w:cs="Arial" w:eastAsia="Arial" w:hAnsi="Arial"/>
          <w:sz w:val="18"/>
          <w:szCs w:val="18"/>
          <w:u w:val="single" w:color="auto"/>
          <w:color w:val="auto"/>
        </w:rPr>
        <w:t>/s/ John S.</w:t>
      </w:r>
    </w:p>
    <w:p>
      <w:pPr>
        <w:ind w:left="4540"/>
        <w:spacing w:after="0"/>
        <w:rPr>
          <w:sz w:val="20"/>
          <w:szCs w:val="20"/>
          <w:color w:val="auto"/>
        </w:rPr>
      </w:pPr>
      <w:r>
        <w:rPr>
          <w:rFonts w:ascii="Arial" w:cs="Arial" w:eastAsia="Arial" w:hAnsi="Arial"/>
          <w:sz w:val="18"/>
          <w:szCs w:val="18"/>
          <w:u w:val="single" w:color="auto"/>
          <w:color w:val="auto"/>
        </w:rPr>
        <w:t>Fennelly</w:t>
      </w:r>
      <w:r>
        <w:rPr>
          <w:rFonts w:ascii="Arial" w:cs="Arial" w:eastAsia="Arial" w:hAnsi="Arial"/>
          <w:sz w:val="18"/>
          <w:szCs w:val="18"/>
          <w:color w:val="auto"/>
        </w:rPr>
        <w:t>_________________________</w:t>
      </w:r>
    </w:p>
    <w:p>
      <w:pPr>
        <w:spacing w:after="0" w:line="4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Name:_</w:t>
      </w:r>
      <w:r>
        <w:rPr>
          <w:rFonts w:ascii="Arial" w:cs="Arial" w:eastAsia="Arial" w:hAnsi="Arial"/>
          <w:sz w:val="18"/>
          <w:szCs w:val="18"/>
          <w:u w:val="single" w:color="auto"/>
          <w:color w:val="auto"/>
        </w:rPr>
        <w:t>John S.</w:t>
      </w:r>
    </w:p>
    <w:p>
      <w:pPr>
        <w:ind w:left="4540"/>
        <w:spacing w:after="0"/>
        <w:rPr>
          <w:sz w:val="20"/>
          <w:szCs w:val="20"/>
          <w:color w:val="auto"/>
        </w:rPr>
      </w:pPr>
      <w:r>
        <w:rPr>
          <w:rFonts w:ascii="Arial" w:cs="Arial" w:eastAsia="Arial" w:hAnsi="Arial"/>
          <w:sz w:val="18"/>
          <w:szCs w:val="18"/>
          <w:u w:val="single" w:color="auto"/>
          <w:color w:val="auto"/>
        </w:rPr>
        <w:t>Fennelly</w:t>
      </w:r>
      <w:r>
        <w:rPr>
          <w:rFonts w:ascii="Arial" w:cs="Arial" w:eastAsia="Arial" w:hAnsi="Arial"/>
          <w:sz w:val="18"/>
          <w:szCs w:val="18"/>
          <w:color w:val="auto"/>
        </w:rPr>
        <w:t>_________________________</w:t>
      </w:r>
    </w:p>
    <w:p>
      <w:pPr>
        <w:spacing w:after="0" w:line="4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Title:_</w:t>
      </w:r>
      <w:r>
        <w:rPr>
          <w:rFonts w:ascii="Arial" w:cs="Arial" w:eastAsia="Arial" w:hAnsi="Arial"/>
          <w:sz w:val="18"/>
          <w:szCs w:val="18"/>
          <w:u w:val="single" w:color="auto"/>
          <w:color w:val="auto"/>
        </w:rPr>
        <w:t>Managing</w:t>
      </w:r>
    </w:p>
    <w:p>
      <w:pPr>
        <w:ind w:left="4540"/>
        <w:spacing w:after="0"/>
        <w:rPr>
          <w:sz w:val="20"/>
          <w:szCs w:val="20"/>
          <w:color w:val="auto"/>
        </w:rPr>
      </w:pPr>
      <w:r>
        <w:rPr>
          <w:rFonts w:ascii="Arial" w:cs="Arial" w:eastAsia="Arial" w:hAnsi="Arial"/>
          <w:sz w:val="18"/>
          <w:szCs w:val="18"/>
          <w:u w:val="single" w:color="auto"/>
          <w:color w:val="auto"/>
        </w:rPr>
        <w:t>Director</w:t>
      </w:r>
      <w:r>
        <w:rPr>
          <w:rFonts w:ascii="Arial" w:cs="Arial" w:eastAsia="Arial" w:hAnsi="Arial"/>
          <w:sz w:val="18"/>
          <w:szCs w:val="18"/>
          <w:color w:val="auto"/>
        </w:rPr>
        <w:t>_________________________</w:t>
      </w:r>
    </w:p>
    <w:p>
      <w:pPr>
        <w:spacing w:after="0" w:line="25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LPL Financial LLC</w:t>
      </w:r>
    </w:p>
    <w:p>
      <w:pPr>
        <w:spacing w:after="0" w:line="6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By:_</w:t>
      </w:r>
      <w:r>
        <w:rPr>
          <w:rFonts w:ascii="Arial" w:cs="Arial" w:eastAsia="Arial" w:hAnsi="Arial"/>
          <w:sz w:val="18"/>
          <w:szCs w:val="18"/>
          <w:u w:val="single" w:color="auto"/>
          <w:color w:val="auto"/>
        </w:rPr>
        <w:t>/s/ Gregory M.</w:t>
      </w:r>
    </w:p>
    <w:p>
      <w:pPr>
        <w:ind w:left="4540"/>
        <w:spacing w:after="0"/>
        <w:rPr>
          <w:sz w:val="20"/>
          <w:szCs w:val="20"/>
          <w:color w:val="auto"/>
        </w:rPr>
      </w:pPr>
      <w:r>
        <w:rPr>
          <w:rFonts w:ascii="Arial" w:cs="Arial" w:eastAsia="Arial" w:hAnsi="Arial"/>
          <w:sz w:val="18"/>
          <w:szCs w:val="18"/>
          <w:u w:val="single" w:color="auto"/>
          <w:color w:val="auto"/>
        </w:rPr>
        <w:t>Woods</w:t>
      </w:r>
      <w:r>
        <w:rPr>
          <w:rFonts w:ascii="Arial" w:cs="Arial" w:eastAsia="Arial" w:hAnsi="Arial"/>
          <w:sz w:val="18"/>
          <w:szCs w:val="18"/>
          <w:color w:val="auto"/>
        </w:rPr>
        <w:t>_______________________</w:t>
      </w:r>
    </w:p>
    <w:p>
      <w:pPr>
        <w:spacing w:after="0" w:line="4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Name:_</w:t>
      </w:r>
      <w:r>
        <w:rPr>
          <w:rFonts w:ascii="Arial" w:cs="Arial" w:eastAsia="Arial" w:hAnsi="Arial"/>
          <w:sz w:val="18"/>
          <w:szCs w:val="18"/>
          <w:u w:val="single" w:color="auto"/>
          <w:color w:val="auto"/>
        </w:rPr>
        <w:t>Gregory M.</w:t>
      </w:r>
    </w:p>
    <w:p>
      <w:pPr>
        <w:ind w:left="4540"/>
        <w:spacing w:after="0"/>
        <w:rPr>
          <w:sz w:val="20"/>
          <w:szCs w:val="20"/>
          <w:color w:val="auto"/>
        </w:rPr>
      </w:pPr>
      <w:r>
        <w:rPr>
          <w:rFonts w:ascii="Arial" w:cs="Arial" w:eastAsia="Arial" w:hAnsi="Arial"/>
          <w:sz w:val="18"/>
          <w:szCs w:val="18"/>
          <w:u w:val="single" w:color="auto"/>
          <w:color w:val="auto"/>
        </w:rPr>
        <w:t>Woods</w:t>
      </w:r>
      <w:r>
        <w:rPr>
          <w:rFonts w:ascii="Arial" w:cs="Arial" w:eastAsia="Arial" w:hAnsi="Arial"/>
          <w:sz w:val="18"/>
          <w:szCs w:val="18"/>
          <w:color w:val="auto"/>
        </w:rPr>
        <w:t>_______________________</w:t>
      </w:r>
    </w:p>
    <w:p>
      <w:pPr>
        <w:spacing w:after="0" w:line="4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Title:_</w:t>
      </w:r>
      <w:r>
        <w:rPr>
          <w:rFonts w:ascii="Arial" w:cs="Arial" w:eastAsia="Arial" w:hAnsi="Arial"/>
          <w:sz w:val="18"/>
          <w:szCs w:val="18"/>
          <w:u w:val="single" w:color="auto"/>
          <w:color w:val="auto"/>
        </w:rPr>
        <w:t>Executive Vice President &amp; General</w:t>
      </w:r>
    </w:p>
    <w:p>
      <w:pPr>
        <w:ind w:left="4540"/>
        <w:spacing w:after="0"/>
        <w:rPr>
          <w:sz w:val="20"/>
          <w:szCs w:val="20"/>
          <w:color w:val="auto"/>
        </w:rPr>
      </w:pPr>
      <w:r>
        <w:rPr>
          <w:rFonts w:ascii="Arial" w:cs="Arial" w:eastAsia="Arial" w:hAnsi="Arial"/>
          <w:sz w:val="18"/>
          <w:szCs w:val="18"/>
          <w:u w:val="single" w:color="auto"/>
          <w:color w:val="auto"/>
        </w:rPr>
        <w:t>Counsel</w:t>
      </w:r>
      <w:r>
        <w:rPr>
          <w:rFonts w:ascii="Arial" w:cs="Arial" w:eastAsia="Arial" w:hAnsi="Arial"/>
          <w:sz w:val="18"/>
          <w:szCs w:val="18"/>
          <w:color w:val="auto"/>
        </w:rPr>
        <w:t>____</w:t>
      </w:r>
    </w:p>
    <w:p>
      <w:pPr>
        <w:sectPr>
          <w:pgSz w:w="11900" w:h="16838" w:orient="portrait"/>
          <w:cols w:equalWidth="0" w:num="1">
            <w:col w:w="11360"/>
          </w:cols>
          <w:pgMar w:left="280" w:top="333" w:right="259" w:bottom="1440" w:gutter="0" w:footer="0" w:header="0"/>
        </w:sectPr>
      </w:pPr>
    </w:p>
    <w:bookmarkStart w:id="57" w:name="page58"/>
    <w:bookmarkEnd w:id="57"/>
    <w:p>
      <w:pPr>
        <w:jc w:val="center"/>
        <w:spacing w:after="0" w:line="287" w:lineRule="auto"/>
        <w:rPr>
          <w:sz w:val="20"/>
          <w:szCs w:val="20"/>
          <w:color w:val="auto"/>
        </w:rPr>
      </w:pPr>
      <w:r>
        <w:rPr>
          <w:rFonts w:ascii="Arial" w:cs="Arial" w:eastAsia="Arial" w:hAnsi="Arial"/>
          <w:sz w:val="18"/>
          <w:szCs w:val="18"/>
          <w:b w:val="1"/>
          <w:bCs w:val="1"/>
          <w:color w:val="auto"/>
        </w:rPr>
        <w:t>THIS EXHIBIT HAS BEEN REDACTED AND IS THE SUBJECT OF A CONFIDENTIAL TREATMENT REQUEST. REDACTED MATERIAL IS MARKED WITH [**] AND HAS BEEN FILED SEPARATELY WITH THE SECURITIES AND EXCHANGED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360"/>
          </w:cols>
          <w:pgMar w:left="280" w:top="333" w:right="25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LPL FINANCIAL HOLDINGS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Non-Employee Director Compensation Policy</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Cash Retainers</w:t>
      </w:r>
    </w:p>
    <w:p>
      <w:pPr>
        <w:spacing w:after="0" w:line="222"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20"/>
          <w:szCs w:val="20"/>
          <w:color w:val="auto"/>
        </w:rPr>
        <w:t>All non-employee directors receive a $65,000 annual retainer, paid quarterly.</w:t>
      </w:r>
    </w:p>
    <w:p>
      <w:pPr>
        <w:spacing w:after="0" w:line="215"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20"/>
          <w:szCs w:val="20"/>
          <w:color w:val="auto"/>
        </w:rPr>
        <w:t>The Audit Committee Chairperson receives an additional $20,000 as part of his or her annual retainer; each other member of the Audit Committee receives an additional $10,000 as part of his or her annual retainer.</w:t>
      </w:r>
    </w:p>
    <w:p>
      <w:pPr>
        <w:spacing w:after="0" w:line="176"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20"/>
          <w:szCs w:val="20"/>
          <w:color w:val="auto"/>
        </w:rPr>
        <w:t>The Compensation and Human Resources Committee Chairperson receives an additional $15,000 as part of his or her annual retainer; each other member of the Compensation and Human Resources Committee receives an additional $7,500 as part of his or her annual retainer.</w:t>
      </w:r>
    </w:p>
    <w:p>
      <w:pPr>
        <w:spacing w:after="0" w:line="186" w:lineRule="exact"/>
        <w:rPr>
          <w:rFonts w:ascii="Arial" w:cs="Arial" w:eastAsia="Arial" w:hAnsi="Arial"/>
          <w:sz w:val="18"/>
          <w:szCs w:val="18"/>
          <w:color w:val="auto"/>
        </w:rPr>
      </w:pPr>
    </w:p>
    <w:p>
      <w:pPr>
        <w:ind w:left="660" w:hanging="328"/>
        <w:spacing w:after="0" w:line="31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8"/>
          <w:szCs w:val="18"/>
          <w:color w:val="auto"/>
        </w:rPr>
        <w:t>The Nominating and Governance Committee Chairperson receives an additional $10,000 as part of his or her annual retainer; each other member of the Nominating and Governance Committee receives an additional $5,000 as part of his or her annual retainer.</w:t>
      </w:r>
    </w:p>
    <w:p>
      <w:pPr>
        <w:spacing w:after="0" w:line="130"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20"/>
          <w:szCs w:val="20"/>
          <w:color w:val="auto"/>
        </w:rPr>
        <w:t>The Lead Director receives an additional $15,000 as part of his or her annual retainer.</w:t>
      </w:r>
    </w:p>
    <w:p>
      <w:pPr>
        <w:spacing w:after="0" w:line="215"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20"/>
          <w:szCs w:val="20"/>
          <w:color w:val="auto"/>
        </w:rPr>
        <w:t>A non-employee director will be entitled to receive a pro-rated annual retainer (including fees for committee service) for the quarter in which he or she was initially elected to the Board of Directors, calculated based on the number of days that have elapsed since the beginning of such quarter.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Grants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Under the 2010 Omnibus Equity Incentive Plan, the Company grants to each non-employee director of the Company:</w:t>
      </w:r>
    </w:p>
    <w:p>
      <w:pPr>
        <w:spacing w:after="0" w:line="216" w:lineRule="exact"/>
        <w:rPr>
          <w:sz w:val="20"/>
          <w:szCs w:val="20"/>
          <w:color w:val="auto"/>
        </w:rPr>
      </w:pPr>
    </w:p>
    <w:p>
      <w:pPr>
        <w:jc w:val="both"/>
        <w:ind w:left="660" w:hanging="328"/>
        <w:spacing w:after="0" w:line="269"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9"/>
          <w:szCs w:val="19"/>
          <w:color w:val="auto"/>
        </w:rPr>
        <w:t>Restricted shares of the Company’s common stock (the “Common Stock”) with a value of $130,000 (based on the closing price of shares of the Common Stock on the grant date) on the next business day following the Company’s annual meeting of stockholders, such restricted shares to vest in full on the second anniversary of the grant date (the “Annual Grant”).</w:t>
      </w:r>
    </w:p>
    <w:p>
      <w:pPr>
        <w:spacing w:after="0" w:line="170"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9"/>
          <w:szCs w:val="19"/>
          <w:color w:val="auto"/>
        </w:rPr>
        <w:t>Upon a non-employee director’s initial election to the Board of Directors, a pro-rated Annual Grant calculated based on the number of days that have elapsed since the most recent annual meeting of stockholders, such restricted shares to vest in full on the second anniversary of the grant date. In the discretion of the Board of Directors, the grant date of such pro-rated Annual Grant may be delayed until the next open trading window under the Company’s insider trading policy then in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Effective as of May 8, 2014</w:t>
      </w:r>
    </w:p>
    <w:p>
      <w:pPr>
        <w:sectPr>
          <w:pgSz w:w="11900" w:h="16838" w:orient="portrait"/>
          <w:cols w:equalWidth="0" w:num="1">
            <w:col w:w="11420"/>
          </w:cols>
          <w:pgMar w:left="240" w:top="576"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S. Casady, certify that:</w:t>
      </w:r>
    </w:p>
    <w:p>
      <w:pPr>
        <w:spacing w:after="0" w:line="225"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2014</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Dan H. Arnold, certify that:</w:t>
      </w:r>
    </w:p>
    <w:p>
      <w:pPr>
        <w:spacing w:after="0" w:line="225"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2014</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76"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right="14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June 30, 2014 as filed with the Securities and Exchange Commission (“SEC”) on the date hereof (the “Report”), I, Mark S. Casady, Chief Executive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2014</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4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June 30, 2014 as filed with the Securities and Exchange Commission (“SEC”) on the date hereof (the “Report”), I, Dan H. Arnold, Chief Financial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2014</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2"/>
    </w:lvl>
  </w:abstractNum>
  <w:abstractNum w:abstractNumId="4">
    <w:nsid w:val="6763845E"/>
    <w:multiLevelType w:val="hybridMultilevel"/>
    <w:lvl w:ilvl="0">
      <w:lvlJc w:val="left"/>
      <w:lvlText w:val="%1."/>
      <w:numFmt w:val="decimal"/>
      <w:start w:val="3"/>
    </w:lvl>
  </w:abstractNum>
  <w:abstractNum w:abstractNumId="5">
    <w:nsid w:val="75A2A8D4"/>
    <w:multiLevelType w:val="hybridMultilevel"/>
    <w:lvl w:ilvl="0">
      <w:lvlJc w:val="left"/>
      <w:lvlText w:val="%1."/>
      <w:numFmt w:val="decimal"/>
      <w:start w:val="4"/>
    </w:lvl>
  </w:abstractNum>
  <w:abstractNum w:abstractNumId="6">
    <w:nsid w:val="8EDBDAB"/>
    <w:multiLevelType w:val="hybridMultilevel"/>
    <w:lvl w:ilvl="0">
      <w:lvlJc w:val="left"/>
      <w:lvlText w:val="%1."/>
      <w:numFmt w:val="decimal"/>
      <w:start w:val="5"/>
    </w:lvl>
  </w:abstractNum>
  <w:abstractNum w:abstractNumId="7">
    <w:nsid w:val="79838CB2"/>
    <w:multiLevelType w:val="hybridMultilevel"/>
    <w:lvl w:ilvl="0">
      <w:lvlJc w:val="left"/>
      <w:lvlText w:val="%1."/>
      <w:numFmt w:val="decimal"/>
      <w:start w:val="6"/>
    </w:lvl>
  </w:abstractNum>
  <w:abstractNum w:abstractNumId="8">
    <w:nsid w:val="4353D0CD"/>
    <w:multiLevelType w:val="hybridMultilevel"/>
    <w:lvl w:ilvl="0">
      <w:lvlJc w:val="left"/>
      <w:lvlText w:val="%1."/>
      <w:numFmt w:val="decimal"/>
      <w:start w:val="7"/>
    </w:lvl>
  </w:abstractNum>
  <w:abstractNum w:abstractNumId="9">
    <w:nsid w:val="B03E0C6"/>
    <w:multiLevelType w:val="hybridMultilevel"/>
    <w:lvl w:ilvl="0">
      <w:lvlJc w:val="left"/>
      <w:lvlText w:val="%1."/>
      <w:numFmt w:val="decimal"/>
      <w:start w:val="8"/>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9"/>
    </w:lvl>
  </w:abstractNum>
  <w:abstractNum w:abstractNumId="12">
    <w:nsid w:val="71F32454"/>
    <w:multiLevelType w:val="hybridMultilevel"/>
    <w:lvl w:ilvl="0">
      <w:lvlJc w:val="left"/>
      <w:lvlText w:val="%1."/>
      <w:numFmt w:val="decimal"/>
      <w:start w:val="10"/>
    </w:lvl>
  </w:abstractNum>
  <w:abstractNum w:abstractNumId="13">
    <w:nsid w:val="2CA88611"/>
    <w:multiLevelType w:val="hybridMultilevel"/>
    <w:lvl w:ilvl="0">
      <w:lvlJc w:val="left"/>
      <w:lvlText w:val="%1."/>
      <w:numFmt w:val="decimal"/>
      <w:start w:val="11"/>
    </w:lvl>
  </w:abstractNum>
  <w:abstractNum w:abstractNumId="14">
    <w:nsid w:val="836C40E"/>
    <w:multiLevelType w:val="hybridMultilevel"/>
    <w:lvl w:ilvl="0">
      <w:lvlJc w:val="left"/>
      <w:lvlText w:val="%1."/>
      <w:numFmt w:val="decimal"/>
      <w:start w:val="12"/>
    </w:lvl>
  </w:abstractNum>
  <w:abstractNum w:abstractNumId="15">
    <w:nsid w:val="2901D82"/>
    <w:multiLevelType w:val="hybridMultilevel"/>
    <w:lvl w:ilvl="0">
      <w:lvlJc w:val="left"/>
      <w:lvlText w:val="%1."/>
      <w:numFmt w:val="decimal"/>
      <w:start w:val="13"/>
    </w:lvl>
  </w:abstractNum>
  <w:abstractNum w:abstractNumId="16">
    <w:nsid w:val="3A95F874"/>
    <w:multiLevelType w:val="hybridMultilevel"/>
    <w:lvl w:ilvl="0">
      <w:lvlJc w:val="left"/>
      <w:lvlText w:val="%1."/>
      <w:numFmt w:val="decimal"/>
      <w:start w:val="14"/>
    </w:lvl>
  </w:abstractNum>
  <w:abstractNum w:abstractNumId="17">
    <w:nsid w:val="8138641"/>
    <w:multiLevelType w:val="hybridMultilevel"/>
    <w:lvl w:ilvl="0">
      <w:lvlJc w:val="left"/>
      <w:lvlText w:val="%1."/>
      <w:numFmt w:val="decimal"/>
      <w:start w:val="15"/>
    </w:lvl>
  </w:abstractNum>
  <w:abstractNum w:abstractNumId="18">
    <w:nsid w:val="1E7FF521"/>
    <w:multiLevelType w:val="hybridMultilevel"/>
    <w:lvl w:ilvl="0">
      <w:lvlJc w:val="left"/>
      <w:lvlText w:val="%1."/>
      <w:numFmt w:val="decimal"/>
      <w:start w:val="16"/>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lowerLetter"/>
      <w:start w:val="2"/>
    </w:lvl>
  </w:abstractNum>
  <w:abstractNum w:abstractNumId="22">
    <w:nsid w:val="22221A70"/>
    <w:multiLevelType w:val="hybridMultilevel"/>
    <w:lvl w:ilvl="0">
      <w:lvlJc w:val="left"/>
      <w:lvlText w:val="(%1)"/>
      <w:numFmt w:val="decimal"/>
      <w:start w:val="2"/>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
      <w:numFmt w:val="bullet"/>
      <w:start w:val="1"/>
    </w:lvl>
    <w:lvl w:ilvl="1">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2019-12-07T15:44:57Z</dcterms:created>
  <dcterms:modified xsi:type="dcterms:W3CDTF">2019-12-07T15:44:57Z</dcterms:modified>
</cp:coreProperties>
</file>