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2927.xml.htm"/>
      <w:bookmarkStart w:id="1" w:name="kswkform4_17873429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Gates Greg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LPL FINANCIAL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 EXECUTIVE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LPL Financial Holdings Inc.</w:t>
              </w:r>
            </w:hyperlink>
            <w:r>
              <w:rPr/>
              <w:t xml:space="preserve"> [ </w:t>
            </w:r>
            <w:r>
              <w:rPr>
                <w:rFonts w:ascii="Times;serif" w:hAnsi="Times;serif"/>
                <w:color w:val="0000FF"/>
                <w:sz w:val="24"/>
                <w:shd w:fill="FFFFFF" w:val="clear"/>
              </w:rPr>
              <w:t>LPLA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Managing Director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77.53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27,721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355.38</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23,602</w:t>
            </w:r>
            <w:r>
              <w:rPr>
                <w:rFonts w:ascii="Times;serif" w:hAnsi="Times;serif"/>
                <w:color w:val="008000"/>
                <w:position w:val="7"/>
                <w:sz w:val="16"/>
                <w:sz w:val="20"/>
                <w:shd w:fill="FFFFFF" w:val="clear"/>
              </w:rPr>
              <w:t>(2)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9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77.53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7,189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$355.25 to $355.47, inclusive. The reporting person undertakes to provide to LPL Financial Holdings Inc., any security holder of LPL Financial Holdings Inc. or the staff of the Securities and Exchange Commission, upon request, full information regarding the number of shares sold at each separate price within the range set forth in this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(i) 15,807 shares of Common Stock; (ii) 776 restricted stock units that vest in full on February 25, 2027; (iii) 1,438 restricted stock units that vest ratably on each of February 25, 2027 and February 25, 2028; (iv) 2,774 restricted stock units that vest ratably on each of February 25, 2027, February 25, 2028 and February 25, 2029; and (v) 2,807 restricted stock units that vest ratably on each of February 25, 2028 and August 31,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became exercisable in three installments, beginning February 25, 2020, which was the first anniversary of the date on which it was granted. The option became fully vested on February 25, 2022.</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signatory is signing on behalf of Greg Gates pursuant to a Power of Attorney dated December 17,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 Hatfield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7100" TargetMode="External"/><Relationship Id="rId5" Type="http://schemas.openxmlformats.org/officeDocument/2006/relationships/hyperlink" Target="http://www.sec.gov/cgi-bin/browse-edgar?action=getcompany&amp;CIK=00013979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810</Words>
  <Characters>4286</Characters>
  <CharactersWithSpaces>5004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