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4456.xml.htm"/>
      <w:bookmarkStart w:id="1" w:name="kswkform4_17858744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Enyedi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Managing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351.06</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352.77</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353.37</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354.52</w:t>
            </w:r>
            <w:r>
              <w:rPr>
                <w:rFonts w:ascii="Times;serif" w:hAnsi="Times;serif"/>
                <w:color w:val="008000"/>
                <w:position w:val="7"/>
                <w:sz w:val="16"/>
                <w:sz w:val="20"/>
                <w:shd w:fill="FFFFFF" w:val="clear"/>
              </w:rPr>
              <w:t>(5)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355.51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13,121</w:t>
            </w:r>
            <w:r>
              <w:rPr>
                <w:rFonts w:ascii="Times;serif" w:hAnsi="Times;serif"/>
                <w:color w:val="008000"/>
                <w:position w:val="7"/>
                <w:sz w:val="16"/>
                <w:sz w:val="20"/>
                <w:shd w:fill="FFFFFF" w:val="clear"/>
              </w:rPr>
              <w:t>(6)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$350.81 to $351.45, inclusive. The reporting person undertakes to provide to LPL Financial Holdings Inc., any security holder of LPL Financial Holdings Inc. or the staff of the Securities and Exchange Commission, upon request, full information regarding the number of shares sold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$352.05 to $353.04, inclusive. The reporting person undertakes to provide to LPL Financial Holdings Inc., any security holder of LPL Financial Holdings Inc. or the staff of the Securities and Exchange Commission, upon request, full information regarding the number of shares sold at each separate price within the range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$353.05 to $353.61, inclusive. The reporting person undertakes to provide to LPL Financial Holdings Inc., any security holder of LPL Financial Holdings Inc. or the staff of the Securities and Exchange Commission, upon request, full information regarding the number of shares sold at each separate price within the range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$354.18 to $354.63, inclusive. The reporting person undertakes to provide to LPL Financial Holdings Inc., any security holder of LPL Financial Holdings Inc. or the staff of the Securities and Exchange Commission, upon request, full information regarding the number of shares sold at each separate price within the range set forth in this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(i) 9,242 shares of Common Stock; (ii) 597 restricted stock units that vest in full on February 25, 2027; (iii) 1,106 restricted stock units that vest ratably on each of February 25, 2027 and February 25, 2028; and (iv) 2,176 restricted stock units that vest ratably on each of February 25, 2027, February 25, 2028 and February 25,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Matthew Enyedi pursuant to a Power of Attorney dated December 17,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8805"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1042</Words>
  <Characters>5479</Characters>
  <CharactersWithSpaces>6414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