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98"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98"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SCHEDULE 14A</w:t>
      </w:r>
    </w:p>
    <w:p>
      <w:pPr>
        <w:sectPr>
          <w:pgSz w:w="11900" w:h="16838" w:orient="portrait"/>
          <w:cols w:equalWidth="0" w:num="1">
            <w:col w:w="11020"/>
          </w:cols>
          <w:pgMar w:left="320" w:top="230" w:right="559" w:bottom="1440" w:gutter="0" w:footer="0" w:header="0"/>
        </w:sectPr>
      </w:pPr>
    </w:p>
    <w:p>
      <w:pPr>
        <w:spacing w:after="0" w:line="78" w:lineRule="exact"/>
        <w:rPr>
          <w:sz w:val="24"/>
          <w:szCs w:val="24"/>
          <w:color w:val="auto"/>
        </w:rPr>
      </w:pPr>
    </w:p>
    <w:p>
      <w:pPr>
        <w:ind w:left="2520" w:right="140" w:firstLine="931"/>
        <w:spacing w:after="0" w:line="249"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2" w:lineRule="exact"/>
        <w:rPr>
          <w:sz w:val="24"/>
          <w:szCs w:val="24"/>
          <w:color w:val="auto"/>
        </w:rPr>
      </w:pPr>
    </w:p>
    <w:p>
      <w:pPr>
        <w:sectPr>
          <w:pgSz w:w="11900" w:h="16838" w:orient="portrait"/>
          <w:cols w:equalWidth="0" w:num="2">
            <w:col w:w="7940" w:space="720"/>
            <w:col w:w="2360"/>
          </w:cols>
          <w:pgMar w:left="320" w:top="230" w:right="559" w:bottom="1440" w:gutter="0" w:footer="0" w:header="0"/>
          <w:type w:val="continuous"/>
        </w:sectPr>
      </w:pPr>
    </w:p>
    <w:p>
      <w:pPr>
        <w:spacing w:after="0" w:line="17" w:lineRule="exact"/>
        <w:rPr>
          <w:sz w:val="24"/>
          <w:szCs w:val="24"/>
          <w:color w:val="auto"/>
        </w:rPr>
      </w:pPr>
    </w:p>
    <w:p>
      <w:pPr>
        <w:jc w:val="center"/>
        <w:ind w:left="12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2" w:lineRule="exact"/>
        <w:rPr>
          <w:sz w:val="24"/>
          <w:szCs w:val="24"/>
          <w:color w:val="auto"/>
        </w:rPr>
      </w:pPr>
    </w:p>
    <w:p>
      <w:pPr>
        <w:sectPr>
          <w:pgSz w:w="11900" w:h="16838" w:orient="portrait"/>
          <w:cols w:equalWidth="0" w:num="2">
            <w:col w:w="1920" w:space="100"/>
            <w:col w:w="9000"/>
          </w:cols>
          <w:pgMar w:left="320" w:top="230" w:right="559" w:bottom="1440" w:gutter="0" w:footer="0" w:header="0"/>
          <w:type w:val="continuous"/>
        </w:sectPr>
      </w:pPr>
    </w:p>
    <w:p>
      <w:pPr>
        <w:jc w:val="center"/>
        <w:ind w:left="12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sectPr>
          <w:pgSz w:w="11900" w:h="16838" w:orient="portrait"/>
          <w:cols w:equalWidth="0" w:num="2">
            <w:col w:w="3400" w:space="100"/>
            <w:col w:w="7520"/>
          </w:cols>
          <w:pgMar w:left="320" w:top="230" w:right="5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1020"/>
          </w:cols>
          <w:pgMar w:left="320" w:top="230" w:right="559" w:bottom="1440" w:gutter="0" w:footer="0" w:header="0"/>
          <w:type w:val="continuous"/>
        </w:sectPr>
      </w:pPr>
    </w:p>
    <w:p>
      <w:pPr>
        <w:spacing w:after="0" w:line="21" w:lineRule="exact"/>
        <w:rPr>
          <w:sz w:val="24"/>
          <w:szCs w:val="24"/>
          <w:color w:val="auto"/>
        </w:rPr>
      </w:pP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Preliminary Proxy Statement</w:t>
      </w:r>
    </w:p>
    <w:p>
      <w:pPr>
        <w:spacing w:after="0" w:line="28" w:lineRule="exact"/>
        <w:rPr>
          <w:sz w:val="24"/>
          <w:szCs w:val="24"/>
          <w:color w:val="auto"/>
        </w:rPr>
      </w:pPr>
    </w:p>
    <w:p>
      <w:pPr>
        <w:sectPr>
          <w:pgSz w:w="11900" w:h="16838" w:orient="portrait"/>
          <w:cols w:equalWidth="0" w:num="2">
            <w:col w:w="280" w:space="380"/>
            <w:col w:w="10360"/>
          </w:cols>
          <w:pgMar w:left="320" w:top="230" w:right="559" w:bottom="1440" w:gutter="0" w:footer="0" w:header="0"/>
          <w:type w:val="continuous"/>
        </w:sectPr>
      </w:pP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Confidential, for Use of the Commission Only (as permitted by Rule 14a-6(e)(2))</w:t>
      </w:r>
    </w:p>
    <w:p>
      <w:pPr>
        <w:spacing w:after="0" w:line="28" w:lineRule="exact"/>
        <w:rPr>
          <w:sz w:val="24"/>
          <w:szCs w:val="24"/>
          <w:color w:val="auto"/>
        </w:rPr>
      </w:pPr>
    </w:p>
    <w:p>
      <w:pPr>
        <w:sectPr>
          <w:pgSz w:w="11900" w:h="16838" w:orient="portrait"/>
          <w:cols w:equalWidth="0" w:num="2">
            <w:col w:w="280" w:space="380"/>
            <w:col w:w="10360"/>
          </w:cols>
          <w:pgMar w:left="320" w:top="230" w:right="559" w:bottom="1440" w:gutter="0" w:footer="0" w:header="0"/>
          <w:type w:val="continuous"/>
        </w:sectPr>
      </w:pP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Definitive Proxy Statement</w:t>
      </w:r>
    </w:p>
    <w:p>
      <w:pPr>
        <w:spacing w:after="0" w:line="28" w:lineRule="exact"/>
        <w:rPr>
          <w:sz w:val="24"/>
          <w:szCs w:val="24"/>
          <w:color w:val="auto"/>
        </w:rPr>
      </w:pPr>
    </w:p>
    <w:p>
      <w:pPr>
        <w:sectPr>
          <w:pgSz w:w="11900" w:h="16838" w:orient="portrait"/>
          <w:cols w:equalWidth="0" w:num="2">
            <w:col w:w="280" w:space="380"/>
            <w:col w:w="10360"/>
          </w:cols>
          <w:pgMar w:left="320" w:top="230" w:right="559" w:bottom="1440" w:gutter="0" w:footer="0" w:header="0"/>
          <w:type w:val="continuous"/>
        </w:sectPr>
      </w:pP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Definitive Additional Materials</w:t>
      </w:r>
    </w:p>
    <w:p>
      <w:pPr>
        <w:spacing w:after="0" w:line="28" w:lineRule="exact"/>
        <w:rPr>
          <w:sz w:val="24"/>
          <w:szCs w:val="24"/>
          <w:color w:val="auto"/>
        </w:rPr>
      </w:pPr>
    </w:p>
    <w:p>
      <w:pPr>
        <w:sectPr>
          <w:pgSz w:w="11900" w:h="16838" w:orient="portrait"/>
          <w:cols w:equalWidth="0" w:num="2">
            <w:col w:w="280" w:space="380"/>
            <w:col w:w="10360"/>
          </w:cols>
          <w:pgMar w:left="320" w:top="230" w:right="559" w:bottom="1440" w:gutter="0" w:footer="0" w:header="0"/>
          <w:type w:val="continuous"/>
        </w:sectPr>
      </w:pP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ectPr>
          <w:pgSz w:w="11900" w:h="16838" w:orient="portrait"/>
          <w:cols w:equalWidth="0" w:num="2">
            <w:col w:w="280" w:space="380"/>
            <w:col w:w="10360"/>
          </w:cols>
          <w:pgMar w:left="320" w:top="230" w:right="559" w:bottom="1440" w:gutter="0" w:footer="0" w:header="0"/>
          <w:type w:val="continuous"/>
        </w:sectPr>
      </w:pPr>
    </w:p>
    <w:p>
      <w:pPr>
        <w:spacing w:after="0" w:line="16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9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99516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280" w:right="40" w:hanging="597"/>
        <w:spacing w:after="0" w:line="246" w:lineRule="auto"/>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4" w:lineRule="exact"/>
        <w:rPr>
          <w:rFonts w:ascii="MS PGothic" w:cs="MS PGothic" w:eastAsia="MS PGothic" w:hAnsi="MS PGothic"/>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280" w:hanging="597"/>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-2676525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-2427605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-2050415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-1802130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-1553210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-644525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-396240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100330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2571750</wp:posOffset>
            </wp:positionV>
            <wp:extent cx="5812155" cy="2726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21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20"/>
        <w:spacing w:after="0"/>
        <w:rPr>
          <w:sz w:val="20"/>
          <w:szCs w:val="20"/>
          <w:color w:val="auto"/>
        </w:rPr>
      </w:pPr>
      <w:r>
        <w:rPr>
          <w:rFonts w:ascii="Arial" w:cs="Arial" w:eastAsia="Arial" w:hAnsi="Arial"/>
          <w:sz w:val="43"/>
          <w:szCs w:val="43"/>
          <w:b w:val="1"/>
          <w:bCs w:val="1"/>
          <w:color w:val="003B71"/>
        </w:rPr>
        <w:t>2020 Annual Meeting of Stockholders</w:t>
      </w:r>
    </w:p>
    <w:p>
      <w:pPr>
        <w:spacing w:after="0" w:line="65" w:lineRule="exact"/>
        <w:rPr>
          <w:sz w:val="20"/>
          <w:szCs w:val="20"/>
          <w:color w:val="auto"/>
        </w:rPr>
      </w:pPr>
    </w:p>
    <w:p>
      <w:pPr>
        <w:ind w:left="3100"/>
        <w:spacing w:after="0"/>
        <w:rPr>
          <w:sz w:val="20"/>
          <w:szCs w:val="20"/>
          <w:color w:val="auto"/>
        </w:rPr>
      </w:pPr>
      <w:r>
        <w:rPr>
          <w:rFonts w:ascii="Arial" w:cs="Arial" w:eastAsia="Arial" w:hAnsi="Arial"/>
          <w:sz w:val="40"/>
          <w:szCs w:val="40"/>
          <w:b w:val="1"/>
          <w:bCs w:val="1"/>
          <w:color w:val="003B71"/>
        </w:rPr>
        <w:t>Notice and Proxy Statement</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B71"/>
        </w:rPr>
        <w:t>Member FINRA/SIPC</w:t>
      </w:r>
    </w:p>
    <w:p>
      <w:pPr>
        <w:sectPr>
          <w:pgSz w:w="11900" w:h="16838" w:orient="portrait"/>
          <w:cols w:equalWidth="0" w:num="1">
            <w:col w:w="10139"/>
          </w:cols>
          <w:pgMar w:left="320" w:top="459" w:right="1440"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205740</wp:posOffset>
            </wp:positionV>
            <wp:extent cx="165417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23, 2020</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It is my pleasure to invite you to attend the 2020 Annual Meeting of Stockholders (the “Annual Meeting”) of LPL Financial Holdings Inc. The meeting will be held on Wednesday, May 6, 2020, at 10:00 a.m., local time, and holders of record of our common stock as of March 9, 2020 are entitled to notice of and to vote at the Annual Meeting. The Notice of Annual Meeting of Stockholders and the proxy statement that follow describe the business to be conducted at the meeting.</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currently plan to hold the Annual Meeting in person at our offices located at 1055 LPL Way, Fort Mill, South Carolina 29715. We are actively monitoring COVID-19, however, and are sensitive to related public health and travel concerns. Accordingly, we are planning for the possibility that the Annual Meeting may be held virtually through the internet. If we were to take this step, we would promptly announce the decision through a press release, file the announcement with the Securities and Exchange Commission as additional proxy material and post the announcement on our website.</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Consistent with our focus on sustainability, we are pleased to take advantage of the Securities and Exchange Commission rule allowing companies to furnish proxy materials to their stockholders through the internet. We believe this approach will allow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March 23, 2020.</w:t>
      </w:r>
    </w:p>
    <w:p>
      <w:pPr>
        <w:spacing w:after="0" w:line="183"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b w:val="1"/>
          <w:bCs w:val="1"/>
          <w:color w:val="003B71"/>
        </w:rPr>
        <w:t>YOUR VOTE IS VERY IMPORTANT. PLEASE SUBMIT YOUR PROXY OR VOTING INSTRUCTIONS AS SOON AS POSSIBLE, WHETHER OR NOT YOU PLAN TO ATTEND THE ANNUAL MEETING.</w:t>
      </w:r>
    </w:p>
    <w:p>
      <w:pPr>
        <w:spacing w:after="0" w:line="17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Please vote your shares promptly to ensure they are represented at the Annual Meeting. You may submit your proxy through the internet or by telephone, as described in the following materials, or if you request printed copies of these materials, by completing and signing the proxy card and returning it in the envelope provided. A virtual meeting will have no effect on your ability to submit your proxy through these methods. If you decide to attend the Annual Meeting and wish to change your proxy, you may do so automatically by voting at the meeting.</w:t>
      </w:r>
    </w:p>
    <w:p>
      <w:pPr>
        <w:spacing w:after="0" w:line="20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ask you to RSVP if you intend to attend the Annual Meeting. Please refer to page 1 of the accompanying proxy statement for further information concerning attendance.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behalf of the Board of Directors, I thank you for your continued support of LPL Financial Holdings Inc.</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74930</wp:posOffset>
            </wp:positionV>
            <wp:extent cx="153416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1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S. Putnam</w:t>
      </w:r>
    </w:p>
    <w:p>
      <w:pPr>
        <w:ind w:left="6740"/>
        <w:spacing w:after="0"/>
        <w:rPr>
          <w:sz w:val="20"/>
          <w:szCs w:val="20"/>
          <w:color w:val="auto"/>
        </w:rPr>
      </w:pPr>
      <w:r>
        <w:rPr>
          <w:rFonts w:ascii="Arial" w:cs="Arial" w:eastAsia="Arial" w:hAnsi="Arial"/>
          <w:sz w:val="18"/>
          <w:szCs w:val="18"/>
          <w:i w:val="1"/>
          <w:iCs w:val="1"/>
          <w:color w:val="auto"/>
        </w:rPr>
        <w:t>Chair</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205740</wp:posOffset>
            </wp:positionV>
            <wp:extent cx="165417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41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60" w:type="dxa"/>
            <w:vAlign w:val="bottom"/>
          </w:tcPr>
          <w:p>
            <w:pPr>
              <w:ind w:left="940"/>
              <w:spacing w:after="0"/>
              <w:rPr>
                <w:sz w:val="20"/>
                <w:szCs w:val="20"/>
                <w:color w:val="auto"/>
              </w:rPr>
            </w:pPr>
            <w:r>
              <w:rPr>
                <w:rFonts w:ascii="Arial" w:cs="Arial" w:eastAsia="Arial" w:hAnsi="Arial"/>
                <w:sz w:val="23"/>
                <w:szCs w:val="23"/>
                <w:b w:val="1"/>
                <w:bCs w:val="1"/>
                <w:color w:val="003B71"/>
              </w:rPr>
              <w:t>Notice of Annual Meeting of Stockholders</w:t>
            </w:r>
          </w:p>
        </w:tc>
      </w:tr>
      <w:tr>
        <w:trPr>
          <w:trHeight w:val="457"/>
        </w:trPr>
        <w:tc>
          <w:tcPr>
            <w:tcW w:w="1760" w:type="dxa"/>
            <w:vAlign w:val="bottom"/>
          </w:tcPr>
          <w:p>
            <w:pPr>
              <w:spacing w:after="0"/>
              <w:rPr>
                <w:sz w:val="20"/>
                <w:szCs w:val="20"/>
                <w:color w:val="auto"/>
              </w:rPr>
            </w:pPr>
            <w:r>
              <w:rPr>
                <w:rFonts w:ascii="Arial" w:cs="Arial" w:eastAsia="Arial" w:hAnsi="Arial"/>
                <w:sz w:val="18"/>
                <w:szCs w:val="18"/>
                <w:b w:val="1"/>
                <w:bCs w:val="1"/>
                <w:color w:val="003B71"/>
              </w:rPr>
              <w:t>Time and Date</w:t>
            </w: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10:00 a.m., local time, on Wednesday, May 6, 2020</w:t>
            </w:r>
          </w:p>
        </w:tc>
      </w:tr>
      <w:tr>
        <w:trPr>
          <w:trHeight w:val="404"/>
        </w:trPr>
        <w:tc>
          <w:tcPr>
            <w:tcW w:w="1760" w:type="dxa"/>
            <w:vAlign w:val="bottom"/>
          </w:tcPr>
          <w:p>
            <w:pPr>
              <w:spacing w:after="0"/>
              <w:rPr>
                <w:sz w:val="20"/>
                <w:szCs w:val="20"/>
                <w:color w:val="auto"/>
              </w:rPr>
            </w:pPr>
            <w:r>
              <w:rPr>
                <w:rFonts w:ascii="Arial" w:cs="Arial" w:eastAsia="Arial" w:hAnsi="Arial"/>
                <w:sz w:val="18"/>
                <w:szCs w:val="18"/>
                <w:b w:val="1"/>
                <w:bCs w:val="1"/>
                <w:color w:val="003B71"/>
              </w:rPr>
              <w:t>Items of Business</w:t>
            </w:r>
          </w:p>
        </w:tc>
        <w:tc>
          <w:tcPr>
            <w:tcW w:w="480" w:type="dxa"/>
            <w:vAlign w:val="bottom"/>
          </w:tcPr>
          <w:p>
            <w:pPr>
              <w:ind w:left="220"/>
              <w:spacing w:after="0"/>
              <w:rPr>
                <w:sz w:val="20"/>
                <w:szCs w:val="20"/>
                <w:color w:val="auto"/>
              </w:rPr>
            </w:pPr>
            <w:r>
              <w:rPr>
                <w:rFonts w:ascii="Arial" w:cs="Arial" w:eastAsia="Arial" w:hAnsi="Arial"/>
                <w:sz w:val="18"/>
                <w:szCs w:val="18"/>
                <w:color w:val="auto"/>
              </w:rPr>
              <w:t>(1)</w:t>
            </w:r>
          </w:p>
        </w:tc>
        <w:tc>
          <w:tcPr>
            <w:tcW w:w="8760" w:type="dxa"/>
            <w:vAlign w:val="bottom"/>
          </w:tcPr>
          <w:p>
            <w:pPr>
              <w:ind w:left="60"/>
              <w:spacing w:after="0"/>
              <w:rPr>
                <w:sz w:val="20"/>
                <w:szCs w:val="20"/>
                <w:color w:val="auto"/>
              </w:rPr>
            </w:pPr>
            <w:r>
              <w:rPr>
                <w:rFonts w:ascii="Arial" w:cs="Arial" w:eastAsia="Arial" w:hAnsi="Arial"/>
                <w:sz w:val="18"/>
                <w:szCs w:val="18"/>
                <w:color w:val="auto"/>
              </w:rPr>
              <w:t>Elect the nine nominees named in the proxy statement to the Board of Directors of LPL Financial Holdings</w:t>
            </w:r>
          </w:p>
        </w:tc>
      </w:tr>
      <w:tr>
        <w:trPr>
          <w:trHeight w:val="217"/>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Inc. (the “Company”);</w:t>
            </w:r>
          </w:p>
        </w:tc>
      </w:tr>
      <w:tr>
        <w:trPr>
          <w:trHeight w:val="310"/>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(2)</w:t>
            </w:r>
          </w:p>
        </w:tc>
        <w:tc>
          <w:tcPr>
            <w:tcW w:w="8760" w:type="dxa"/>
            <w:vAlign w:val="bottom"/>
          </w:tcPr>
          <w:p>
            <w:pPr>
              <w:ind w:left="60"/>
              <w:spacing w:after="0"/>
              <w:rPr>
                <w:sz w:val="20"/>
                <w:szCs w:val="20"/>
                <w:color w:val="auto"/>
              </w:rPr>
            </w:pPr>
            <w:r>
              <w:rPr>
                <w:rFonts w:ascii="Arial" w:cs="Arial" w:eastAsia="Arial" w:hAnsi="Arial"/>
                <w:sz w:val="18"/>
                <w:szCs w:val="18"/>
                <w:color w:val="auto"/>
              </w:rPr>
              <w:t>Ratify the appointment of Deloitte &amp; Touche LLP by the Audit Committee of the Board of Directors as the</w:t>
            </w:r>
          </w:p>
        </w:tc>
      </w:tr>
      <w:tr>
        <w:trPr>
          <w:trHeight w:val="217"/>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Company’s independent registered public accounting firm for the fiscal year ending December 31, 2020;</w:t>
            </w:r>
          </w:p>
        </w:tc>
      </w:tr>
      <w:tr>
        <w:trPr>
          <w:trHeight w:val="324"/>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(3)</w:t>
            </w:r>
          </w:p>
        </w:tc>
        <w:tc>
          <w:tcPr>
            <w:tcW w:w="8760" w:type="dxa"/>
            <w:vAlign w:val="bottom"/>
          </w:tcPr>
          <w:p>
            <w:pPr>
              <w:ind w:left="40"/>
              <w:spacing w:after="0"/>
              <w:rPr>
                <w:sz w:val="20"/>
                <w:szCs w:val="20"/>
                <w:color w:val="auto"/>
              </w:rPr>
            </w:pPr>
            <w:r>
              <w:rPr>
                <w:rFonts w:ascii="Arial" w:cs="Arial" w:eastAsia="Arial" w:hAnsi="Arial"/>
                <w:sz w:val="18"/>
                <w:szCs w:val="18"/>
                <w:color w:val="auto"/>
              </w:rPr>
              <w:t>Approve, in an advisory vote, the compensation paid to the Company’s named executive officers; and</w:t>
            </w:r>
          </w:p>
        </w:tc>
      </w:tr>
      <w:tr>
        <w:trPr>
          <w:trHeight w:val="310"/>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(4)</w:t>
            </w:r>
          </w:p>
        </w:tc>
        <w:tc>
          <w:tcPr>
            <w:tcW w:w="8760" w:type="dxa"/>
            <w:vAlign w:val="bottom"/>
          </w:tcPr>
          <w:p>
            <w:pPr>
              <w:ind w:left="60"/>
              <w:spacing w:after="0"/>
              <w:rPr>
                <w:sz w:val="20"/>
                <w:szCs w:val="20"/>
                <w:color w:val="auto"/>
              </w:rPr>
            </w:pPr>
            <w:r>
              <w:rPr>
                <w:rFonts w:ascii="Arial" w:cs="Arial" w:eastAsia="Arial" w:hAnsi="Arial"/>
                <w:sz w:val="18"/>
                <w:szCs w:val="18"/>
                <w:color w:val="auto"/>
              </w:rPr>
              <w:t>Consider and act upon any other business properly coming before the 2020 annual meeting of stockholders</w:t>
            </w:r>
          </w:p>
        </w:tc>
      </w:tr>
      <w:tr>
        <w:trPr>
          <w:trHeight w:val="217"/>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(the “Annual Meeting”) and at any adjournment or postponement thereof.</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003B71"/>
              </w:rPr>
              <w:t>Location</w:t>
            </w: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LPL Financial Holdings Inc.</w:t>
            </w:r>
          </w:p>
        </w:tc>
      </w:tr>
      <w:tr>
        <w:trPr>
          <w:trHeight w:val="203"/>
        </w:trPr>
        <w:tc>
          <w:tcPr>
            <w:tcW w:w="1760" w:type="dxa"/>
            <w:vAlign w:val="bottom"/>
          </w:tcPr>
          <w:p>
            <w:pPr>
              <w:spacing w:after="0"/>
              <w:rPr>
                <w:sz w:val="17"/>
                <w:szCs w:val="17"/>
                <w:color w:val="auto"/>
              </w:rPr>
            </w:pPr>
          </w:p>
        </w:tc>
        <w:tc>
          <w:tcPr>
            <w:tcW w:w="9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1055 LPL Way</w:t>
            </w:r>
          </w:p>
        </w:tc>
      </w:tr>
      <w:tr>
        <w:trPr>
          <w:trHeight w:val="217"/>
        </w:trPr>
        <w:tc>
          <w:tcPr>
            <w:tcW w:w="176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Fort Mill, South Carolina 29715</w:t>
            </w:r>
          </w:p>
        </w:tc>
      </w:tr>
      <w:tr>
        <w:trPr>
          <w:trHeight w:val="431"/>
        </w:trPr>
        <w:tc>
          <w:tcPr>
            <w:tcW w:w="1760" w:type="dxa"/>
            <w:vAlign w:val="bottom"/>
          </w:tcPr>
          <w:p>
            <w:pPr>
              <w:spacing w:after="0"/>
              <w:rPr>
                <w:sz w:val="24"/>
                <w:szCs w:val="24"/>
                <w:color w:val="auto"/>
              </w:rPr>
            </w:pP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As part of its precautions related to COVID-19, the Company is planning for the possibility that the Annual</w:t>
            </w:r>
          </w:p>
        </w:tc>
      </w:tr>
      <w:tr>
        <w:trPr>
          <w:trHeight w:val="203"/>
        </w:trPr>
        <w:tc>
          <w:tcPr>
            <w:tcW w:w="1760" w:type="dxa"/>
            <w:vAlign w:val="bottom"/>
          </w:tcPr>
          <w:p>
            <w:pPr>
              <w:spacing w:after="0"/>
              <w:rPr>
                <w:sz w:val="17"/>
                <w:szCs w:val="17"/>
                <w:color w:val="auto"/>
              </w:rPr>
            </w:pPr>
          </w:p>
        </w:tc>
        <w:tc>
          <w:tcPr>
            <w:tcW w:w="9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Meeting may be held virtually through the internet. If the Company were to take this step, it would promptly</w:t>
            </w:r>
          </w:p>
        </w:tc>
      </w:tr>
      <w:tr>
        <w:trPr>
          <w:trHeight w:val="203"/>
        </w:trPr>
        <w:tc>
          <w:tcPr>
            <w:tcW w:w="1760" w:type="dxa"/>
            <w:vAlign w:val="bottom"/>
          </w:tcPr>
          <w:p>
            <w:pPr>
              <w:spacing w:after="0"/>
              <w:rPr>
                <w:sz w:val="17"/>
                <w:szCs w:val="17"/>
                <w:color w:val="auto"/>
              </w:rPr>
            </w:pPr>
          </w:p>
        </w:tc>
        <w:tc>
          <w:tcPr>
            <w:tcW w:w="9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announce the decision through a press release, file the announcement with the Securities and Exchange</w:t>
            </w:r>
          </w:p>
        </w:tc>
      </w:tr>
      <w:tr>
        <w:trPr>
          <w:trHeight w:val="217"/>
        </w:trPr>
        <w:tc>
          <w:tcPr>
            <w:tcW w:w="176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Commission as additional proxy material and post the announcement on the Company’s website.</w:t>
            </w:r>
          </w:p>
        </w:tc>
      </w:tr>
      <w:tr>
        <w:trPr>
          <w:trHeight w:val="418"/>
        </w:trPr>
        <w:tc>
          <w:tcPr>
            <w:tcW w:w="1760" w:type="dxa"/>
            <w:vAlign w:val="bottom"/>
          </w:tcPr>
          <w:p>
            <w:pPr>
              <w:spacing w:after="0"/>
              <w:rPr>
                <w:sz w:val="20"/>
                <w:szCs w:val="20"/>
                <w:color w:val="auto"/>
              </w:rPr>
            </w:pPr>
            <w:r>
              <w:rPr>
                <w:rFonts w:ascii="Arial" w:cs="Arial" w:eastAsia="Arial" w:hAnsi="Arial"/>
                <w:sz w:val="18"/>
                <w:szCs w:val="18"/>
                <w:b w:val="1"/>
                <w:bCs w:val="1"/>
                <w:color w:val="003B71"/>
              </w:rPr>
              <w:t>Record Date</w:t>
            </w: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Stockholders of record as of 5:00 p.m. Eastern Time on March 9, 2020 (the “Record Date”) will be entitled to vote</w:t>
            </w:r>
          </w:p>
        </w:tc>
      </w:tr>
      <w:tr>
        <w:trPr>
          <w:trHeight w:val="217"/>
        </w:trPr>
        <w:tc>
          <w:tcPr>
            <w:tcW w:w="1760" w:type="dxa"/>
            <w:vAlign w:val="bottom"/>
          </w:tcPr>
          <w:p>
            <w:pPr>
              <w:spacing w:after="0"/>
              <w:rPr>
                <w:sz w:val="18"/>
                <w:szCs w:val="18"/>
                <w:color w:val="auto"/>
              </w:rPr>
            </w:pPr>
          </w:p>
        </w:tc>
        <w:tc>
          <w:tcPr>
            <w:tcW w:w="9240" w:type="dxa"/>
            <w:vAlign w:val="bottom"/>
            <w:gridSpan w:val="2"/>
          </w:tcPr>
          <w:p>
            <w:pPr>
              <w:ind w:left="220"/>
              <w:spacing w:after="0"/>
              <w:rPr>
                <w:sz w:val="20"/>
                <w:szCs w:val="20"/>
                <w:color w:val="auto"/>
              </w:rPr>
            </w:pPr>
            <w:r>
              <w:rPr>
                <w:rFonts w:ascii="Arial" w:cs="Arial" w:eastAsia="Arial" w:hAnsi="Arial"/>
                <w:sz w:val="18"/>
                <w:szCs w:val="18"/>
                <w:color w:val="auto"/>
              </w:rPr>
              <w:t>at the Annual Meeting and any postponements or adjournments thereof.</w:t>
            </w:r>
          </w:p>
        </w:tc>
      </w:tr>
    </w:tbl>
    <w:p>
      <w:pPr>
        <w:spacing w:after="0" w:line="20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Information relating to the matters to be considered and voted on at the Annual Meeting is set forth in the proxy statement accompanying this Notice.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Cameras and electronic recording devices are not permitted at the Annual Meeting.</w:t>
      </w:r>
    </w:p>
    <w:p>
      <w:pPr>
        <w:spacing w:after="0" w:line="19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auto"/>
        </w:rPr>
        <w:t>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w:t>
      </w:r>
    </w:p>
    <w:p>
      <w:pPr>
        <w:spacing w:after="0" w:line="2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48895</wp:posOffset>
            </wp:positionV>
            <wp:extent cx="891540"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15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Gregory M. Woods</w:t>
      </w:r>
    </w:p>
    <w:p>
      <w:pPr>
        <w:ind w:left="6740"/>
        <w:spacing w:after="0"/>
        <w:rPr>
          <w:sz w:val="20"/>
          <w:szCs w:val="20"/>
          <w:color w:val="auto"/>
        </w:rPr>
      </w:pPr>
      <w:r>
        <w:rPr>
          <w:rFonts w:ascii="Arial" w:cs="Arial" w:eastAsia="Arial" w:hAnsi="Arial"/>
          <w:sz w:val="18"/>
          <w:szCs w:val="18"/>
          <w:i w:val="1"/>
          <w:iCs w:val="1"/>
          <w:color w:val="auto"/>
        </w:rPr>
        <w:t>Secretary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ind w:left="120"/>
        <w:spacing w:after="0"/>
        <w:rPr>
          <w:sz w:val="20"/>
          <w:szCs w:val="20"/>
          <w:color w:val="auto"/>
        </w:rPr>
      </w:pPr>
      <w:r>
        <w:rPr>
          <w:rFonts w:ascii="Arial" w:cs="Arial" w:eastAsia="Arial" w:hAnsi="Arial"/>
          <w:sz w:val="18"/>
          <w:szCs w:val="18"/>
          <w:color w:val="auto"/>
        </w:rPr>
        <w:t>March 23, 2020</w:t>
      </w:r>
    </w:p>
    <w:p>
      <w:pPr>
        <w:spacing w:after="0" w:line="19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6, 2020: THE PROXY STATEMENT, THE PROXY CARD, AND LPL FINANCIAL HOLDINGS INC.’S 2019 ANNUAL REPORT ON FORM 10-K ARE AVAILABLE AT WWW.LPL.COM. ADDITIONALLY, IN ACCORDANCE WITH SECURITIES AND EXCHANGE COMMISSION RULES, YOU MAY ACCESS THESE MATERIALS ON THE WEBSITE INDICATED IN THE NOTICE REGARDING AVAILABILITY OF PROXY MATERIALS.</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003B71"/>
        </w:rPr>
        <w:t>Proxy Statement Summary</w:t>
      </w:r>
    </w:p>
    <w:p>
      <w:pPr>
        <w:spacing w:after="0" w:line="240" w:lineRule="exact"/>
        <w:rPr>
          <w:sz w:val="20"/>
          <w:szCs w:val="20"/>
          <w:color w:val="auto"/>
        </w:rPr>
      </w:pPr>
    </w:p>
    <w:p>
      <w:pPr>
        <w:ind w:left="120" w:right="20"/>
        <w:spacing w:after="0" w:line="26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B71"/>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780" w:type="dxa"/>
            <w:vAlign w:val="bottom"/>
          </w:tcPr>
          <w:p>
            <w:pPr>
              <w:spacing w:after="0"/>
              <w:rPr>
                <w:sz w:val="20"/>
                <w:szCs w:val="20"/>
                <w:color w:val="auto"/>
              </w:rPr>
            </w:pPr>
            <w:r>
              <w:rPr>
                <w:rFonts w:ascii="Arial" w:cs="Arial" w:eastAsia="Arial" w:hAnsi="Arial"/>
                <w:sz w:val="18"/>
                <w:szCs w:val="18"/>
                <w:b w:val="1"/>
                <w:bCs w:val="1"/>
                <w:color w:val="003B71"/>
              </w:rPr>
              <w:t>Time and Date</w:t>
            </w:r>
          </w:p>
        </w:tc>
        <w:tc>
          <w:tcPr>
            <w:tcW w:w="9240" w:type="dxa"/>
            <w:vAlign w:val="bottom"/>
          </w:tcPr>
          <w:p>
            <w:pPr>
              <w:ind w:left="540"/>
              <w:spacing w:after="0"/>
              <w:rPr>
                <w:sz w:val="20"/>
                <w:szCs w:val="20"/>
                <w:color w:val="auto"/>
              </w:rPr>
            </w:pPr>
            <w:r>
              <w:rPr>
                <w:rFonts w:ascii="Arial" w:cs="Arial" w:eastAsia="Arial" w:hAnsi="Arial"/>
                <w:sz w:val="18"/>
                <w:szCs w:val="18"/>
                <w:color w:val="auto"/>
              </w:rPr>
              <w:t>10:00 a.m., local time, on Wednesday, May 6, 2020</w:t>
            </w:r>
          </w:p>
        </w:tc>
      </w:tr>
      <w:tr>
        <w:trPr>
          <w:trHeight w:val="404"/>
        </w:trPr>
        <w:tc>
          <w:tcPr>
            <w:tcW w:w="1780" w:type="dxa"/>
            <w:vAlign w:val="bottom"/>
          </w:tcPr>
          <w:p>
            <w:pPr>
              <w:spacing w:after="0"/>
              <w:rPr>
                <w:sz w:val="20"/>
                <w:szCs w:val="20"/>
                <w:color w:val="auto"/>
              </w:rPr>
            </w:pPr>
            <w:r>
              <w:rPr>
                <w:rFonts w:ascii="Arial" w:cs="Arial" w:eastAsia="Arial" w:hAnsi="Arial"/>
                <w:sz w:val="18"/>
                <w:szCs w:val="18"/>
                <w:b w:val="1"/>
                <w:bCs w:val="1"/>
                <w:color w:val="003B71"/>
              </w:rPr>
              <w:t>Location</w:t>
            </w:r>
          </w:p>
        </w:tc>
        <w:tc>
          <w:tcPr>
            <w:tcW w:w="9240" w:type="dxa"/>
            <w:vAlign w:val="bottom"/>
          </w:tcPr>
          <w:p>
            <w:pPr>
              <w:ind w:left="540"/>
              <w:spacing w:after="0"/>
              <w:rPr>
                <w:sz w:val="20"/>
                <w:szCs w:val="20"/>
                <w:color w:val="auto"/>
              </w:rPr>
            </w:pPr>
            <w:r>
              <w:rPr>
                <w:rFonts w:ascii="Arial" w:cs="Arial" w:eastAsia="Arial" w:hAnsi="Arial"/>
                <w:sz w:val="18"/>
                <w:szCs w:val="18"/>
                <w:color w:val="auto"/>
              </w:rPr>
              <w:t>LPL Financial Holdings Inc.</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1055 LPL Way</w:t>
            </w:r>
          </w:p>
        </w:tc>
      </w:tr>
      <w:tr>
        <w:trPr>
          <w:trHeight w:val="217"/>
        </w:trPr>
        <w:tc>
          <w:tcPr>
            <w:tcW w:w="178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Arial" w:cs="Arial" w:eastAsia="Arial" w:hAnsi="Arial"/>
                <w:sz w:val="18"/>
                <w:szCs w:val="18"/>
                <w:color w:val="auto"/>
              </w:rPr>
              <w:t>Fort Mill, South Carolina 29715</w:t>
            </w:r>
          </w:p>
        </w:tc>
      </w:tr>
      <w:tr>
        <w:trPr>
          <w:trHeight w:val="431"/>
        </w:trPr>
        <w:tc>
          <w:tcPr>
            <w:tcW w:w="1780" w:type="dxa"/>
            <w:vAlign w:val="bottom"/>
          </w:tcPr>
          <w:p>
            <w:pPr>
              <w:spacing w:after="0"/>
              <w:rPr>
                <w:sz w:val="24"/>
                <w:szCs w:val="24"/>
                <w:color w:val="auto"/>
              </w:rPr>
            </w:pPr>
          </w:p>
        </w:tc>
        <w:tc>
          <w:tcPr>
            <w:tcW w:w="9240" w:type="dxa"/>
            <w:vAlign w:val="bottom"/>
          </w:tcPr>
          <w:p>
            <w:pPr>
              <w:ind w:left="540"/>
              <w:spacing w:after="0"/>
              <w:rPr>
                <w:sz w:val="20"/>
                <w:szCs w:val="20"/>
                <w:color w:val="auto"/>
              </w:rPr>
            </w:pPr>
            <w:r>
              <w:rPr>
                <w:rFonts w:ascii="Arial" w:cs="Arial" w:eastAsia="Arial" w:hAnsi="Arial"/>
                <w:sz w:val="18"/>
                <w:szCs w:val="18"/>
                <w:color w:val="auto"/>
              </w:rPr>
              <w:t>As part of our precautions related to COVID-19, we are planning for the possibility that the Annual Meeting</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may be held virtually through the internet. If we were to take this step, we would promptly announce the</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decision through a press release, file the announcement with the Securities and Exchange Commission as</w:t>
            </w:r>
          </w:p>
        </w:tc>
      </w:tr>
      <w:tr>
        <w:trPr>
          <w:trHeight w:val="217"/>
        </w:trPr>
        <w:tc>
          <w:tcPr>
            <w:tcW w:w="178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Arial" w:cs="Arial" w:eastAsia="Arial" w:hAnsi="Arial"/>
                <w:sz w:val="18"/>
                <w:szCs w:val="18"/>
                <w:color w:val="auto"/>
              </w:rPr>
              <w:t>additional proxy material and post the announcement on our website.</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color w:val="003B71"/>
              </w:rPr>
              <w:t>Record Date</w:t>
            </w:r>
          </w:p>
        </w:tc>
        <w:tc>
          <w:tcPr>
            <w:tcW w:w="9240" w:type="dxa"/>
            <w:vAlign w:val="bottom"/>
          </w:tcPr>
          <w:p>
            <w:pPr>
              <w:ind w:left="540"/>
              <w:spacing w:after="0"/>
              <w:rPr>
                <w:sz w:val="20"/>
                <w:szCs w:val="20"/>
                <w:color w:val="auto"/>
              </w:rPr>
            </w:pPr>
            <w:r>
              <w:rPr>
                <w:rFonts w:ascii="Arial" w:cs="Arial" w:eastAsia="Arial" w:hAnsi="Arial"/>
                <w:sz w:val="18"/>
                <w:szCs w:val="18"/>
                <w:color w:val="auto"/>
              </w:rPr>
              <w:t>5:00 p.m. Eastern Time on March 9, 2020</w:t>
            </w:r>
          </w:p>
        </w:tc>
      </w:tr>
      <w:tr>
        <w:trPr>
          <w:trHeight w:val="404"/>
        </w:trPr>
        <w:tc>
          <w:tcPr>
            <w:tcW w:w="1780" w:type="dxa"/>
            <w:vAlign w:val="bottom"/>
          </w:tcPr>
          <w:p>
            <w:pPr>
              <w:spacing w:after="0"/>
              <w:rPr>
                <w:sz w:val="20"/>
                <w:szCs w:val="20"/>
                <w:color w:val="auto"/>
              </w:rPr>
            </w:pPr>
            <w:r>
              <w:rPr>
                <w:rFonts w:ascii="Arial" w:cs="Arial" w:eastAsia="Arial" w:hAnsi="Arial"/>
                <w:sz w:val="18"/>
                <w:szCs w:val="18"/>
                <w:b w:val="1"/>
                <w:bCs w:val="1"/>
                <w:color w:val="003B71"/>
              </w:rPr>
              <w:t>Voting</w:t>
            </w:r>
          </w:p>
        </w:tc>
        <w:tc>
          <w:tcPr>
            <w:tcW w:w="9240" w:type="dxa"/>
            <w:vAlign w:val="bottom"/>
          </w:tcPr>
          <w:p>
            <w:pPr>
              <w:ind w:left="540"/>
              <w:spacing w:after="0"/>
              <w:rPr>
                <w:sz w:val="20"/>
                <w:szCs w:val="20"/>
                <w:color w:val="auto"/>
              </w:rPr>
            </w:pPr>
            <w:r>
              <w:rPr>
                <w:rFonts w:ascii="Arial" w:cs="Arial" w:eastAsia="Arial" w:hAnsi="Arial"/>
                <w:sz w:val="18"/>
                <w:szCs w:val="18"/>
                <w:color w:val="auto"/>
              </w:rPr>
              <w:t>Stockholders as of the Record Date are entitled to one vote per share on each matter to be voted upon at the</w:t>
            </w:r>
          </w:p>
        </w:tc>
      </w:tr>
      <w:tr>
        <w:trPr>
          <w:trHeight w:val="217"/>
        </w:trPr>
        <w:tc>
          <w:tcPr>
            <w:tcW w:w="1780" w:type="dxa"/>
            <w:vAlign w:val="bottom"/>
          </w:tcPr>
          <w:p>
            <w:pPr>
              <w:spacing w:after="0"/>
              <w:rPr>
                <w:sz w:val="18"/>
                <w:szCs w:val="18"/>
                <w:color w:val="auto"/>
              </w:rPr>
            </w:pPr>
          </w:p>
        </w:tc>
        <w:tc>
          <w:tcPr>
            <w:tcW w:w="9240" w:type="dxa"/>
            <w:vAlign w:val="bottom"/>
          </w:tcPr>
          <w:p>
            <w:pPr>
              <w:ind w:left="540"/>
              <w:spacing w:after="0"/>
              <w:rPr>
                <w:sz w:val="20"/>
                <w:szCs w:val="20"/>
                <w:color w:val="auto"/>
              </w:rPr>
            </w:pPr>
            <w:r>
              <w:rPr>
                <w:rFonts w:ascii="Arial" w:cs="Arial" w:eastAsia="Arial" w:hAnsi="Arial"/>
                <w:sz w:val="18"/>
                <w:szCs w:val="18"/>
                <w:color w:val="auto"/>
              </w:rPr>
              <w:t>Annual Meeting.</w:t>
            </w:r>
          </w:p>
        </w:tc>
      </w:tr>
      <w:tr>
        <w:trPr>
          <w:trHeight w:val="404"/>
        </w:trPr>
        <w:tc>
          <w:tcPr>
            <w:tcW w:w="1780" w:type="dxa"/>
            <w:vAlign w:val="bottom"/>
          </w:tcPr>
          <w:p>
            <w:pPr>
              <w:spacing w:after="0"/>
              <w:rPr>
                <w:sz w:val="20"/>
                <w:szCs w:val="20"/>
                <w:color w:val="auto"/>
              </w:rPr>
            </w:pPr>
            <w:r>
              <w:rPr>
                <w:rFonts w:ascii="Arial" w:cs="Arial" w:eastAsia="Arial" w:hAnsi="Arial"/>
                <w:sz w:val="18"/>
                <w:szCs w:val="18"/>
                <w:b w:val="1"/>
                <w:bCs w:val="1"/>
                <w:color w:val="003B71"/>
              </w:rPr>
              <w:t>Entry</w:t>
            </w:r>
          </w:p>
        </w:tc>
        <w:tc>
          <w:tcPr>
            <w:tcW w:w="9240" w:type="dxa"/>
            <w:vAlign w:val="bottom"/>
          </w:tcPr>
          <w:p>
            <w:pPr>
              <w:ind w:left="540"/>
              <w:spacing w:after="0"/>
              <w:rPr>
                <w:sz w:val="20"/>
                <w:szCs w:val="20"/>
                <w:color w:val="auto"/>
              </w:rPr>
            </w:pPr>
            <w:r>
              <w:rPr>
                <w:rFonts w:ascii="Arial" w:cs="Arial" w:eastAsia="Arial" w:hAnsi="Arial"/>
                <w:sz w:val="18"/>
                <w:szCs w:val="18"/>
                <w:color w:val="auto"/>
              </w:rPr>
              <w:t>We invite all stockholders to attend the Annual Meeting. If you attend the Annual Meeting in person, you will</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be required to present valid picture identification, such as a driver’s license or passport. If your shares are</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held in “street name”, you will also need to bring a recent brokerage account statement or letter from your</w:t>
            </w:r>
          </w:p>
        </w:tc>
      </w:tr>
      <w:tr>
        <w:trPr>
          <w:trHeight w:val="203"/>
        </w:trPr>
        <w:tc>
          <w:tcPr>
            <w:tcW w:w="1780" w:type="dxa"/>
            <w:vAlign w:val="bottom"/>
          </w:tcPr>
          <w:p>
            <w:pPr>
              <w:spacing w:after="0"/>
              <w:rPr>
                <w:sz w:val="17"/>
                <w:szCs w:val="17"/>
                <w:color w:val="auto"/>
              </w:rPr>
            </w:pPr>
          </w:p>
        </w:tc>
        <w:tc>
          <w:tcPr>
            <w:tcW w:w="9240" w:type="dxa"/>
            <w:vAlign w:val="bottom"/>
          </w:tcPr>
          <w:p>
            <w:pPr>
              <w:ind w:left="540"/>
              <w:spacing w:after="0" w:line="202" w:lineRule="exact"/>
              <w:rPr>
                <w:sz w:val="20"/>
                <w:szCs w:val="20"/>
                <w:color w:val="auto"/>
              </w:rPr>
            </w:pPr>
            <w:r>
              <w:rPr>
                <w:rFonts w:ascii="Arial" w:cs="Arial" w:eastAsia="Arial" w:hAnsi="Arial"/>
                <w:sz w:val="18"/>
                <w:szCs w:val="18"/>
                <w:color w:val="auto"/>
              </w:rPr>
              <w:t>bank, broker or other holder reflecting stock ownership as of the Record Date in order to be admitted to the</w:t>
            </w:r>
          </w:p>
        </w:tc>
      </w:tr>
      <w:tr>
        <w:trPr>
          <w:trHeight w:val="203"/>
        </w:trPr>
        <w:tc>
          <w:tcPr>
            <w:tcW w:w="1780" w:type="dxa"/>
            <w:vAlign w:val="bottom"/>
            <w:tcBorders>
              <w:bottom w:val="single" w:sz="8" w:color="003B71"/>
            </w:tcBorders>
          </w:tcPr>
          <w:p>
            <w:pPr>
              <w:spacing w:after="0"/>
              <w:rPr>
                <w:sz w:val="17"/>
                <w:szCs w:val="17"/>
                <w:color w:val="auto"/>
              </w:rPr>
            </w:pPr>
          </w:p>
        </w:tc>
        <w:tc>
          <w:tcPr>
            <w:tcW w:w="9240" w:type="dxa"/>
            <w:vAlign w:val="bottom"/>
            <w:tcBorders>
              <w:bottom w:val="single" w:sz="8" w:color="003B71"/>
            </w:tcBorders>
          </w:tcPr>
          <w:p>
            <w:pPr>
              <w:ind w:left="540"/>
              <w:spacing w:after="0" w:line="203" w:lineRule="exact"/>
              <w:rPr>
                <w:sz w:val="20"/>
                <w:szCs w:val="20"/>
                <w:color w:val="auto"/>
              </w:rPr>
            </w:pPr>
            <w:r>
              <w:rPr>
                <w:rFonts w:ascii="Arial" w:cs="Arial" w:eastAsia="Arial" w:hAnsi="Arial"/>
                <w:sz w:val="18"/>
                <w:szCs w:val="18"/>
                <w:color w:val="auto"/>
              </w:rPr>
              <w:t>Annual Meeting.</w:t>
            </w: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3B71"/>
        </w:rPr>
        <w:t>Voting Proposals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5440" w:type="dxa"/>
            <w:vAlign w:val="bottom"/>
          </w:tcPr>
          <w:p>
            <w:pPr>
              <w:jc w:val="center"/>
              <w:ind w:left="3310"/>
              <w:spacing w:after="0"/>
              <w:rPr>
                <w:sz w:val="20"/>
                <w:szCs w:val="20"/>
                <w:color w:val="auto"/>
              </w:rPr>
            </w:pPr>
            <w:r>
              <w:rPr>
                <w:rFonts w:ascii="Arial" w:cs="Arial" w:eastAsia="Arial" w:hAnsi="Arial"/>
                <w:sz w:val="18"/>
                <w:szCs w:val="18"/>
                <w:b w:val="1"/>
                <w:bCs w:val="1"/>
                <w:color w:val="003B71"/>
                <w:w w:val="99"/>
              </w:rPr>
              <w:t>Board</w:t>
            </w:r>
          </w:p>
        </w:tc>
        <w:tc>
          <w:tcPr>
            <w:tcW w:w="1140" w:type="dxa"/>
            <w:vAlign w:val="bottom"/>
          </w:tcPr>
          <w:p>
            <w:pPr>
              <w:jc w:val="center"/>
              <w:ind w:left="150"/>
              <w:spacing w:after="0"/>
              <w:rPr>
                <w:sz w:val="20"/>
                <w:szCs w:val="20"/>
                <w:color w:val="auto"/>
              </w:rPr>
            </w:pPr>
            <w:r>
              <w:rPr>
                <w:rFonts w:ascii="Arial" w:cs="Arial" w:eastAsia="Arial" w:hAnsi="Arial"/>
                <w:sz w:val="18"/>
                <w:szCs w:val="18"/>
                <w:b w:val="1"/>
                <w:bCs w:val="1"/>
                <w:color w:val="003B71"/>
                <w:w w:val="97"/>
              </w:rPr>
              <w:t>Page</w:t>
            </w:r>
          </w:p>
        </w:tc>
      </w:tr>
      <w:tr>
        <w:trPr>
          <w:trHeight w:val="225"/>
        </w:trPr>
        <w:tc>
          <w:tcPr>
            <w:tcW w:w="4440" w:type="dxa"/>
            <w:vAlign w:val="bottom"/>
            <w:tcBorders>
              <w:bottom w:val="single" w:sz="8" w:color="003B71"/>
            </w:tcBorders>
          </w:tcPr>
          <w:p>
            <w:pPr>
              <w:spacing w:after="0"/>
              <w:rPr>
                <w:sz w:val="20"/>
                <w:szCs w:val="20"/>
                <w:color w:val="auto"/>
              </w:rPr>
            </w:pPr>
            <w:r>
              <w:rPr>
                <w:rFonts w:ascii="Arial" w:cs="Arial" w:eastAsia="Arial" w:hAnsi="Arial"/>
                <w:sz w:val="18"/>
                <w:szCs w:val="18"/>
                <w:b w:val="1"/>
                <w:bCs w:val="1"/>
                <w:color w:val="003B71"/>
              </w:rPr>
              <w:t>Proposal</w:t>
            </w:r>
          </w:p>
        </w:tc>
        <w:tc>
          <w:tcPr>
            <w:tcW w:w="5440" w:type="dxa"/>
            <w:vAlign w:val="bottom"/>
            <w:tcBorders>
              <w:bottom w:val="single" w:sz="8" w:color="003B71"/>
            </w:tcBorders>
          </w:tcPr>
          <w:p>
            <w:pPr>
              <w:jc w:val="center"/>
              <w:ind w:left="3290"/>
              <w:spacing w:after="0"/>
              <w:rPr>
                <w:sz w:val="20"/>
                <w:szCs w:val="20"/>
                <w:color w:val="auto"/>
              </w:rPr>
            </w:pPr>
            <w:r>
              <w:rPr>
                <w:rFonts w:ascii="Arial" w:cs="Arial" w:eastAsia="Arial" w:hAnsi="Arial"/>
                <w:sz w:val="18"/>
                <w:szCs w:val="18"/>
                <w:b w:val="1"/>
                <w:bCs w:val="1"/>
                <w:color w:val="003B71"/>
                <w:w w:val="99"/>
              </w:rPr>
              <w:t>Recommendation</w:t>
            </w:r>
          </w:p>
        </w:tc>
        <w:tc>
          <w:tcPr>
            <w:tcW w:w="1140" w:type="dxa"/>
            <w:vAlign w:val="bottom"/>
            <w:tcBorders>
              <w:bottom w:val="single" w:sz="8" w:color="003B71"/>
            </w:tcBorders>
          </w:tcPr>
          <w:p>
            <w:pPr>
              <w:jc w:val="center"/>
              <w:ind w:left="150"/>
              <w:spacing w:after="0"/>
              <w:rPr>
                <w:sz w:val="20"/>
                <w:szCs w:val="20"/>
                <w:color w:val="auto"/>
              </w:rPr>
            </w:pPr>
            <w:r>
              <w:rPr>
                <w:rFonts w:ascii="Arial" w:cs="Arial" w:eastAsia="Arial" w:hAnsi="Arial"/>
                <w:sz w:val="18"/>
                <w:szCs w:val="18"/>
                <w:b w:val="1"/>
                <w:bCs w:val="1"/>
                <w:color w:val="003B71"/>
                <w:w w:val="98"/>
              </w:rPr>
              <w:t>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Proposal 1: Election of Directors</w:t>
      </w:r>
    </w:p>
    <w:p>
      <w:pPr>
        <w:spacing w:after="0" w:line="131" w:lineRule="exact"/>
        <w:rPr>
          <w:sz w:val="20"/>
          <w:szCs w:val="20"/>
          <w:color w:val="auto"/>
        </w:rPr>
      </w:pPr>
    </w:p>
    <w:p>
      <w:pPr>
        <w:jc w:val="right"/>
        <w:ind w:left="120" w:right="120"/>
        <w:spacing w:after="0" w:line="234" w:lineRule="auto"/>
        <w:rPr>
          <w:sz w:val="20"/>
          <w:szCs w:val="20"/>
          <w:color w:val="auto"/>
        </w:rPr>
      </w:pPr>
      <w:r>
        <w:rPr>
          <w:rFonts w:ascii="Arial" w:cs="Arial" w:eastAsia="Arial" w:hAnsi="Arial"/>
          <w:sz w:val="18"/>
          <w:szCs w:val="18"/>
          <w:color w:val="auto"/>
        </w:rPr>
        <w:t>Proposal 2: Ratification of the Appointment of Deloitte &amp; Touche LLP by the Audit Committee of the Board of Directors as Our Independent Registered Public Accounting Firm</w:t>
      </w:r>
    </w:p>
    <w:p>
      <w:pPr>
        <w:spacing w:after="0" w:line="1" w:lineRule="exact"/>
        <w:rPr>
          <w:sz w:val="20"/>
          <w:szCs w:val="20"/>
          <w:color w:val="auto"/>
        </w:rPr>
      </w:pPr>
    </w:p>
    <w:p>
      <w:pPr>
        <w:ind w:left="1100" w:hanging="989"/>
        <w:spacing w:after="0" w:line="246" w:lineRule="auto"/>
        <w:rPr>
          <w:sz w:val="20"/>
          <w:szCs w:val="20"/>
          <w:color w:val="auto"/>
        </w:rPr>
      </w:pPr>
      <w:r>
        <w:rPr>
          <w:rFonts w:ascii="Arial" w:cs="Arial" w:eastAsia="Arial" w:hAnsi="Arial"/>
          <w:sz w:val="18"/>
          <w:szCs w:val="18"/>
          <w:color w:val="auto"/>
        </w:rPr>
        <w:t>Proposal 3: Approval, in an Advisory Vote, of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480" w:type="dxa"/>
            <w:vAlign w:val="bottom"/>
            <w:shd w:val="clear" w:color="auto" w:fill="E3F3F6"/>
          </w:tcPr>
          <w:p>
            <w:pPr>
              <w:ind w:left="580"/>
              <w:spacing w:after="0"/>
              <w:rPr>
                <w:sz w:val="20"/>
                <w:szCs w:val="20"/>
                <w:color w:val="auto"/>
              </w:rPr>
            </w:pPr>
            <w:r>
              <w:rPr>
                <w:rFonts w:ascii="Arial" w:cs="Arial" w:eastAsia="Arial" w:hAnsi="Arial"/>
                <w:sz w:val="18"/>
                <w:szCs w:val="18"/>
                <w:color w:val="auto"/>
              </w:rPr>
              <w:t>FOR all nominees</w:t>
            </w:r>
          </w:p>
        </w:tc>
        <w:tc>
          <w:tcPr>
            <w:tcW w:w="980" w:type="dxa"/>
            <w:vAlign w:val="bottom"/>
            <w:shd w:val="clear" w:color="auto" w:fill="E3F3F6"/>
          </w:tcPr>
          <w:p>
            <w:pPr>
              <w:jc w:val="right"/>
              <w:ind w:right="310"/>
              <w:spacing w:after="0"/>
              <w:rPr>
                <w:sz w:val="20"/>
                <w:szCs w:val="20"/>
                <w:color w:val="auto"/>
              </w:rPr>
            </w:pPr>
            <w:r>
              <w:rPr>
                <w:rFonts w:ascii="Arial" w:cs="Arial" w:eastAsia="Arial" w:hAnsi="Arial"/>
                <w:sz w:val="18"/>
                <w:szCs w:val="18"/>
                <w:color w:val="003B71"/>
              </w:rPr>
              <w:t>7</w:t>
            </w:r>
          </w:p>
        </w:tc>
      </w:tr>
      <w:tr>
        <w:trPr>
          <w:trHeight w:val="121"/>
        </w:trPr>
        <w:tc>
          <w:tcPr>
            <w:tcW w:w="2480" w:type="dxa"/>
            <w:vAlign w:val="bottom"/>
            <w:shd w:val="clear" w:color="auto" w:fill="E3F3F6"/>
          </w:tcPr>
          <w:p>
            <w:pPr>
              <w:spacing w:after="0"/>
              <w:rPr>
                <w:sz w:val="10"/>
                <w:szCs w:val="10"/>
                <w:color w:val="auto"/>
              </w:rPr>
            </w:pPr>
          </w:p>
        </w:tc>
        <w:tc>
          <w:tcPr>
            <w:tcW w:w="980" w:type="dxa"/>
            <w:vAlign w:val="bottom"/>
            <w:shd w:val="clear" w:color="auto" w:fill="E3F3F6"/>
          </w:tcPr>
          <w:p>
            <w:pPr>
              <w:spacing w:after="0"/>
              <w:rPr>
                <w:sz w:val="10"/>
                <w:szCs w:val="10"/>
                <w:color w:val="auto"/>
              </w:rPr>
            </w:pPr>
          </w:p>
        </w:tc>
      </w:tr>
    </w:tbl>
    <w:p>
      <w:pPr>
        <w:spacing w:after="0" w:line="94" w:lineRule="exact"/>
        <w:rPr>
          <w:sz w:val="20"/>
          <w:szCs w:val="20"/>
          <w:color w:val="auto"/>
        </w:rPr>
      </w:pPr>
    </w:p>
    <w:p>
      <w:pPr>
        <w:ind w:left="1100"/>
        <w:spacing w:after="0"/>
        <w:tabs>
          <w:tab w:leader="none" w:pos="29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003B71"/>
        </w:rPr>
        <w:t>65</w:t>
      </w:r>
    </w:p>
    <w:p>
      <w:pPr>
        <w:spacing w:after="0" w:line="306" w:lineRule="exact"/>
        <w:rPr>
          <w:sz w:val="20"/>
          <w:szCs w:val="20"/>
          <w:color w:val="auto"/>
        </w:rPr>
      </w:pPr>
    </w:p>
    <w:p>
      <w:pPr>
        <w:ind w:left="1100"/>
        <w:spacing w:after="0"/>
        <w:tabs>
          <w:tab w:leader="none" w:pos="29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003B71"/>
        </w:rPr>
        <w:t>68</w:t>
      </w:r>
    </w:p>
    <w:p>
      <w:pPr>
        <w:sectPr>
          <w:pgSz w:w="11900" w:h="16838" w:orient="portrait"/>
          <w:cols w:equalWidth="0" w:num="2">
            <w:col w:w="7620" w:space="60"/>
            <w:col w:w="346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2"/>
          </w:tcPr>
          <w:p>
            <w:pPr>
              <w:jc w:val="right"/>
              <w:ind w:right="141"/>
              <w:spacing w:after="0"/>
              <w:rPr>
                <w:sz w:val="20"/>
                <w:szCs w:val="20"/>
                <w:color w:val="auto"/>
              </w:rPr>
            </w:pPr>
            <w:r>
              <w:rPr>
                <w:rFonts w:ascii="Arial" w:cs="Arial" w:eastAsia="Arial" w:hAnsi="Arial"/>
                <w:sz w:val="20"/>
                <w:szCs w:val="20"/>
                <w:b w:val="1"/>
                <w:bCs w:val="1"/>
                <w:color w:val="003B71"/>
              </w:rPr>
              <w:t>Table of Contents</w:t>
            </w:r>
          </w:p>
        </w:tc>
      </w:tr>
      <w:tr>
        <w:trPr>
          <w:trHeight w:val="90"/>
        </w:trPr>
        <w:tc>
          <w:tcPr>
            <w:tcW w:w="1540" w:type="dxa"/>
            <w:vAlign w:val="bottom"/>
            <w:tcBorders>
              <w:bottom w:val="single" w:sz="8" w:color="003B71"/>
            </w:tcBorders>
          </w:tcPr>
          <w:p>
            <w:pPr>
              <w:spacing w:after="0"/>
              <w:rPr>
                <w:sz w:val="7"/>
                <w:szCs w:val="7"/>
                <w:color w:val="auto"/>
              </w:rPr>
            </w:pPr>
          </w:p>
        </w:tc>
        <w:tc>
          <w:tcPr>
            <w:tcW w:w="200" w:type="dxa"/>
            <w:vAlign w:val="bottom"/>
            <w:tcBorders>
              <w:bottom w:val="single" w:sz="8" w:color="003B71"/>
            </w:tcBorders>
          </w:tcPr>
          <w:p>
            <w:pPr>
              <w:spacing w:after="0"/>
              <w:rPr>
                <w:sz w:val="7"/>
                <w:szCs w:val="7"/>
                <w:color w:val="auto"/>
              </w:rPr>
            </w:pPr>
          </w:p>
        </w:tc>
        <w:tc>
          <w:tcPr>
            <w:tcW w:w="1080" w:type="dxa"/>
            <w:vAlign w:val="bottom"/>
            <w:tcBorders>
              <w:bottom w:val="single" w:sz="8" w:color="003B71"/>
            </w:tcBorders>
          </w:tcPr>
          <w:p>
            <w:pPr>
              <w:spacing w:after="0"/>
              <w:rPr>
                <w:sz w:val="7"/>
                <w:szCs w:val="7"/>
                <w:color w:val="auto"/>
              </w:rPr>
            </w:pPr>
          </w:p>
        </w:tc>
        <w:tc>
          <w:tcPr>
            <w:tcW w:w="640" w:type="dxa"/>
            <w:vAlign w:val="bottom"/>
            <w:tcBorders>
              <w:bottom w:val="single" w:sz="8" w:color="003B71"/>
            </w:tcBorders>
          </w:tcPr>
          <w:p>
            <w:pPr>
              <w:spacing w:after="0"/>
              <w:rPr>
                <w:sz w:val="7"/>
                <w:szCs w:val="7"/>
                <w:color w:val="auto"/>
              </w:rPr>
            </w:pPr>
          </w:p>
        </w:tc>
        <w:tc>
          <w:tcPr>
            <w:tcW w:w="160" w:type="dxa"/>
            <w:vAlign w:val="bottom"/>
            <w:tcBorders>
              <w:bottom w:val="single" w:sz="8" w:color="003B71"/>
            </w:tcBorders>
          </w:tcPr>
          <w:p>
            <w:pPr>
              <w:spacing w:after="0"/>
              <w:rPr>
                <w:sz w:val="7"/>
                <w:szCs w:val="7"/>
                <w:color w:val="auto"/>
              </w:rPr>
            </w:pPr>
          </w:p>
        </w:tc>
        <w:tc>
          <w:tcPr>
            <w:tcW w:w="240" w:type="dxa"/>
            <w:vAlign w:val="bottom"/>
            <w:tcBorders>
              <w:bottom w:val="single" w:sz="8" w:color="003B71"/>
            </w:tcBorders>
          </w:tcPr>
          <w:p>
            <w:pPr>
              <w:spacing w:after="0"/>
              <w:rPr>
                <w:sz w:val="7"/>
                <w:szCs w:val="7"/>
                <w:color w:val="auto"/>
              </w:rPr>
            </w:pPr>
          </w:p>
        </w:tc>
        <w:tc>
          <w:tcPr>
            <w:tcW w:w="840" w:type="dxa"/>
            <w:vAlign w:val="bottom"/>
            <w:tcBorders>
              <w:bottom w:val="single" w:sz="8" w:color="003B71"/>
            </w:tcBorders>
          </w:tcPr>
          <w:p>
            <w:pPr>
              <w:spacing w:after="0"/>
              <w:rPr>
                <w:sz w:val="7"/>
                <w:szCs w:val="7"/>
                <w:color w:val="auto"/>
              </w:rPr>
            </w:pPr>
          </w:p>
        </w:tc>
        <w:tc>
          <w:tcPr>
            <w:tcW w:w="100" w:type="dxa"/>
            <w:vAlign w:val="bottom"/>
            <w:tcBorders>
              <w:bottom w:val="single" w:sz="8" w:color="003B71"/>
            </w:tcBorders>
          </w:tcPr>
          <w:p>
            <w:pPr>
              <w:spacing w:after="0"/>
              <w:rPr>
                <w:sz w:val="7"/>
                <w:szCs w:val="7"/>
                <w:color w:val="auto"/>
              </w:rPr>
            </w:pPr>
          </w:p>
        </w:tc>
        <w:tc>
          <w:tcPr>
            <w:tcW w:w="60" w:type="dxa"/>
            <w:vAlign w:val="bottom"/>
            <w:tcBorders>
              <w:bottom w:val="single" w:sz="8" w:color="003B71"/>
            </w:tcBorders>
          </w:tcPr>
          <w:p>
            <w:pPr>
              <w:spacing w:after="0"/>
              <w:rPr>
                <w:sz w:val="7"/>
                <w:szCs w:val="7"/>
                <w:color w:val="auto"/>
              </w:rPr>
            </w:pPr>
          </w:p>
        </w:tc>
        <w:tc>
          <w:tcPr>
            <w:tcW w:w="820" w:type="dxa"/>
            <w:vAlign w:val="bottom"/>
            <w:tcBorders>
              <w:bottom w:val="single" w:sz="8" w:color="003B71"/>
            </w:tcBorders>
          </w:tcPr>
          <w:p>
            <w:pPr>
              <w:spacing w:after="0"/>
              <w:rPr>
                <w:sz w:val="7"/>
                <w:szCs w:val="7"/>
                <w:color w:val="auto"/>
              </w:rPr>
            </w:pPr>
          </w:p>
        </w:tc>
        <w:tc>
          <w:tcPr>
            <w:tcW w:w="180" w:type="dxa"/>
            <w:vAlign w:val="bottom"/>
            <w:tcBorders>
              <w:bottom w:val="single" w:sz="8" w:color="003B71"/>
            </w:tcBorders>
          </w:tcPr>
          <w:p>
            <w:pPr>
              <w:spacing w:after="0"/>
              <w:rPr>
                <w:sz w:val="7"/>
                <w:szCs w:val="7"/>
                <w:color w:val="auto"/>
              </w:rPr>
            </w:pPr>
          </w:p>
        </w:tc>
        <w:tc>
          <w:tcPr>
            <w:tcW w:w="880" w:type="dxa"/>
            <w:vAlign w:val="bottom"/>
            <w:tcBorders>
              <w:bottom w:val="single" w:sz="8" w:color="003B71"/>
            </w:tcBorders>
          </w:tcPr>
          <w:p>
            <w:pPr>
              <w:spacing w:after="0"/>
              <w:rPr>
                <w:sz w:val="7"/>
                <w:szCs w:val="7"/>
                <w:color w:val="auto"/>
              </w:rPr>
            </w:pPr>
          </w:p>
        </w:tc>
        <w:tc>
          <w:tcPr>
            <w:tcW w:w="1020" w:type="dxa"/>
            <w:vAlign w:val="bottom"/>
            <w:tcBorders>
              <w:bottom w:val="single" w:sz="8" w:color="003B71"/>
            </w:tcBorders>
          </w:tcPr>
          <w:p>
            <w:pPr>
              <w:spacing w:after="0"/>
              <w:rPr>
                <w:sz w:val="7"/>
                <w:szCs w:val="7"/>
                <w:color w:val="auto"/>
              </w:rPr>
            </w:pPr>
          </w:p>
        </w:tc>
        <w:tc>
          <w:tcPr>
            <w:tcW w:w="1200" w:type="dxa"/>
            <w:vAlign w:val="bottom"/>
            <w:tcBorders>
              <w:bottom w:val="single" w:sz="8" w:color="003B71"/>
            </w:tcBorders>
          </w:tcPr>
          <w:p>
            <w:pPr>
              <w:spacing w:after="0"/>
              <w:rPr>
                <w:sz w:val="7"/>
                <w:szCs w:val="7"/>
                <w:color w:val="auto"/>
              </w:rPr>
            </w:pPr>
          </w:p>
        </w:tc>
        <w:tc>
          <w:tcPr>
            <w:tcW w:w="80" w:type="dxa"/>
            <w:vAlign w:val="bottom"/>
            <w:tcBorders>
              <w:bottom w:val="single" w:sz="8" w:color="003B71"/>
            </w:tcBorders>
          </w:tcPr>
          <w:p>
            <w:pPr>
              <w:spacing w:after="0"/>
              <w:rPr>
                <w:sz w:val="7"/>
                <w:szCs w:val="7"/>
                <w:color w:val="auto"/>
              </w:rPr>
            </w:pPr>
          </w:p>
        </w:tc>
        <w:tc>
          <w:tcPr>
            <w:tcW w:w="840" w:type="dxa"/>
            <w:vAlign w:val="bottom"/>
            <w:tcBorders>
              <w:bottom w:val="single" w:sz="8" w:color="003B71"/>
            </w:tcBorders>
          </w:tcPr>
          <w:p>
            <w:pPr>
              <w:spacing w:after="0"/>
              <w:rPr>
                <w:sz w:val="7"/>
                <w:szCs w:val="7"/>
                <w:color w:val="auto"/>
              </w:rPr>
            </w:pPr>
          </w:p>
        </w:tc>
        <w:tc>
          <w:tcPr>
            <w:tcW w:w="1140" w:type="dxa"/>
            <w:vAlign w:val="bottom"/>
            <w:tcBorders>
              <w:bottom w:val="single" w:sz="8" w:color="003B71"/>
            </w:tcBorders>
          </w:tcPr>
          <w:p>
            <w:pPr>
              <w:spacing w:after="0"/>
              <w:rPr>
                <w:sz w:val="7"/>
                <w:szCs w:val="7"/>
                <w:color w:val="auto"/>
              </w:rPr>
            </w:pPr>
          </w:p>
        </w:tc>
      </w:tr>
      <w:tr>
        <w:trPr>
          <w:trHeight w:val="638"/>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9"/>
          </w:tcPr>
          <w:p>
            <w:pPr>
              <w:ind w:left="740"/>
              <w:spacing w:after="0"/>
              <w:rPr>
                <w:sz w:val="20"/>
                <w:szCs w:val="20"/>
                <w:color w:val="auto"/>
              </w:rPr>
            </w:pPr>
            <w:r>
              <w:rPr>
                <w:rFonts w:ascii="Arial" w:cs="Arial" w:eastAsia="Arial" w:hAnsi="Arial"/>
                <w:sz w:val="22"/>
                <w:szCs w:val="22"/>
                <w:b w:val="1"/>
                <w:bCs w:val="1"/>
                <w:color w:val="003B71"/>
              </w:rPr>
              <w:t>Table of Contents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5"/>
        </w:trPr>
        <w:tc>
          <w:tcPr>
            <w:tcW w:w="1540" w:type="dxa"/>
            <w:vAlign w:val="bottom"/>
            <w:tcBorders>
              <w:bottom w:val="single" w:sz="8" w:color="003B71"/>
            </w:tcBorders>
          </w:tcPr>
          <w:p>
            <w:pPr>
              <w:spacing w:after="0"/>
              <w:rPr>
                <w:sz w:val="14"/>
                <w:szCs w:val="14"/>
                <w:color w:val="auto"/>
              </w:rPr>
            </w:pPr>
          </w:p>
        </w:tc>
        <w:tc>
          <w:tcPr>
            <w:tcW w:w="200" w:type="dxa"/>
            <w:vAlign w:val="bottom"/>
            <w:tcBorders>
              <w:bottom w:val="single" w:sz="8" w:color="003B71"/>
            </w:tcBorders>
          </w:tcPr>
          <w:p>
            <w:pPr>
              <w:spacing w:after="0"/>
              <w:rPr>
                <w:sz w:val="14"/>
                <w:szCs w:val="14"/>
                <w:color w:val="auto"/>
              </w:rPr>
            </w:pPr>
          </w:p>
        </w:tc>
        <w:tc>
          <w:tcPr>
            <w:tcW w:w="1080" w:type="dxa"/>
            <w:vAlign w:val="bottom"/>
            <w:tcBorders>
              <w:bottom w:val="single" w:sz="8" w:color="003B71"/>
            </w:tcBorders>
          </w:tcPr>
          <w:p>
            <w:pPr>
              <w:spacing w:after="0"/>
              <w:rPr>
                <w:sz w:val="14"/>
                <w:szCs w:val="14"/>
                <w:color w:val="auto"/>
              </w:rPr>
            </w:pPr>
          </w:p>
        </w:tc>
        <w:tc>
          <w:tcPr>
            <w:tcW w:w="640" w:type="dxa"/>
            <w:vAlign w:val="bottom"/>
            <w:tcBorders>
              <w:bottom w:val="single" w:sz="8" w:color="003B71"/>
            </w:tcBorders>
          </w:tcPr>
          <w:p>
            <w:pPr>
              <w:spacing w:after="0"/>
              <w:rPr>
                <w:sz w:val="14"/>
                <w:szCs w:val="14"/>
                <w:color w:val="auto"/>
              </w:rPr>
            </w:pPr>
          </w:p>
        </w:tc>
        <w:tc>
          <w:tcPr>
            <w:tcW w:w="160" w:type="dxa"/>
            <w:vAlign w:val="bottom"/>
            <w:tcBorders>
              <w:bottom w:val="single" w:sz="8" w:color="003B71"/>
            </w:tcBorders>
          </w:tcPr>
          <w:p>
            <w:pPr>
              <w:spacing w:after="0"/>
              <w:rPr>
                <w:sz w:val="14"/>
                <w:szCs w:val="14"/>
                <w:color w:val="auto"/>
              </w:rPr>
            </w:pPr>
          </w:p>
        </w:tc>
        <w:tc>
          <w:tcPr>
            <w:tcW w:w="240" w:type="dxa"/>
            <w:vAlign w:val="bottom"/>
            <w:tcBorders>
              <w:bottom w:val="single" w:sz="8" w:color="003B71"/>
            </w:tcBorders>
          </w:tcPr>
          <w:p>
            <w:pPr>
              <w:spacing w:after="0"/>
              <w:rPr>
                <w:sz w:val="14"/>
                <w:szCs w:val="14"/>
                <w:color w:val="auto"/>
              </w:rPr>
            </w:pPr>
          </w:p>
        </w:tc>
        <w:tc>
          <w:tcPr>
            <w:tcW w:w="840" w:type="dxa"/>
            <w:vAlign w:val="bottom"/>
            <w:tcBorders>
              <w:bottom w:val="single" w:sz="8" w:color="003B71"/>
            </w:tcBorders>
          </w:tcPr>
          <w:p>
            <w:pPr>
              <w:spacing w:after="0"/>
              <w:rPr>
                <w:sz w:val="14"/>
                <w:szCs w:val="14"/>
                <w:color w:val="auto"/>
              </w:rPr>
            </w:pPr>
          </w:p>
        </w:tc>
        <w:tc>
          <w:tcPr>
            <w:tcW w:w="100" w:type="dxa"/>
            <w:vAlign w:val="bottom"/>
            <w:tcBorders>
              <w:bottom w:val="single" w:sz="8" w:color="003B71"/>
            </w:tcBorders>
          </w:tcPr>
          <w:p>
            <w:pPr>
              <w:spacing w:after="0"/>
              <w:rPr>
                <w:sz w:val="14"/>
                <w:szCs w:val="14"/>
                <w:color w:val="auto"/>
              </w:rPr>
            </w:pPr>
          </w:p>
        </w:tc>
        <w:tc>
          <w:tcPr>
            <w:tcW w:w="60" w:type="dxa"/>
            <w:vAlign w:val="bottom"/>
            <w:tcBorders>
              <w:bottom w:val="single" w:sz="8" w:color="003B71"/>
            </w:tcBorders>
          </w:tcPr>
          <w:p>
            <w:pPr>
              <w:spacing w:after="0"/>
              <w:rPr>
                <w:sz w:val="14"/>
                <w:szCs w:val="14"/>
                <w:color w:val="auto"/>
              </w:rPr>
            </w:pPr>
          </w:p>
        </w:tc>
        <w:tc>
          <w:tcPr>
            <w:tcW w:w="820" w:type="dxa"/>
            <w:vAlign w:val="bottom"/>
            <w:tcBorders>
              <w:bottom w:val="single" w:sz="8" w:color="003B71"/>
            </w:tcBorders>
          </w:tcPr>
          <w:p>
            <w:pPr>
              <w:spacing w:after="0"/>
              <w:rPr>
                <w:sz w:val="14"/>
                <w:szCs w:val="14"/>
                <w:color w:val="auto"/>
              </w:rPr>
            </w:pPr>
          </w:p>
        </w:tc>
        <w:tc>
          <w:tcPr>
            <w:tcW w:w="180" w:type="dxa"/>
            <w:vAlign w:val="bottom"/>
            <w:tcBorders>
              <w:bottom w:val="single" w:sz="8" w:color="003B71"/>
            </w:tcBorders>
          </w:tcPr>
          <w:p>
            <w:pPr>
              <w:spacing w:after="0"/>
              <w:rPr>
                <w:sz w:val="14"/>
                <w:szCs w:val="14"/>
                <w:color w:val="auto"/>
              </w:rPr>
            </w:pPr>
          </w:p>
        </w:tc>
        <w:tc>
          <w:tcPr>
            <w:tcW w:w="880" w:type="dxa"/>
            <w:vAlign w:val="bottom"/>
            <w:tcBorders>
              <w:bottom w:val="single" w:sz="8" w:color="003B71"/>
            </w:tcBorders>
          </w:tcPr>
          <w:p>
            <w:pPr>
              <w:spacing w:after="0"/>
              <w:rPr>
                <w:sz w:val="14"/>
                <w:szCs w:val="14"/>
                <w:color w:val="auto"/>
              </w:rPr>
            </w:pPr>
          </w:p>
        </w:tc>
        <w:tc>
          <w:tcPr>
            <w:tcW w:w="1020" w:type="dxa"/>
            <w:vAlign w:val="bottom"/>
            <w:tcBorders>
              <w:bottom w:val="single" w:sz="8" w:color="003B71"/>
            </w:tcBorders>
          </w:tcPr>
          <w:p>
            <w:pPr>
              <w:spacing w:after="0"/>
              <w:rPr>
                <w:sz w:val="14"/>
                <w:szCs w:val="14"/>
                <w:color w:val="auto"/>
              </w:rPr>
            </w:pPr>
          </w:p>
        </w:tc>
        <w:tc>
          <w:tcPr>
            <w:tcW w:w="1200" w:type="dxa"/>
            <w:vAlign w:val="bottom"/>
            <w:tcBorders>
              <w:bottom w:val="single" w:sz="8" w:color="003B71"/>
            </w:tcBorders>
          </w:tcPr>
          <w:p>
            <w:pPr>
              <w:spacing w:after="0"/>
              <w:rPr>
                <w:sz w:val="14"/>
                <w:szCs w:val="14"/>
                <w:color w:val="auto"/>
              </w:rPr>
            </w:pPr>
          </w:p>
        </w:tc>
        <w:tc>
          <w:tcPr>
            <w:tcW w:w="80" w:type="dxa"/>
            <w:vAlign w:val="bottom"/>
            <w:tcBorders>
              <w:bottom w:val="single" w:sz="8" w:color="003B71"/>
            </w:tcBorders>
          </w:tcPr>
          <w:p>
            <w:pPr>
              <w:spacing w:after="0"/>
              <w:rPr>
                <w:sz w:val="14"/>
                <w:szCs w:val="14"/>
                <w:color w:val="auto"/>
              </w:rPr>
            </w:pPr>
          </w:p>
        </w:tc>
        <w:tc>
          <w:tcPr>
            <w:tcW w:w="840" w:type="dxa"/>
            <w:vAlign w:val="bottom"/>
            <w:tcBorders>
              <w:bottom w:val="single" w:sz="8" w:color="003B71"/>
            </w:tcBorders>
          </w:tcPr>
          <w:p>
            <w:pPr>
              <w:spacing w:after="0"/>
              <w:rPr>
                <w:sz w:val="14"/>
                <w:szCs w:val="14"/>
                <w:color w:val="auto"/>
              </w:rPr>
            </w:pPr>
          </w:p>
        </w:tc>
        <w:tc>
          <w:tcPr>
            <w:tcW w:w="1140" w:type="dxa"/>
            <w:vAlign w:val="bottom"/>
            <w:tcBorders>
              <w:bottom w:val="single" w:sz="8" w:color="003B71"/>
            </w:tcBorders>
          </w:tcPr>
          <w:p>
            <w:pPr>
              <w:spacing w:after="0"/>
              <w:rPr>
                <w:sz w:val="14"/>
                <w:szCs w:val="14"/>
                <w:color w:val="auto"/>
              </w:rPr>
            </w:pPr>
          </w:p>
        </w:tc>
      </w:tr>
      <w:tr>
        <w:trPr>
          <w:trHeight w:val="358"/>
        </w:trPr>
        <w:tc>
          <w:tcPr>
            <w:tcW w:w="9040" w:type="dxa"/>
            <w:vAlign w:val="bottom"/>
            <w:gridSpan w:val="15"/>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General Information</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1</w:t>
            </w:r>
          </w:p>
        </w:tc>
      </w:tr>
      <w:tr>
        <w:trPr>
          <w:trHeight w:val="20"/>
        </w:trPr>
        <w:tc>
          <w:tcPr>
            <w:tcW w:w="1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9"/>
        </w:trPr>
        <w:tc>
          <w:tcPr>
            <w:tcW w:w="9040" w:type="dxa"/>
            <w:vAlign w:val="bottom"/>
            <w:gridSpan w:val="15"/>
          </w:tcPr>
          <w:p>
            <w:pPr>
              <w:spacing w:after="0"/>
              <w:rPr>
                <w:rFonts w:ascii="Arial" w:cs="Arial" w:eastAsia="Arial" w:hAnsi="Arial"/>
                <w:sz w:val="20"/>
                <w:szCs w:val="20"/>
                <w:color w:val="0000EE"/>
              </w:rPr>
            </w:pPr>
            <w:hyperlink w:anchor="page12">
              <w:r>
                <w:rPr>
                  <w:rFonts w:ascii="Arial" w:cs="Arial" w:eastAsia="Arial" w:hAnsi="Arial"/>
                  <w:sz w:val="20"/>
                  <w:szCs w:val="20"/>
                  <w:color w:val="0000EE"/>
                </w:rPr>
                <w:t>General Information About Corporate Governance and the Board of Directors</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6</w:t>
            </w:r>
          </w:p>
        </w:tc>
      </w:tr>
      <w:tr>
        <w:trPr>
          <w:trHeight w:val="480"/>
        </w:trPr>
        <w:tc>
          <w:tcPr>
            <w:tcW w:w="6740" w:type="dxa"/>
            <w:vAlign w:val="bottom"/>
            <w:tcBorders>
              <w:top w:val="single" w:sz="8" w:color="0000EE"/>
            </w:tcBorders>
            <w:gridSpan w:val="12"/>
          </w:tcPr>
          <w:p>
            <w:pPr>
              <w:spacing w:after="0"/>
              <w:rPr>
                <w:rFonts w:ascii="Arial" w:cs="Arial" w:eastAsia="Arial" w:hAnsi="Arial"/>
                <w:sz w:val="20"/>
                <w:szCs w:val="20"/>
                <w:color w:val="0000EE"/>
              </w:rPr>
            </w:pPr>
            <w:hyperlink w:anchor="page13">
              <w:r>
                <w:rPr>
                  <w:rFonts w:ascii="Arial" w:cs="Arial" w:eastAsia="Arial" w:hAnsi="Arial"/>
                  <w:sz w:val="20"/>
                  <w:szCs w:val="20"/>
                  <w:color w:val="0000EE"/>
                </w:rPr>
                <w:t>Proposal 1: Election of Directors</w:t>
              </w:r>
            </w:hyperlink>
          </w:p>
        </w:tc>
        <w:tc>
          <w:tcPr>
            <w:tcW w:w="2300" w:type="dxa"/>
            <w:vAlign w:val="bottom"/>
            <w:gridSpan w:val="3"/>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7</w:t>
            </w:r>
          </w:p>
        </w:tc>
      </w:tr>
      <w:tr>
        <w:trPr>
          <w:trHeight w:val="20"/>
        </w:trPr>
        <w:tc>
          <w:tcPr>
            <w:tcW w:w="1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9"/>
        </w:trPr>
        <w:tc>
          <w:tcPr>
            <w:tcW w:w="4800" w:type="dxa"/>
            <w:vAlign w:val="bottom"/>
            <w:tcBorders>
              <w:bottom w:val="single" w:sz="8" w:color="0000EE"/>
            </w:tcBorders>
            <w:gridSpan w:val="8"/>
          </w:tcPr>
          <w:p>
            <w:pPr>
              <w:spacing w:after="0"/>
              <w:rPr>
                <w:rFonts w:ascii="Arial" w:cs="Arial" w:eastAsia="Arial" w:hAnsi="Arial"/>
                <w:sz w:val="20"/>
                <w:szCs w:val="20"/>
                <w:color w:val="0000EE"/>
                <w:w w:val="98"/>
              </w:rPr>
            </w:pPr>
            <w:hyperlink w:anchor="page23">
              <w:r>
                <w:rPr>
                  <w:rFonts w:ascii="Arial" w:cs="Arial" w:eastAsia="Arial" w:hAnsi="Arial"/>
                  <w:sz w:val="20"/>
                  <w:szCs w:val="20"/>
                  <w:color w:val="0000EE"/>
                  <w:w w:val="98"/>
                </w:rPr>
                <w:t>Information Regarding Board and Committee Structure</w:t>
              </w:r>
            </w:hyperlink>
          </w:p>
        </w:tc>
        <w:tc>
          <w:tcPr>
            <w:tcW w:w="4240" w:type="dxa"/>
            <w:vAlign w:val="bottom"/>
            <w:gridSpan w:val="7"/>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17</w:t>
            </w:r>
          </w:p>
        </w:tc>
      </w:tr>
      <w:tr>
        <w:trPr>
          <w:trHeight w:val="479"/>
        </w:trPr>
        <w:tc>
          <w:tcPr>
            <w:tcW w:w="9040" w:type="dxa"/>
            <w:vAlign w:val="bottom"/>
            <w:gridSpan w:val="15"/>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Board of Director Compensation</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28</w:t>
            </w:r>
          </w:p>
        </w:tc>
      </w:tr>
      <w:tr>
        <w:trPr>
          <w:trHeight w:val="20"/>
        </w:trPr>
        <w:tc>
          <w:tcPr>
            <w:tcW w:w="1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0"/>
        </w:trPr>
        <w:tc>
          <w:tcPr>
            <w:tcW w:w="9040" w:type="dxa"/>
            <w:vAlign w:val="bottom"/>
            <w:gridSpan w:val="15"/>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Compensation Discussion and Analysis</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30</w:t>
            </w:r>
          </w:p>
        </w:tc>
      </w:tr>
      <w:tr>
        <w:trPr>
          <w:trHeight w:val="20"/>
        </w:trPr>
        <w:tc>
          <w:tcPr>
            <w:tcW w:w="154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9"/>
        </w:trPr>
        <w:tc>
          <w:tcPr>
            <w:tcW w:w="9040" w:type="dxa"/>
            <w:vAlign w:val="bottom"/>
            <w:gridSpan w:val="15"/>
          </w:tcPr>
          <w:p>
            <w:pPr>
              <w:spacing w:after="0"/>
              <w:rPr>
                <w:rFonts w:ascii="Arial" w:cs="Arial" w:eastAsia="Arial" w:hAnsi="Arial"/>
                <w:sz w:val="20"/>
                <w:szCs w:val="20"/>
                <w:color w:val="0000EE"/>
              </w:rPr>
            </w:pPr>
            <w:hyperlink w:anchor="page54">
              <w:r>
                <w:rPr>
                  <w:rFonts w:ascii="Arial" w:cs="Arial" w:eastAsia="Arial" w:hAnsi="Arial"/>
                  <w:sz w:val="20"/>
                  <w:szCs w:val="20"/>
                  <w:color w:val="0000EE"/>
                </w:rPr>
                <w:t>Report of the Compensation and Human Resources Committee of the Board of Directors</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48</w:t>
            </w:r>
          </w:p>
        </w:tc>
      </w:tr>
      <w:tr>
        <w:trPr>
          <w:trHeight w:val="479"/>
        </w:trPr>
        <w:tc>
          <w:tcPr>
            <w:tcW w:w="386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98"/>
              </w:rPr>
            </w:pPr>
            <w:hyperlink w:anchor="page55">
              <w:r>
                <w:rPr>
                  <w:rFonts w:ascii="Arial" w:cs="Arial" w:eastAsia="Arial" w:hAnsi="Arial"/>
                  <w:sz w:val="20"/>
                  <w:szCs w:val="20"/>
                  <w:color w:val="0000EE"/>
                  <w:w w:val="98"/>
                </w:rPr>
                <w:t>Compensation of Named Executive Officers</w:t>
              </w:r>
            </w:hyperlink>
          </w:p>
        </w:tc>
        <w:tc>
          <w:tcPr>
            <w:tcW w:w="3900" w:type="dxa"/>
            <w:vAlign w:val="bottom"/>
            <w:tcBorders>
              <w:top w:val="single" w:sz="8" w:color="0000EE"/>
            </w:tcBorders>
            <w:gridSpan w:val="7"/>
          </w:tcPr>
          <w:p>
            <w:pPr>
              <w:spacing w:after="0"/>
              <w:rPr>
                <w:sz w:val="24"/>
                <w:szCs w:val="24"/>
                <w:color w:val="auto"/>
              </w:rPr>
            </w:pPr>
          </w:p>
        </w:tc>
        <w:tc>
          <w:tcPr>
            <w:tcW w:w="1280" w:type="dxa"/>
            <w:vAlign w:val="bottom"/>
            <w:gridSpan w:val="2"/>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49</w:t>
            </w:r>
          </w:p>
        </w:tc>
      </w:tr>
      <w:tr>
        <w:trPr>
          <w:trHeight w:val="480"/>
        </w:trPr>
        <w:tc>
          <w:tcPr>
            <w:tcW w:w="9040" w:type="dxa"/>
            <w:vAlign w:val="bottom"/>
            <w:gridSpan w:val="15"/>
          </w:tcPr>
          <w:p>
            <w:pPr>
              <w:spacing w:after="0"/>
              <w:rPr>
                <w:rFonts w:ascii="Arial" w:cs="Arial" w:eastAsia="Arial" w:hAnsi="Arial"/>
                <w:sz w:val="20"/>
                <w:szCs w:val="20"/>
                <w:color w:val="0000EE"/>
              </w:rPr>
            </w:pPr>
            <w:hyperlink w:anchor="page68">
              <w:r>
                <w:rPr>
                  <w:rFonts w:ascii="Arial" w:cs="Arial" w:eastAsia="Arial" w:hAnsi="Arial"/>
                  <w:sz w:val="20"/>
                  <w:szCs w:val="20"/>
                  <w:color w:val="0000EE"/>
                </w:rPr>
                <w:t>Security Ownership of Certain Beneficial Owners and Management</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62</w:t>
            </w:r>
          </w:p>
        </w:tc>
      </w:tr>
      <w:tr>
        <w:trPr>
          <w:trHeight w:val="480"/>
        </w:trPr>
        <w:tc>
          <w:tcPr>
            <w:tcW w:w="4700" w:type="dxa"/>
            <w:vAlign w:val="bottom"/>
            <w:tcBorders>
              <w:top w:val="single" w:sz="8" w:color="0000EE"/>
              <w:bottom w:val="single" w:sz="8" w:color="0000EE"/>
            </w:tcBorders>
            <w:gridSpan w:val="7"/>
          </w:tcPr>
          <w:p>
            <w:pPr>
              <w:spacing w:after="0"/>
              <w:rPr>
                <w:rFonts w:ascii="Arial" w:cs="Arial" w:eastAsia="Arial" w:hAnsi="Arial"/>
                <w:sz w:val="20"/>
                <w:szCs w:val="20"/>
                <w:color w:val="0000EE"/>
                <w:w w:val="98"/>
              </w:rPr>
            </w:pPr>
            <w:hyperlink w:anchor="page70">
              <w:r>
                <w:rPr>
                  <w:rFonts w:ascii="Arial" w:cs="Arial" w:eastAsia="Arial" w:hAnsi="Arial"/>
                  <w:sz w:val="20"/>
                  <w:szCs w:val="20"/>
                  <w:color w:val="0000EE"/>
                  <w:w w:val="98"/>
                </w:rPr>
                <w:t>Certain Relationships and Related Party Transactions</w:t>
              </w:r>
            </w:hyperlink>
          </w:p>
        </w:tc>
        <w:tc>
          <w:tcPr>
            <w:tcW w:w="1160" w:type="dxa"/>
            <w:vAlign w:val="bottom"/>
            <w:tcBorders>
              <w:top w:val="single" w:sz="8" w:color="0000EE"/>
            </w:tcBorders>
            <w:gridSpan w:val="4"/>
          </w:tcPr>
          <w:p>
            <w:pPr>
              <w:spacing w:after="0"/>
              <w:rPr>
                <w:sz w:val="24"/>
                <w:szCs w:val="24"/>
                <w:color w:val="auto"/>
              </w:rPr>
            </w:pPr>
          </w:p>
        </w:tc>
        <w:tc>
          <w:tcPr>
            <w:tcW w:w="3180" w:type="dxa"/>
            <w:vAlign w:val="bottom"/>
            <w:gridSpan w:val="4"/>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64</w:t>
            </w:r>
          </w:p>
        </w:tc>
      </w:tr>
      <w:tr>
        <w:trPr>
          <w:trHeight w:val="476"/>
        </w:trPr>
        <w:tc>
          <w:tcPr>
            <w:tcW w:w="11020" w:type="dxa"/>
            <w:vAlign w:val="bottom"/>
            <w:gridSpan w:val="17"/>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Proposal 2: Ratification of the Appointment of Deloitte  &amp; Touche LLP by the Audit Committee of the Board of</w:t>
              </w:r>
            </w:hyperlink>
          </w:p>
        </w:tc>
      </w:tr>
      <w:tr>
        <w:trPr>
          <w:trHeight w:val="200"/>
        </w:trPr>
        <w:tc>
          <w:tcPr>
            <w:tcW w:w="9040" w:type="dxa"/>
            <w:vAlign w:val="bottom"/>
            <w:tcBorders>
              <w:top w:val="single" w:sz="8" w:color="0000EE"/>
            </w:tcBorders>
            <w:gridSpan w:val="15"/>
          </w:tcPr>
          <w:p>
            <w:pPr>
              <w:spacing w:after="0" w:line="200" w:lineRule="exact"/>
              <w:rPr>
                <w:rFonts w:ascii="Arial" w:cs="Arial" w:eastAsia="Arial" w:hAnsi="Arial"/>
                <w:sz w:val="20"/>
                <w:szCs w:val="20"/>
                <w:color w:val="0000EE"/>
              </w:rPr>
            </w:pPr>
            <w:hyperlink w:anchor="page71">
              <w:r>
                <w:rPr>
                  <w:rFonts w:ascii="Arial" w:cs="Arial" w:eastAsia="Arial" w:hAnsi="Arial"/>
                  <w:sz w:val="20"/>
                  <w:szCs w:val="20"/>
                  <w:color w:val="0000EE"/>
                </w:rPr>
                <w:t>Directors as Our Independent Registered Public Accounting Firm</w:t>
              </w:r>
            </w:hyperlink>
          </w:p>
        </w:tc>
        <w:tc>
          <w:tcPr>
            <w:tcW w:w="840" w:type="dxa"/>
            <w:vAlign w:val="bottom"/>
            <w:tcBorders>
              <w:top w:val="single" w:sz="8" w:color="0000EE"/>
            </w:tcBorders>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20"/>
                <w:szCs w:val="20"/>
                <w:color w:val="003B71"/>
              </w:rPr>
              <w:t>65</w:t>
            </w:r>
          </w:p>
        </w:tc>
      </w:tr>
      <w:tr>
        <w:trPr>
          <w:trHeight w:val="480"/>
        </w:trPr>
        <w:tc>
          <w:tcPr>
            <w:tcW w:w="4860" w:type="dxa"/>
            <w:vAlign w:val="bottom"/>
            <w:tcBorders>
              <w:top w:val="single" w:sz="8" w:color="0000EE"/>
              <w:bottom w:val="single" w:sz="8" w:color="0000EE"/>
            </w:tcBorders>
            <w:gridSpan w:val="9"/>
          </w:tcPr>
          <w:p>
            <w:pPr>
              <w:spacing w:after="0"/>
              <w:rPr>
                <w:rFonts w:ascii="Arial" w:cs="Arial" w:eastAsia="Arial" w:hAnsi="Arial"/>
                <w:sz w:val="20"/>
                <w:szCs w:val="20"/>
                <w:color w:val="0000EE"/>
                <w:w w:val="98"/>
              </w:rPr>
            </w:pPr>
            <w:hyperlink w:anchor="page73">
              <w:r>
                <w:rPr>
                  <w:rFonts w:ascii="Arial" w:cs="Arial" w:eastAsia="Arial" w:hAnsi="Arial"/>
                  <w:sz w:val="20"/>
                  <w:szCs w:val="20"/>
                  <w:color w:val="0000EE"/>
                  <w:w w:val="98"/>
                </w:rPr>
                <w:t>Report of the Audit Committee of the Board of Directors</w:t>
              </w:r>
            </w:hyperlink>
          </w:p>
        </w:tc>
        <w:tc>
          <w:tcPr>
            <w:tcW w:w="820" w:type="dxa"/>
            <w:vAlign w:val="bottom"/>
            <w:tcBorders>
              <w:top w:val="single" w:sz="8" w:color="0000EE"/>
            </w:tcBorders>
          </w:tcPr>
          <w:p>
            <w:pPr>
              <w:spacing w:after="0"/>
              <w:rPr>
                <w:sz w:val="24"/>
                <w:szCs w:val="24"/>
                <w:color w:val="auto"/>
              </w:rPr>
            </w:pPr>
          </w:p>
        </w:tc>
        <w:tc>
          <w:tcPr>
            <w:tcW w:w="3360" w:type="dxa"/>
            <w:vAlign w:val="bottom"/>
            <w:gridSpan w:val="5"/>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67</w:t>
            </w:r>
          </w:p>
        </w:tc>
      </w:tr>
      <w:tr>
        <w:trPr>
          <w:trHeight w:val="479"/>
        </w:trPr>
        <w:tc>
          <w:tcPr>
            <w:tcW w:w="9040" w:type="dxa"/>
            <w:vAlign w:val="bottom"/>
            <w:gridSpan w:val="15"/>
          </w:tcPr>
          <w:p>
            <w:pPr>
              <w:spacing w:after="0"/>
              <w:rPr>
                <w:rFonts w:ascii="Arial" w:cs="Arial" w:eastAsia="Arial" w:hAnsi="Arial"/>
                <w:sz w:val="20"/>
                <w:szCs w:val="20"/>
                <w:color w:val="0000EE"/>
                <w:w w:val="99"/>
              </w:rPr>
            </w:pPr>
            <w:hyperlink w:anchor="page74">
              <w:r>
                <w:rPr>
                  <w:rFonts w:ascii="Arial" w:cs="Arial" w:eastAsia="Arial" w:hAnsi="Arial"/>
                  <w:sz w:val="20"/>
                  <w:szCs w:val="20"/>
                  <w:color w:val="0000EE"/>
                  <w:w w:val="99"/>
                </w:rPr>
                <w:t>Proposal 3: Approval, in an Advisory Vote, of the Compensation Paid to Our Named Executive Officers</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68</w:t>
            </w:r>
          </w:p>
        </w:tc>
      </w:tr>
      <w:tr>
        <w:trPr>
          <w:trHeight w:val="426"/>
        </w:trPr>
        <w:tc>
          <w:tcPr>
            <w:tcW w:w="8960" w:type="dxa"/>
            <w:vAlign w:val="bottom"/>
            <w:tcBorders>
              <w:top w:val="single" w:sz="8" w:color="0000EE"/>
            </w:tcBorders>
            <w:gridSpan w:val="14"/>
          </w:tcPr>
          <w:p>
            <w:pPr>
              <w:spacing w:after="0"/>
              <w:rPr>
                <w:rFonts w:ascii="Arial" w:cs="Arial" w:eastAsia="Arial" w:hAnsi="Arial"/>
                <w:sz w:val="20"/>
                <w:szCs w:val="20"/>
                <w:color w:val="0000EE"/>
              </w:rPr>
            </w:pPr>
            <w:hyperlink w:anchor="page76">
              <w:r>
                <w:rPr>
                  <w:rFonts w:ascii="Arial" w:cs="Arial" w:eastAsia="Arial" w:hAnsi="Arial"/>
                  <w:sz w:val="20"/>
                  <w:szCs w:val="20"/>
                  <w:color w:val="0000EE"/>
                </w:rPr>
                <w:t>Stockholder Proposals and Other Matters</w:t>
              </w:r>
            </w:hyperlink>
          </w:p>
        </w:tc>
        <w:tc>
          <w:tcPr>
            <w:tcW w:w="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70</w:t>
            </w:r>
          </w:p>
        </w:tc>
      </w:tr>
      <w:tr>
        <w:trPr>
          <w:trHeight w:val="479"/>
        </w:trPr>
        <w:tc>
          <w:tcPr>
            <w:tcW w:w="1540" w:type="dxa"/>
            <w:vAlign w:val="bottom"/>
            <w:tcBorders>
              <w:top w:val="single" w:sz="8" w:color="0000EE"/>
              <w:bottom w:val="single" w:sz="8" w:color="0000EE"/>
            </w:tcBorders>
          </w:tcPr>
          <w:p>
            <w:pPr>
              <w:spacing w:after="0"/>
              <w:rPr>
                <w:rFonts w:ascii="Arial" w:cs="Arial" w:eastAsia="Arial" w:hAnsi="Arial"/>
                <w:sz w:val="20"/>
                <w:szCs w:val="20"/>
                <w:color w:val="0000EE"/>
                <w:w w:val="97"/>
              </w:rPr>
            </w:pPr>
            <w:hyperlink w:anchor="page77">
              <w:r>
                <w:rPr>
                  <w:rFonts w:ascii="Arial" w:cs="Arial" w:eastAsia="Arial" w:hAnsi="Arial"/>
                  <w:sz w:val="20"/>
                  <w:szCs w:val="20"/>
                  <w:color w:val="0000EE"/>
                  <w:w w:val="97"/>
                </w:rPr>
                <w:t>Other Information</w:t>
              </w:r>
            </w:hyperlink>
          </w:p>
        </w:tc>
        <w:tc>
          <w:tcPr>
            <w:tcW w:w="2080" w:type="dxa"/>
            <w:vAlign w:val="bottom"/>
            <w:tcBorders>
              <w:top w:val="single" w:sz="8" w:color="0000EE"/>
            </w:tcBorders>
            <w:gridSpan w:val="4"/>
          </w:tcPr>
          <w:p>
            <w:pPr>
              <w:spacing w:after="0"/>
              <w:rPr>
                <w:sz w:val="24"/>
                <w:szCs w:val="24"/>
                <w:color w:val="auto"/>
              </w:rPr>
            </w:pPr>
          </w:p>
        </w:tc>
        <w:tc>
          <w:tcPr>
            <w:tcW w:w="5420" w:type="dxa"/>
            <w:vAlign w:val="bottom"/>
            <w:gridSpan w:val="10"/>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71</w:t>
            </w:r>
          </w:p>
        </w:tc>
      </w:tr>
      <w:tr>
        <w:trPr>
          <w:trHeight w:val="480"/>
        </w:trPr>
        <w:tc>
          <w:tcPr>
            <w:tcW w:w="9040" w:type="dxa"/>
            <w:vAlign w:val="bottom"/>
            <w:gridSpan w:val="15"/>
          </w:tcPr>
          <w:p>
            <w:pPr>
              <w:spacing w:after="0"/>
              <w:rPr>
                <w:rFonts w:ascii="Arial" w:cs="Arial" w:eastAsia="Arial" w:hAnsi="Arial"/>
                <w:sz w:val="20"/>
                <w:szCs w:val="20"/>
                <w:color w:val="0000EE"/>
              </w:rPr>
            </w:pPr>
            <w:hyperlink w:anchor="page78">
              <w:r>
                <w:rPr>
                  <w:rFonts w:ascii="Arial" w:cs="Arial" w:eastAsia="Arial" w:hAnsi="Arial"/>
                  <w:sz w:val="20"/>
                  <w:szCs w:val="20"/>
                  <w:color w:val="0000EE"/>
                </w:rPr>
                <w:t>Appendix A: Non-GAAP Financial Measures</w:t>
              </w:r>
            </w:hyperlink>
          </w:p>
        </w:tc>
        <w:tc>
          <w:tcPr>
            <w:tcW w:w="1980" w:type="dxa"/>
            <w:vAlign w:val="bottom"/>
            <w:gridSpan w:val="2"/>
          </w:tcPr>
          <w:p>
            <w:pPr>
              <w:jc w:val="right"/>
              <w:spacing w:after="0"/>
              <w:rPr>
                <w:sz w:val="20"/>
                <w:szCs w:val="20"/>
                <w:color w:val="auto"/>
              </w:rPr>
            </w:pPr>
            <w:r>
              <w:rPr>
                <w:rFonts w:ascii="Arial" w:cs="Arial" w:eastAsia="Arial" w:hAnsi="Arial"/>
                <w:sz w:val="20"/>
                <w:szCs w:val="20"/>
                <w:color w:val="003B71"/>
              </w:rPr>
              <w:t>72</w:t>
            </w:r>
          </w:p>
        </w:tc>
      </w:tr>
      <w:tr>
        <w:trPr>
          <w:trHeight w:val="20"/>
        </w:trPr>
        <w:tc>
          <w:tcPr>
            <w:tcW w:w="1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003B71"/>
        </w:rPr>
        <w:t>LPL FINANCIAL HOLDINGS INC.</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B71"/>
        </w:rPr>
        <w:t>Proxy Statement</w:t>
      </w:r>
    </w:p>
    <w:p>
      <w:pPr>
        <w:jc w:val="center"/>
        <w:ind w:right="-99"/>
        <w:spacing w:after="0"/>
        <w:rPr>
          <w:sz w:val="20"/>
          <w:szCs w:val="20"/>
          <w:color w:val="auto"/>
        </w:rPr>
      </w:pPr>
      <w:r>
        <w:rPr>
          <w:rFonts w:ascii="Arial" w:cs="Arial" w:eastAsia="Arial" w:hAnsi="Arial"/>
          <w:sz w:val="20"/>
          <w:szCs w:val="20"/>
          <w:b w:val="1"/>
          <w:bCs w:val="1"/>
          <w:color w:val="003B71"/>
        </w:rPr>
        <w:t>2020 Annual Meeting of Stockholders</w:t>
      </w:r>
    </w:p>
    <w:p>
      <w:pPr>
        <w:spacing w:after="0" w:line="6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General Information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Introduction</w:t>
      </w:r>
    </w:p>
    <w:p>
      <w:pPr>
        <w:sectPr>
          <w:pgSz w:w="11900" w:h="16838" w:orient="portrait"/>
          <w:cols w:equalWidth="0" w:num="1">
            <w:col w:w="11140"/>
          </w:cols>
          <w:pgMar w:left="320" w:top="459" w:right="439" w:bottom="1440" w:gutter="0" w:footer="0" w:header="0"/>
        </w:sectPr>
      </w:pPr>
    </w:p>
    <w:p>
      <w:pPr>
        <w:spacing w:after="0" w:line="310"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This proxy statement and the accompanying Notice of Annual Meeting of Stockholders are being furnished to the holders of common stock, $0.001 par value per share (the “Common Stock”), of LPL Financial Holdings Inc., a Delaware corporation (the “Company” or “we”), in connection with the Company’s 2020 annual meeting of stockholders (the “Annual Meeting”).</w:t>
      </w:r>
    </w:p>
    <w:p>
      <w:pPr>
        <w:spacing w:after="0" w:line="205"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As a stockholder of the Company as of 5:00 p.m. Eastern Time on March 9, 2020 (the “Record Date”), you are entitled and requested to vote on the items of business described in this proxy statement.</w:t>
      </w:r>
    </w:p>
    <w:p>
      <w:pPr>
        <w:spacing w:after="0" w:line="18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Annual Meeting will be held on Wednesday, May 6, 2020, at the offices of the Company, 1055 LPL Way, Fort Mill, South Carolina 29715 at 10:00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335153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608330"/>
                    </a:xfrm>
                    <a:prstGeom prst="rect">
                      <a:avLst/>
                    </a:prstGeom>
                    <a:noFill/>
                  </pic:spPr>
                </pic:pic>
              </a:graphicData>
            </a:graphic>
          </wp:anchor>
        </w:drawing>
      </w:r>
    </w:p>
    <w:p>
      <w:pPr>
        <w:spacing w:after="0" w:line="309" w:lineRule="exact"/>
        <w:rPr>
          <w:sz w:val="20"/>
          <w:szCs w:val="20"/>
          <w:color w:val="auto"/>
        </w:rPr>
      </w:pPr>
    </w:p>
    <w:p>
      <w:pPr>
        <w:ind w:left="180" w:right="440"/>
        <w:spacing w:after="0" w:line="253" w:lineRule="auto"/>
        <w:rPr>
          <w:sz w:val="20"/>
          <w:szCs w:val="20"/>
          <w:color w:val="auto"/>
        </w:rPr>
      </w:pPr>
      <w:r>
        <w:rPr>
          <w:rFonts w:ascii="Arial" w:cs="Arial" w:eastAsia="Arial" w:hAnsi="Arial"/>
          <w:sz w:val="18"/>
          <w:szCs w:val="18"/>
          <w:b w:val="1"/>
          <w:bCs w:val="1"/>
          <w:i w:val="1"/>
          <w:iCs w:val="1"/>
          <w:color w:val="FFFFFF"/>
        </w:rPr>
        <w:t>We invite all stockholders to attend the Annual Meeting. Please see “Attending the Annual Meeting” below for instructions if you plan to attend in person.</w:t>
      </w:r>
    </w:p>
    <w:p>
      <w:pPr>
        <w:spacing w:after="0" w:line="394" w:lineRule="exact"/>
        <w:rPr>
          <w:sz w:val="20"/>
          <w:szCs w:val="20"/>
          <w:color w:val="auto"/>
        </w:rPr>
      </w:pPr>
    </w:p>
    <w:p>
      <w:pPr>
        <w:ind w:left="120" w:right="300"/>
        <w:spacing w:after="0" w:line="257" w:lineRule="auto"/>
        <w:rPr>
          <w:sz w:val="20"/>
          <w:szCs w:val="20"/>
          <w:color w:val="auto"/>
        </w:rPr>
      </w:pPr>
      <w:r>
        <w:rPr>
          <w:rFonts w:ascii="Arial" w:cs="Arial" w:eastAsia="Arial" w:hAnsi="Arial"/>
          <w:sz w:val="20"/>
          <w:szCs w:val="20"/>
          <w:b w:val="1"/>
          <w:bCs w:val="1"/>
          <w:color w:val="003B71"/>
        </w:rPr>
        <w:t>Notice of Internet Availability of Proxy Statement and Annual Report</w:t>
      </w:r>
    </w:p>
    <w:p>
      <w:pPr>
        <w:spacing w:after="0" w:line="18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permitted by the Securities and Exchange Commission (the “SEC”), we are making this proxy statement, the accompanying proxy card and our 2019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 or about March 23, 2020, a Notice Regarding the Availability of Proxy Materials (the “Notice”) was mailed to stockholders of record as of the Record Date. The Notice instructs you how to access and review through the internet all of the important information contained in these proxy materials or request a printed copy. The Notice also instructs you as to how you may vote your proxy.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Record Date, Shares Outstanding and Quorum</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Stockholders of record as of the Record Date will be entitled to vote at the Annual Meeting. On the Record Date, there were 79,099,422 outstanding shares of Common Stock.</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list of stockholders of record as of the Record Date will be available at the Annual Meeting. In addition, you may contact our corporate secretary, at LPL Financial Holdings Inc., 75 State Street, 22nd Floor, Boston, Massachusetts 02109, to make arrangements to review a copy of the stockholder list at our offices, for any purpose germane to the Annual Meeting, between the hours of 9:00 a.m. and 5:00 p.m., local time, on any business day from April 26, 2020 up to the time of the Annual Meeting.</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our Annual Meeting, only the ratification of our auditors is a routine matter. Each share of Common Stock is entitled to one vote.</w:t>
      </w:r>
    </w:p>
    <w:p>
      <w:pPr>
        <w:spacing w:after="0" w:line="1631"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003B71"/>
        </w:rPr>
        <w:t>1</w:t>
      </w:r>
    </w:p>
    <w:p>
      <w:pPr>
        <w:sectPr>
          <w:pgSz w:w="11900" w:h="16838" w:orient="portrait"/>
          <w:cols w:equalWidth="0" w:num="2">
            <w:col w:w="10400" w:space="640"/>
            <w:col w:w="10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Attending the Annual Meeting</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We invite all stockholders as of the Record Date to attend the Annual Meeting. If you are a record holder of our Common Stock, which means that your shares are represented by ledger entries in your own name directly registered with our transfer agent, Computershare,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broker, bank or other intermediary giving you the right to vote the shares at the Annual Meeting.</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3B71"/>
        </w:rPr>
        <w:t>Contingency Due to Exigent Circumstances</w:t>
      </w:r>
    </w:p>
    <w:p>
      <w:pPr>
        <w:spacing w:after="0" w:line="23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As part of our precautions related to COVID-19, we are planning for the possibility that the Annual</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Meeting may be held virtually over the internet. If we were to take this step, we would announce the decision to do so via a press release promptly after making such decision, file the announcement with the SEC as additional proxy material and post the announcement on our website. A virtual meeting will have no effect on stockholders’ ability to submit their proxy through the internet or by telephone, or by completing and signing their proxy card and returning it in the envelope provided, each as explained in this proxy statement.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3420110" cy="1036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0110" cy="1036955"/>
                    </a:xfrm>
                    <a:prstGeom prst="rect">
                      <a:avLst/>
                    </a:prstGeom>
                    <a:noFill/>
                  </pic:spPr>
                </pic:pic>
              </a:graphicData>
            </a:graphic>
          </wp:anchor>
        </w:drawing>
      </w:r>
    </w:p>
    <w:p>
      <w:pPr>
        <w:spacing w:after="0" w:line="353" w:lineRule="exact"/>
        <w:rPr>
          <w:sz w:val="20"/>
          <w:szCs w:val="20"/>
          <w:color w:val="auto"/>
        </w:rPr>
      </w:pPr>
    </w:p>
    <w:p>
      <w:pPr>
        <w:ind w:left="260" w:right="180"/>
        <w:spacing w:after="0" w:line="242" w:lineRule="auto"/>
        <w:rPr>
          <w:sz w:val="20"/>
          <w:szCs w:val="20"/>
          <w:color w:val="auto"/>
        </w:rPr>
      </w:pPr>
      <w:r>
        <w:rPr>
          <w:rFonts w:ascii="Arial" w:cs="Arial" w:eastAsia="Arial" w:hAnsi="Arial"/>
          <w:sz w:val="18"/>
          <w:szCs w:val="18"/>
          <w:b w:val="1"/>
          <w:bCs w:val="1"/>
          <w:i w:val="1"/>
          <w:iCs w:val="1"/>
          <w:color w:val="FFFFFF"/>
        </w:rPr>
        <w:t>If you plan to attend the Annual Meeting in person, please be sure to RSVP via email to: lplfinancialannualmeeting@lpl.com. Please include your name and phone number in your email.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865505</wp:posOffset>
            </wp:positionV>
            <wp:extent cx="6995160" cy="131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11275"/>
                    </a:xfrm>
                    <a:prstGeom prst="rect">
                      <a:avLst/>
                    </a:prstGeom>
                    <a:noFill/>
                  </pic:spPr>
                </pic:pic>
              </a:graphicData>
            </a:graphic>
          </wp:anchor>
        </w:drawing>
      </w:r>
    </w:p>
    <w:p>
      <w:pPr>
        <w:spacing w:after="0" w:line="1068"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003B71"/>
        </w:rPr>
        <w:t>Items of Business to be Voted upon at the Annual Meeting</w:t>
      </w:r>
    </w:p>
    <w:p>
      <w:pPr>
        <w:spacing w:after="0" w:line="24" w:lineRule="exact"/>
        <w:rPr>
          <w:sz w:val="20"/>
          <w:szCs w:val="20"/>
          <w:color w:val="auto"/>
        </w:rPr>
      </w:pPr>
    </w:p>
    <w:p>
      <w:pPr>
        <w:ind w:left="560" w:right="100" w:firstLine="8"/>
        <w:spacing w:after="0" w:line="245" w:lineRule="auto"/>
        <w:rPr>
          <w:sz w:val="20"/>
          <w:szCs w:val="20"/>
          <w:color w:val="auto"/>
        </w:rPr>
      </w:pPr>
      <w:r>
        <w:rPr>
          <w:rFonts w:ascii="Arial" w:cs="Arial" w:eastAsia="Arial" w:hAnsi="Arial"/>
          <w:sz w:val="18"/>
          <w:szCs w:val="18"/>
          <w:color w:val="auto"/>
        </w:rPr>
        <w:t>To elect each of the nine nominees named in this proxy statement to the Board of Directors of the Company (the “Board of Directors” or the “Board”) for a term to end at our annual meeting of stockholders in 2021;</w:t>
      </w:r>
    </w:p>
    <w:p>
      <w:pPr>
        <w:ind w:left="560" w:right="100" w:hanging="19"/>
        <w:spacing w:after="0" w:line="242" w:lineRule="auto"/>
        <w:rPr>
          <w:sz w:val="20"/>
          <w:szCs w:val="20"/>
          <w:color w:val="auto"/>
        </w:rPr>
      </w:pPr>
      <w:r>
        <w:rPr>
          <w:rFonts w:ascii="Arial" w:cs="Arial" w:eastAsia="Arial" w:hAnsi="Arial"/>
          <w:sz w:val="18"/>
          <w:szCs w:val="18"/>
          <w:color w:val="auto"/>
        </w:rPr>
        <w:t>To ratify the appointment of Deloitte &amp; Touche LLP by the audit committee of the Board of Directors (the “Audit Committee”) as our independent registered public accounting firm for the fiscal year ending December 31, 2020;</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approve, in an advisory vote, the compensation paid to the Company’s named executive officers; and</w:t>
      </w:r>
    </w:p>
    <w:p>
      <w:pPr>
        <w:spacing w:after="0" w:line="9" w:lineRule="exact"/>
        <w:rPr>
          <w:sz w:val="20"/>
          <w:szCs w:val="20"/>
          <w:color w:val="auto"/>
        </w:rPr>
      </w:pPr>
    </w:p>
    <w:p>
      <w:pPr>
        <w:ind w:left="560" w:right="100" w:hanging="30"/>
        <w:spacing w:after="0" w:line="261" w:lineRule="auto"/>
        <w:rPr>
          <w:sz w:val="20"/>
          <w:szCs w:val="20"/>
          <w:color w:val="auto"/>
        </w:rPr>
      </w:pPr>
      <w:r>
        <w:rPr>
          <w:rFonts w:ascii="Arial" w:cs="Arial" w:eastAsia="Arial" w:hAnsi="Arial"/>
          <w:sz w:val="18"/>
          <w:szCs w:val="18"/>
          <w:color w:val="auto"/>
        </w:rPr>
        <w:t>To consider and act upon any other business properly coming before the Annual Meeting and at any adjournment or postponement thereof.</w:t>
      </w:r>
    </w:p>
    <w:p>
      <w:pPr>
        <w:sectPr>
          <w:pgSz w:w="11900" w:h="16838" w:orient="portrait"/>
          <w:cols w:equalWidth="0" w:num="1">
            <w:col w:w="11120"/>
          </w:cols>
          <w:pgMar w:left="320" w:top="459" w:right="459" w:bottom="1440" w:gutter="0" w:footer="0" w:header="0"/>
          <w:type w:val="continuous"/>
        </w:sectPr>
      </w:pPr>
    </w:p>
    <w:p>
      <w:pPr>
        <w:spacing w:after="0" w:line="292"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-123190</wp:posOffset>
            </wp:positionV>
            <wp:extent cx="825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360" w:space="500"/>
            <w:col w:w="10260"/>
          </w:cols>
          <w:pgMar w:left="32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Manner of Voting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holder of record of our Common Stock as of the Record Date, you may vote in one of the following ways:</w:t>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i w:val="1"/>
          <w:iCs w:val="1"/>
          <w:color w:val="003B71"/>
        </w:rPr>
        <w:t xml:space="preserve">By Internet: </w:t>
      </w:r>
      <w:r>
        <w:rPr>
          <w:rFonts w:ascii="Arial" w:cs="Arial" w:eastAsia="Arial" w:hAnsi="Arial"/>
          <w:sz w:val="18"/>
          <w:szCs w:val="18"/>
          <w:color w:val="000000"/>
        </w:rPr>
        <w:t>by following the internet voting instructions</w:t>
      </w:r>
      <w:r>
        <w:rPr>
          <w:rFonts w:ascii="Arial" w:cs="Arial" w:eastAsia="Arial" w:hAnsi="Arial"/>
          <w:sz w:val="18"/>
          <w:szCs w:val="18"/>
          <w:i w:val="1"/>
          <w:iCs w:val="1"/>
          <w:color w:val="003B71"/>
        </w:rPr>
        <w:t xml:space="preserve"> </w:t>
      </w:r>
      <w:r>
        <w:rPr>
          <w:rFonts w:ascii="Arial" w:cs="Arial" w:eastAsia="Arial" w:hAnsi="Arial"/>
          <w:sz w:val="18"/>
          <w:szCs w:val="18"/>
          <w:color w:val="000000"/>
        </w:rPr>
        <w:t>included in the proxy card and Notice at any time up until 11:59 p.m., Eastern Time, on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-398145</wp:posOffset>
            </wp:positionV>
            <wp:extent cx="14605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197"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i w:val="1"/>
          <w:iCs w:val="1"/>
          <w:color w:val="003B71"/>
        </w:rPr>
        <w:t xml:space="preserve">By Telephone: </w:t>
      </w:r>
      <w:r>
        <w:rPr>
          <w:rFonts w:ascii="Arial" w:cs="Arial" w:eastAsia="Arial" w:hAnsi="Arial"/>
          <w:sz w:val="18"/>
          <w:szCs w:val="18"/>
          <w:color w:val="000000"/>
        </w:rPr>
        <w:t>by following the telephone voting</w:t>
      </w:r>
      <w:r>
        <w:rPr>
          <w:rFonts w:ascii="Arial" w:cs="Arial" w:eastAsia="Arial" w:hAnsi="Arial"/>
          <w:sz w:val="18"/>
          <w:szCs w:val="18"/>
          <w:i w:val="1"/>
          <w:iCs w:val="1"/>
          <w:color w:val="003B71"/>
        </w:rPr>
        <w:t xml:space="preserve"> </w:t>
      </w:r>
      <w:r>
        <w:rPr>
          <w:rFonts w:ascii="Arial" w:cs="Arial" w:eastAsia="Arial" w:hAnsi="Arial"/>
          <w:sz w:val="18"/>
          <w:szCs w:val="18"/>
          <w:color w:val="000000"/>
        </w:rPr>
        <w:t>instructions included in the proxy card and Notice at any time up until 11:59 p.m., Eastern Time, on 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-398145</wp:posOffset>
            </wp:positionV>
            <wp:extent cx="14605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97"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i w:val="1"/>
          <w:iCs w:val="1"/>
          <w:color w:val="003B71"/>
        </w:rPr>
        <w:t xml:space="preserve">By Mail: </w:t>
      </w:r>
      <w:r>
        <w:rPr>
          <w:rFonts w:ascii="Arial" w:cs="Arial" w:eastAsia="Arial" w:hAnsi="Arial"/>
          <w:sz w:val="18"/>
          <w:szCs w:val="18"/>
          <w:color w:val="000000"/>
        </w:rPr>
        <w:t>by marking, dating and signing your printed proxy</w:t>
      </w:r>
      <w:r>
        <w:rPr>
          <w:rFonts w:ascii="Arial" w:cs="Arial" w:eastAsia="Arial" w:hAnsi="Arial"/>
          <w:sz w:val="18"/>
          <w:szCs w:val="18"/>
          <w:i w:val="1"/>
          <w:iCs w:val="1"/>
          <w:color w:val="003B71"/>
        </w:rPr>
        <w:t xml:space="preserve"> </w:t>
      </w:r>
      <w:r>
        <w:rPr>
          <w:rFonts w:ascii="Arial" w:cs="Arial" w:eastAsia="Arial" w:hAnsi="Arial"/>
          <w:sz w:val="18"/>
          <w:szCs w:val="18"/>
          <w:color w:val="000000"/>
        </w:rPr>
        <w:t>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-650240</wp:posOffset>
            </wp:positionV>
            <wp:extent cx="15430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205"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i w:val="1"/>
          <w:iCs w:val="1"/>
          <w:color w:val="003B71"/>
        </w:rPr>
        <w:t xml:space="preserve">In Person: </w:t>
      </w:r>
      <w:r>
        <w:rPr>
          <w:rFonts w:ascii="Arial" w:cs="Arial" w:eastAsia="Arial" w:hAnsi="Arial"/>
          <w:sz w:val="18"/>
          <w:szCs w:val="18"/>
          <w:color w:val="000000"/>
        </w:rPr>
        <w:t>by voting your shares in person at the Annual</w:t>
      </w:r>
      <w:r>
        <w:rPr>
          <w:rFonts w:ascii="Arial" w:cs="Arial" w:eastAsia="Arial" w:hAnsi="Arial"/>
          <w:sz w:val="18"/>
          <w:szCs w:val="18"/>
          <w:i w:val="1"/>
          <w:iCs w:val="1"/>
          <w:color w:val="003B71"/>
        </w:rPr>
        <w:t xml:space="preserve"> </w:t>
      </w:r>
      <w:r>
        <w:rPr>
          <w:rFonts w:ascii="Arial" w:cs="Arial" w:eastAsia="Arial" w:hAnsi="Arial"/>
          <w:sz w:val="18"/>
          <w:szCs w:val="18"/>
          <w:color w:val="000000"/>
        </w:rPr>
        <w:t>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3351530" cy="131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13112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-779145</wp:posOffset>
            </wp:positionV>
            <wp:extent cx="12890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45415"/>
                    </a:xfrm>
                    <a:prstGeom prst="rect">
                      <a:avLst/>
                    </a:prstGeom>
                    <a:noFill/>
                  </pic:spPr>
                </pic:pic>
              </a:graphicData>
            </a:graphic>
          </wp:anchor>
        </w:drawing>
      </w:r>
    </w:p>
    <w:p>
      <w:pPr>
        <w:spacing w:after="0" w:line="398" w:lineRule="exact"/>
        <w:rPr>
          <w:sz w:val="20"/>
          <w:szCs w:val="20"/>
          <w:color w:val="auto"/>
        </w:rPr>
      </w:pPr>
    </w:p>
    <w:p>
      <w:pPr>
        <w:ind w:left="400" w:right="160"/>
        <w:spacing w:after="0" w:line="252" w:lineRule="auto"/>
        <w:rPr>
          <w:sz w:val="20"/>
          <w:szCs w:val="20"/>
          <w:color w:val="auto"/>
        </w:rPr>
      </w:pPr>
      <w:r>
        <w:rPr>
          <w:rFonts w:ascii="Arial" w:cs="Arial" w:eastAsia="Arial" w:hAnsi="Arial"/>
          <w:sz w:val="17"/>
          <w:szCs w:val="17"/>
          <w:color w:val="FFFFFF"/>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 You may also vote in person if you obtain a legal proxy from your broker, bank or other intermediary giving you the right to vote the shares at the Annual Meeting.</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cs="Arial" w:eastAsia="Arial" w:hAnsi="Arial"/>
          <w:sz w:val="18"/>
          <w:szCs w:val="18"/>
          <w:b w:val="1"/>
          <w:bCs w:val="1"/>
          <w:color w:val="003B71"/>
        </w:rPr>
        <w:t>“FOR”</w:t>
      </w:r>
      <w:r>
        <w:rPr>
          <w:rFonts w:ascii="Arial" w:cs="Arial" w:eastAsia="Arial" w:hAnsi="Arial"/>
          <w:sz w:val="18"/>
          <w:szCs w:val="18"/>
          <w:color w:val="auto"/>
        </w:rPr>
        <w:t xml:space="preserve"> the election of each director nominee named in this proxy statement; </w:t>
      </w:r>
      <w:r>
        <w:rPr>
          <w:rFonts w:ascii="Arial" w:cs="Arial" w:eastAsia="Arial" w:hAnsi="Arial"/>
          <w:sz w:val="18"/>
          <w:szCs w:val="18"/>
          <w:b w:val="1"/>
          <w:bCs w:val="1"/>
          <w:color w:val="003B71"/>
        </w:rPr>
        <w:t>“FOR”</w:t>
      </w:r>
      <w:r>
        <w:rPr>
          <w:rFonts w:ascii="Arial" w:cs="Arial" w:eastAsia="Arial" w:hAnsi="Arial"/>
          <w:sz w:val="18"/>
          <w:szCs w:val="18"/>
          <w:color w:val="auto"/>
        </w:rPr>
        <w:t xml:space="preserve"> the ratification of the appointment of Deloitte &amp; Touche LLP as our independent registered public accounting firm; and </w:t>
      </w:r>
      <w:r>
        <w:rPr>
          <w:rFonts w:ascii="Arial" w:cs="Arial" w:eastAsia="Arial" w:hAnsi="Arial"/>
          <w:sz w:val="18"/>
          <w:szCs w:val="18"/>
          <w:b w:val="1"/>
          <w:bCs w:val="1"/>
          <w:color w:val="003B71"/>
        </w:rPr>
        <w:t>“FOR”</w:t>
      </w:r>
      <w:r>
        <w:rPr>
          <w:rFonts w:ascii="Arial" w:cs="Arial" w:eastAsia="Arial" w:hAnsi="Arial"/>
          <w:sz w:val="18"/>
          <w:szCs w:val="18"/>
          <w:color w:val="auto"/>
        </w:rPr>
        <w:t xml:space="preserve"> the approval, in an advisory vote, of the compensation paid to the Company’s named executive officers.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2814"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31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003B71"/>
        </w:rPr>
        <w:t>3</w:t>
      </w:r>
    </w:p>
    <w:p>
      <w:pPr>
        <w:sectPr>
          <w:pgSz w:w="11900" w:h="16838" w:orient="portrait"/>
          <w:cols w:equalWidth="0" w:num="2">
            <w:col w:w="10400" w:space="640"/>
            <w:col w:w="10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B71"/>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74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74395"/>
                    </a:xfrm>
                    <a:prstGeom prst="rect">
                      <a:avLst/>
                    </a:prstGeom>
                    <a:noFill/>
                  </pic:spPr>
                </pic:pic>
              </a:graphicData>
            </a:graphic>
          </wp:anchor>
        </w:drawing>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3B71"/>
        </w:rPr>
        <w:t>Proposal One—Election of Directors</w:t>
      </w:r>
    </w:p>
    <w:p>
      <w:pPr>
        <w:spacing w:after="0" w:line="135" w:lineRule="exact"/>
        <w:rPr>
          <w:sz w:val="20"/>
          <w:szCs w:val="20"/>
          <w:color w:val="auto"/>
        </w:rPr>
      </w:pPr>
    </w:p>
    <w:p>
      <w:pPr>
        <w:jc w:val="both"/>
        <w:ind w:left="260"/>
        <w:spacing w:after="0" w:line="238" w:lineRule="auto"/>
        <w:rPr>
          <w:sz w:val="20"/>
          <w:szCs w:val="20"/>
          <w:color w:val="auto"/>
        </w:rPr>
      </w:pPr>
      <w:r>
        <w:rPr>
          <w:rFonts w:ascii="Arial" w:cs="Arial" w:eastAsia="Arial" w:hAnsi="Arial"/>
          <w:sz w:val="18"/>
          <w:szCs w:val="18"/>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6995160" cy="754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7543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3B71"/>
        </w:rPr>
        <w:t>Proposal Two—Ratification of Appointment of Deloitte &amp; Touche LLP</w:t>
      </w:r>
    </w:p>
    <w:p>
      <w:pPr>
        <w:spacing w:after="0" w:line="135" w:lineRule="exact"/>
        <w:rPr>
          <w:sz w:val="20"/>
          <w:szCs w:val="20"/>
          <w:color w:val="auto"/>
        </w:rPr>
      </w:pPr>
    </w:p>
    <w:p>
      <w:pPr>
        <w:jc w:val="both"/>
        <w:ind w:left="260"/>
        <w:spacing w:after="0"/>
        <w:rPr>
          <w:sz w:val="20"/>
          <w:szCs w:val="20"/>
          <w:color w:val="auto"/>
        </w:rPr>
      </w:pPr>
      <w:r>
        <w:rPr>
          <w:rFonts w:ascii="Arial" w:cs="Arial" w:eastAsia="Arial" w:hAnsi="Arial"/>
          <w:sz w:val="18"/>
          <w:szCs w:val="18"/>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1011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3B71"/>
        </w:rPr>
        <w:t>Proposal Three—Approval, in an Advisory Vote, of the Compensation Paid to the Company’s Named Executive Officers</w:t>
      </w:r>
    </w:p>
    <w:p>
      <w:pPr>
        <w:spacing w:after="0" w:line="135" w:lineRule="exact"/>
        <w:rPr>
          <w:sz w:val="20"/>
          <w:szCs w:val="20"/>
          <w:color w:val="auto"/>
        </w:rPr>
      </w:pPr>
    </w:p>
    <w:p>
      <w:pPr>
        <w:jc w:val="both"/>
        <w:ind w:left="260"/>
        <w:spacing w:after="0" w:line="238" w:lineRule="auto"/>
        <w:rPr>
          <w:sz w:val="20"/>
          <w:szCs w:val="20"/>
          <w:color w:val="auto"/>
        </w:rPr>
      </w:pPr>
      <w:r>
        <w:rPr>
          <w:rFonts w:ascii="Arial" w:cs="Arial" w:eastAsia="Arial" w:hAnsi="Arial"/>
          <w:sz w:val="18"/>
          <w:szCs w:val="18"/>
          <w:color w:val="auto"/>
        </w:rPr>
        <w:t>Because the proposal to approve, on an advisory basis, the compensation awarded to named executive officers for the fiscal year ended December 31, 2019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ectPr>
          <w:pgSz w:w="11900" w:h="16838" w:orient="portrait"/>
          <w:cols w:equalWidth="0" w:num="1">
            <w:col w:w="10900"/>
          </w:cols>
          <w:pgMar w:left="320" w:top="459" w:right="679" w:bottom="1440" w:gutter="0" w:footer="0" w:header="0"/>
        </w:sect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-123190</wp:posOffset>
            </wp:positionV>
            <wp:extent cx="825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360" w:space="500"/>
            <w:col w:w="1004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Revocation of Proxies</w:t>
      </w:r>
    </w:p>
    <w:p>
      <w:pPr>
        <w:spacing w:after="0" w:line="22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If you submit a proxy, you are entitled to revoke your proxy at any time before it is exercised in one of the following ways:</w:t>
      </w:r>
    </w:p>
    <w:p>
      <w:pPr>
        <w:spacing w:after="0" w:line="224" w:lineRule="exact"/>
        <w:rPr>
          <w:sz w:val="20"/>
          <w:szCs w:val="20"/>
          <w:color w:val="auto"/>
        </w:rPr>
      </w:pPr>
    </w:p>
    <w:p>
      <w:pPr>
        <w:ind w:left="820" w:hanging="38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w:t>
      </w:r>
    </w:p>
    <w:p>
      <w:pPr>
        <w:spacing w:after="0" w:line="238"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or</w:t>
      </w:r>
    </w:p>
    <w:p>
      <w:pPr>
        <w:spacing w:after="0" w:line="223" w:lineRule="exact"/>
        <w:rPr>
          <w:rFonts w:ascii="Arial" w:cs="Arial" w:eastAsia="Arial" w:hAnsi="Arial"/>
          <w:sz w:val="18"/>
          <w:szCs w:val="18"/>
          <w:color w:val="auto"/>
        </w:rPr>
      </w:pPr>
    </w:p>
    <w:p>
      <w:pPr>
        <w:jc w:val="both"/>
        <w:ind w:left="820" w:hanging="38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sending written notice of revocation to our corporate secretary at LPL Financial Holdings Inc., 75 State Street, 22nd Floor, Boston, Massachusetts 02109.</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in person whether or not a proxy has previously been given, but the presence (without further action) of a stockholder at the Annual Meeting will not constitute revocation of a previously given proxy. If you hold your shares in street name and would like to change your voting instructions, please follow the instructions provided to you by your broker, bank or other intermediary.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have received contrary instructions from one or more of the stockholders. We will undertake to deliver 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75 State Street, 22nd Floor, Boston, Massachusetts 02109, or by calling our offices at (617) 423-3644, extension 4574,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w:t>
      </w:r>
    </w:p>
    <w:p>
      <w:pPr>
        <w:spacing w:after="0" w:line="1779"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003B71"/>
        </w:rPr>
        <w:t>Solicitation of Proxies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of LPL Financial Holdings Inc. is soliciting</w:t>
      </w:r>
    </w:p>
    <w:p>
      <w:pPr>
        <w:ind w:left="120"/>
        <w:spacing w:after="0" w:line="234" w:lineRule="auto"/>
        <w:rPr>
          <w:sz w:val="20"/>
          <w:szCs w:val="20"/>
          <w:color w:val="auto"/>
        </w:rPr>
      </w:pPr>
      <w:r>
        <w:rPr>
          <w:rFonts w:ascii="Arial" w:cs="Arial" w:eastAsia="Arial" w:hAnsi="Arial"/>
          <w:sz w:val="18"/>
          <w:szCs w:val="18"/>
          <w:color w:val="auto"/>
        </w:rPr>
        <w:t>proxies. Copies of proxy materials and the Annual Report will be</w:t>
      </w:r>
    </w:p>
    <w:p>
      <w:pPr>
        <w:ind w:left="120"/>
        <w:spacing w:after="0" w:line="235" w:lineRule="auto"/>
        <w:rPr>
          <w:sz w:val="20"/>
          <w:szCs w:val="20"/>
          <w:color w:val="auto"/>
        </w:rPr>
      </w:pPr>
      <w:r>
        <w:rPr>
          <w:rFonts w:ascii="Arial" w:cs="Arial" w:eastAsia="Arial" w:hAnsi="Arial"/>
          <w:sz w:val="18"/>
          <w:szCs w:val="18"/>
          <w:color w:val="auto"/>
        </w:rPr>
        <w:t>supplied to brokers, dealers, banks and voting trustees, or their</w:t>
      </w:r>
    </w:p>
    <w:p>
      <w:pPr>
        <w:ind w:left="120"/>
        <w:spacing w:after="0" w:line="235" w:lineRule="auto"/>
        <w:rPr>
          <w:sz w:val="20"/>
          <w:szCs w:val="20"/>
          <w:color w:val="auto"/>
        </w:rPr>
      </w:pPr>
      <w:r>
        <w:rPr>
          <w:rFonts w:ascii="Arial" w:cs="Arial" w:eastAsia="Arial" w:hAnsi="Arial"/>
          <w:sz w:val="18"/>
          <w:szCs w:val="18"/>
          <w:color w:val="auto"/>
        </w:rPr>
        <w:t>nominees, for the purpose of soliciting proxies from beneficial</w:t>
      </w:r>
    </w:p>
    <w:p>
      <w:pPr>
        <w:ind w:left="120"/>
        <w:spacing w:after="0" w:line="235" w:lineRule="auto"/>
        <w:rPr>
          <w:sz w:val="20"/>
          <w:szCs w:val="20"/>
          <w:color w:val="auto"/>
        </w:rPr>
      </w:pPr>
      <w:r>
        <w:rPr>
          <w:rFonts w:ascii="Arial" w:cs="Arial" w:eastAsia="Arial" w:hAnsi="Arial"/>
          <w:sz w:val="18"/>
          <w:szCs w:val="18"/>
          <w:color w:val="auto"/>
        </w:rPr>
        <w:t>owners, and we will reimburse such record holders for their</w:t>
      </w:r>
    </w:p>
    <w:p>
      <w:pPr>
        <w:ind w:left="120"/>
        <w:spacing w:after="0" w:line="235" w:lineRule="auto"/>
        <w:rPr>
          <w:sz w:val="20"/>
          <w:szCs w:val="20"/>
          <w:color w:val="auto"/>
        </w:rPr>
      </w:pPr>
      <w:r>
        <w:rPr>
          <w:rFonts w:ascii="Arial" w:cs="Arial" w:eastAsia="Arial" w:hAnsi="Arial"/>
          <w:sz w:val="18"/>
          <w:szCs w:val="18"/>
          <w:color w:val="auto"/>
        </w:rPr>
        <w:t>reasonable expenses. Stockholders who elect to vote through the</w:t>
      </w:r>
    </w:p>
    <w:p>
      <w:pPr>
        <w:ind w:left="120"/>
        <w:spacing w:after="0" w:line="234" w:lineRule="auto"/>
        <w:tabs>
          <w:tab w:leader="none" w:pos="920" w:val="left"/>
          <w:tab w:leader="none" w:pos="1320" w:val="left"/>
          <w:tab w:leader="none" w:pos="1720" w:val="left"/>
          <w:tab w:leader="none" w:pos="2740" w:val="left"/>
          <w:tab w:leader="none" w:pos="3320" w:val="left"/>
          <w:tab w:leader="none" w:pos="3920" w:val="left"/>
          <w:tab w:leader="none" w:pos="4580" w:val="left"/>
          <w:tab w:leader="none" w:pos="5180" w:val="left"/>
        </w:tabs>
        <w:rPr>
          <w:sz w:val="20"/>
          <w:szCs w:val="20"/>
          <w:color w:val="auto"/>
        </w:rPr>
      </w:pPr>
      <w:r>
        <w:rPr>
          <w:rFonts w:ascii="Arial" w:cs="Arial" w:eastAsia="Arial" w:hAnsi="Arial"/>
          <w:sz w:val="18"/>
          <w:szCs w:val="18"/>
          <w:color w:val="auto"/>
        </w:rPr>
        <w:t>internet</w:t>
        <w:tab/>
        <w:t>or</w:t>
        <w:tab/>
        <w:t>by</w:t>
        <w:tab/>
        <w:t>telephone</w:t>
        <w:tab/>
        <w:t>may</w:t>
        <w:tab/>
        <w:t>incur</w:t>
        <w:tab/>
        <w:t>costs</w:t>
        <w:tab/>
        <w:t>such</w:t>
        <w:tab/>
        <w:t>as</w:t>
      </w:r>
    </w:p>
    <w:p>
      <w:pPr>
        <w:ind w:left="120"/>
        <w:spacing w:after="0" w:line="235" w:lineRule="auto"/>
        <w:rPr>
          <w:sz w:val="20"/>
          <w:szCs w:val="20"/>
          <w:color w:val="auto"/>
        </w:rPr>
      </w:pPr>
      <w:r>
        <w:rPr>
          <w:rFonts w:ascii="Arial" w:cs="Arial" w:eastAsia="Arial" w:hAnsi="Arial"/>
          <w:sz w:val="18"/>
          <w:szCs w:val="18"/>
          <w:color w:val="auto"/>
        </w:rPr>
        <w:t>telecommunication and internet access charges for which the</w:t>
      </w:r>
    </w:p>
    <w:p>
      <w:pPr>
        <w:ind w:left="120"/>
        <w:spacing w:after="0" w:line="235" w:lineRule="auto"/>
        <w:rPr>
          <w:sz w:val="20"/>
          <w:szCs w:val="20"/>
          <w:color w:val="auto"/>
        </w:rPr>
      </w:pPr>
      <w:r>
        <w:rPr>
          <w:rFonts w:ascii="Arial" w:cs="Arial" w:eastAsia="Arial" w:hAnsi="Arial"/>
          <w:sz w:val="18"/>
          <w:szCs w:val="18"/>
          <w:color w:val="auto"/>
        </w:rPr>
        <w:t>stockholder is solely responsible. The telephone and internet</w:t>
      </w:r>
    </w:p>
    <w:p>
      <w:pPr>
        <w:ind w:left="120"/>
        <w:spacing w:after="0" w:line="235" w:lineRule="auto"/>
        <w:rPr>
          <w:sz w:val="20"/>
          <w:szCs w:val="20"/>
          <w:color w:val="auto"/>
        </w:rPr>
      </w:pPr>
      <w:r>
        <w:rPr>
          <w:rFonts w:ascii="Arial" w:cs="Arial" w:eastAsia="Arial" w:hAnsi="Arial"/>
          <w:sz w:val="18"/>
          <w:szCs w:val="18"/>
          <w:color w:val="auto"/>
        </w:rPr>
        <w:t>voting facilities for stockholders of record will close at 11:59 p.m.</w:t>
      </w:r>
    </w:p>
    <w:p>
      <w:pPr>
        <w:ind w:left="120"/>
        <w:spacing w:after="0" w:line="235" w:lineRule="auto"/>
        <w:rPr>
          <w:sz w:val="20"/>
          <w:szCs w:val="20"/>
          <w:color w:val="auto"/>
        </w:rPr>
      </w:pPr>
      <w:r>
        <w:rPr>
          <w:rFonts w:ascii="Arial" w:cs="Arial" w:eastAsia="Arial" w:hAnsi="Arial"/>
          <w:sz w:val="18"/>
          <w:szCs w:val="18"/>
          <w:color w:val="auto"/>
        </w:rPr>
        <w:t>Eastern Time on May 5, 2020. The Company will otherwise pay</w:t>
      </w:r>
    </w:p>
    <w:p>
      <w:pPr>
        <w:ind w:left="120"/>
        <w:spacing w:after="0"/>
        <w:rPr>
          <w:sz w:val="20"/>
          <w:szCs w:val="20"/>
          <w:color w:val="auto"/>
        </w:rPr>
      </w:pPr>
      <w:r>
        <w:rPr>
          <w:rFonts w:ascii="Arial" w:cs="Arial" w:eastAsia="Arial" w:hAnsi="Arial"/>
          <w:sz w:val="18"/>
          <w:szCs w:val="18"/>
          <w:color w:val="auto"/>
        </w:rPr>
        <w:t>the expenses of solicitation of proxies.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Householding</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one  copy  of  the  Notice  is  being  delivered  to  multiple</w:t>
      </w:r>
    </w:p>
    <w:p>
      <w:pPr>
        <w:ind w:left="120"/>
        <w:spacing w:after="0"/>
        <w:rPr>
          <w:sz w:val="20"/>
          <w:szCs w:val="20"/>
          <w:color w:val="auto"/>
        </w:rPr>
      </w:pPr>
      <w:r>
        <w:rPr>
          <w:rFonts w:ascii="Arial" w:cs="Arial" w:eastAsia="Arial" w:hAnsi="Arial"/>
          <w:sz w:val="18"/>
          <w:szCs w:val="18"/>
          <w:color w:val="auto"/>
        </w:rPr>
        <w:t>stockholders sharing an address, unless we</w:t>
      </w:r>
    </w:p>
    <w:p>
      <w:pPr>
        <w:sectPr>
          <w:pgSz w:w="11900" w:h="16838" w:orient="portrait"/>
          <w:cols w:equalWidth="0" w:num="1">
            <w:col w:w="11140"/>
          </w:cols>
          <w:pgMar w:left="320" w:top="459" w:right="439" w:bottom="1440" w:gutter="0" w:footer="0" w:header="0"/>
          <w:type w:val="continuous"/>
        </w:sectPr>
      </w:pPr>
    </w:p>
    <w:p>
      <w:pPr>
        <w:spacing w:after="0" w:line="271"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003B71"/>
        </w:rPr>
        <w:t>5</w:t>
      </w:r>
    </w:p>
    <w:p>
      <w:pPr>
        <w:sectPr>
          <w:pgSz w:w="11900" w:h="16838" w:orient="portrait"/>
          <w:cols w:equalWidth="0" w:num="2">
            <w:col w:w="10400" w:space="640"/>
            <w:col w:w="10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General Information About Corporate</w:t>
      </w:r>
    </w:p>
    <w:p>
      <w:pPr>
        <w:spacing w:after="0" w:line="10"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B71"/>
        </w:rPr>
        <w:t>General Information About Corporate Governance and the Board of Directors</w:t>
      </w:r>
    </w:p>
    <w:p>
      <w:pPr>
        <w:spacing w:after="0" w:line="22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p>
        </w:tc>
        <w:tc>
          <w:tcPr>
            <w:tcW w:w="8760" w:type="dxa"/>
            <w:vAlign w:val="bottom"/>
          </w:tcPr>
          <w:p>
            <w:pPr>
              <w:ind w:left="2360"/>
              <w:spacing w:after="0"/>
              <w:rPr>
                <w:sz w:val="20"/>
                <w:szCs w:val="20"/>
                <w:color w:val="auto"/>
              </w:rPr>
            </w:pPr>
            <w:r>
              <w:rPr>
                <w:rFonts w:ascii="Arial" w:cs="Arial" w:eastAsia="Arial" w:hAnsi="Arial"/>
                <w:sz w:val="18"/>
                <w:szCs w:val="18"/>
                <w:b w:val="1"/>
                <w:bCs w:val="1"/>
                <w:color w:val="003B71"/>
              </w:rPr>
              <w:t>BOARD PRACTICES</w:t>
            </w:r>
          </w:p>
        </w:tc>
      </w:tr>
      <w:tr>
        <w:trPr>
          <w:trHeight w:val="94"/>
        </w:trPr>
        <w:tc>
          <w:tcPr>
            <w:tcW w:w="2260" w:type="dxa"/>
            <w:vAlign w:val="bottom"/>
          </w:tcPr>
          <w:p>
            <w:pPr>
              <w:spacing w:after="0"/>
              <w:rPr>
                <w:sz w:val="8"/>
                <w:szCs w:val="8"/>
                <w:color w:val="auto"/>
              </w:rPr>
            </w:pPr>
          </w:p>
        </w:tc>
        <w:tc>
          <w:tcPr>
            <w:tcW w:w="8760" w:type="dxa"/>
            <w:vAlign w:val="bottom"/>
          </w:tcPr>
          <w:p>
            <w:pPr>
              <w:spacing w:after="0"/>
              <w:rPr>
                <w:sz w:val="8"/>
                <w:szCs w:val="8"/>
                <w:color w:val="auto"/>
              </w:rPr>
            </w:pPr>
          </w:p>
        </w:tc>
      </w:tr>
      <w:tr>
        <w:trPr>
          <w:trHeight w:val="202"/>
        </w:trPr>
        <w:tc>
          <w:tcPr>
            <w:tcW w:w="226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Independence</w:t>
            </w:r>
          </w:p>
        </w:tc>
        <w:tc>
          <w:tcPr>
            <w:tcW w:w="8760" w:type="dxa"/>
            <w:vAlign w:val="bottom"/>
            <w:shd w:val="clear" w:color="auto" w:fill="E3F3F6"/>
          </w:tcPr>
          <w:p>
            <w:pPr>
              <w:ind w:left="200"/>
              <w:spacing w:after="0" w:line="201" w:lineRule="exact"/>
              <w:rPr>
                <w:sz w:val="20"/>
                <w:szCs w:val="20"/>
                <w:color w:val="auto"/>
              </w:rPr>
            </w:pPr>
            <w:r>
              <w:rPr>
                <w:rFonts w:ascii="Arial" w:cs="Arial" w:eastAsia="Arial" w:hAnsi="Arial"/>
                <w:sz w:val="18"/>
                <w:szCs w:val="18"/>
                <w:color w:val="auto"/>
              </w:rPr>
              <w:t>A majority of our directors must be independent. All of our director nominees other than our chief</w:t>
            </w:r>
          </w:p>
        </w:tc>
      </w:tr>
      <w:tr>
        <w:trPr>
          <w:trHeight w:val="203"/>
        </w:trPr>
        <w:tc>
          <w:tcPr>
            <w:tcW w:w="2260" w:type="dxa"/>
            <w:vAlign w:val="bottom"/>
            <w:shd w:val="clear" w:color="auto" w:fill="E3F3F6"/>
          </w:tcPr>
          <w:p>
            <w:pPr>
              <w:spacing w:after="0"/>
              <w:rPr>
                <w:sz w:val="17"/>
                <w:szCs w:val="17"/>
                <w:color w:val="auto"/>
              </w:rPr>
            </w:pP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executive officer are independent, and all of the Board committees are composed exclusively of</w:t>
            </w:r>
          </w:p>
        </w:tc>
      </w:tr>
      <w:tr>
        <w:trPr>
          <w:trHeight w:val="237"/>
        </w:trPr>
        <w:tc>
          <w:tcPr>
            <w:tcW w:w="2260" w:type="dxa"/>
            <w:vAlign w:val="bottom"/>
            <w:tcBorders>
              <w:bottom w:val="single" w:sz="8" w:color="E3F3F6"/>
            </w:tcBorders>
            <w:shd w:val="clear" w:color="auto" w:fill="E3F3F6"/>
          </w:tcPr>
          <w:p>
            <w:pPr>
              <w:spacing w:after="0"/>
              <w:rPr>
                <w:sz w:val="20"/>
                <w:szCs w:val="20"/>
                <w:color w:val="auto"/>
              </w:rPr>
            </w:pPr>
          </w:p>
        </w:tc>
        <w:tc>
          <w:tcPr>
            <w:tcW w:w="8760" w:type="dxa"/>
            <w:vAlign w:val="bottom"/>
            <w:tcBorders>
              <w:bottom w:val="single" w:sz="8" w:color="E3F3F6"/>
            </w:tcBorders>
            <w:shd w:val="clear" w:color="auto" w:fill="E3F3F6"/>
          </w:tcPr>
          <w:p>
            <w:pPr>
              <w:ind w:left="200"/>
              <w:spacing w:after="0"/>
              <w:rPr>
                <w:sz w:val="20"/>
                <w:szCs w:val="20"/>
                <w:color w:val="auto"/>
              </w:rPr>
            </w:pPr>
            <w:r>
              <w:rPr>
                <w:rFonts w:ascii="Arial" w:cs="Arial" w:eastAsia="Arial" w:hAnsi="Arial"/>
                <w:sz w:val="18"/>
                <w:szCs w:val="18"/>
                <w:color w:val="auto"/>
              </w:rPr>
              <w:t>independent directors.</w:t>
            </w:r>
          </w:p>
        </w:tc>
      </w:tr>
      <w:tr>
        <w:trPr>
          <w:trHeight w:val="202"/>
        </w:trPr>
        <w:tc>
          <w:tcPr>
            <w:tcW w:w="2260" w:type="dxa"/>
            <w:vAlign w:val="bottom"/>
          </w:tcPr>
          <w:p>
            <w:pPr>
              <w:ind w:left="140"/>
              <w:spacing w:after="0" w:line="201" w:lineRule="exact"/>
              <w:rPr>
                <w:sz w:val="20"/>
                <w:szCs w:val="20"/>
                <w:color w:val="auto"/>
              </w:rPr>
            </w:pPr>
            <w:r>
              <w:rPr>
                <w:rFonts w:ascii="Arial" w:cs="Arial" w:eastAsia="Arial" w:hAnsi="Arial"/>
                <w:sz w:val="18"/>
                <w:szCs w:val="18"/>
                <w:color w:val="auto"/>
              </w:rPr>
              <w:t>Non-executive Chair</w:t>
            </w:r>
          </w:p>
        </w:tc>
        <w:tc>
          <w:tcPr>
            <w:tcW w:w="8760" w:type="dxa"/>
            <w:vAlign w:val="bottom"/>
          </w:tcPr>
          <w:p>
            <w:pPr>
              <w:ind w:left="200"/>
              <w:spacing w:after="0" w:line="201" w:lineRule="exact"/>
              <w:rPr>
                <w:sz w:val="20"/>
                <w:szCs w:val="20"/>
                <w:color w:val="auto"/>
              </w:rPr>
            </w:pPr>
            <w:r>
              <w:rPr>
                <w:rFonts w:ascii="Arial" w:cs="Arial" w:eastAsia="Arial" w:hAnsi="Arial"/>
                <w:sz w:val="18"/>
                <w:szCs w:val="18"/>
                <w:color w:val="auto"/>
              </w:rPr>
              <w:t>We currently separate the offices of chair of the Board and chief executive officer of the Company. The</w:t>
            </w:r>
          </w:p>
        </w:tc>
      </w:tr>
      <w:tr>
        <w:trPr>
          <w:trHeight w:val="217"/>
        </w:trPr>
        <w:tc>
          <w:tcPr>
            <w:tcW w:w="226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current chair of our Board, James S. Putnam, is an independent director.</w:t>
            </w:r>
          </w:p>
        </w:tc>
      </w:tr>
      <w:tr>
        <w:trPr>
          <w:trHeight w:val="41"/>
        </w:trPr>
        <w:tc>
          <w:tcPr>
            <w:tcW w:w="2260" w:type="dxa"/>
            <w:vAlign w:val="bottom"/>
          </w:tcPr>
          <w:p>
            <w:pPr>
              <w:spacing w:after="0"/>
              <w:rPr>
                <w:sz w:val="3"/>
                <w:szCs w:val="3"/>
                <w:color w:val="auto"/>
              </w:rPr>
            </w:pPr>
          </w:p>
        </w:tc>
        <w:tc>
          <w:tcPr>
            <w:tcW w:w="8760" w:type="dxa"/>
            <w:vAlign w:val="bottom"/>
          </w:tcPr>
          <w:p>
            <w:pPr>
              <w:spacing w:after="0"/>
              <w:rPr>
                <w:sz w:val="3"/>
                <w:szCs w:val="3"/>
                <w:color w:val="auto"/>
              </w:rPr>
            </w:pPr>
          </w:p>
        </w:tc>
      </w:tr>
      <w:tr>
        <w:trPr>
          <w:trHeight w:val="202"/>
        </w:trPr>
        <w:tc>
          <w:tcPr>
            <w:tcW w:w="226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Director Diversity</w:t>
            </w:r>
          </w:p>
        </w:tc>
        <w:tc>
          <w:tcPr>
            <w:tcW w:w="8760" w:type="dxa"/>
            <w:vAlign w:val="bottom"/>
            <w:shd w:val="clear" w:color="auto" w:fill="E3F3F6"/>
          </w:tcPr>
          <w:p>
            <w:pPr>
              <w:ind w:left="200"/>
              <w:spacing w:after="0" w:line="201" w:lineRule="exact"/>
              <w:rPr>
                <w:sz w:val="20"/>
                <w:szCs w:val="20"/>
                <w:color w:val="auto"/>
              </w:rPr>
            </w:pPr>
            <w:r>
              <w:rPr>
                <w:rFonts w:ascii="Arial" w:cs="Arial" w:eastAsia="Arial" w:hAnsi="Arial"/>
                <w:sz w:val="18"/>
                <w:szCs w:val="18"/>
                <w:color w:val="auto"/>
              </w:rPr>
              <w:t>Our goal is a balanced and diverse Board, with members who bring a diversity of skills, expertise,</w:t>
            </w:r>
          </w:p>
        </w:tc>
      </w:tr>
      <w:tr>
        <w:trPr>
          <w:trHeight w:val="203"/>
        </w:trPr>
        <w:tc>
          <w:tcPr>
            <w:tcW w:w="2260" w:type="dxa"/>
            <w:vAlign w:val="bottom"/>
            <w:shd w:val="clear" w:color="auto" w:fill="E3F3F6"/>
          </w:tcPr>
          <w:p>
            <w:pPr>
              <w:spacing w:after="0"/>
              <w:rPr>
                <w:sz w:val="17"/>
                <w:szCs w:val="17"/>
                <w:color w:val="auto"/>
              </w:rPr>
            </w:pP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experiences, perspectives, tenures and personal characteristics, including with respect to age, race,</w:t>
            </w:r>
          </w:p>
        </w:tc>
      </w:tr>
      <w:tr>
        <w:trPr>
          <w:trHeight w:val="237"/>
        </w:trPr>
        <w:tc>
          <w:tcPr>
            <w:tcW w:w="2260" w:type="dxa"/>
            <w:vAlign w:val="bottom"/>
            <w:tcBorders>
              <w:bottom w:val="single" w:sz="8" w:color="E3F3F6"/>
            </w:tcBorders>
            <w:shd w:val="clear" w:color="auto" w:fill="E3F3F6"/>
          </w:tcPr>
          <w:p>
            <w:pPr>
              <w:spacing w:after="0"/>
              <w:rPr>
                <w:sz w:val="20"/>
                <w:szCs w:val="20"/>
                <w:color w:val="auto"/>
              </w:rPr>
            </w:pPr>
          </w:p>
        </w:tc>
        <w:tc>
          <w:tcPr>
            <w:tcW w:w="8760" w:type="dxa"/>
            <w:vAlign w:val="bottom"/>
            <w:tcBorders>
              <w:bottom w:val="single" w:sz="8" w:color="E3F3F6"/>
            </w:tcBorders>
            <w:shd w:val="clear" w:color="auto" w:fill="E3F3F6"/>
          </w:tcPr>
          <w:p>
            <w:pPr>
              <w:ind w:left="200"/>
              <w:spacing w:after="0"/>
              <w:rPr>
                <w:sz w:val="20"/>
                <w:szCs w:val="20"/>
                <w:color w:val="auto"/>
              </w:rPr>
            </w:pPr>
            <w:r>
              <w:rPr>
                <w:rFonts w:ascii="Arial" w:cs="Arial" w:eastAsia="Arial" w:hAnsi="Arial"/>
                <w:sz w:val="18"/>
                <w:szCs w:val="18"/>
                <w:color w:val="auto"/>
              </w:rPr>
              <w:t>gender and ethnicity.</w:t>
            </w:r>
          </w:p>
        </w:tc>
      </w:tr>
      <w:tr>
        <w:trPr>
          <w:trHeight w:val="202"/>
        </w:trPr>
        <w:tc>
          <w:tcPr>
            <w:tcW w:w="2260" w:type="dxa"/>
            <w:vAlign w:val="bottom"/>
          </w:tcPr>
          <w:p>
            <w:pPr>
              <w:ind w:left="140"/>
              <w:spacing w:after="0" w:line="201" w:lineRule="exact"/>
              <w:rPr>
                <w:sz w:val="20"/>
                <w:szCs w:val="20"/>
                <w:color w:val="auto"/>
              </w:rPr>
            </w:pPr>
            <w:r>
              <w:rPr>
                <w:rFonts w:ascii="Arial" w:cs="Arial" w:eastAsia="Arial" w:hAnsi="Arial"/>
                <w:sz w:val="18"/>
                <w:szCs w:val="18"/>
                <w:color w:val="auto"/>
              </w:rPr>
              <w:t>Board Refreshment</w:t>
            </w:r>
          </w:p>
        </w:tc>
        <w:tc>
          <w:tcPr>
            <w:tcW w:w="8760" w:type="dxa"/>
            <w:vAlign w:val="bottom"/>
          </w:tcPr>
          <w:p>
            <w:pPr>
              <w:ind w:left="200"/>
              <w:spacing w:after="0" w:line="201" w:lineRule="exact"/>
              <w:rPr>
                <w:sz w:val="20"/>
                <w:szCs w:val="20"/>
                <w:color w:val="auto"/>
              </w:rPr>
            </w:pPr>
            <w:r>
              <w:rPr>
                <w:rFonts w:ascii="Arial" w:cs="Arial" w:eastAsia="Arial" w:hAnsi="Arial"/>
                <w:sz w:val="18"/>
                <w:szCs w:val="18"/>
                <w:color w:val="auto"/>
              </w:rPr>
              <w:t>Our Board’s composition represents a balanced approach to director tenure, allowing the Board to benefit</w:t>
            </w:r>
          </w:p>
        </w:tc>
      </w:tr>
      <w:tr>
        <w:trPr>
          <w:trHeight w:val="203"/>
        </w:trPr>
        <w:tc>
          <w:tcPr>
            <w:tcW w:w="226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from the experience of longer-serving directors as well as fresh perspectives from newer directors. The</w:t>
            </w:r>
          </w:p>
        </w:tc>
      </w:tr>
      <w:tr>
        <w:trPr>
          <w:trHeight w:val="203"/>
        </w:trPr>
        <w:tc>
          <w:tcPr>
            <w:tcW w:w="226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nominating and governance committee of the Board (the “Nominating and Governance Committee”) has</w:t>
            </w:r>
          </w:p>
        </w:tc>
      </w:tr>
      <w:tr>
        <w:trPr>
          <w:trHeight w:val="217"/>
        </w:trPr>
        <w:tc>
          <w:tcPr>
            <w:tcW w:w="226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developed a skills matrix to inform director searches and succession planning.</w:t>
            </w:r>
          </w:p>
        </w:tc>
      </w:tr>
      <w:tr>
        <w:trPr>
          <w:trHeight w:val="40"/>
        </w:trPr>
        <w:tc>
          <w:tcPr>
            <w:tcW w:w="2260" w:type="dxa"/>
            <w:vAlign w:val="bottom"/>
          </w:tcPr>
          <w:p>
            <w:pPr>
              <w:spacing w:after="0"/>
              <w:rPr>
                <w:sz w:val="3"/>
                <w:szCs w:val="3"/>
                <w:color w:val="auto"/>
              </w:rPr>
            </w:pPr>
          </w:p>
        </w:tc>
        <w:tc>
          <w:tcPr>
            <w:tcW w:w="8760" w:type="dxa"/>
            <w:vAlign w:val="bottom"/>
          </w:tcPr>
          <w:p>
            <w:pPr>
              <w:spacing w:after="0"/>
              <w:rPr>
                <w:sz w:val="3"/>
                <w:szCs w:val="3"/>
                <w:color w:val="auto"/>
              </w:rPr>
            </w:pPr>
          </w:p>
        </w:tc>
      </w:tr>
      <w:tr>
        <w:trPr>
          <w:trHeight w:val="202"/>
        </w:trPr>
        <w:tc>
          <w:tcPr>
            <w:tcW w:w="226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Director Overboarding</w:t>
            </w:r>
          </w:p>
        </w:tc>
        <w:tc>
          <w:tcPr>
            <w:tcW w:w="8760" w:type="dxa"/>
            <w:vAlign w:val="bottom"/>
            <w:shd w:val="clear" w:color="auto" w:fill="E3F3F6"/>
          </w:tcPr>
          <w:p>
            <w:pPr>
              <w:ind w:left="200"/>
              <w:spacing w:after="0" w:line="201" w:lineRule="exact"/>
              <w:rPr>
                <w:sz w:val="20"/>
                <w:szCs w:val="20"/>
                <w:color w:val="auto"/>
              </w:rPr>
            </w:pPr>
            <w:r>
              <w:rPr>
                <w:rFonts w:ascii="Arial" w:cs="Arial" w:eastAsia="Arial" w:hAnsi="Arial"/>
                <w:sz w:val="18"/>
                <w:szCs w:val="18"/>
                <w:color w:val="auto"/>
              </w:rPr>
              <w:t>Any director who is not serving as chief executive officer of a public company is expected to serve on no</w:t>
            </w:r>
          </w:p>
        </w:tc>
      </w:tr>
      <w:tr>
        <w:trPr>
          <w:trHeight w:val="203"/>
        </w:trPr>
        <w:tc>
          <w:tcPr>
            <w:tcW w:w="2260" w:type="dxa"/>
            <w:vAlign w:val="bottom"/>
            <w:shd w:val="clear" w:color="auto" w:fill="E3F3F6"/>
          </w:tcPr>
          <w:p>
            <w:pPr>
              <w:spacing w:after="0"/>
              <w:rPr>
                <w:sz w:val="17"/>
                <w:szCs w:val="17"/>
                <w:color w:val="auto"/>
              </w:rPr>
            </w:pP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more than four public company boards (including our Board), and any director serving as chief executive</w:t>
            </w:r>
          </w:p>
        </w:tc>
      </w:tr>
      <w:tr>
        <w:trPr>
          <w:trHeight w:val="203"/>
        </w:trPr>
        <w:tc>
          <w:tcPr>
            <w:tcW w:w="2260" w:type="dxa"/>
            <w:vAlign w:val="bottom"/>
            <w:shd w:val="clear" w:color="auto" w:fill="E3F3F6"/>
          </w:tcPr>
          <w:p>
            <w:pPr>
              <w:spacing w:after="0"/>
              <w:rPr>
                <w:sz w:val="17"/>
                <w:szCs w:val="17"/>
                <w:color w:val="auto"/>
              </w:rPr>
            </w:pP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officer of a public company is expected to serve on no more than three public company boards (including</w:t>
            </w:r>
          </w:p>
        </w:tc>
      </w:tr>
      <w:tr>
        <w:trPr>
          <w:trHeight w:val="237"/>
        </w:trPr>
        <w:tc>
          <w:tcPr>
            <w:tcW w:w="2260" w:type="dxa"/>
            <w:vAlign w:val="bottom"/>
            <w:tcBorders>
              <w:bottom w:val="single" w:sz="8" w:color="E3F3F6"/>
            </w:tcBorders>
            <w:shd w:val="clear" w:color="auto" w:fill="E3F3F6"/>
          </w:tcPr>
          <w:p>
            <w:pPr>
              <w:spacing w:after="0"/>
              <w:rPr>
                <w:sz w:val="20"/>
                <w:szCs w:val="20"/>
                <w:color w:val="auto"/>
              </w:rPr>
            </w:pPr>
          </w:p>
        </w:tc>
        <w:tc>
          <w:tcPr>
            <w:tcW w:w="8760" w:type="dxa"/>
            <w:vAlign w:val="bottom"/>
            <w:tcBorders>
              <w:bottom w:val="single" w:sz="8" w:color="E3F3F6"/>
            </w:tcBorders>
            <w:shd w:val="clear" w:color="auto" w:fill="E3F3F6"/>
          </w:tcPr>
          <w:p>
            <w:pPr>
              <w:ind w:left="200"/>
              <w:spacing w:after="0"/>
              <w:rPr>
                <w:sz w:val="20"/>
                <w:szCs w:val="20"/>
                <w:color w:val="auto"/>
              </w:rPr>
            </w:pPr>
            <w:r>
              <w:rPr>
                <w:rFonts w:ascii="Arial" w:cs="Arial" w:eastAsia="Arial" w:hAnsi="Arial"/>
                <w:sz w:val="18"/>
                <w:szCs w:val="18"/>
                <w:color w:val="auto"/>
              </w:rPr>
              <w:t>the board of his or her own company).</w:t>
            </w:r>
          </w:p>
        </w:tc>
      </w:tr>
      <w:tr>
        <w:trPr>
          <w:trHeight w:val="202"/>
        </w:trPr>
        <w:tc>
          <w:tcPr>
            <w:tcW w:w="2260" w:type="dxa"/>
            <w:vAlign w:val="bottom"/>
          </w:tcPr>
          <w:p>
            <w:pPr>
              <w:ind w:left="140"/>
              <w:spacing w:after="0" w:line="201" w:lineRule="exact"/>
              <w:rPr>
                <w:sz w:val="20"/>
                <w:szCs w:val="20"/>
                <w:color w:val="auto"/>
              </w:rPr>
            </w:pPr>
            <w:r>
              <w:rPr>
                <w:rFonts w:ascii="Arial" w:cs="Arial" w:eastAsia="Arial" w:hAnsi="Arial"/>
                <w:sz w:val="18"/>
                <w:szCs w:val="18"/>
                <w:color w:val="auto"/>
              </w:rPr>
              <w:t>Committee Membership</w:t>
            </w:r>
          </w:p>
        </w:tc>
        <w:tc>
          <w:tcPr>
            <w:tcW w:w="8760" w:type="dxa"/>
            <w:vAlign w:val="bottom"/>
          </w:tcPr>
          <w:p>
            <w:pPr>
              <w:ind w:left="200"/>
              <w:spacing w:after="0" w:line="201" w:lineRule="exact"/>
              <w:rPr>
                <w:sz w:val="20"/>
                <w:szCs w:val="20"/>
                <w:color w:val="auto"/>
              </w:rPr>
            </w:pPr>
            <w:r>
              <w:rPr>
                <w:rFonts w:ascii="Arial" w:cs="Arial" w:eastAsia="Arial" w:hAnsi="Arial"/>
                <w:sz w:val="18"/>
                <w:szCs w:val="18"/>
                <w:color w:val="auto"/>
              </w:rPr>
              <w:t>The Board appoints members of its committees on an annual basis, with the Nominating and Governance</w:t>
            </w:r>
          </w:p>
        </w:tc>
      </w:tr>
      <w:tr>
        <w:trPr>
          <w:trHeight w:val="203"/>
        </w:trPr>
        <w:tc>
          <w:tcPr>
            <w:tcW w:w="226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Committee reviewing and recommending committee membership based in part on the need to ensure a</w:t>
            </w:r>
          </w:p>
        </w:tc>
      </w:tr>
      <w:tr>
        <w:trPr>
          <w:trHeight w:val="217"/>
        </w:trPr>
        <w:tc>
          <w:tcPr>
            <w:tcW w:w="226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succession plan for each committee chair.</w:t>
            </w:r>
          </w:p>
        </w:tc>
      </w:tr>
      <w:tr>
        <w:trPr>
          <w:trHeight w:val="40"/>
        </w:trPr>
        <w:tc>
          <w:tcPr>
            <w:tcW w:w="2260" w:type="dxa"/>
            <w:vAlign w:val="bottom"/>
          </w:tcPr>
          <w:p>
            <w:pPr>
              <w:spacing w:after="0"/>
              <w:rPr>
                <w:sz w:val="3"/>
                <w:szCs w:val="3"/>
                <w:color w:val="auto"/>
              </w:rPr>
            </w:pPr>
          </w:p>
        </w:tc>
        <w:tc>
          <w:tcPr>
            <w:tcW w:w="8760" w:type="dxa"/>
            <w:vAlign w:val="bottom"/>
          </w:tcPr>
          <w:p>
            <w:pPr>
              <w:spacing w:after="0"/>
              <w:rPr>
                <w:sz w:val="3"/>
                <w:szCs w:val="3"/>
                <w:color w:val="auto"/>
              </w:rPr>
            </w:pPr>
          </w:p>
        </w:tc>
      </w:tr>
      <w:tr>
        <w:trPr>
          <w:trHeight w:val="202"/>
        </w:trPr>
        <w:tc>
          <w:tcPr>
            <w:tcW w:w="226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Board Self-evaluations</w:t>
            </w:r>
          </w:p>
        </w:tc>
        <w:tc>
          <w:tcPr>
            <w:tcW w:w="8760" w:type="dxa"/>
            <w:vAlign w:val="bottom"/>
            <w:shd w:val="clear" w:color="auto" w:fill="E3F3F6"/>
          </w:tcPr>
          <w:p>
            <w:pPr>
              <w:ind w:left="200"/>
              <w:spacing w:after="0" w:line="201" w:lineRule="exact"/>
              <w:rPr>
                <w:sz w:val="20"/>
                <w:szCs w:val="20"/>
                <w:color w:val="auto"/>
              </w:rPr>
            </w:pPr>
            <w:r>
              <w:rPr>
                <w:rFonts w:ascii="Arial" w:cs="Arial" w:eastAsia="Arial" w:hAnsi="Arial"/>
                <w:sz w:val="18"/>
                <w:szCs w:val="18"/>
                <w:color w:val="auto"/>
              </w:rPr>
              <w:t>The Board conducts an annual evaluation of its performance, operations, size and composition, with the</w:t>
            </w:r>
          </w:p>
        </w:tc>
      </w:tr>
      <w:tr>
        <w:trPr>
          <w:trHeight w:val="202"/>
        </w:trPr>
        <w:tc>
          <w:tcPr>
            <w:tcW w:w="2260" w:type="dxa"/>
            <w:vAlign w:val="bottom"/>
            <w:shd w:val="clear" w:color="auto" w:fill="E3F3F6"/>
          </w:tcPr>
          <w:p>
            <w:pPr>
              <w:spacing w:after="0"/>
              <w:rPr>
                <w:sz w:val="17"/>
                <w:szCs w:val="17"/>
                <w:color w:val="auto"/>
              </w:rPr>
            </w:pP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Nominating and Governance Committee overseeing the evaluation process, which also encompasses the</w:t>
            </w:r>
          </w:p>
        </w:tc>
      </w:tr>
      <w:tr>
        <w:trPr>
          <w:trHeight w:val="237"/>
        </w:trPr>
        <w:tc>
          <w:tcPr>
            <w:tcW w:w="2260" w:type="dxa"/>
            <w:vAlign w:val="bottom"/>
            <w:tcBorders>
              <w:bottom w:val="single" w:sz="8" w:color="E3F3F6"/>
            </w:tcBorders>
            <w:shd w:val="clear" w:color="auto" w:fill="E3F3F6"/>
          </w:tcPr>
          <w:p>
            <w:pPr>
              <w:spacing w:after="0"/>
              <w:rPr>
                <w:sz w:val="20"/>
                <w:szCs w:val="20"/>
                <w:color w:val="auto"/>
              </w:rPr>
            </w:pPr>
          </w:p>
        </w:tc>
        <w:tc>
          <w:tcPr>
            <w:tcW w:w="8760" w:type="dxa"/>
            <w:vAlign w:val="bottom"/>
            <w:tcBorders>
              <w:bottom w:val="single" w:sz="8" w:color="E3F3F6"/>
            </w:tcBorders>
            <w:shd w:val="clear" w:color="auto" w:fill="E3F3F6"/>
          </w:tcPr>
          <w:p>
            <w:pPr>
              <w:ind w:left="200"/>
              <w:spacing w:after="0"/>
              <w:rPr>
                <w:sz w:val="20"/>
                <w:szCs w:val="20"/>
                <w:color w:val="auto"/>
              </w:rPr>
            </w:pPr>
            <w:r>
              <w:rPr>
                <w:rFonts w:ascii="Arial" w:cs="Arial" w:eastAsia="Arial" w:hAnsi="Arial"/>
                <w:sz w:val="18"/>
                <w:szCs w:val="18"/>
                <w:color w:val="auto"/>
              </w:rPr>
              <w:t>Board’s committees.</w:t>
            </w:r>
          </w:p>
        </w:tc>
      </w:tr>
      <w:tr>
        <w:trPr>
          <w:trHeight w:val="202"/>
        </w:trPr>
        <w:tc>
          <w:tcPr>
            <w:tcW w:w="2260" w:type="dxa"/>
            <w:vAlign w:val="bottom"/>
          </w:tcPr>
          <w:p>
            <w:pPr>
              <w:ind w:left="140"/>
              <w:spacing w:after="0" w:line="201" w:lineRule="exact"/>
              <w:rPr>
                <w:sz w:val="20"/>
                <w:szCs w:val="20"/>
                <w:color w:val="auto"/>
              </w:rPr>
            </w:pPr>
            <w:r>
              <w:rPr>
                <w:rFonts w:ascii="Arial" w:cs="Arial" w:eastAsia="Arial" w:hAnsi="Arial"/>
                <w:sz w:val="18"/>
                <w:szCs w:val="18"/>
                <w:color w:val="auto"/>
              </w:rPr>
              <w:t>Strategy Oversight</w:t>
            </w:r>
          </w:p>
        </w:tc>
        <w:tc>
          <w:tcPr>
            <w:tcW w:w="8760" w:type="dxa"/>
            <w:vAlign w:val="bottom"/>
          </w:tcPr>
          <w:p>
            <w:pPr>
              <w:ind w:left="200"/>
              <w:spacing w:after="0" w:line="201" w:lineRule="exact"/>
              <w:rPr>
                <w:sz w:val="20"/>
                <w:szCs w:val="20"/>
                <w:color w:val="auto"/>
              </w:rPr>
            </w:pPr>
            <w:r>
              <w:rPr>
                <w:rFonts w:ascii="Arial" w:cs="Arial" w:eastAsia="Arial" w:hAnsi="Arial"/>
                <w:sz w:val="18"/>
                <w:szCs w:val="18"/>
                <w:color w:val="auto"/>
              </w:rPr>
              <w:t>The Board holds an annual two-day session focused on the Company’s long-term strategy, which informs</w:t>
            </w:r>
          </w:p>
        </w:tc>
      </w:tr>
      <w:tr>
        <w:trPr>
          <w:trHeight w:val="217"/>
        </w:trPr>
        <w:tc>
          <w:tcPr>
            <w:tcW w:w="226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the Board’s oversight and work plan for the following year.</w:t>
            </w:r>
          </w:p>
        </w:tc>
      </w:tr>
      <w:tr>
        <w:trPr>
          <w:trHeight w:val="40"/>
        </w:trPr>
        <w:tc>
          <w:tcPr>
            <w:tcW w:w="2260" w:type="dxa"/>
            <w:vAlign w:val="bottom"/>
          </w:tcPr>
          <w:p>
            <w:pPr>
              <w:spacing w:after="0"/>
              <w:rPr>
                <w:sz w:val="3"/>
                <w:szCs w:val="3"/>
                <w:color w:val="auto"/>
              </w:rPr>
            </w:pPr>
          </w:p>
        </w:tc>
        <w:tc>
          <w:tcPr>
            <w:tcW w:w="8760" w:type="dxa"/>
            <w:vAlign w:val="bottom"/>
          </w:tcPr>
          <w:p>
            <w:pPr>
              <w:spacing w:after="0"/>
              <w:rPr>
                <w:sz w:val="3"/>
                <w:szCs w:val="3"/>
                <w:color w:val="auto"/>
              </w:rPr>
            </w:pPr>
          </w:p>
        </w:tc>
      </w:tr>
      <w:tr>
        <w:trPr>
          <w:trHeight w:val="202"/>
        </w:trPr>
        <w:tc>
          <w:tcPr>
            <w:tcW w:w="226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Executive Succession</w:t>
            </w:r>
          </w:p>
        </w:tc>
        <w:tc>
          <w:tcPr>
            <w:tcW w:w="8760" w:type="dxa"/>
            <w:vAlign w:val="bottom"/>
            <w:shd w:val="clear" w:color="auto" w:fill="E3F3F6"/>
          </w:tcPr>
          <w:p>
            <w:pPr>
              <w:ind w:left="200"/>
              <w:spacing w:after="0" w:line="201" w:lineRule="exact"/>
              <w:rPr>
                <w:sz w:val="20"/>
                <w:szCs w:val="20"/>
                <w:color w:val="auto"/>
              </w:rPr>
            </w:pPr>
            <w:r>
              <w:rPr>
                <w:rFonts w:ascii="Arial" w:cs="Arial" w:eastAsia="Arial" w:hAnsi="Arial"/>
                <w:sz w:val="18"/>
                <w:szCs w:val="18"/>
                <w:color w:val="auto"/>
              </w:rPr>
              <w:t>The  Compensation  Committee  conducts  regular  reviews  of  executive  talent,  development  and</w:t>
            </w:r>
          </w:p>
        </w:tc>
      </w:tr>
      <w:tr>
        <w:trPr>
          <w:trHeight w:val="202"/>
        </w:trPr>
        <w:tc>
          <w:tcPr>
            <w:tcW w:w="2260" w:type="dxa"/>
            <w:vAlign w:val="bottom"/>
            <w:shd w:val="clear" w:color="auto" w:fill="E3F3F6"/>
          </w:tcPr>
          <w:p>
            <w:pPr>
              <w:ind w:left="140"/>
              <w:spacing w:after="0" w:line="202" w:lineRule="exact"/>
              <w:rPr>
                <w:sz w:val="20"/>
                <w:szCs w:val="20"/>
                <w:color w:val="auto"/>
              </w:rPr>
            </w:pPr>
            <w:r>
              <w:rPr>
                <w:rFonts w:ascii="Arial" w:cs="Arial" w:eastAsia="Arial" w:hAnsi="Arial"/>
                <w:sz w:val="18"/>
                <w:szCs w:val="18"/>
                <w:color w:val="auto"/>
              </w:rPr>
              <w:t>Planning</w:t>
            </w:r>
          </w:p>
        </w:tc>
        <w:tc>
          <w:tcPr>
            <w:tcW w:w="8760" w:type="dxa"/>
            <w:vAlign w:val="bottom"/>
            <w:shd w:val="clear" w:color="auto" w:fill="E3F3F6"/>
          </w:tcPr>
          <w:p>
            <w:pPr>
              <w:ind w:left="200"/>
              <w:spacing w:after="0" w:line="202" w:lineRule="exact"/>
              <w:rPr>
                <w:sz w:val="20"/>
                <w:szCs w:val="20"/>
                <w:color w:val="auto"/>
              </w:rPr>
            </w:pPr>
            <w:r>
              <w:rPr>
                <w:rFonts w:ascii="Arial" w:cs="Arial" w:eastAsia="Arial" w:hAnsi="Arial"/>
                <w:sz w:val="18"/>
                <w:szCs w:val="18"/>
                <w:color w:val="auto"/>
              </w:rPr>
              <w:t>succession planning, and our Board reviews the succession plans for the chief executive officer position</w:t>
            </w:r>
          </w:p>
        </w:tc>
      </w:tr>
      <w:tr>
        <w:trPr>
          <w:trHeight w:val="217"/>
        </w:trPr>
        <w:tc>
          <w:tcPr>
            <w:tcW w:w="2260" w:type="dxa"/>
            <w:vAlign w:val="bottom"/>
            <w:shd w:val="clear" w:color="auto" w:fill="E3F3F6"/>
          </w:tcPr>
          <w:p>
            <w:pPr>
              <w:spacing w:after="0"/>
              <w:rPr>
                <w:sz w:val="18"/>
                <w:szCs w:val="18"/>
                <w:color w:val="auto"/>
              </w:rPr>
            </w:pPr>
          </w:p>
        </w:tc>
        <w:tc>
          <w:tcPr>
            <w:tcW w:w="8760" w:type="dxa"/>
            <w:vAlign w:val="bottom"/>
            <w:shd w:val="clear" w:color="auto" w:fill="E3F3F6"/>
          </w:tcPr>
          <w:p>
            <w:pPr>
              <w:ind w:left="200"/>
              <w:spacing w:after="0"/>
              <w:rPr>
                <w:sz w:val="20"/>
                <w:szCs w:val="20"/>
                <w:color w:val="auto"/>
              </w:rPr>
            </w:pPr>
            <w:r>
              <w:rPr>
                <w:rFonts w:ascii="Arial" w:cs="Arial" w:eastAsia="Arial" w:hAnsi="Arial"/>
                <w:sz w:val="18"/>
                <w:szCs w:val="18"/>
                <w:color w:val="auto"/>
              </w:rPr>
              <w:t>annually.</w:t>
            </w:r>
          </w:p>
        </w:tc>
      </w:tr>
      <w:tr>
        <w:trPr>
          <w:trHeight w:val="40"/>
        </w:trPr>
        <w:tc>
          <w:tcPr>
            <w:tcW w:w="2260" w:type="dxa"/>
            <w:vAlign w:val="bottom"/>
            <w:shd w:val="clear" w:color="auto" w:fill="E3F3F6"/>
          </w:tcPr>
          <w:p>
            <w:pPr>
              <w:spacing w:after="0"/>
              <w:rPr>
                <w:sz w:val="3"/>
                <w:szCs w:val="3"/>
                <w:color w:val="auto"/>
              </w:rPr>
            </w:pPr>
          </w:p>
        </w:tc>
        <w:tc>
          <w:tcPr>
            <w:tcW w:w="8760" w:type="dxa"/>
            <w:vAlign w:val="bottom"/>
            <w:shd w:val="clear" w:color="auto" w:fill="E3F3F6"/>
          </w:tcPr>
          <w:p>
            <w:pPr>
              <w:spacing w:after="0"/>
              <w:rPr>
                <w:sz w:val="3"/>
                <w:szCs w:val="3"/>
                <w:color w:val="auto"/>
              </w:rPr>
            </w:pP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280" w:type="dxa"/>
            <w:vAlign w:val="bottom"/>
          </w:tcPr>
          <w:p>
            <w:pPr>
              <w:spacing w:after="0"/>
              <w:rPr>
                <w:sz w:val="20"/>
                <w:szCs w:val="20"/>
                <w:color w:val="auto"/>
              </w:rPr>
            </w:pPr>
          </w:p>
        </w:tc>
        <w:tc>
          <w:tcPr>
            <w:tcW w:w="8740" w:type="dxa"/>
            <w:vAlign w:val="bottom"/>
          </w:tcPr>
          <w:p>
            <w:pPr>
              <w:ind w:left="2160"/>
              <w:spacing w:after="0"/>
              <w:rPr>
                <w:sz w:val="20"/>
                <w:szCs w:val="20"/>
                <w:color w:val="auto"/>
              </w:rPr>
            </w:pPr>
            <w:r>
              <w:rPr>
                <w:rFonts w:ascii="Arial" w:cs="Arial" w:eastAsia="Arial" w:hAnsi="Arial"/>
                <w:sz w:val="18"/>
                <w:szCs w:val="18"/>
                <w:b w:val="1"/>
                <w:bCs w:val="1"/>
                <w:color w:val="003B71"/>
              </w:rPr>
              <w:t>STOCKHOLDER RIGHTS</w:t>
            </w:r>
          </w:p>
        </w:tc>
      </w:tr>
      <w:tr>
        <w:trPr>
          <w:trHeight w:val="94"/>
        </w:trPr>
        <w:tc>
          <w:tcPr>
            <w:tcW w:w="2280" w:type="dxa"/>
            <w:vAlign w:val="bottom"/>
          </w:tcPr>
          <w:p>
            <w:pPr>
              <w:spacing w:after="0"/>
              <w:rPr>
                <w:sz w:val="8"/>
                <w:szCs w:val="8"/>
                <w:color w:val="auto"/>
              </w:rPr>
            </w:pPr>
          </w:p>
        </w:tc>
        <w:tc>
          <w:tcPr>
            <w:tcW w:w="8740" w:type="dxa"/>
            <w:vAlign w:val="bottom"/>
          </w:tcPr>
          <w:p>
            <w:pPr>
              <w:spacing w:after="0"/>
              <w:rPr>
                <w:sz w:val="8"/>
                <w:szCs w:val="8"/>
                <w:color w:val="auto"/>
              </w:rPr>
            </w:pPr>
          </w:p>
        </w:tc>
      </w:tr>
      <w:tr>
        <w:trPr>
          <w:trHeight w:val="202"/>
        </w:trPr>
        <w:tc>
          <w:tcPr>
            <w:tcW w:w="2280" w:type="dxa"/>
            <w:vAlign w:val="bottom"/>
            <w:shd w:val="clear" w:color="auto" w:fill="E3F3F6"/>
          </w:tcPr>
          <w:p>
            <w:pPr>
              <w:ind w:left="140"/>
              <w:spacing w:after="0" w:line="201" w:lineRule="exact"/>
              <w:rPr>
                <w:sz w:val="20"/>
                <w:szCs w:val="20"/>
                <w:color w:val="auto"/>
              </w:rPr>
            </w:pPr>
            <w:r>
              <w:rPr>
                <w:rFonts w:ascii="Arial" w:cs="Arial" w:eastAsia="Arial" w:hAnsi="Arial"/>
                <w:sz w:val="18"/>
                <w:szCs w:val="18"/>
                <w:color w:val="auto"/>
              </w:rPr>
              <w:t>Annual Election of</w:t>
            </w:r>
          </w:p>
        </w:tc>
        <w:tc>
          <w:tcPr>
            <w:tcW w:w="8740" w:type="dxa"/>
            <w:vAlign w:val="bottom"/>
            <w:shd w:val="clear" w:color="auto" w:fill="E3F3F6"/>
          </w:tcPr>
          <w:p>
            <w:pPr>
              <w:spacing w:after="0"/>
              <w:rPr>
                <w:sz w:val="17"/>
                <w:szCs w:val="17"/>
                <w:color w:val="auto"/>
              </w:rPr>
            </w:pPr>
          </w:p>
        </w:tc>
      </w:tr>
      <w:tr>
        <w:trPr>
          <w:trHeight w:val="237"/>
        </w:trPr>
        <w:tc>
          <w:tcPr>
            <w:tcW w:w="2280" w:type="dxa"/>
            <w:vAlign w:val="bottom"/>
            <w:tcBorders>
              <w:bottom w:val="single" w:sz="8" w:color="E3F3F6"/>
            </w:tcBorders>
            <w:shd w:val="clear" w:color="auto" w:fill="E3F3F6"/>
          </w:tcPr>
          <w:p>
            <w:pPr>
              <w:ind w:left="140"/>
              <w:spacing w:after="0"/>
              <w:rPr>
                <w:sz w:val="20"/>
                <w:szCs w:val="20"/>
                <w:color w:val="auto"/>
              </w:rPr>
            </w:pPr>
            <w:r>
              <w:rPr>
                <w:rFonts w:ascii="Arial" w:cs="Arial" w:eastAsia="Arial" w:hAnsi="Arial"/>
                <w:sz w:val="18"/>
                <w:szCs w:val="18"/>
                <w:color w:val="auto"/>
              </w:rPr>
              <w:t>Directors</w:t>
            </w:r>
          </w:p>
        </w:tc>
        <w:tc>
          <w:tcPr>
            <w:tcW w:w="874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8"/>
                <w:szCs w:val="18"/>
                <w:color w:val="auto"/>
              </w:rPr>
              <w:t>All directors are elected annually, which reinforces our Board’s accountability to our stockholders.</w:t>
            </w:r>
          </w:p>
        </w:tc>
      </w:tr>
      <w:tr>
        <w:trPr>
          <w:trHeight w:val="202"/>
        </w:trPr>
        <w:tc>
          <w:tcPr>
            <w:tcW w:w="2280" w:type="dxa"/>
            <w:vAlign w:val="bottom"/>
          </w:tcPr>
          <w:p>
            <w:pPr>
              <w:ind w:left="140"/>
              <w:spacing w:after="0" w:line="201" w:lineRule="exact"/>
              <w:rPr>
                <w:sz w:val="20"/>
                <w:szCs w:val="20"/>
                <w:color w:val="auto"/>
              </w:rPr>
            </w:pPr>
            <w:r>
              <w:rPr>
                <w:rFonts w:ascii="Arial" w:cs="Arial" w:eastAsia="Arial" w:hAnsi="Arial"/>
                <w:sz w:val="18"/>
                <w:szCs w:val="18"/>
                <w:color w:val="auto"/>
              </w:rPr>
              <w:t>Majority Voting Standard</w:t>
            </w:r>
          </w:p>
        </w:tc>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Our bylaws require that directors be elected under a “majority voting” standard in uncontested elections.</w:t>
            </w:r>
          </w:p>
        </w:tc>
      </w:tr>
      <w:tr>
        <w:trPr>
          <w:trHeight w:val="203"/>
        </w:trPr>
        <w:tc>
          <w:tcPr>
            <w:tcW w:w="2280" w:type="dxa"/>
            <w:vAlign w:val="bottom"/>
          </w:tcPr>
          <w:p>
            <w:pPr>
              <w:ind w:left="140"/>
              <w:spacing w:after="0" w:line="202" w:lineRule="exact"/>
              <w:rPr>
                <w:sz w:val="20"/>
                <w:szCs w:val="20"/>
                <w:color w:val="auto"/>
              </w:rPr>
            </w:pPr>
            <w:r>
              <w:rPr>
                <w:rFonts w:ascii="Arial" w:cs="Arial" w:eastAsia="Arial" w:hAnsi="Arial"/>
                <w:sz w:val="18"/>
                <w:szCs w:val="18"/>
                <w:color w:val="auto"/>
              </w:rPr>
              <w:t>for</w:t>
            </w:r>
          </w:p>
        </w:tc>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Any director who does not receive more votes “for” his or her election than votes “against” must tender</w:t>
            </w: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Director Elections</w:t>
            </w:r>
          </w:p>
        </w:tc>
        <w:tc>
          <w:tcPr>
            <w:tcW w:w="8740" w:type="dxa"/>
            <w:vAlign w:val="bottom"/>
          </w:tcPr>
          <w:p>
            <w:pPr>
              <w:ind w:left="180"/>
              <w:spacing w:after="0"/>
              <w:rPr>
                <w:sz w:val="20"/>
                <w:szCs w:val="20"/>
                <w:color w:val="auto"/>
              </w:rPr>
            </w:pPr>
            <w:r>
              <w:rPr>
                <w:rFonts w:ascii="Arial" w:cs="Arial" w:eastAsia="Arial" w:hAnsi="Arial"/>
                <w:sz w:val="18"/>
                <w:szCs w:val="18"/>
                <w:color w:val="auto"/>
              </w:rPr>
              <w:t>his or her resignation and, if our Board accepts the resignation, step down from our Board.</w:t>
            </w:r>
          </w:p>
        </w:tc>
      </w:tr>
      <w:tr>
        <w:trPr>
          <w:trHeight w:val="40"/>
        </w:trPr>
        <w:tc>
          <w:tcPr>
            <w:tcW w:w="2280" w:type="dxa"/>
            <w:vAlign w:val="bottom"/>
          </w:tcPr>
          <w:p>
            <w:pPr>
              <w:spacing w:after="0"/>
              <w:rPr>
                <w:sz w:val="3"/>
                <w:szCs w:val="3"/>
                <w:color w:val="auto"/>
              </w:rPr>
            </w:pPr>
          </w:p>
        </w:tc>
        <w:tc>
          <w:tcPr>
            <w:tcW w:w="8740" w:type="dxa"/>
            <w:vAlign w:val="bottom"/>
          </w:tcPr>
          <w:p>
            <w:pPr>
              <w:spacing w:after="0"/>
              <w:rPr>
                <w:sz w:val="3"/>
                <w:szCs w:val="3"/>
                <w:color w:val="auto"/>
              </w:rPr>
            </w:pPr>
          </w:p>
        </w:tc>
      </w:tr>
      <w:tr>
        <w:trPr>
          <w:trHeight w:val="217"/>
        </w:trPr>
        <w:tc>
          <w:tcPr>
            <w:tcW w:w="2280" w:type="dxa"/>
            <w:vAlign w:val="bottom"/>
            <w:shd w:val="clear" w:color="auto" w:fill="E3F3F6"/>
          </w:tcPr>
          <w:p>
            <w:pPr>
              <w:ind w:left="140"/>
              <w:spacing w:after="0"/>
              <w:rPr>
                <w:sz w:val="20"/>
                <w:szCs w:val="20"/>
                <w:color w:val="auto"/>
              </w:rPr>
            </w:pPr>
            <w:r>
              <w:rPr>
                <w:rFonts w:ascii="Arial" w:cs="Arial" w:eastAsia="Arial" w:hAnsi="Arial"/>
                <w:sz w:val="18"/>
                <w:szCs w:val="18"/>
                <w:color w:val="auto"/>
              </w:rPr>
              <w:t>Single Voting Class</w:t>
            </w:r>
          </w:p>
        </w:tc>
        <w:tc>
          <w:tcPr>
            <w:tcW w:w="8740" w:type="dxa"/>
            <w:vAlign w:val="bottom"/>
            <w:shd w:val="clear" w:color="auto" w:fill="E3F3F6"/>
          </w:tcPr>
          <w:p>
            <w:pPr>
              <w:ind w:left="180"/>
              <w:spacing w:after="0"/>
              <w:rPr>
                <w:sz w:val="20"/>
                <w:szCs w:val="20"/>
                <w:color w:val="auto"/>
              </w:rPr>
            </w:pPr>
            <w:r>
              <w:rPr>
                <w:rFonts w:ascii="Arial" w:cs="Arial" w:eastAsia="Arial" w:hAnsi="Arial"/>
                <w:sz w:val="18"/>
                <w:szCs w:val="18"/>
                <w:color w:val="auto"/>
              </w:rPr>
              <w:t>Our Common Stock is the only class of voting shares outstanding.</w:t>
            </w:r>
          </w:p>
        </w:tc>
      </w:tr>
      <w:tr>
        <w:trPr>
          <w:trHeight w:val="40"/>
        </w:trPr>
        <w:tc>
          <w:tcPr>
            <w:tcW w:w="2280" w:type="dxa"/>
            <w:vAlign w:val="bottom"/>
            <w:shd w:val="clear" w:color="auto" w:fill="E3F3F6"/>
          </w:tcPr>
          <w:p>
            <w:pPr>
              <w:spacing w:after="0"/>
              <w:rPr>
                <w:sz w:val="3"/>
                <w:szCs w:val="3"/>
                <w:color w:val="auto"/>
              </w:rPr>
            </w:pPr>
          </w:p>
        </w:tc>
        <w:tc>
          <w:tcPr>
            <w:tcW w:w="8740" w:type="dxa"/>
            <w:vAlign w:val="bottom"/>
            <w:shd w:val="clear" w:color="auto" w:fill="E3F3F6"/>
          </w:tcPr>
          <w:p>
            <w:pPr>
              <w:spacing w:after="0"/>
              <w:rPr>
                <w:sz w:val="3"/>
                <w:szCs w:val="3"/>
                <w:color w:val="auto"/>
              </w:rPr>
            </w:pPr>
          </w:p>
        </w:tc>
      </w:tr>
    </w:tbl>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COMPENSATION PRACTICES</w:t>
      </w:r>
    </w:p>
    <w:p>
      <w:pPr>
        <w:spacing w:after="0" w:line="108" w:lineRule="exact"/>
        <w:rPr>
          <w:sz w:val="20"/>
          <w:szCs w:val="20"/>
          <w:color w:val="auto"/>
        </w:rPr>
      </w:pPr>
    </w:p>
    <w:p>
      <w:pPr>
        <w:ind w:left="260"/>
        <w:spacing w:after="0"/>
        <w:tabs>
          <w:tab w:leader="none" w:pos="2560" w:val="left"/>
        </w:tabs>
        <w:rPr>
          <w:sz w:val="20"/>
          <w:szCs w:val="20"/>
          <w:color w:val="auto"/>
        </w:rPr>
      </w:pPr>
      <w:r>
        <w:rPr>
          <w:rFonts w:ascii="Arial" w:cs="Arial" w:eastAsia="Arial" w:hAnsi="Arial"/>
          <w:sz w:val="18"/>
          <w:szCs w:val="18"/>
          <w:color w:val="auto"/>
        </w:rPr>
        <w:t>Follow Leading Practices</w:t>
      </w:r>
      <w:r>
        <w:rPr>
          <w:sz w:val="20"/>
          <w:szCs w:val="20"/>
          <w:color w:val="auto"/>
        </w:rPr>
        <w:tab/>
      </w:r>
      <w:r>
        <w:rPr>
          <w:rFonts w:ascii="Arial" w:cs="Arial" w:eastAsia="Arial" w:hAnsi="Arial"/>
          <w:sz w:val="17"/>
          <w:szCs w:val="17"/>
          <w:color w:val="auto"/>
        </w:rPr>
        <w:t>See “</w:t>
      </w:r>
      <w:r>
        <w:rPr>
          <w:rFonts w:ascii="Arial" w:cs="Arial" w:eastAsia="Arial" w:hAnsi="Arial"/>
          <w:sz w:val="17"/>
          <w:szCs w:val="17"/>
          <w:i w:val="1"/>
          <w:iCs w:val="1"/>
          <w:color w:val="auto"/>
        </w:rPr>
        <w:t>Compensation Discussion and Analysis—Compensation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-123190</wp:posOffset>
            </wp:positionV>
            <wp:extent cx="825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360" w:space="500"/>
            <w:col w:w="10280"/>
          </w:cols>
          <w:pgMar w:left="32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Proposal 1: Election of Directors</w:t>
      </w:r>
    </w:p>
    <w:p>
      <w:pPr>
        <w:sectPr>
          <w:pgSz w:w="11900" w:h="16838" w:orient="portrait"/>
          <w:cols w:equalWidth="0" w:num="1">
            <w:col w:w="11140"/>
          </w:cols>
          <w:pgMar w:left="320" w:top="459" w:right="439" w:bottom="1440" w:gutter="0" w:footer="0" w:header="0"/>
        </w:sectPr>
      </w:pPr>
    </w:p>
    <w:p>
      <w:pPr>
        <w:spacing w:after="0" w:line="31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Nine director nominees are standing for election at the Annual Meeting, each of whom has been nominated by our Board based on the recommendation of the Nominating and Governance Committee. Each director nominee would hold office until our annual meeting of stockholders in 2021 and until his or her respective successor has been elected.</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As of March 23, 2020, our Board of Directors consisted of nine directors: eight independent directors and our chief executive officer, Dan H. Arnold. One of our current independent directors, James R. Riepe, requested that the Board not nominate him to stand for reelection upon expiration of his current term at the Annual Meeting.</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Based on the recommendation of our Nominating and Governance Committee, our Board has selected Edward C. Bernard as a new director nominee to stand for election at the Annual Meeting.</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As described below, each of our nominees has considerable professional and business expertise. Our Board of Directors recommends a vote “FOR” each nominee based on its carefully considered judgment that the experience, qualifications, attributes and skills of each nominee qualify him or her to serve on our Board of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Board Membership Criteria</w:t>
      </w:r>
    </w:p>
    <w:p>
      <w:pPr>
        <w:spacing w:after="0" w:line="22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Nominating and Governance Committee reviews the appropriate skills and characteristics required of directors in the context of the current make-up of the Board. As reflected in the corporate governance guidelines applicable to the Company (the “Corporate Governance Guidelines”), it is the policy of the Board that all directors should:</w:t>
      </w:r>
    </w:p>
    <w:p>
      <w:pPr>
        <w:spacing w:after="0" w:line="110" w:lineRule="exact"/>
        <w:rPr>
          <w:sz w:val="20"/>
          <w:szCs w:val="20"/>
          <w:color w:val="auto"/>
        </w:rPr>
      </w:pPr>
    </w:p>
    <w:p>
      <w:pPr>
        <w:jc w:val="both"/>
        <w:ind w:left="820" w:right="20" w:hanging="38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possess unimpeachable integrity and a personal reputation for transparency, honesty and ethical behavior;</w:t>
      </w:r>
    </w:p>
    <w:p>
      <w:pPr>
        <w:spacing w:after="0" w:line="108" w:lineRule="exact"/>
        <w:rPr>
          <w:rFonts w:ascii="Arial" w:cs="Arial" w:eastAsia="Arial" w:hAnsi="Arial"/>
          <w:sz w:val="18"/>
          <w:szCs w:val="18"/>
          <w:color w:val="auto"/>
        </w:rPr>
      </w:pPr>
    </w:p>
    <w:p>
      <w:pPr>
        <w:ind w:left="820" w:hanging="380"/>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considerable personal accomplishment and professional expertise;</w:t>
      </w:r>
    </w:p>
    <w:p>
      <w:pPr>
        <w:spacing w:after="0" w:line="102"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 strong business acumen, financial literacy and strategic agility;</w:t>
      </w:r>
    </w:p>
    <w:p>
      <w:pPr>
        <w:spacing w:after="0" w:line="102" w:lineRule="exact"/>
        <w:rPr>
          <w:rFonts w:ascii="Arial" w:cs="Arial" w:eastAsia="Arial" w:hAnsi="Arial"/>
          <w:sz w:val="18"/>
          <w:szCs w:val="18"/>
          <w:color w:val="auto"/>
        </w:rPr>
      </w:pPr>
    </w:p>
    <w:p>
      <w:pPr>
        <w:jc w:val="both"/>
        <w:ind w:left="820" w:right="20" w:hanging="38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contribute to boardroom dialogue through critical thinking and independent judgment, and candid and constructive communication;</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both"/>
        <w:ind w:left="700" w:right="20" w:hanging="38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passionate about the vision of the Company and enthusiastic about the commitments entailed in serving as a director; and</w:t>
      </w:r>
    </w:p>
    <w:p>
      <w:pPr>
        <w:spacing w:after="0" w:line="108" w:lineRule="exact"/>
        <w:rPr>
          <w:rFonts w:ascii="Arial" w:cs="Arial" w:eastAsia="Arial" w:hAnsi="Arial"/>
          <w:sz w:val="18"/>
          <w:szCs w:val="18"/>
          <w:color w:val="auto"/>
        </w:rPr>
      </w:pPr>
    </w:p>
    <w:p>
      <w:pPr>
        <w:ind w:left="700" w:right="20" w:hanging="382"/>
        <w:spacing w:after="0" w:line="24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 their role as stewards in representing the long-term interests of our stakeholders.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Director Diversity</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Corporate Governance Guidelines reflect our commitment to director diversity. Our goal is a balanced and diverse Board, with members who bring 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recent years, our Nominating and Governance Committee has focused on the refreshment and continued diversity of the Board. Since 2017, we will have added four new independent directors: Edward C. Bernard, William F. Glavin, Jr., Allison H. Mnookin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and risk management. The addition of these directors also reflects our balanced approach to director tenure, allowing the Board to benefit from the experience of longer-serving directors as well as fresh perspectives from newer directors.</w:t>
      </w:r>
    </w:p>
    <w:p>
      <w:pPr>
        <w:spacing w:after="0" w:line="20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charts below reflect the diversity of our Board based on our director nominees, including Mr. Arnold. The average age of our independent director nominees is 60, and the average tenure of our independent director nominees is six years. One-third of our director nominees are women, which places our Board among the top in our industry in gender diversity.</w:t>
      </w:r>
    </w:p>
    <w:p>
      <w:pPr>
        <w:spacing w:after="0" w:line="1997"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003B71"/>
        </w:rPr>
        <w:t>7</w:t>
      </w:r>
    </w:p>
    <w:p>
      <w:pPr>
        <w:sectPr>
          <w:pgSz w:w="11900" w:h="16838" w:orient="portrait"/>
          <w:cols w:equalWidth="0" w:num="2">
            <w:col w:w="10400" w:space="640"/>
            <w:col w:w="10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2380"/>
        <w:spacing w:after="0"/>
        <w:tabs>
          <w:tab w:leader="none" w:pos="8120" w:val="left"/>
        </w:tabs>
        <w:rPr>
          <w:sz w:val="20"/>
          <w:szCs w:val="20"/>
          <w:color w:val="auto"/>
        </w:rPr>
      </w:pPr>
      <w:r>
        <w:rPr>
          <w:rFonts w:ascii="Arial" w:cs="Arial" w:eastAsia="Arial" w:hAnsi="Arial"/>
          <w:sz w:val="18"/>
          <w:szCs w:val="18"/>
          <w:b w:val="1"/>
          <w:bCs w:val="1"/>
          <w:color w:val="003B71"/>
        </w:rPr>
        <w:t>Diversity</w:t>
      </w:r>
      <w:r>
        <w:rPr>
          <w:sz w:val="20"/>
          <w:szCs w:val="20"/>
          <w:color w:val="auto"/>
        </w:rPr>
        <w:tab/>
      </w:r>
      <w:r>
        <w:rPr>
          <w:rFonts w:ascii="Arial" w:cs="Arial" w:eastAsia="Arial" w:hAnsi="Arial"/>
          <w:sz w:val="18"/>
          <w:szCs w:val="18"/>
          <w:b w:val="1"/>
          <w:bCs w:val="1"/>
          <w:color w:val="003B71"/>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88900</wp:posOffset>
            </wp:positionV>
            <wp:extent cx="1757045" cy="132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57045" cy="13290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88900</wp:posOffset>
            </wp:positionV>
            <wp:extent cx="2168525" cy="139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8525" cy="13976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003B71"/>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88900</wp:posOffset>
            </wp:positionV>
            <wp:extent cx="1859915" cy="12515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991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right="280"/>
        <w:spacing w:after="0" w:line="257" w:lineRule="auto"/>
        <w:rPr>
          <w:sz w:val="20"/>
          <w:szCs w:val="20"/>
          <w:color w:val="auto"/>
        </w:rPr>
      </w:pPr>
      <w:r>
        <w:rPr>
          <w:rFonts w:ascii="Arial" w:cs="Arial" w:eastAsia="Arial" w:hAnsi="Arial"/>
          <w:sz w:val="20"/>
          <w:szCs w:val="20"/>
          <w:b w:val="1"/>
          <w:bCs w:val="1"/>
          <w:color w:val="003B71"/>
        </w:rPr>
        <w:t>Recommendation of the Nominating and Governance Committee</w:t>
      </w:r>
    </w:p>
    <w:p>
      <w:pPr>
        <w:spacing w:after="0" w:line="182"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In its efforts to ensure that our Board has the appropriate mix of skills, expertise, experiences, perspectives and personal characteristics, the Nominating and Governance Committee engaged SpencerStuart, a director search firm, in 2019 to provide ongoing assistance in Board succession planning and identifying, evaluating and recruiting potential additional director candidates. The Nominating and Governance Committee evaluated candidates according to the principles set forth in the Corporate Governance Guidelines and sought an individual who could contribute meaningfully to the Board, particularly in the context of the Company’s evolving business strategy and operating environment. Among other things, the Nominating and Governance Committee sought a candidate with operational leadership experience at scale, as well as industry knowledge and expertise in wealth management.</w:t>
      </w:r>
    </w:p>
    <w:p>
      <w:pPr>
        <w:spacing w:after="0" w:line="21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part of the process of considering Mr. Bernard as a potential nominee to the Board, members of the Board met with Mr. Bernard both in person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telephonically. After the course of this evaluation process, the Nominating and Governance Committee determined that Mr. Bernard’s background, skills and experience would make him a valuable addition to the Board and recommended that the Board nominate him to stand for election at the Annual Meeting.</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recommending that the Board nominate each of our current directors other than Mr. Riepe (who, as indicated above, requested not to be nominated)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nominees is unable or unwilling to serve on our Board of Directors, the shares represented by your proxy will be voted for the election of such other person as may be nominated by our Board of Directors. In addition, in full compliance with all applicable state and federal laws and regulations, we will file an amended proxy statement and proxy card that, as applicable:</w:t>
      </w:r>
    </w:p>
    <w:p>
      <w:pPr>
        <w:spacing w:after="0" w:line="137" w:lineRule="exact"/>
        <w:rPr>
          <w:sz w:val="20"/>
          <w:szCs w:val="20"/>
          <w:color w:val="auto"/>
        </w:rPr>
      </w:pPr>
    </w:p>
    <w:p>
      <w:pPr>
        <w:ind w:left="700" w:hanging="3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the alternate nominee(s);</w:t>
      </w:r>
    </w:p>
    <w:p>
      <w:pPr>
        <w:spacing w:after="0" w:line="144" w:lineRule="exact"/>
        <w:rPr>
          <w:rFonts w:ascii="Arial" w:cs="Arial" w:eastAsia="Arial" w:hAnsi="Arial"/>
          <w:sz w:val="18"/>
          <w:szCs w:val="18"/>
          <w:color w:val="auto"/>
        </w:rPr>
      </w:pPr>
    </w:p>
    <w:p>
      <w:pPr>
        <w:jc w:val="both"/>
        <w:ind w:left="700" w:right="20" w:hanging="3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discloses that any such nominee has consented to being named in the revised proxy statement and to serve if elected; and</w:t>
      </w:r>
    </w:p>
    <w:p>
      <w:pPr>
        <w:spacing w:after="0" w:line="135" w:lineRule="exact"/>
        <w:rPr>
          <w:rFonts w:ascii="Arial" w:cs="Arial" w:eastAsia="Arial" w:hAnsi="Arial"/>
          <w:sz w:val="18"/>
          <w:szCs w:val="18"/>
          <w:color w:val="auto"/>
        </w:rPr>
      </w:pPr>
    </w:p>
    <w:p>
      <w:pPr>
        <w:ind w:left="700" w:right="40" w:hanging="382"/>
        <w:spacing w:after="0" w:line="24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disclosure required by Item 7 of Schedule 14A with respect to any such nominee.</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know of no reason why any nominee would be unable or unwilling to serve. All nominees have consented to be named in this proxy statement and to serve if elected.</w:t>
      </w:r>
    </w:p>
    <w:p>
      <w:pPr>
        <w:spacing w:after="0" w:line="726"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4"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-123190</wp:posOffset>
            </wp:positionV>
            <wp:extent cx="825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360" w:space="500"/>
            <w:col w:w="1028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Director Qualifications and Experience</w:t>
      </w:r>
    </w:p>
    <w:p>
      <w:pPr>
        <w:spacing w:after="0" w:line="22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1551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1551305"/>
                    </a:xfrm>
                    <a:prstGeom prst="rect">
                      <a:avLst/>
                    </a:prstGeom>
                    <a:noFill/>
                  </pic:spPr>
                </pic:pic>
              </a:graphicData>
            </a:graphic>
          </wp:anchor>
        </w:drawing>
      </w: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400" w:type="dxa"/>
            <w:vAlign w:val="bottom"/>
          </w:tcPr>
          <w:p>
            <w:pPr>
              <w:ind w:left="2780"/>
              <w:spacing w:after="0"/>
              <w:rPr>
                <w:sz w:val="20"/>
                <w:szCs w:val="20"/>
                <w:color w:val="auto"/>
              </w:rPr>
            </w:pPr>
            <w:r>
              <w:rPr>
                <w:rFonts w:ascii="Arial" w:cs="Arial" w:eastAsia="Arial" w:hAnsi="Arial"/>
                <w:sz w:val="16"/>
                <w:szCs w:val="16"/>
                <w:color w:val="auto"/>
              </w:rPr>
              <w:t>Arnold</w:t>
            </w:r>
          </w:p>
        </w:tc>
        <w:tc>
          <w:tcPr>
            <w:tcW w:w="900" w:type="dxa"/>
            <w:vAlign w:val="bottom"/>
          </w:tcPr>
          <w:p>
            <w:pPr>
              <w:ind w:left="160"/>
              <w:spacing w:after="0"/>
              <w:rPr>
                <w:sz w:val="20"/>
                <w:szCs w:val="20"/>
                <w:color w:val="auto"/>
              </w:rPr>
            </w:pPr>
            <w:r>
              <w:rPr>
                <w:rFonts w:ascii="Arial" w:cs="Arial" w:eastAsia="Arial" w:hAnsi="Arial"/>
                <w:sz w:val="16"/>
                <w:szCs w:val="16"/>
                <w:color w:val="auto"/>
              </w:rPr>
              <w:t>Bernard</w:t>
            </w:r>
          </w:p>
        </w:tc>
        <w:tc>
          <w:tcPr>
            <w:tcW w:w="960" w:type="dxa"/>
            <w:vAlign w:val="bottom"/>
          </w:tcPr>
          <w:p>
            <w:pPr>
              <w:ind w:left="180"/>
              <w:spacing w:after="0"/>
              <w:rPr>
                <w:sz w:val="20"/>
                <w:szCs w:val="20"/>
                <w:color w:val="auto"/>
              </w:rPr>
            </w:pPr>
            <w:r>
              <w:rPr>
                <w:rFonts w:ascii="Arial" w:cs="Arial" w:eastAsia="Arial" w:hAnsi="Arial"/>
                <w:sz w:val="16"/>
                <w:szCs w:val="16"/>
                <w:color w:val="auto"/>
              </w:rPr>
              <w:t>Eberhart</w:t>
            </w:r>
          </w:p>
        </w:tc>
        <w:tc>
          <w:tcPr>
            <w:tcW w:w="1000" w:type="dxa"/>
            <w:vAlign w:val="bottom"/>
          </w:tcPr>
          <w:p>
            <w:pPr>
              <w:ind w:left="160"/>
              <w:spacing w:after="0"/>
              <w:rPr>
                <w:sz w:val="20"/>
                <w:szCs w:val="20"/>
                <w:color w:val="auto"/>
              </w:rPr>
            </w:pPr>
            <w:r>
              <w:rPr>
                <w:rFonts w:ascii="Arial" w:cs="Arial" w:eastAsia="Arial" w:hAnsi="Arial"/>
                <w:sz w:val="16"/>
                <w:szCs w:val="16"/>
                <w:color w:val="auto"/>
              </w:rPr>
              <w:t>Glavin Jr.</w:t>
            </w:r>
          </w:p>
        </w:tc>
        <w:tc>
          <w:tcPr>
            <w:tcW w:w="920" w:type="dxa"/>
            <w:vAlign w:val="bottom"/>
          </w:tcPr>
          <w:p>
            <w:pPr>
              <w:ind w:left="160"/>
              <w:spacing w:after="0"/>
              <w:rPr>
                <w:sz w:val="20"/>
                <w:szCs w:val="20"/>
                <w:color w:val="auto"/>
              </w:rPr>
            </w:pPr>
            <w:r>
              <w:rPr>
                <w:rFonts w:ascii="Arial" w:cs="Arial" w:eastAsia="Arial" w:hAnsi="Arial"/>
                <w:sz w:val="16"/>
                <w:szCs w:val="16"/>
                <w:color w:val="auto"/>
              </w:rPr>
              <w:t>Mnookin</w:t>
            </w:r>
          </w:p>
        </w:tc>
        <w:tc>
          <w:tcPr>
            <w:tcW w:w="920" w:type="dxa"/>
            <w:vAlign w:val="bottom"/>
          </w:tcPr>
          <w:p>
            <w:pPr>
              <w:ind w:left="160"/>
              <w:spacing w:after="0"/>
              <w:rPr>
                <w:sz w:val="20"/>
                <w:szCs w:val="20"/>
                <w:color w:val="auto"/>
              </w:rPr>
            </w:pPr>
            <w:r>
              <w:rPr>
                <w:rFonts w:ascii="Arial" w:cs="Arial" w:eastAsia="Arial" w:hAnsi="Arial"/>
                <w:sz w:val="16"/>
                <w:szCs w:val="16"/>
                <w:color w:val="auto"/>
              </w:rPr>
              <w:t>Mulcahy</w:t>
            </w:r>
          </w:p>
        </w:tc>
        <w:tc>
          <w:tcPr>
            <w:tcW w:w="900" w:type="dxa"/>
            <w:vAlign w:val="bottom"/>
          </w:tcPr>
          <w:p>
            <w:pPr>
              <w:ind w:left="180"/>
              <w:spacing w:after="0"/>
              <w:rPr>
                <w:sz w:val="20"/>
                <w:szCs w:val="20"/>
                <w:color w:val="auto"/>
              </w:rPr>
            </w:pPr>
            <w:r>
              <w:rPr>
                <w:rFonts w:ascii="Arial" w:cs="Arial" w:eastAsia="Arial" w:hAnsi="Arial"/>
                <w:sz w:val="16"/>
                <w:szCs w:val="16"/>
                <w:color w:val="auto"/>
              </w:rPr>
              <w:t>Putnam</w:t>
            </w:r>
          </w:p>
        </w:tc>
        <w:tc>
          <w:tcPr>
            <w:tcW w:w="880" w:type="dxa"/>
            <w:vAlign w:val="bottom"/>
          </w:tcPr>
          <w:p>
            <w:pPr>
              <w:ind w:left="160"/>
              <w:spacing w:after="0"/>
              <w:rPr>
                <w:sz w:val="20"/>
                <w:szCs w:val="20"/>
                <w:color w:val="auto"/>
              </w:rPr>
            </w:pPr>
            <w:r>
              <w:rPr>
                <w:rFonts w:ascii="Arial" w:cs="Arial" w:eastAsia="Arial" w:hAnsi="Arial"/>
                <w:sz w:val="16"/>
                <w:szCs w:val="16"/>
                <w:color w:val="auto"/>
              </w:rPr>
              <w:t>Schifter</w:t>
            </w:r>
          </w:p>
        </w:tc>
        <w:tc>
          <w:tcPr>
            <w:tcW w:w="820" w:type="dxa"/>
            <w:vAlign w:val="bottom"/>
          </w:tcPr>
          <w:p>
            <w:pPr>
              <w:ind w:left="160"/>
              <w:spacing w:after="0"/>
              <w:rPr>
                <w:sz w:val="20"/>
                <w:szCs w:val="20"/>
                <w:color w:val="auto"/>
              </w:rPr>
            </w:pPr>
            <w:r>
              <w:rPr>
                <w:rFonts w:ascii="Arial" w:cs="Arial" w:eastAsia="Arial" w:hAnsi="Arial"/>
                <w:sz w:val="16"/>
                <w:szCs w:val="16"/>
                <w:color w:val="auto"/>
              </w:rPr>
              <w:t>Thomas</w:t>
            </w:r>
          </w:p>
        </w:tc>
        <w:tc>
          <w:tcPr>
            <w:tcW w:w="160" w:type="dxa"/>
            <w:vAlign w:val="bottom"/>
          </w:tcPr>
          <w:p>
            <w:pPr>
              <w:spacing w:after="0"/>
              <w:rPr>
                <w:sz w:val="16"/>
                <w:szCs w:val="16"/>
                <w:color w:val="auto"/>
              </w:rPr>
            </w:pPr>
          </w:p>
        </w:tc>
      </w:tr>
      <w:tr>
        <w:trPr>
          <w:trHeight w:val="203"/>
        </w:trPr>
        <w:tc>
          <w:tcPr>
            <w:tcW w:w="3400" w:type="dxa"/>
            <w:vAlign w:val="bottom"/>
          </w:tcPr>
          <w:p>
            <w:pPr>
              <w:ind w:left="120"/>
              <w:spacing w:after="0"/>
              <w:rPr>
                <w:sz w:val="20"/>
                <w:szCs w:val="20"/>
                <w:color w:val="auto"/>
              </w:rPr>
            </w:pPr>
            <w:r>
              <w:rPr>
                <w:rFonts w:ascii="Arial" w:cs="Arial" w:eastAsia="Arial" w:hAnsi="Arial"/>
                <w:sz w:val="16"/>
                <w:szCs w:val="16"/>
                <w:color w:val="auto"/>
              </w:rPr>
              <w:t>CEO Experience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Brokerage/Advisory Experience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Digital Technology Experience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Mergers &amp; Acquisitions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Corporate Governance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Financial Literacy</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Law/Regulatory</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Sales &amp; Marketing</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Human Resources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Risk Management</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Entrepreneurial Experience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0"/>
        </w:trPr>
        <w:tc>
          <w:tcPr>
            <w:tcW w:w="3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gridSpan w:val="3"/>
          </w:tcPr>
          <w:p>
            <w:pPr>
              <w:ind w:left="140"/>
              <w:spacing w:after="0"/>
              <w:rPr>
                <w:sz w:val="20"/>
                <w:szCs w:val="20"/>
                <w:color w:val="auto"/>
              </w:rPr>
            </w:pPr>
            <w:r>
              <w:rPr>
                <w:rFonts w:ascii="Arial" w:cs="Arial" w:eastAsia="Arial" w:hAnsi="Arial"/>
                <w:sz w:val="18"/>
                <w:szCs w:val="18"/>
                <w:b w:val="1"/>
                <w:bCs w:val="1"/>
                <w:color w:val="003B71"/>
              </w:rPr>
              <w:t>2020 Proxy Statement</w:t>
            </w:r>
          </w:p>
        </w:tc>
        <w:tc>
          <w:tcPr>
            <w:tcW w:w="160" w:type="dxa"/>
            <w:vAlign w:val="bottom"/>
          </w:tcPr>
          <w:p>
            <w:pPr>
              <w:jc w:val="right"/>
              <w:spacing w:after="0"/>
              <w:rPr>
                <w:sz w:val="20"/>
                <w:szCs w:val="20"/>
                <w:color w:val="auto"/>
              </w:rPr>
            </w:pPr>
            <w:r>
              <w:rPr>
                <w:rFonts w:ascii="Arial" w:cs="Arial" w:eastAsia="Arial" w:hAnsi="Arial"/>
                <w:sz w:val="18"/>
                <w:szCs w:val="18"/>
                <w:color w:val="003B71"/>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-136525</wp:posOffset>
            </wp:positionV>
            <wp:extent cx="88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Board of Director Nominees</w:t>
      </w:r>
    </w:p>
    <w:p>
      <w:pPr>
        <w:spacing w:after="0" w:line="229"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The name, age and a description of the business experience, principal occupation, and past employment and directorships of each of the nominees during at least the last five years are set forth below. In addition, we have summarized the particular experience, qualifications, attributes and skills that led the Board of Directors, including our Nominating and Governance Committee, to determine that each nominee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3909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3909060"/>
                    </a:xfrm>
                    <a:prstGeom prst="rect">
                      <a:avLst/>
                    </a:prstGeom>
                    <a:noFill/>
                  </pic:spPr>
                </pic:pic>
              </a:graphicData>
            </a:graphic>
          </wp:anchor>
        </w:drawing>
      </w:r>
    </w:p>
    <w:p>
      <w:pPr>
        <w:spacing w:after="0" w:line="315" w:lineRule="exact"/>
        <w:rPr>
          <w:sz w:val="20"/>
          <w:szCs w:val="20"/>
          <w:color w:val="auto"/>
        </w:rPr>
      </w:pPr>
    </w:p>
    <w:tbl>
      <w:tblPr>
        <w:tblLayout w:type="fixed"/>
        <w:tblInd w:w="320" w:type="dxa"/>
        <w:tblCellMar>
          <w:top w:w="0" w:type="dxa"/>
          <w:left w:w="0" w:type="dxa"/>
          <w:bottom w:w="0" w:type="dxa"/>
          <w:right w:w="0" w:type="dxa"/>
        </w:tblCellMar>
      </w:tblPr>
      <w:tr>
        <w:trPr>
          <w:trHeight w:val="251"/>
        </w:trPr>
        <w:tc>
          <w:tcPr>
            <w:tcW w:w="2140" w:type="dxa"/>
            <w:vAlign w:val="bottom"/>
          </w:tcPr>
          <w:p>
            <w:pPr>
              <w:spacing w:after="0"/>
              <w:rPr>
                <w:sz w:val="20"/>
                <w:szCs w:val="20"/>
                <w:color w:val="auto"/>
              </w:rPr>
            </w:pPr>
            <w:r>
              <w:rPr>
                <w:rFonts w:ascii="Arial" w:cs="Arial" w:eastAsia="Arial" w:hAnsi="Arial"/>
                <w:sz w:val="19"/>
                <w:szCs w:val="19"/>
                <w:b w:val="1"/>
                <w:bCs w:val="1"/>
                <w:i w:val="1"/>
                <w:iCs w:val="1"/>
                <w:color w:val="003B71"/>
              </w:rPr>
              <w:t>Dan H. Arnold</w:t>
            </w:r>
          </w:p>
        </w:tc>
        <w:tc>
          <w:tcPr>
            <w:tcW w:w="8720" w:type="dxa"/>
            <w:vAlign w:val="bottom"/>
            <w:gridSpan w:val="2"/>
          </w:tcPr>
          <w:p>
            <w:pPr>
              <w:ind w:left="120"/>
              <w:spacing w:after="0"/>
              <w:rPr>
                <w:sz w:val="20"/>
                <w:szCs w:val="20"/>
                <w:color w:val="auto"/>
              </w:rPr>
            </w:pPr>
            <w:r>
              <w:rPr>
                <w:rFonts w:ascii="Arial" w:cs="Arial" w:eastAsia="Arial" w:hAnsi="Arial"/>
                <w:sz w:val="19"/>
                <w:szCs w:val="19"/>
                <w:b w:val="1"/>
                <w:bCs w:val="1"/>
                <w:color w:val="003B71"/>
              </w:rPr>
              <w:t>BACKGROUND</w:t>
            </w:r>
          </w:p>
        </w:tc>
        <w:tc>
          <w:tcPr>
            <w:tcW w:w="0" w:type="dxa"/>
            <w:vAlign w:val="bottom"/>
          </w:tcPr>
          <w:p>
            <w:pPr>
              <w:spacing w:after="0"/>
              <w:rPr>
                <w:sz w:val="1"/>
                <w:szCs w:val="1"/>
                <w:color w:val="auto"/>
              </w:rPr>
            </w:pPr>
          </w:p>
        </w:tc>
      </w:tr>
      <w:tr>
        <w:trPr>
          <w:trHeight w:val="66"/>
        </w:trPr>
        <w:tc>
          <w:tcPr>
            <w:tcW w:w="2140" w:type="dxa"/>
            <w:vAlign w:val="bottom"/>
          </w:tcPr>
          <w:p>
            <w:pPr>
              <w:spacing w:after="0"/>
              <w:rPr>
                <w:sz w:val="5"/>
                <w:szCs w:val="5"/>
                <w:color w:val="auto"/>
              </w:rPr>
            </w:pPr>
          </w:p>
        </w:tc>
        <w:tc>
          <w:tcPr>
            <w:tcW w:w="8560" w:type="dxa"/>
            <w:vAlign w:val="bottom"/>
            <w:tcBorders>
              <w:bottom w:val="single" w:sz="8" w:color="003B71"/>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140" w:type="dxa"/>
            <w:vAlign w:val="bottom"/>
            <w:vMerge w:val="restart"/>
          </w:tcPr>
          <w:p>
            <w:pPr>
              <w:spacing w:after="0"/>
              <w:rPr>
                <w:sz w:val="20"/>
                <w:szCs w:val="20"/>
                <w:color w:val="auto"/>
              </w:rPr>
            </w:pPr>
            <w:r>
              <w:rPr>
                <w:rFonts w:ascii="Arial" w:cs="Arial" w:eastAsia="Arial" w:hAnsi="Arial"/>
                <w:sz w:val="18"/>
                <w:szCs w:val="18"/>
                <w:color w:val="auto"/>
              </w:rPr>
              <w:t>Age 55</w:t>
            </w:r>
          </w:p>
        </w:tc>
        <w:tc>
          <w:tcPr>
            <w:tcW w:w="87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Mr. Arnold has served as our chief executive officer and a director since January 2017. Mr. Arnold has</w:t>
            </w:r>
          </w:p>
        </w:tc>
        <w:tc>
          <w:tcPr>
            <w:tcW w:w="0" w:type="dxa"/>
            <w:vAlign w:val="bottom"/>
          </w:tcPr>
          <w:p>
            <w:pPr>
              <w:spacing w:after="0"/>
              <w:rPr>
                <w:sz w:val="1"/>
                <w:szCs w:val="1"/>
                <w:color w:val="auto"/>
              </w:rPr>
            </w:pPr>
          </w:p>
        </w:tc>
      </w:tr>
      <w:tr>
        <w:trPr>
          <w:trHeight w:val="122"/>
        </w:trPr>
        <w:tc>
          <w:tcPr>
            <w:tcW w:w="2140" w:type="dxa"/>
            <w:vAlign w:val="bottom"/>
            <w:vMerge w:val="continue"/>
          </w:tcPr>
          <w:p>
            <w:pPr>
              <w:spacing w:after="0"/>
              <w:rPr>
                <w:sz w:val="10"/>
                <w:szCs w:val="10"/>
                <w:color w:val="auto"/>
              </w:rPr>
            </w:pPr>
          </w:p>
        </w:tc>
        <w:tc>
          <w:tcPr>
            <w:tcW w:w="872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served as our president since March 2015, with responsibility for our primary client-facing functions and</w:t>
            </w:r>
          </w:p>
        </w:tc>
        <w:tc>
          <w:tcPr>
            <w:tcW w:w="0" w:type="dxa"/>
            <w:vAlign w:val="bottom"/>
          </w:tcPr>
          <w:p>
            <w:pPr>
              <w:spacing w:after="0"/>
              <w:rPr>
                <w:sz w:val="1"/>
                <w:szCs w:val="1"/>
                <w:color w:val="auto"/>
              </w:rPr>
            </w:pPr>
          </w:p>
        </w:tc>
      </w:tr>
      <w:tr>
        <w:trPr>
          <w:trHeight w:val="80"/>
        </w:trPr>
        <w:tc>
          <w:tcPr>
            <w:tcW w:w="2140" w:type="dxa"/>
            <w:vAlign w:val="bottom"/>
          </w:tcPr>
          <w:p>
            <w:pPr>
              <w:spacing w:after="0"/>
              <w:rPr>
                <w:sz w:val="6"/>
                <w:szCs w:val="6"/>
                <w:color w:val="auto"/>
              </w:rPr>
            </w:pPr>
          </w:p>
        </w:tc>
        <w:tc>
          <w:tcPr>
            <w:tcW w:w="8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Director Since 2017</w:t>
            </w: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long-term strategy for growth. Mr. Arnold served as our chief financial officer from June 2012 to March 2015</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and was responsible for formulating financial policy, leading our capital management efforts, and ensuring</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the effectiveness of the organization’s financial functions. Prior to 2012, he was managing director, head of</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strategy, with responsibility for long-term strategic planning for the firm, product and platform development,</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and strategic investments, including acquisitions. He has also served as divisional president of our</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Institution Services. Mr. Arnold joined the Company in January 2007 following our acquisition of UVEST</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Financial Services Group, Inc. (“UVEST”), a broker-dealer and investment adviser that provided services to</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banks, credit unions, and other financial institutions. Prior to joining us, Mr. Arnold worked at UVEST for</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87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13 years, serving most recently as president and chief operating officer. Mr. Arnold earned a B.S. in</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8720" w:type="dxa"/>
            <w:vAlign w:val="bottom"/>
            <w:gridSpan w:val="2"/>
          </w:tcPr>
          <w:p>
            <w:pPr>
              <w:ind w:left="120"/>
              <w:spacing w:after="0"/>
              <w:rPr>
                <w:sz w:val="20"/>
                <w:szCs w:val="20"/>
                <w:color w:val="auto"/>
              </w:rPr>
            </w:pPr>
            <w:r>
              <w:rPr>
                <w:rFonts w:ascii="Arial" w:cs="Arial" w:eastAsia="Arial" w:hAnsi="Arial"/>
                <w:sz w:val="18"/>
                <w:szCs w:val="18"/>
                <w:color w:val="auto"/>
              </w:rPr>
              <w:t>electrical engineering from Auburn University and holds an M.B.A. in finance from Georgia State University.</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003B71"/>
        </w:rPr>
        <w:t>QUALIFICATIONS</w:t>
      </w:r>
    </w:p>
    <w:p>
      <w:pPr>
        <w:spacing w:after="0" w:line="111" w:lineRule="exact"/>
        <w:rPr>
          <w:sz w:val="20"/>
          <w:szCs w:val="20"/>
          <w:color w:val="auto"/>
        </w:rPr>
      </w:pPr>
    </w:p>
    <w:p>
      <w:pPr>
        <w:jc w:val="both"/>
        <w:ind w:left="2580"/>
        <w:spacing w:after="0" w:line="236" w:lineRule="auto"/>
        <w:rPr>
          <w:sz w:val="20"/>
          <w:szCs w:val="20"/>
          <w:color w:val="auto"/>
        </w:rPr>
      </w:pPr>
      <w:r>
        <w:rPr>
          <w:rFonts w:ascii="Arial" w:cs="Arial" w:eastAsia="Arial" w:hAnsi="Arial"/>
          <w:sz w:val="18"/>
          <w:szCs w:val="18"/>
          <w:color w:val="auto"/>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 including service as a director of the American Securities Association since April 2019 and past service as a director of the Securities Industry and Financial Markets Association from April 2015 to July 2018.</w:t>
      </w:r>
    </w:p>
    <w:p>
      <w:pPr>
        <w:spacing w:after="0" w:line="230"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003B71"/>
        </w:rPr>
        <w:t>OTHER PUBLIC COMPANY BOARDS</w:t>
      </w:r>
    </w:p>
    <w:p>
      <w:pPr>
        <w:spacing w:after="0" w:line="78" w:lineRule="exact"/>
        <w:rPr>
          <w:sz w:val="20"/>
          <w:szCs w:val="20"/>
          <w:color w:val="auto"/>
        </w:rPr>
      </w:pPr>
    </w:p>
    <w:tbl>
      <w:tblPr>
        <w:tblLayout w:type="fixed"/>
        <w:tblInd w:w="2460" w:type="dxa"/>
        <w:tblCellMar>
          <w:top w:w="0" w:type="dxa"/>
          <w:left w:w="0" w:type="dxa"/>
          <w:bottom w:w="0" w:type="dxa"/>
          <w:right w:w="0" w:type="dxa"/>
        </w:tblCellMar>
      </w:tblPr>
      <w:tr>
        <w:trPr>
          <w:trHeight w:val="215"/>
        </w:trPr>
        <w:tc>
          <w:tcPr>
            <w:tcW w:w="4140" w:type="dxa"/>
            <w:vAlign w:val="bottom"/>
            <w:tcBorders>
              <w:top w:val="single" w:sz="8" w:color="003B71"/>
            </w:tcBorders>
          </w:tcPr>
          <w:p>
            <w:pPr>
              <w:jc w:val="center"/>
              <w:ind w:left="270"/>
              <w:spacing w:after="0"/>
              <w:rPr>
                <w:sz w:val="20"/>
                <w:szCs w:val="20"/>
                <w:color w:val="auto"/>
              </w:rPr>
            </w:pPr>
            <w:r>
              <w:rPr>
                <w:rFonts w:ascii="Arial" w:cs="Arial" w:eastAsia="Arial" w:hAnsi="Arial"/>
                <w:sz w:val="18"/>
                <w:szCs w:val="18"/>
                <w:b w:val="1"/>
                <w:bCs w:val="1"/>
                <w:color w:val="auto"/>
              </w:rPr>
              <w:t>Current</w:t>
            </w:r>
          </w:p>
        </w:tc>
        <w:tc>
          <w:tcPr>
            <w:tcW w:w="4420" w:type="dxa"/>
            <w:vAlign w:val="bottom"/>
            <w:tcBorders>
              <w:top w:val="single" w:sz="8" w:color="003B71"/>
            </w:tcBorders>
          </w:tcPr>
          <w:p>
            <w:pPr>
              <w:jc w:val="center"/>
              <w:ind w:left="27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4140" w:type="dxa"/>
            <w:vAlign w:val="bottom"/>
          </w:tcPr>
          <w:p>
            <w:pPr>
              <w:jc w:val="center"/>
              <w:ind w:left="270"/>
              <w:spacing w:after="0"/>
              <w:rPr>
                <w:sz w:val="20"/>
                <w:szCs w:val="20"/>
                <w:color w:val="auto"/>
              </w:rPr>
            </w:pPr>
            <w:r>
              <w:rPr>
                <w:rFonts w:ascii="Arial" w:cs="Arial" w:eastAsia="Arial" w:hAnsi="Arial"/>
                <w:sz w:val="18"/>
                <w:szCs w:val="18"/>
                <w:color w:val="auto"/>
                <w:w w:val="97"/>
              </w:rPr>
              <w:t>None</w:t>
            </w:r>
          </w:p>
        </w:tc>
        <w:tc>
          <w:tcPr>
            <w:tcW w:w="4420" w:type="dxa"/>
            <w:vAlign w:val="bottom"/>
          </w:tcPr>
          <w:p>
            <w:pPr>
              <w:jc w:val="center"/>
              <w:ind w:left="290"/>
              <w:spacing w:after="0"/>
              <w:rPr>
                <w:sz w:val="20"/>
                <w:szCs w:val="20"/>
                <w:color w:val="auto"/>
              </w:rPr>
            </w:pPr>
            <w:r>
              <w:rPr>
                <w:rFonts w:ascii="Arial" w:cs="Arial" w:eastAsia="Arial" w:hAnsi="Arial"/>
                <w:sz w:val="18"/>
                <w:szCs w:val="18"/>
                <w:color w:val="auto"/>
                <w:w w:val="99"/>
              </w:rPr>
              <w:t>Optimum Fund Trust</w:t>
            </w:r>
          </w:p>
        </w:tc>
      </w:tr>
    </w:tbl>
    <w:p>
      <w:pPr>
        <w:spacing w:after="0" w:line="247" w:lineRule="exact"/>
        <w:rPr>
          <w:sz w:val="20"/>
          <w:szCs w:val="20"/>
          <w:color w:val="auto"/>
        </w:rPr>
      </w:pPr>
    </w:p>
    <w:p>
      <w:pPr>
        <w:ind w:left="960" w:hanging="700"/>
        <w:spacing w:after="0"/>
        <w:tabs>
          <w:tab w:leader="none" w:pos="960" w:val="left"/>
        </w:tabs>
        <w:numPr>
          <w:ilvl w:val="0"/>
          <w:numId w:val="8"/>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3943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39433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003B71"/>
        </w:rPr>
        <w:t>Edward C. Bernard</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 64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Nominee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3B71"/>
        </w:rPr>
        <w:t>BACKGROUND</w:t>
      </w:r>
    </w:p>
    <w:p>
      <w:pPr>
        <w:spacing w:after="0" w:line="111" w:lineRule="exact"/>
        <w:rPr>
          <w:sz w:val="20"/>
          <w:szCs w:val="20"/>
          <w:color w:val="auto"/>
        </w:rPr>
      </w:pPr>
    </w:p>
    <w:p>
      <w:pPr>
        <w:jc w:val="both"/>
        <w:ind w:left="60" w:right="280"/>
        <w:spacing w:after="0" w:line="236" w:lineRule="auto"/>
        <w:rPr>
          <w:sz w:val="20"/>
          <w:szCs w:val="20"/>
          <w:color w:val="auto"/>
        </w:rPr>
      </w:pPr>
      <w:r>
        <w:rPr>
          <w:rFonts w:ascii="Arial" w:cs="Arial" w:eastAsia="Arial" w:hAnsi="Arial"/>
          <w:sz w:val="18"/>
          <w:szCs w:val="18"/>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and currently serves as a director of UTI Asset Management Company of India. He previously served as chair of the board of governors, and as a member of the executive committee, of the Investment Company Institute, the national trade association for the mutual fund industry. Mr. Bernard received his B.A. from Brown University and an M.B.A. from New York University.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3B71"/>
        </w:rPr>
        <w:t>QUALIFICATIONS</w:t>
      </w:r>
    </w:p>
    <w:p>
      <w:pPr>
        <w:spacing w:after="0" w:line="178" w:lineRule="exact"/>
        <w:rPr>
          <w:sz w:val="20"/>
          <w:szCs w:val="20"/>
          <w:color w:val="auto"/>
        </w:rPr>
      </w:pPr>
    </w:p>
    <w:p>
      <w:pPr>
        <w:jc w:val="both"/>
        <w:ind w:left="60" w:right="280"/>
        <w:spacing w:after="0" w:line="236" w:lineRule="auto"/>
        <w:rPr>
          <w:sz w:val="20"/>
          <w:szCs w:val="20"/>
          <w:color w:val="auto"/>
        </w:rPr>
      </w:pPr>
      <w:r>
        <w:rPr>
          <w:rFonts w:ascii="Arial" w:cs="Arial" w:eastAsia="Arial" w:hAnsi="Arial"/>
          <w:sz w:val="18"/>
          <w:szCs w:val="18"/>
          <w:color w:val="auto"/>
        </w:rPr>
        <w:t>Mr. Bernard’s pertinent qualifications include expertise in the wealth management industry, gained through his 30 years of experience in investment management and leadership roles as a member of the board of governors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03B71"/>
        </w:rPr>
        <w:t>OTHER PUBLIC COMPANY BOARDS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Borders>
              <w:top w:val="single" w:sz="8" w:color="003B71"/>
            </w:tcBorders>
          </w:tcPr>
          <w:p>
            <w:pPr>
              <w:jc w:val="center"/>
              <w:ind w:left="350"/>
              <w:spacing w:after="0"/>
              <w:rPr>
                <w:sz w:val="20"/>
                <w:szCs w:val="20"/>
                <w:color w:val="auto"/>
              </w:rPr>
            </w:pPr>
            <w:r>
              <w:rPr>
                <w:rFonts w:ascii="Arial" w:cs="Arial" w:eastAsia="Arial" w:hAnsi="Arial"/>
                <w:sz w:val="18"/>
                <w:szCs w:val="18"/>
                <w:b w:val="1"/>
                <w:bCs w:val="1"/>
                <w:color w:val="auto"/>
                <w:w w:val="98"/>
              </w:rPr>
              <w:t>Current</w:t>
            </w:r>
          </w:p>
        </w:tc>
        <w:tc>
          <w:tcPr>
            <w:tcW w:w="4320" w:type="dxa"/>
            <w:vAlign w:val="bottom"/>
            <w:tcBorders>
              <w:top w:val="single" w:sz="8" w:color="003B71"/>
            </w:tcBorders>
          </w:tcPr>
          <w:p>
            <w:pPr>
              <w:jc w:val="center"/>
              <w:ind w:left="490"/>
              <w:spacing w:after="0"/>
              <w:rPr>
                <w:sz w:val="20"/>
                <w:szCs w:val="20"/>
                <w:color w:val="auto"/>
              </w:rPr>
            </w:pPr>
            <w:r>
              <w:rPr>
                <w:rFonts w:ascii="Arial" w:cs="Arial" w:eastAsia="Arial" w:hAnsi="Arial"/>
                <w:sz w:val="18"/>
                <w:szCs w:val="18"/>
                <w:b w:val="1"/>
                <w:bCs w:val="1"/>
                <w:color w:val="auto"/>
                <w:w w:val="98"/>
              </w:rPr>
              <w:t>Past 5 Years</w:t>
            </w:r>
          </w:p>
        </w:tc>
        <w:tc>
          <w:tcPr>
            <w:tcW w:w="20" w:type="dxa"/>
            <w:vAlign w:val="bottom"/>
            <w:tcBorders>
              <w:top w:val="single" w:sz="8" w:color="003B71"/>
            </w:tcBorders>
          </w:tcPr>
          <w:p>
            <w:pPr>
              <w:spacing w:after="0"/>
              <w:rPr>
                <w:sz w:val="18"/>
                <w:szCs w:val="18"/>
                <w:color w:val="auto"/>
              </w:rPr>
            </w:pPr>
          </w:p>
        </w:tc>
        <w:tc>
          <w:tcPr>
            <w:tcW w:w="340" w:type="dxa"/>
            <w:vAlign w:val="bottom"/>
            <w:tcBorders>
              <w:top w:val="single" w:sz="8" w:color="003B71"/>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tcPr>
          <w:p>
            <w:pPr>
              <w:jc w:val="center"/>
              <w:ind w:left="350"/>
              <w:spacing w:after="0"/>
              <w:rPr>
                <w:sz w:val="20"/>
                <w:szCs w:val="20"/>
                <w:color w:val="auto"/>
              </w:rPr>
            </w:pPr>
            <w:r>
              <w:rPr>
                <w:rFonts w:ascii="Arial" w:cs="Arial" w:eastAsia="Arial" w:hAnsi="Arial"/>
                <w:sz w:val="18"/>
                <w:szCs w:val="18"/>
                <w:color w:val="auto"/>
              </w:rPr>
              <w:t>None</w:t>
            </w:r>
          </w:p>
        </w:tc>
        <w:tc>
          <w:tcPr>
            <w:tcW w:w="4320" w:type="dxa"/>
            <w:vAlign w:val="bottom"/>
          </w:tcPr>
          <w:p>
            <w:pPr>
              <w:jc w:val="center"/>
              <w:ind w:left="490"/>
              <w:spacing w:after="0"/>
              <w:rPr>
                <w:sz w:val="20"/>
                <w:szCs w:val="20"/>
                <w:color w:val="auto"/>
              </w:rPr>
            </w:pPr>
            <w:r>
              <w:rPr>
                <w:rFonts w:ascii="Arial" w:cs="Arial" w:eastAsia="Arial" w:hAnsi="Arial"/>
                <w:sz w:val="18"/>
                <w:szCs w:val="18"/>
                <w:color w:val="auto"/>
                <w:w w:val="99"/>
              </w:rPr>
              <w:t>T. Rowe Price Group, Inc.</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4320" w:type="dxa"/>
            <w:vAlign w:val="bottom"/>
            <w:vMerge w:val="restart"/>
          </w:tcPr>
          <w:p>
            <w:pPr>
              <w:ind w:left="2240"/>
              <w:spacing w:after="0"/>
              <w:rPr>
                <w:sz w:val="20"/>
                <w:szCs w:val="20"/>
                <w:color w:val="auto"/>
              </w:rPr>
            </w:pPr>
            <w:r>
              <w:rPr>
                <w:rFonts w:ascii="Arial" w:cs="Arial" w:eastAsia="Arial" w:hAnsi="Arial"/>
                <w:sz w:val="18"/>
                <w:szCs w:val="18"/>
                <w:b w:val="1"/>
                <w:bCs w:val="1"/>
                <w:color w:val="003B71"/>
              </w:rPr>
              <w:t>2020 Proxy Statement</w:t>
            </w:r>
          </w:p>
        </w:tc>
        <w:tc>
          <w:tcPr>
            <w:tcW w:w="20" w:type="dxa"/>
            <w:vAlign w:val="bottom"/>
          </w:tcPr>
          <w:p>
            <w:pPr>
              <w:spacing w:after="0"/>
              <w:rPr>
                <w:sz w:val="23"/>
                <w:szCs w:val="2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003B71"/>
              </w:rPr>
              <w:t>11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1880" w:space="440"/>
            <w:col w:w="882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45345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45345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003B71"/>
        </w:rPr>
        <w:t>H. Paulett Eberhart</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 66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Since 2014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Committees:</w:t>
      </w:r>
    </w:p>
    <w:p>
      <w:pPr>
        <w:spacing w:after="0" w:line="139" w:lineRule="exact"/>
        <w:rPr>
          <w:sz w:val="20"/>
          <w:szCs w:val="20"/>
          <w:color w:val="auto"/>
        </w:rPr>
      </w:pPr>
    </w:p>
    <w:p>
      <w:pPr>
        <w:ind w:left="260" w:right="280"/>
        <w:spacing w:after="0" w:line="246" w:lineRule="auto"/>
        <w:rPr>
          <w:sz w:val="20"/>
          <w:szCs w:val="20"/>
          <w:color w:val="auto"/>
        </w:rPr>
      </w:pPr>
      <w:r>
        <w:rPr>
          <w:rFonts w:ascii="Arial" w:cs="Arial" w:eastAsia="Arial" w:hAnsi="Arial"/>
          <w:sz w:val="18"/>
          <w:szCs w:val="18"/>
          <w:color w:val="auto"/>
        </w:rPr>
        <w:t>Audit Committee (Chair)</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Compensation</w:t>
      </w:r>
    </w:p>
    <w:p>
      <w:pPr>
        <w:ind w:left="26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003B71"/>
        </w:rPr>
        <w:t>BACKGROUND</w:t>
      </w:r>
    </w:p>
    <w:p>
      <w:pPr>
        <w:spacing w:after="0" w:line="1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at the company, including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003B71"/>
        </w:rPr>
        <w:t>QUALIFICATIONS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w:t>
      </w:r>
      <w:r>
        <w:rPr>
          <w:rFonts w:ascii="Arial" w:cs="Arial" w:eastAsia="Arial" w:hAnsi="Arial"/>
          <w:sz w:val="18"/>
          <w:szCs w:val="18"/>
          <w:b w:val="1"/>
          <w:bCs w:val="1"/>
          <w:color w:val="auto"/>
        </w:rPr>
        <w:t>;</w:t>
      </w:r>
      <w:r>
        <w:rPr>
          <w:rFonts w:ascii="Arial" w:cs="Arial" w:eastAsia="Arial" w:hAnsi="Arial"/>
          <w:sz w:val="18"/>
          <w:szCs w:val="18"/>
          <w:color w:val="auto"/>
        </w:rPr>
        <w:t xml:space="preserve"> and knowledge and experience gained through her service on the boards of other public companies, including risk oversight experience in chairing the governance and risk committee of the board of directors of Anadarko Petroleum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003B71"/>
        </w:rPr>
        <w:t>OTHER PUBLIC COMPANY BOARDS</w:t>
      </w: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25"/>
        </w:trPr>
        <w:tc>
          <w:tcPr>
            <w:tcW w:w="2560" w:type="dxa"/>
            <w:vAlign w:val="bottom"/>
          </w:tcPr>
          <w:p>
            <w:pPr>
              <w:jc w:val="center"/>
              <w:ind w:right="970"/>
              <w:spacing w:after="0"/>
              <w:rPr>
                <w:sz w:val="20"/>
                <w:szCs w:val="20"/>
                <w:color w:val="auto"/>
              </w:rPr>
            </w:pPr>
            <w:r>
              <w:rPr>
                <w:rFonts w:ascii="Arial" w:cs="Arial" w:eastAsia="Arial" w:hAnsi="Arial"/>
                <w:sz w:val="18"/>
                <w:szCs w:val="18"/>
                <w:b w:val="1"/>
                <w:bCs w:val="1"/>
                <w:color w:val="auto"/>
              </w:rPr>
              <w:t>Current</w:t>
            </w:r>
          </w:p>
        </w:tc>
        <w:tc>
          <w:tcPr>
            <w:tcW w:w="3840" w:type="dxa"/>
            <w:vAlign w:val="bottom"/>
          </w:tcPr>
          <w:p>
            <w:pPr>
              <w:jc w:val="center"/>
              <w:ind w:left="97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2560" w:type="dxa"/>
            <w:vAlign w:val="bottom"/>
          </w:tcPr>
          <w:p>
            <w:pPr>
              <w:jc w:val="center"/>
              <w:ind w:right="970"/>
              <w:spacing w:after="0" w:line="202" w:lineRule="exact"/>
              <w:rPr>
                <w:sz w:val="20"/>
                <w:szCs w:val="20"/>
                <w:color w:val="auto"/>
              </w:rPr>
            </w:pPr>
            <w:r>
              <w:rPr>
                <w:rFonts w:ascii="Arial" w:cs="Arial" w:eastAsia="Arial" w:hAnsi="Arial"/>
                <w:sz w:val="18"/>
                <w:szCs w:val="18"/>
                <w:color w:val="auto"/>
                <w:w w:val="99"/>
              </w:rPr>
              <w:t>Valero Corporation</w:t>
            </w:r>
          </w:p>
        </w:tc>
        <w:tc>
          <w:tcPr>
            <w:tcW w:w="384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99"/>
              </w:rPr>
              <w:t>Anadarko Petroleum Corporation</w:t>
            </w:r>
          </w:p>
        </w:tc>
      </w:tr>
      <w:tr>
        <w:trPr>
          <w:trHeight w:val="203"/>
        </w:trPr>
        <w:tc>
          <w:tcPr>
            <w:tcW w:w="2560" w:type="dxa"/>
            <w:vAlign w:val="bottom"/>
          </w:tcPr>
          <w:p>
            <w:pPr>
              <w:spacing w:after="0"/>
              <w:rPr>
                <w:sz w:val="17"/>
                <w:szCs w:val="17"/>
                <w:color w:val="auto"/>
              </w:rPr>
            </w:pPr>
          </w:p>
        </w:tc>
        <w:tc>
          <w:tcPr>
            <w:tcW w:w="3840" w:type="dxa"/>
            <w:vAlign w:val="bottom"/>
          </w:tcPr>
          <w:p>
            <w:pPr>
              <w:jc w:val="center"/>
              <w:ind w:left="970"/>
              <w:spacing w:after="0" w:line="202" w:lineRule="exact"/>
              <w:rPr>
                <w:sz w:val="20"/>
                <w:szCs w:val="20"/>
                <w:color w:val="auto"/>
              </w:rPr>
            </w:pPr>
            <w:r>
              <w:rPr>
                <w:rFonts w:ascii="Arial" w:cs="Arial" w:eastAsia="Arial" w:hAnsi="Arial"/>
                <w:sz w:val="18"/>
                <w:szCs w:val="18"/>
                <w:color w:val="auto"/>
              </w:rPr>
              <w:t>Cameron International Corporation</w:t>
            </w:r>
          </w:p>
        </w:tc>
      </w:tr>
      <w:tr>
        <w:trPr>
          <w:trHeight w:val="217"/>
        </w:trPr>
        <w:tc>
          <w:tcPr>
            <w:tcW w:w="2560" w:type="dxa"/>
            <w:vAlign w:val="bottom"/>
          </w:tcPr>
          <w:p>
            <w:pPr>
              <w:spacing w:after="0"/>
              <w:rPr>
                <w:sz w:val="18"/>
                <w:szCs w:val="18"/>
                <w:color w:val="auto"/>
              </w:rPr>
            </w:pPr>
          </w:p>
        </w:tc>
        <w:tc>
          <w:tcPr>
            <w:tcW w:w="3840" w:type="dxa"/>
            <w:vAlign w:val="bottom"/>
          </w:tcPr>
          <w:p>
            <w:pPr>
              <w:jc w:val="center"/>
              <w:ind w:left="970"/>
              <w:spacing w:after="0"/>
              <w:rPr>
                <w:sz w:val="20"/>
                <w:szCs w:val="20"/>
                <w:color w:val="auto"/>
              </w:rPr>
            </w:pPr>
            <w:r>
              <w:rPr>
                <w:rFonts w:ascii="Arial" w:cs="Arial" w:eastAsia="Arial" w:hAnsi="Arial"/>
                <w:sz w:val="18"/>
                <w:szCs w:val="18"/>
                <w:color w:val="auto"/>
                <w:w w:val="99"/>
              </w:rPr>
              <w:t>Ciber Corporation</w:t>
            </w:r>
          </w:p>
        </w:tc>
      </w:tr>
    </w:tbl>
    <w:p>
      <w:pPr>
        <w:spacing w:after="0" w:line="200" w:lineRule="exact"/>
        <w:rPr>
          <w:sz w:val="20"/>
          <w:szCs w:val="20"/>
          <w:color w:val="auto"/>
        </w:rPr>
      </w:pPr>
    </w:p>
    <w:p>
      <w:pPr>
        <w:sectPr>
          <w:pgSz w:w="11900" w:h="16838" w:orient="portrait"/>
          <w:cols w:equalWidth="0" w:num="2">
            <w:col w:w="1880" w:space="660"/>
            <w:col w:w="8600"/>
          </w:cols>
          <w:pgMar w:left="320" w:top="459" w:right="439" w:bottom="1440" w:gutter="0" w:footer="0" w:header="0"/>
          <w:type w:val="continuous"/>
        </w:sectPr>
      </w:pPr>
    </w:p>
    <w:p>
      <w:pPr>
        <w:spacing w:after="0" w:line="69"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3711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3711575"/>
                    </a:xfrm>
                    <a:prstGeom prst="rect">
                      <a:avLst/>
                    </a:prstGeom>
                    <a:noFill/>
                  </pic:spPr>
                </pic:pic>
              </a:graphicData>
            </a:graphic>
          </wp:anchor>
        </w:drawing>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22"/>
        </w:trPr>
        <w:tc>
          <w:tcPr>
            <w:tcW w:w="228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003B71"/>
              </w:rPr>
              <w:t>William F. Glavin Jr.</w:t>
            </w:r>
          </w:p>
        </w:tc>
        <w:tc>
          <w:tcPr>
            <w:tcW w:w="20" w:type="dxa"/>
            <w:vAlign w:val="bottom"/>
          </w:tcPr>
          <w:p>
            <w:pPr>
              <w:spacing w:after="0"/>
              <w:rPr>
                <w:sz w:val="10"/>
                <w:szCs w:val="10"/>
                <w:color w:val="auto"/>
              </w:rPr>
            </w:pPr>
          </w:p>
        </w:tc>
        <w:tc>
          <w:tcPr>
            <w:tcW w:w="500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BACKGROUND</w:t>
            </w:r>
          </w:p>
        </w:tc>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280" w:type="dxa"/>
            <w:vAlign w:val="bottom"/>
            <w:vMerge w:val="continue"/>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500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5000" w:type="dxa"/>
            <w:vAlign w:val="bottom"/>
            <w:tcBorders>
              <w:bottom w:val="single" w:sz="8" w:color="003B71"/>
            </w:tcBorders>
          </w:tcPr>
          <w:p>
            <w:pPr>
              <w:spacing w:after="0"/>
              <w:rPr>
                <w:sz w:val="5"/>
                <w:szCs w:val="5"/>
                <w:color w:val="auto"/>
              </w:rPr>
            </w:pPr>
          </w:p>
        </w:tc>
        <w:tc>
          <w:tcPr>
            <w:tcW w:w="3180" w:type="dxa"/>
            <w:vAlign w:val="bottom"/>
            <w:tcBorders>
              <w:bottom w:val="single" w:sz="8" w:color="003B71"/>
            </w:tcBorders>
          </w:tcPr>
          <w:p>
            <w:pPr>
              <w:spacing w:after="0"/>
              <w:rPr>
                <w:sz w:val="5"/>
                <w:szCs w:val="5"/>
                <w:color w:val="auto"/>
              </w:rPr>
            </w:pPr>
          </w:p>
        </w:tc>
        <w:tc>
          <w:tcPr>
            <w:tcW w:w="20" w:type="dxa"/>
            <w:vAlign w:val="bottom"/>
            <w:tcBorders>
              <w:bottom w:val="single" w:sz="8" w:color="003B71"/>
            </w:tcBorders>
          </w:tcPr>
          <w:p>
            <w:pPr>
              <w:spacing w:after="0"/>
              <w:rPr>
                <w:sz w:val="5"/>
                <w:szCs w:val="5"/>
                <w:color w:val="auto"/>
              </w:rPr>
            </w:pPr>
          </w:p>
        </w:tc>
        <w:tc>
          <w:tcPr>
            <w:tcW w:w="160" w:type="dxa"/>
            <w:vAlign w:val="bottom"/>
            <w:tcBorders>
              <w:bottom w:val="single" w:sz="8" w:color="003B71"/>
            </w:tcBorders>
          </w:tcPr>
          <w:p>
            <w:pPr>
              <w:spacing w:after="0"/>
              <w:rPr>
                <w:sz w:val="5"/>
                <w:szCs w:val="5"/>
                <w:color w:val="auto"/>
              </w:rPr>
            </w:pPr>
          </w:p>
        </w:tc>
        <w:tc>
          <w:tcPr>
            <w:tcW w:w="240" w:type="dxa"/>
            <w:vAlign w:val="bottom"/>
            <w:tcBorders>
              <w:bottom w:val="single" w:sz="8" w:color="003B7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280" w:type="dxa"/>
            <w:vAlign w:val="bottom"/>
            <w:vMerge w:val="restart"/>
          </w:tcPr>
          <w:p>
            <w:pPr>
              <w:ind w:left="100"/>
              <w:spacing w:after="0"/>
              <w:rPr>
                <w:sz w:val="20"/>
                <w:szCs w:val="20"/>
                <w:color w:val="auto"/>
              </w:rPr>
            </w:pPr>
            <w:r>
              <w:rPr>
                <w:rFonts w:ascii="Arial" w:cs="Arial" w:eastAsia="Arial" w:hAnsi="Arial"/>
                <w:sz w:val="18"/>
                <w:szCs w:val="18"/>
                <w:color w:val="auto"/>
              </w:rPr>
              <w:t>Age 61</w:t>
            </w:r>
          </w:p>
        </w:tc>
        <w:tc>
          <w:tcPr>
            <w:tcW w:w="20" w:type="dxa"/>
            <w:vAlign w:val="bottom"/>
            <w:shd w:val="clear" w:color="auto" w:fill="003B71"/>
          </w:tcPr>
          <w:p>
            <w:pPr>
              <w:spacing w:after="0"/>
              <w:rPr>
                <w:sz w:val="20"/>
                <w:szCs w:val="20"/>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Mr.  Glavin  served  as  chair  of  OppenheimerFunds,</w:t>
            </w:r>
          </w:p>
        </w:tc>
        <w:tc>
          <w:tcPr>
            <w:tcW w:w="3360" w:type="dxa"/>
            <w:vAlign w:val="bottom"/>
            <w:gridSpan w:val="3"/>
          </w:tcPr>
          <w:p>
            <w:pPr>
              <w:ind w:left="100"/>
              <w:spacing w:after="0"/>
              <w:rPr>
                <w:sz w:val="20"/>
                <w:szCs w:val="20"/>
                <w:color w:val="auto"/>
              </w:rPr>
            </w:pPr>
            <w:r>
              <w:rPr>
                <w:rFonts w:ascii="Arial" w:cs="Arial" w:eastAsia="Arial" w:hAnsi="Arial"/>
                <w:sz w:val="18"/>
                <w:szCs w:val="18"/>
                <w:color w:val="auto"/>
              </w:rPr>
              <w:t>Inc.,  a  global  asset  management</w:t>
            </w:r>
          </w:p>
        </w:tc>
        <w:tc>
          <w:tcPr>
            <w:tcW w:w="36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firm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280" w:type="dxa"/>
            <w:vAlign w:val="bottom"/>
            <w:vMerge w:val="continue"/>
          </w:tcPr>
          <w:p>
            <w:pPr>
              <w:spacing w:after="0"/>
              <w:rPr>
                <w:sz w:val="7"/>
                <w:szCs w:val="7"/>
                <w:color w:val="auto"/>
              </w:rPr>
            </w:pPr>
          </w:p>
        </w:tc>
        <w:tc>
          <w:tcPr>
            <w:tcW w:w="20" w:type="dxa"/>
            <w:vAlign w:val="bottom"/>
            <w:shd w:val="clear" w:color="auto" w:fill="003B71"/>
          </w:tcPr>
          <w:p>
            <w:pPr>
              <w:spacing w:after="0"/>
              <w:rPr>
                <w:sz w:val="7"/>
                <w:szCs w:val="7"/>
                <w:color w:val="auto"/>
              </w:rPr>
            </w:pPr>
          </w:p>
        </w:tc>
        <w:tc>
          <w:tcPr>
            <w:tcW w:w="8720" w:type="dxa"/>
            <w:vAlign w:val="bottom"/>
            <w:gridSpan w:val="6"/>
            <w:vMerge w:val="restart"/>
          </w:tcPr>
          <w:p>
            <w:pPr>
              <w:ind w:left="80"/>
              <w:spacing w:after="0" w:line="202" w:lineRule="exact"/>
              <w:rPr>
                <w:sz w:val="20"/>
                <w:szCs w:val="20"/>
                <w:color w:val="auto"/>
              </w:rPr>
            </w:pPr>
            <w:r>
              <w:rPr>
                <w:rFonts w:ascii="Arial" w:cs="Arial" w:eastAsia="Arial" w:hAnsi="Arial"/>
                <w:sz w:val="18"/>
                <w:szCs w:val="18"/>
                <w:color w:val="auto"/>
              </w:rPr>
              <w:t>(“OppenheimerFunds”), from 2009 until 2015, as chief executive officer from 2009 until 2014, and as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80" w:type="dxa"/>
            <w:vAlign w:val="bottom"/>
            <w:vMerge w:val="restart"/>
          </w:tcPr>
          <w:p>
            <w:pPr>
              <w:ind w:left="100"/>
              <w:spacing w:after="0"/>
              <w:rPr>
                <w:sz w:val="20"/>
                <w:szCs w:val="20"/>
                <w:color w:val="auto"/>
              </w:rPr>
            </w:pPr>
            <w:r>
              <w:rPr>
                <w:rFonts w:ascii="Arial" w:cs="Arial" w:eastAsia="Arial" w:hAnsi="Arial"/>
                <w:sz w:val="18"/>
                <w:szCs w:val="18"/>
                <w:color w:val="auto"/>
              </w:rPr>
              <w:t>Director Since 2017</w:t>
            </w:r>
          </w:p>
        </w:tc>
        <w:tc>
          <w:tcPr>
            <w:tcW w:w="20" w:type="dxa"/>
            <w:vAlign w:val="bottom"/>
            <w:shd w:val="clear" w:color="auto" w:fill="003B71"/>
          </w:tcPr>
          <w:p>
            <w:pPr>
              <w:spacing w:after="0"/>
              <w:rPr>
                <w:sz w:val="10"/>
                <w:szCs w:val="10"/>
                <w:color w:val="auto"/>
              </w:rPr>
            </w:pPr>
          </w:p>
        </w:tc>
        <w:tc>
          <w:tcPr>
            <w:tcW w:w="872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president from 2009 until 2013. OppenheimerFunds is a majority owned subsidiary of MassMutual Financial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restart"/>
          </w:tcPr>
          <w:p>
            <w:pPr>
              <w:ind w:left="100"/>
              <w:spacing w:after="0"/>
              <w:rPr>
                <w:sz w:val="20"/>
                <w:szCs w:val="20"/>
                <w:color w:val="auto"/>
              </w:rPr>
            </w:pPr>
            <w:r>
              <w:rPr>
                <w:rFonts w:ascii="Arial" w:cs="Arial" w:eastAsia="Arial" w:hAnsi="Arial"/>
                <w:sz w:val="18"/>
                <w:szCs w:val="18"/>
                <w:color w:val="auto"/>
              </w:rPr>
              <w:t>Independent</w:t>
            </w:r>
          </w:p>
        </w:tc>
        <w:tc>
          <w:tcPr>
            <w:tcW w:w="20" w:type="dxa"/>
            <w:vAlign w:val="bottom"/>
            <w:shd w:val="clear" w:color="auto" w:fill="003B71"/>
          </w:tcPr>
          <w:p>
            <w:pPr>
              <w:spacing w:after="0"/>
              <w:rPr>
                <w:sz w:val="17"/>
                <w:szCs w:val="17"/>
                <w:color w:val="auto"/>
              </w:rPr>
            </w:pPr>
          </w:p>
        </w:tc>
        <w:tc>
          <w:tcPr>
            <w:tcW w:w="87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Group (“MassMutual”), a mutual life insurance company, at which Mr. Glavin held several senior executive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280" w:type="dxa"/>
            <w:vAlign w:val="bottom"/>
            <w:vMerge w:val="continue"/>
          </w:tcPr>
          <w:p>
            <w:pPr>
              <w:spacing w:after="0"/>
              <w:rPr>
                <w:sz w:val="10"/>
                <w:szCs w:val="10"/>
                <w:color w:val="auto"/>
              </w:rPr>
            </w:pPr>
          </w:p>
        </w:tc>
        <w:tc>
          <w:tcPr>
            <w:tcW w:w="20" w:type="dxa"/>
            <w:vAlign w:val="bottom"/>
            <w:shd w:val="clear" w:color="auto" w:fill="003B71"/>
          </w:tcPr>
          <w:p>
            <w:pPr>
              <w:spacing w:after="0"/>
              <w:rPr>
                <w:sz w:val="10"/>
                <w:szCs w:val="10"/>
                <w:color w:val="auto"/>
              </w:rPr>
            </w:pPr>
          </w:p>
        </w:tc>
        <w:tc>
          <w:tcPr>
            <w:tcW w:w="8720" w:type="dxa"/>
            <w:vAlign w:val="bottom"/>
            <w:gridSpan w:val="6"/>
            <w:vMerge w:val="restart"/>
          </w:tcPr>
          <w:p>
            <w:pPr>
              <w:ind w:left="80"/>
              <w:spacing w:after="0" w:line="202" w:lineRule="exact"/>
              <w:rPr>
                <w:sz w:val="20"/>
                <w:szCs w:val="20"/>
                <w:color w:val="auto"/>
              </w:rPr>
            </w:pPr>
            <w:r>
              <w:rPr>
                <w:rFonts w:ascii="Arial" w:cs="Arial" w:eastAsia="Arial" w:hAnsi="Arial"/>
                <w:sz w:val="18"/>
                <w:szCs w:val="18"/>
                <w:color w:val="auto"/>
              </w:rPr>
              <w:t>positions prior to joining OppenheimerFunds. He served as co-chief operating officer of MassMutual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80" w:type="dxa"/>
            <w:vAlign w:val="bottom"/>
          </w:tcPr>
          <w:p>
            <w:pPr>
              <w:spacing w:after="0"/>
              <w:rPr>
                <w:sz w:val="6"/>
                <w:szCs w:val="6"/>
                <w:color w:val="auto"/>
              </w:rPr>
            </w:pPr>
          </w:p>
        </w:tc>
        <w:tc>
          <w:tcPr>
            <w:tcW w:w="20" w:type="dxa"/>
            <w:vAlign w:val="bottom"/>
            <w:shd w:val="clear" w:color="auto" w:fill="003B71"/>
          </w:tcPr>
          <w:p>
            <w:pPr>
              <w:spacing w:after="0"/>
              <w:rPr>
                <w:sz w:val="6"/>
                <w:szCs w:val="6"/>
                <w:color w:val="auto"/>
              </w:rPr>
            </w:pPr>
          </w:p>
        </w:tc>
        <w:tc>
          <w:tcPr>
            <w:tcW w:w="872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2007 to 2008, executive vice president, U.S. Insurance Group of MassMutual from 2006 to 2008, president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tc>
        <w:tc>
          <w:tcPr>
            <w:tcW w:w="20" w:type="dxa"/>
            <w:vAlign w:val="bottom"/>
            <w:shd w:val="clear" w:color="auto" w:fill="003B71"/>
          </w:tcPr>
          <w:p>
            <w:pPr>
              <w:spacing w:after="0"/>
              <w:rPr>
                <w:sz w:val="17"/>
                <w:szCs w:val="17"/>
                <w:color w:val="auto"/>
              </w:rPr>
            </w:pPr>
          </w:p>
        </w:tc>
        <w:tc>
          <w:tcPr>
            <w:tcW w:w="87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and chief executive officer of Babson Capital Management LLC (“Babson”), an asset management firm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subsidiary of MassMutual, from 2005 until 2006 and chief operating officer of Babson from 2003 to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restart"/>
          </w:tcPr>
          <w:p>
            <w:pPr>
              <w:ind w:left="100"/>
              <w:spacing w:after="0"/>
              <w:rPr>
                <w:sz w:val="20"/>
                <w:szCs w:val="20"/>
                <w:color w:val="auto"/>
              </w:rPr>
            </w:pPr>
            <w:r>
              <w:rPr>
                <w:rFonts w:ascii="Arial" w:cs="Arial" w:eastAsia="Arial" w:hAnsi="Arial"/>
                <w:sz w:val="18"/>
                <w:szCs w:val="18"/>
                <w:color w:val="auto"/>
              </w:rPr>
              <w:t>Audit Committee</w:t>
            </w:r>
          </w:p>
        </w:tc>
        <w:tc>
          <w:tcPr>
            <w:tcW w:w="20" w:type="dxa"/>
            <w:vAlign w:val="bottom"/>
            <w:shd w:val="clear" w:color="auto" w:fill="003B71"/>
          </w:tcPr>
          <w:p>
            <w:pPr>
              <w:spacing w:after="0"/>
              <w:rPr>
                <w:sz w:val="17"/>
                <w:szCs w:val="17"/>
                <w:color w:val="auto"/>
              </w:rPr>
            </w:pPr>
          </w:p>
        </w:tc>
        <w:tc>
          <w:tcPr>
            <w:tcW w:w="876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Prior to joining MassMutual, Mr. Glavin was president and chief operating officer of Scudder Investments, an</w:t>
            </w:r>
          </w:p>
        </w:tc>
        <w:tc>
          <w:tcPr>
            <w:tcW w:w="0" w:type="dxa"/>
            <w:vAlign w:val="bottom"/>
          </w:tcPr>
          <w:p>
            <w:pPr>
              <w:spacing w:after="0"/>
              <w:rPr>
                <w:sz w:val="1"/>
                <w:szCs w:val="1"/>
                <w:color w:val="auto"/>
              </w:rPr>
            </w:pPr>
          </w:p>
        </w:tc>
      </w:tr>
      <w:tr>
        <w:trPr>
          <w:trHeight w:val="136"/>
        </w:trPr>
        <w:tc>
          <w:tcPr>
            <w:tcW w:w="2280" w:type="dxa"/>
            <w:vAlign w:val="bottom"/>
            <w:vMerge w:val="continue"/>
          </w:tcPr>
          <w:p>
            <w:pPr>
              <w:spacing w:after="0"/>
              <w:rPr>
                <w:sz w:val="11"/>
                <w:szCs w:val="11"/>
                <w:color w:val="auto"/>
              </w:rPr>
            </w:pPr>
          </w:p>
        </w:tc>
        <w:tc>
          <w:tcPr>
            <w:tcW w:w="20" w:type="dxa"/>
            <w:vAlign w:val="bottom"/>
            <w:shd w:val="clear" w:color="auto" w:fill="003B71"/>
          </w:tcPr>
          <w:p>
            <w:pPr>
              <w:spacing w:after="0"/>
              <w:rPr>
                <w:sz w:val="11"/>
                <w:szCs w:val="11"/>
                <w:color w:val="auto"/>
              </w:rPr>
            </w:pPr>
          </w:p>
        </w:tc>
        <w:tc>
          <w:tcPr>
            <w:tcW w:w="8760" w:type="dxa"/>
            <w:vAlign w:val="bottom"/>
            <w:gridSpan w:val="7"/>
            <w:vMerge w:val="restart"/>
          </w:tcPr>
          <w:p>
            <w:pPr>
              <w:ind w:left="80"/>
              <w:spacing w:after="0" w:line="202" w:lineRule="exact"/>
              <w:rPr>
                <w:sz w:val="20"/>
                <w:szCs w:val="20"/>
                <w:color w:val="auto"/>
              </w:rPr>
            </w:pPr>
            <w:r>
              <w:rPr>
                <w:rFonts w:ascii="Arial" w:cs="Arial" w:eastAsia="Arial" w:hAnsi="Arial"/>
                <w:sz w:val="18"/>
                <w:szCs w:val="18"/>
                <w:color w:val="auto"/>
              </w:rPr>
              <w:t>asset management firm, from 2000 to 2003. Mr. Glavin received his B.A. in Economics and Accounting from</w:t>
            </w: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20" w:type="dxa"/>
            <w:vAlign w:val="bottom"/>
            <w:shd w:val="clear" w:color="auto" w:fill="003B71"/>
          </w:tcPr>
          <w:p>
            <w:pPr>
              <w:spacing w:after="0"/>
              <w:rPr>
                <w:sz w:val="5"/>
                <w:szCs w:val="5"/>
                <w:color w:val="auto"/>
              </w:rPr>
            </w:pPr>
          </w:p>
        </w:tc>
        <w:tc>
          <w:tcPr>
            <w:tcW w:w="87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100"/>
              <w:spacing w:after="0"/>
              <w:rPr>
                <w:sz w:val="20"/>
                <w:szCs w:val="20"/>
                <w:color w:val="auto"/>
              </w:rPr>
            </w:pPr>
            <w:r>
              <w:rPr>
                <w:rFonts w:ascii="Arial" w:cs="Arial" w:eastAsia="Arial" w:hAnsi="Arial"/>
                <w:sz w:val="18"/>
                <w:szCs w:val="18"/>
                <w:color w:val="auto"/>
              </w:rPr>
              <w:t>Nominating and</w:t>
            </w:r>
          </w:p>
        </w:tc>
        <w:tc>
          <w:tcPr>
            <w:tcW w:w="20" w:type="dxa"/>
            <w:vAlign w:val="bottom"/>
            <w:shd w:val="clear" w:color="auto" w:fill="003B71"/>
          </w:tcPr>
          <w:p>
            <w:pPr>
              <w:spacing w:after="0"/>
              <w:rPr>
                <w:sz w:val="21"/>
                <w:szCs w:val="21"/>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the College of the Holy Cross.</w:t>
            </w:r>
          </w:p>
        </w:tc>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100"/>
              <w:spacing w:after="0"/>
              <w:rPr>
                <w:sz w:val="20"/>
                <w:szCs w:val="20"/>
                <w:color w:val="auto"/>
              </w:rPr>
            </w:pPr>
            <w:r>
              <w:rPr>
                <w:rFonts w:ascii="Arial" w:cs="Arial" w:eastAsia="Arial" w:hAnsi="Arial"/>
                <w:sz w:val="18"/>
                <w:szCs w:val="18"/>
                <w:color w:val="auto"/>
              </w:rPr>
              <w:t>Governance Committee</w:t>
            </w:r>
          </w:p>
        </w:tc>
        <w:tc>
          <w:tcPr>
            <w:tcW w:w="20" w:type="dxa"/>
            <w:vAlign w:val="bottom"/>
            <w:shd w:val="clear" w:color="auto" w:fill="003B71"/>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QUALIFICATIONS</w:t>
            </w:r>
          </w:p>
        </w:tc>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80" w:type="dxa"/>
            <w:vAlign w:val="bottom"/>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500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8180" w:type="dxa"/>
            <w:vAlign w:val="bottom"/>
            <w:tcBorders>
              <w:bottom w:val="single" w:sz="8" w:color="003B71"/>
            </w:tcBorders>
            <w:gridSpan w:val="2"/>
          </w:tcPr>
          <w:p>
            <w:pPr>
              <w:spacing w:after="0"/>
              <w:rPr>
                <w:sz w:val="5"/>
                <w:szCs w:val="5"/>
                <w:color w:val="auto"/>
              </w:rPr>
            </w:pPr>
          </w:p>
        </w:tc>
        <w:tc>
          <w:tcPr>
            <w:tcW w:w="20" w:type="dxa"/>
            <w:vAlign w:val="bottom"/>
            <w:tcBorders>
              <w:bottom w:val="single" w:sz="8" w:color="003B71"/>
            </w:tcBorders>
          </w:tcPr>
          <w:p>
            <w:pPr>
              <w:spacing w:after="0"/>
              <w:rPr>
                <w:sz w:val="5"/>
                <w:szCs w:val="5"/>
                <w:color w:val="auto"/>
              </w:rPr>
            </w:pPr>
          </w:p>
        </w:tc>
        <w:tc>
          <w:tcPr>
            <w:tcW w:w="400" w:type="dxa"/>
            <w:vAlign w:val="bottom"/>
            <w:tcBorders>
              <w:bottom w:val="single" w:sz="8" w:color="003B71"/>
            </w:tcBorders>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280" w:type="dxa"/>
            <w:vAlign w:val="bottom"/>
          </w:tcPr>
          <w:p>
            <w:pPr>
              <w:spacing w:after="0"/>
              <w:rPr>
                <w:sz w:val="22"/>
                <w:szCs w:val="22"/>
                <w:color w:val="auto"/>
              </w:rPr>
            </w:pPr>
          </w:p>
        </w:tc>
        <w:tc>
          <w:tcPr>
            <w:tcW w:w="20" w:type="dxa"/>
            <w:vAlign w:val="bottom"/>
            <w:shd w:val="clear" w:color="auto" w:fill="003B71"/>
          </w:tcPr>
          <w:p>
            <w:pPr>
              <w:spacing w:after="0"/>
              <w:rPr>
                <w:sz w:val="22"/>
                <w:szCs w:val="22"/>
                <w:color w:val="auto"/>
              </w:rPr>
            </w:pPr>
          </w:p>
        </w:tc>
        <w:tc>
          <w:tcPr>
            <w:tcW w:w="8760" w:type="dxa"/>
            <w:vAlign w:val="bottom"/>
            <w:gridSpan w:val="7"/>
          </w:tcPr>
          <w:p>
            <w:pPr>
              <w:ind w:left="80"/>
              <w:spacing w:after="0"/>
              <w:rPr>
                <w:sz w:val="20"/>
                <w:szCs w:val="20"/>
                <w:color w:val="auto"/>
              </w:rPr>
            </w:pPr>
            <w:r>
              <w:rPr>
                <w:rFonts w:ascii="Arial" w:cs="Arial" w:eastAsia="Arial" w:hAnsi="Arial"/>
                <w:sz w:val="18"/>
                <w:szCs w:val="18"/>
                <w:color w:val="auto"/>
                <w:w w:val="99"/>
              </w:rPr>
              <w:t>Mr. Glavin’s pertinent qualifications include his experience over the course of a 25-year career in the financial</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services industry, including as a chief executive officer and chief operating officer; extensive experience in</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strategic planning and talent management, in part based on his success in leading Oppenheimer through 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period of significant market turbulence; a deep understanding of financial product distribution, compliance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and operations, including technology demands in the financial services industry; and experience overseeing</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8360" w:type="dxa"/>
            <w:vAlign w:val="bottom"/>
            <w:gridSpan w:val="4"/>
          </w:tcPr>
          <w:p>
            <w:pPr>
              <w:ind w:left="80"/>
              <w:spacing w:after="0"/>
              <w:rPr>
                <w:sz w:val="20"/>
                <w:szCs w:val="20"/>
                <w:color w:val="auto"/>
              </w:rPr>
            </w:pPr>
            <w:r>
              <w:rPr>
                <w:rFonts w:ascii="Arial" w:cs="Arial" w:eastAsia="Arial" w:hAnsi="Arial"/>
                <w:sz w:val="18"/>
                <w:szCs w:val="18"/>
                <w:color w:val="auto"/>
              </w:rPr>
              <w:t>broker-dealers, including MassMutual’s broker-dealer MML Investor Services, LLC.</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2280" w:type="dxa"/>
            <w:vAlign w:val="bottom"/>
          </w:tcPr>
          <w:p>
            <w:pPr>
              <w:spacing w:after="0"/>
              <w:rPr>
                <w:sz w:val="24"/>
                <w:szCs w:val="24"/>
                <w:color w:val="auto"/>
              </w:rPr>
            </w:pPr>
          </w:p>
        </w:tc>
        <w:tc>
          <w:tcPr>
            <w:tcW w:w="20" w:type="dxa"/>
            <w:vAlign w:val="bottom"/>
            <w:shd w:val="clear" w:color="auto" w:fill="003B71"/>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9"/>
                <w:szCs w:val="19"/>
                <w:b w:val="1"/>
                <w:bCs w:val="1"/>
                <w:color w:val="003B71"/>
              </w:rPr>
              <w:t>OTHER PUBLIC COMPANY BOARDS</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5000" w:type="dxa"/>
            <w:vAlign w:val="bottom"/>
            <w:tcBorders>
              <w:bottom w:val="single" w:sz="8" w:color="003B71"/>
            </w:tcBorders>
          </w:tcPr>
          <w:p>
            <w:pPr>
              <w:spacing w:after="0"/>
              <w:rPr>
                <w:sz w:val="5"/>
                <w:szCs w:val="5"/>
                <w:color w:val="auto"/>
              </w:rPr>
            </w:pPr>
          </w:p>
        </w:tc>
        <w:tc>
          <w:tcPr>
            <w:tcW w:w="3180" w:type="dxa"/>
            <w:vAlign w:val="bottom"/>
            <w:tcBorders>
              <w:bottom w:val="single" w:sz="8" w:color="003B71"/>
            </w:tcBorders>
          </w:tcPr>
          <w:p>
            <w:pPr>
              <w:spacing w:after="0"/>
              <w:rPr>
                <w:sz w:val="5"/>
                <w:szCs w:val="5"/>
                <w:color w:val="auto"/>
              </w:rPr>
            </w:pPr>
          </w:p>
        </w:tc>
        <w:tc>
          <w:tcPr>
            <w:tcW w:w="20" w:type="dxa"/>
            <w:vAlign w:val="bottom"/>
            <w:tcBorders>
              <w:bottom w:val="single" w:sz="8" w:color="003B71"/>
            </w:tcBorders>
          </w:tcPr>
          <w:p>
            <w:pPr>
              <w:spacing w:after="0"/>
              <w:rPr>
                <w:sz w:val="5"/>
                <w:szCs w:val="5"/>
                <w:color w:val="auto"/>
              </w:rPr>
            </w:pPr>
          </w:p>
        </w:tc>
        <w:tc>
          <w:tcPr>
            <w:tcW w:w="160" w:type="dxa"/>
            <w:vAlign w:val="bottom"/>
            <w:tcBorders>
              <w:bottom w:val="single" w:sz="8" w:color="003B71"/>
            </w:tcBorders>
          </w:tcPr>
          <w:p>
            <w:pPr>
              <w:spacing w:after="0"/>
              <w:rPr>
                <w:sz w:val="5"/>
                <w:szCs w:val="5"/>
                <w:color w:val="auto"/>
              </w:rPr>
            </w:pPr>
          </w:p>
        </w:tc>
        <w:tc>
          <w:tcPr>
            <w:tcW w:w="240" w:type="dxa"/>
            <w:vAlign w:val="bottom"/>
            <w:tcBorders>
              <w:bottom w:val="single" w:sz="8" w:color="003B7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0" w:type="dxa"/>
            <w:vAlign w:val="bottom"/>
            <w:shd w:val="clear" w:color="auto" w:fill="003B71"/>
          </w:tcPr>
          <w:p>
            <w:pPr>
              <w:spacing w:after="0"/>
              <w:rPr>
                <w:sz w:val="16"/>
                <w:szCs w:val="16"/>
                <w:color w:val="auto"/>
              </w:rPr>
            </w:pPr>
          </w:p>
        </w:tc>
        <w:tc>
          <w:tcPr>
            <w:tcW w:w="5000" w:type="dxa"/>
            <w:vAlign w:val="bottom"/>
          </w:tcPr>
          <w:p>
            <w:pPr>
              <w:ind w:left="1940"/>
              <w:spacing w:after="0" w:line="195" w:lineRule="exact"/>
              <w:rPr>
                <w:sz w:val="20"/>
                <w:szCs w:val="20"/>
                <w:color w:val="auto"/>
              </w:rPr>
            </w:pPr>
            <w:r>
              <w:rPr>
                <w:rFonts w:ascii="Arial" w:cs="Arial" w:eastAsia="Arial" w:hAnsi="Arial"/>
                <w:sz w:val="18"/>
                <w:szCs w:val="18"/>
                <w:b w:val="1"/>
                <w:bCs w:val="1"/>
                <w:color w:val="auto"/>
              </w:rPr>
              <w:t>Current</w:t>
            </w:r>
          </w:p>
        </w:tc>
        <w:tc>
          <w:tcPr>
            <w:tcW w:w="3360" w:type="dxa"/>
            <w:vAlign w:val="bottom"/>
            <w:gridSpan w:val="3"/>
          </w:tcPr>
          <w:p>
            <w:pPr>
              <w:jc w:val="center"/>
              <w:ind w:right="180"/>
              <w:spacing w:after="0" w:line="195" w:lineRule="exact"/>
              <w:rPr>
                <w:sz w:val="20"/>
                <w:szCs w:val="20"/>
                <w:color w:val="auto"/>
              </w:rPr>
            </w:pPr>
            <w:r>
              <w:rPr>
                <w:rFonts w:ascii="Arial" w:cs="Arial" w:eastAsia="Arial" w:hAnsi="Arial"/>
                <w:sz w:val="18"/>
                <w:szCs w:val="18"/>
                <w:b w:val="1"/>
                <w:bCs w:val="1"/>
                <w:color w:val="auto"/>
                <w:w w:val="98"/>
              </w:rPr>
              <w:t>Past 5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000" w:type="dxa"/>
            <w:vAlign w:val="bottom"/>
          </w:tcPr>
          <w:p>
            <w:pPr>
              <w:ind w:left="1780"/>
              <w:spacing w:after="0"/>
              <w:rPr>
                <w:sz w:val="20"/>
                <w:szCs w:val="20"/>
                <w:color w:val="auto"/>
              </w:rPr>
            </w:pPr>
            <w:r>
              <w:rPr>
                <w:rFonts w:ascii="Arial" w:cs="Arial" w:eastAsia="Arial" w:hAnsi="Arial"/>
                <w:sz w:val="18"/>
                <w:szCs w:val="18"/>
                <w:color w:val="auto"/>
              </w:rPr>
              <w:t>Invesco Ltd.</w:t>
            </w:r>
          </w:p>
        </w:tc>
        <w:tc>
          <w:tcPr>
            <w:tcW w:w="336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None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3180" w:type="dxa"/>
            <w:vAlign w:val="bottom"/>
            <w:vMerge w:val="restart"/>
          </w:tcPr>
          <w:p>
            <w:pPr>
              <w:ind w:left="1100"/>
              <w:spacing w:after="0"/>
              <w:rPr>
                <w:sz w:val="20"/>
                <w:szCs w:val="20"/>
                <w:color w:val="auto"/>
              </w:rPr>
            </w:pPr>
            <w:r>
              <w:rPr>
                <w:rFonts w:ascii="Arial" w:cs="Arial" w:eastAsia="Arial" w:hAnsi="Arial"/>
                <w:sz w:val="18"/>
                <w:szCs w:val="18"/>
                <w:b w:val="1"/>
                <w:bCs w:val="1"/>
                <w:color w:val="003B71"/>
              </w:rPr>
              <w:t>2020 Proxy Statement</w:t>
            </w:r>
          </w:p>
        </w:tc>
        <w:tc>
          <w:tcPr>
            <w:tcW w:w="20" w:type="dxa"/>
            <w:vAlign w:val="bottom"/>
          </w:tcPr>
          <w:p>
            <w:pPr>
              <w:spacing w:after="0"/>
              <w:rPr>
                <w:sz w:val="23"/>
                <w:szCs w:val="23"/>
                <w:color w:val="auto"/>
              </w:rPr>
            </w:pPr>
          </w:p>
        </w:tc>
        <w:tc>
          <w:tcPr>
            <w:tcW w:w="160" w:type="dxa"/>
            <w:vAlign w:val="bottom"/>
            <w:vMerge w:val="restart"/>
          </w:tcPr>
          <w:p>
            <w:pPr>
              <w:spacing w:after="0"/>
              <w:rPr>
                <w:sz w:val="23"/>
                <w:szCs w:val="23"/>
                <w:color w:val="auto"/>
              </w:rPr>
            </w:pP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3B71"/>
              </w:rPr>
              <w:t>13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16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4380" w:type="dxa"/>
            <w:vAlign w:val="bottom"/>
            <w:gridSpan w:val="3"/>
          </w:tcPr>
          <w:p>
            <w:pPr>
              <w:ind w:left="1020"/>
              <w:spacing w:after="0"/>
              <w:rPr>
                <w:sz w:val="20"/>
                <w:szCs w:val="20"/>
                <w:color w:val="auto"/>
              </w:rPr>
            </w:pPr>
            <w:r>
              <w:rPr>
                <w:rFonts w:ascii="Arial" w:cs="Arial" w:eastAsia="Arial" w:hAnsi="Arial"/>
                <w:sz w:val="20"/>
                <w:szCs w:val="20"/>
                <w:b w:val="1"/>
                <w:bCs w:val="1"/>
                <w:color w:val="003B71"/>
              </w:rPr>
              <w:t>Proposal 1: Election of Directors</w:t>
            </w:r>
          </w:p>
        </w:tc>
        <w:tc>
          <w:tcPr>
            <w:tcW w:w="0" w:type="dxa"/>
            <w:vAlign w:val="bottom"/>
          </w:tcPr>
          <w:p>
            <w:pPr>
              <w:spacing w:after="0"/>
              <w:rPr>
                <w:sz w:val="1"/>
                <w:szCs w:val="1"/>
                <w:color w:val="auto"/>
              </w:rPr>
            </w:pPr>
          </w:p>
        </w:tc>
      </w:tr>
      <w:tr>
        <w:trPr>
          <w:trHeight w:val="90"/>
        </w:trPr>
        <w:tc>
          <w:tcPr>
            <w:tcW w:w="2300" w:type="dxa"/>
            <w:vAlign w:val="bottom"/>
            <w:tcBorders>
              <w:bottom w:val="single" w:sz="8" w:color="003B71"/>
            </w:tcBorders>
          </w:tcPr>
          <w:p>
            <w:pPr>
              <w:spacing w:after="0"/>
              <w:rPr>
                <w:sz w:val="7"/>
                <w:szCs w:val="7"/>
                <w:color w:val="auto"/>
              </w:rPr>
            </w:pPr>
          </w:p>
        </w:tc>
        <w:tc>
          <w:tcPr>
            <w:tcW w:w="20" w:type="dxa"/>
            <w:vAlign w:val="bottom"/>
            <w:tcBorders>
              <w:bottom w:val="single" w:sz="8" w:color="003B71"/>
            </w:tcBorders>
          </w:tcPr>
          <w:p>
            <w:pPr>
              <w:spacing w:after="0"/>
              <w:rPr>
                <w:sz w:val="7"/>
                <w:szCs w:val="7"/>
                <w:color w:val="auto"/>
              </w:rPr>
            </w:pPr>
          </w:p>
        </w:tc>
        <w:tc>
          <w:tcPr>
            <w:tcW w:w="4380" w:type="dxa"/>
            <w:vAlign w:val="bottom"/>
            <w:tcBorders>
              <w:bottom w:val="single" w:sz="8" w:color="003B71"/>
            </w:tcBorders>
          </w:tcPr>
          <w:p>
            <w:pPr>
              <w:spacing w:after="0"/>
              <w:rPr>
                <w:sz w:val="7"/>
                <w:szCs w:val="7"/>
                <w:color w:val="auto"/>
              </w:rPr>
            </w:pPr>
          </w:p>
        </w:tc>
        <w:tc>
          <w:tcPr>
            <w:tcW w:w="4200" w:type="dxa"/>
            <w:vAlign w:val="bottom"/>
            <w:tcBorders>
              <w:bottom w:val="single" w:sz="8" w:color="003B71"/>
            </w:tcBorders>
          </w:tcPr>
          <w:p>
            <w:pPr>
              <w:spacing w:after="0"/>
              <w:rPr>
                <w:sz w:val="7"/>
                <w:szCs w:val="7"/>
                <w:color w:val="auto"/>
              </w:rPr>
            </w:pPr>
          </w:p>
        </w:tc>
        <w:tc>
          <w:tcPr>
            <w:tcW w:w="120" w:type="dxa"/>
            <w:vAlign w:val="bottom"/>
            <w:tcBorders>
              <w:bottom w:val="single" w:sz="8" w:color="003B71"/>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30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003B71"/>
              </w:rPr>
              <w:t>Allison H. Mnookin</w:t>
            </w:r>
          </w:p>
        </w:tc>
        <w:tc>
          <w:tcPr>
            <w:tcW w:w="20" w:type="dxa"/>
            <w:vAlign w:val="bottom"/>
          </w:tcPr>
          <w:p>
            <w:pPr>
              <w:spacing w:after="0"/>
              <w:rPr>
                <w:sz w:val="24"/>
                <w:szCs w:val="24"/>
                <w:color w:val="auto"/>
              </w:rPr>
            </w:pPr>
          </w:p>
        </w:tc>
        <w:tc>
          <w:tcPr>
            <w:tcW w:w="438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BACKGROUND</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300" w:type="dxa"/>
            <w:vAlign w:val="bottom"/>
            <w:vMerge w:val="continue"/>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438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Age 49</w:t>
            </w:r>
          </w:p>
        </w:tc>
        <w:tc>
          <w:tcPr>
            <w:tcW w:w="20" w:type="dxa"/>
            <w:vAlign w:val="bottom"/>
            <w:tcBorders>
              <w:bottom w:val="single" w:sz="8" w:color="003B71"/>
            </w:tcBorders>
            <w:shd w:val="clear" w:color="auto" w:fill="003B71"/>
          </w:tcPr>
          <w:p>
            <w:pPr>
              <w:spacing w:after="0"/>
              <w:rPr>
                <w:sz w:val="5"/>
                <w:szCs w:val="5"/>
                <w:color w:val="auto"/>
              </w:rPr>
            </w:pPr>
          </w:p>
        </w:tc>
        <w:tc>
          <w:tcPr>
            <w:tcW w:w="4380" w:type="dxa"/>
            <w:vAlign w:val="bottom"/>
            <w:tcBorders>
              <w:bottom w:val="single" w:sz="8" w:color="003B71"/>
            </w:tcBorders>
          </w:tcPr>
          <w:p>
            <w:pPr>
              <w:spacing w:after="0"/>
              <w:rPr>
                <w:sz w:val="5"/>
                <w:szCs w:val="5"/>
                <w:color w:val="auto"/>
              </w:rPr>
            </w:pPr>
          </w:p>
        </w:tc>
        <w:tc>
          <w:tcPr>
            <w:tcW w:w="4200" w:type="dxa"/>
            <w:vAlign w:val="bottom"/>
            <w:tcBorders>
              <w:bottom w:val="single" w:sz="8" w:color="003B71"/>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00" w:type="dxa"/>
            <w:vAlign w:val="bottom"/>
            <w:vMerge w:val="continue"/>
          </w:tcPr>
          <w:p>
            <w:pPr>
              <w:spacing w:after="0"/>
              <w:rPr>
                <w:sz w:val="24"/>
                <w:szCs w:val="24"/>
                <w:color w:val="auto"/>
              </w:rPr>
            </w:pPr>
          </w:p>
        </w:tc>
        <w:tc>
          <w:tcPr>
            <w:tcW w:w="20" w:type="dxa"/>
            <w:vAlign w:val="bottom"/>
            <w:shd w:val="clear" w:color="auto" w:fill="003B71"/>
          </w:tcPr>
          <w:p>
            <w:pPr>
              <w:spacing w:after="0"/>
              <w:rPr>
                <w:sz w:val="24"/>
                <w:szCs w:val="24"/>
                <w:color w:val="auto"/>
              </w:rPr>
            </w:pPr>
          </w:p>
        </w:tc>
        <w:tc>
          <w:tcPr>
            <w:tcW w:w="4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300" w:type="dxa"/>
            <w:vAlign w:val="bottom"/>
          </w:tcPr>
          <w:p>
            <w:pPr>
              <w:ind w:left="100"/>
              <w:spacing w:after="0"/>
              <w:rPr>
                <w:sz w:val="20"/>
                <w:szCs w:val="20"/>
                <w:color w:val="auto"/>
              </w:rPr>
            </w:pPr>
            <w:r>
              <w:rPr>
                <w:rFonts w:ascii="Arial" w:cs="Arial" w:eastAsia="Arial" w:hAnsi="Arial"/>
                <w:sz w:val="18"/>
                <w:szCs w:val="18"/>
                <w:color w:val="auto"/>
              </w:rPr>
              <w:t>Director Since 2018</w:t>
            </w:r>
          </w:p>
        </w:tc>
        <w:tc>
          <w:tcPr>
            <w:tcW w:w="20" w:type="dxa"/>
            <w:vAlign w:val="bottom"/>
            <w:shd w:val="clear" w:color="auto" w:fill="003B71"/>
          </w:tcPr>
          <w:p>
            <w:pPr>
              <w:spacing w:after="0"/>
              <w:rPr>
                <w:sz w:val="24"/>
                <w:szCs w:val="24"/>
                <w:color w:val="auto"/>
              </w:rPr>
            </w:pPr>
          </w:p>
        </w:tc>
        <w:tc>
          <w:tcPr>
            <w:tcW w:w="8700" w:type="dxa"/>
            <w:vAlign w:val="bottom"/>
            <w:gridSpan w:val="3"/>
          </w:tcPr>
          <w:p>
            <w:pPr>
              <w:ind w:left="80"/>
              <w:spacing w:after="0"/>
              <w:rPr>
                <w:sz w:val="20"/>
                <w:szCs w:val="20"/>
                <w:color w:val="auto"/>
              </w:rPr>
            </w:pPr>
            <w:r>
              <w:rPr>
                <w:rFonts w:ascii="Arial" w:cs="Arial" w:eastAsia="Arial" w:hAnsi="Arial"/>
                <w:sz w:val="18"/>
                <w:szCs w:val="18"/>
                <w:color w:val="auto"/>
              </w:rPr>
              <w:t>Ms. Mnookin is a senior lecturer of business administration in the technology and operations management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Independent</w:t>
            </w: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unit at the Harvard Business School. From April 2016 to November 2016, Ms. Mnookin served as the chief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 w:type="dxa"/>
            <w:vAlign w:val="bottom"/>
            <w:shd w:val="clear" w:color="auto" w:fill="003B71"/>
          </w:tcPr>
          <w:p>
            <w:pPr>
              <w:spacing w:after="0"/>
              <w:rPr>
                <w:sz w:val="10"/>
                <w:szCs w:val="10"/>
                <w:color w:val="auto"/>
              </w:rPr>
            </w:pPr>
          </w:p>
        </w:tc>
        <w:tc>
          <w:tcPr>
            <w:tcW w:w="870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auto"/>
              </w:rPr>
              <w:t>executive officer of QuickBase, Inc. (“QuickBase”), a provider of online application software which was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20" w:type="dxa"/>
            <w:vAlign w:val="bottom"/>
            <w:shd w:val="clear" w:color="auto" w:fill="003B71"/>
          </w:tcPr>
          <w:p>
            <w:pPr>
              <w:spacing w:after="0"/>
              <w:rPr>
                <w:sz w:val="6"/>
                <w:szCs w:val="6"/>
                <w:color w:val="auto"/>
              </w:rPr>
            </w:pPr>
          </w:p>
        </w:tc>
        <w:tc>
          <w:tcPr>
            <w:tcW w:w="87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spun-off by Intuit, Inc., a business and financial software company, in 2016. Ms. Mnookin was an employee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Committees:</w:t>
            </w: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of Intuit from 1998 to 2016 and held roles of increasing responsibility over time, including vice president and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9"/>
              </w:rPr>
              <w:t>general manager of Intuit’s QuickBase business from July 2010 to March 2016. She also served as a director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of Quartz Holding Company, the holding company of QuickBase from November 2016 until its sale in April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 w:type="dxa"/>
            <w:vAlign w:val="bottom"/>
            <w:shd w:val="clear" w:color="auto" w:fill="003B71"/>
          </w:tcPr>
          <w:p>
            <w:pPr>
              <w:spacing w:after="0"/>
              <w:rPr>
                <w:sz w:val="10"/>
                <w:szCs w:val="10"/>
                <w:color w:val="auto"/>
              </w:rPr>
            </w:pPr>
          </w:p>
        </w:tc>
        <w:tc>
          <w:tcPr>
            <w:tcW w:w="870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auto"/>
              </w:rPr>
              <w:t>2019. Prior to joining Intuit, she held several sales and product marketing positions with Oracle Corporation.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Committee</w:t>
            </w:r>
          </w:p>
        </w:tc>
        <w:tc>
          <w:tcPr>
            <w:tcW w:w="20" w:type="dxa"/>
            <w:vAlign w:val="bottom"/>
            <w:shd w:val="clear" w:color="auto" w:fill="003B71"/>
          </w:tcPr>
          <w:p>
            <w:pPr>
              <w:spacing w:after="0"/>
              <w:rPr>
                <w:sz w:val="7"/>
                <w:szCs w:val="7"/>
                <w:color w:val="auto"/>
              </w:rPr>
            </w:pPr>
          </w:p>
        </w:tc>
        <w:tc>
          <w:tcPr>
            <w:tcW w:w="8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300" w:type="dxa"/>
            <w:vAlign w:val="bottom"/>
            <w:vMerge w:val="continue"/>
          </w:tcPr>
          <w:p>
            <w:pPr>
              <w:spacing w:after="0"/>
              <w:rPr>
                <w:sz w:val="11"/>
                <w:szCs w:val="11"/>
                <w:color w:val="auto"/>
              </w:rPr>
            </w:pPr>
          </w:p>
        </w:tc>
        <w:tc>
          <w:tcPr>
            <w:tcW w:w="20" w:type="dxa"/>
            <w:vAlign w:val="bottom"/>
            <w:shd w:val="clear" w:color="auto" w:fill="003B71"/>
          </w:tcPr>
          <w:p>
            <w:pPr>
              <w:spacing w:after="0"/>
              <w:rPr>
                <w:sz w:val="11"/>
                <w:szCs w:val="11"/>
                <w:color w:val="auto"/>
              </w:rPr>
            </w:pPr>
          </w:p>
        </w:tc>
        <w:tc>
          <w:tcPr>
            <w:tcW w:w="8700" w:type="dxa"/>
            <w:vAlign w:val="bottom"/>
            <w:gridSpan w:val="3"/>
            <w:vMerge w:val="restart"/>
          </w:tcPr>
          <w:p>
            <w:pPr>
              <w:ind w:left="80"/>
              <w:spacing w:after="0" w:line="202" w:lineRule="exact"/>
              <w:rPr>
                <w:sz w:val="20"/>
                <w:szCs w:val="20"/>
                <w:color w:val="auto"/>
              </w:rPr>
            </w:pPr>
            <w:r>
              <w:rPr>
                <w:rFonts w:ascii="Arial" w:cs="Arial" w:eastAsia="Arial" w:hAnsi="Arial"/>
                <w:sz w:val="18"/>
                <w:szCs w:val="18"/>
                <w:color w:val="auto"/>
                <w:w w:val="99"/>
              </w:rPr>
              <w:t>Ms. Mnookin received her A.B. with honors from Harvard College and her M.B.A. from the Harvard Business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20" w:type="dxa"/>
            <w:vAlign w:val="bottom"/>
            <w:shd w:val="clear" w:color="auto" w:fill="003B71"/>
          </w:tcPr>
          <w:p>
            <w:pPr>
              <w:spacing w:after="0"/>
              <w:rPr>
                <w:sz w:val="5"/>
                <w:szCs w:val="5"/>
                <w:color w:val="auto"/>
              </w:rPr>
            </w:pPr>
          </w:p>
        </w:tc>
        <w:tc>
          <w:tcPr>
            <w:tcW w:w="8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00"/>
              <w:spacing w:after="0"/>
              <w:rPr>
                <w:sz w:val="20"/>
                <w:szCs w:val="20"/>
                <w:color w:val="auto"/>
              </w:rPr>
            </w:pPr>
            <w:r>
              <w:rPr>
                <w:rFonts w:ascii="Arial" w:cs="Arial" w:eastAsia="Arial" w:hAnsi="Arial"/>
                <w:sz w:val="18"/>
                <w:szCs w:val="18"/>
                <w:color w:val="auto"/>
              </w:rPr>
              <w:t>Nominating and</w:t>
            </w:r>
          </w:p>
        </w:tc>
        <w:tc>
          <w:tcPr>
            <w:tcW w:w="20" w:type="dxa"/>
            <w:vAlign w:val="bottom"/>
            <w:shd w:val="clear" w:color="auto" w:fill="003B71"/>
          </w:tcPr>
          <w:p>
            <w:pPr>
              <w:spacing w:after="0"/>
              <w:rPr>
                <w:sz w:val="21"/>
                <w:szCs w:val="21"/>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School.</w:t>
            </w: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Pr>
          <w:p>
            <w:pPr>
              <w:ind w:left="100"/>
              <w:spacing w:after="0"/>
              <w:rPr>
                <w:sz w:val="20"/>
                <w:szCs w:val="20"/>
                <w:color w:val="auto"/>
              </w:rPr>
            </w:pPr>
            <w:r>
              <w:rPr>
                <w:rFonts w:ascii="Arial" w:cs="Arial" w:eastAsia="Arial" w:hAnsi="Arial"/>
                <w:sz w:val="18"/>
                <w:szCs w:val="18"/>
                <w:color w:val="auto"/>
              </w:rPr>
              <w:t>Governance Committee</w:t>
            </w:r>
          </w:p>
        </w:tc>
        <w:tc>
          <w:tcPr>
            <w:tcW w:w="20" w:type="dxa"/>
            <w:vAlign w:val="bottom"/>
            <w:shd w:val="clear" w:color="auto" w:fill="003B71"/>
          </w:tcPr>
          <w:p>
            <w:pPr>
              <w:spacing w:after="0"/>
              <w:rPr>
                <w:sz w:val="18"/>
                <w:szCs w:val="18"/>
                <w:color w:val="auto"/>
              </w:rPr>
            </w:pPr>
          </w:p>
        </w:tc>
        <w:tc>
          <w:tcPr>
            <w:tcW w:w="438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QUALIFICATIONS</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438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30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8580" w:type="dxa"/>
            <w:vAlign w:val="bottom"/>
            <w:tcBorders>
              <w:bottom w:val="single" w:sz="8" w:color="003B71"/>
            </w:tcBorders>
            <w:gridSpan w:val="2"/>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300" w:type="dxa"/>
            <w:vAlign w:val="bottom"/>
          </w:tcPr>
          <w:p>
            <w:pPr>
              <w:spacing w:after="0"/>
              <w:rPr>
                <w:sz w:val="22"/>
                <w:szCs w:val="22"/>
                <w:color w:val="auto"/>
              </w:rPr>
            </w:pPr>
          </w:p>
        </w:tc>
        <w:tc>
          <w:tcPr>
            <w:tcW w:w="20" w:type="dxa"/>
            <w:vAlign w:val="bottom"/>
            <w:shd w:val="clear" w:color="auto" w:fill="003B71"/>
          </w:tcPr>
          <w:p>
            <w:pPr>
              <w:spacing w:after="0"/>
              <w:rPr>
                <w:sz w:val="22"/>
                <w:szCs w:val="22"/>
                <w:color w:val="auto"/>
              </w:rPr>
            </w:pPr>
          </w:p>
        </w:tc>
        <w:tc>
          <w:tcPr>
            <w:tcW w:w="8700" w:type="dxa"/>
            <w:vAlign w:val="bottom"/>
            <w:gridSpan w:val="3"/>
          </w:tcPr>
          <w:p>
            <w:pPr>
              <w:ind w:left="80"/>
              <w:spacing w:after="0"/>
              <w:rPr>
                <w:sz w:val="20"/>
                <w:szCs w:val="20"/>
                <w:color w:val="auto"/>
              </w:rPr>
            </w:pPr>
            <w:r>
              <w:rPr>
                <w:rFonts w:ascii="Arial" w:cs="Arial" w:eastAsia="Arial" w:hAnsi="Arial"/>
                <w:sz w:val="18"/>
                <w:szCs w:val="18"/>
                <w:color w:val="auto"/>
              </w:rPr>
              <w:t>Ms. Mnookin’s pertinent qualifications include her 20-year career in the technology industry, including</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9"/>
              </w:rPr>
              <w:t>executive leadership of high-growth cloud and business software companies, as well as service as a director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of Bill.com, a public company that provides cloud-based software to simplify and automate back-office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financial  transactions  for  small-  and  mid-sized  businesses.  These  experiences,  including  general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management in Intuit’s small business division where she was responsible for leading a portfolio of Intuit’s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business products, shaped her understanding of how businesses have transformed their technologies to</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increase strategic advantage.</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4"/>
        </w:trPr>
        <w:tc>
          <w:tcPr>
            <w:tcW w:w="2300" w:type="dxa"/>
            <w:vAlign w:val="bottom"/>
          </w:tcPr>
          <w:p>
            <w:pPr>
              <w:spacing w:after="0"/>
              <w:rPr>
                <w:sz w:val="24"/>
                <w:szCs w:val="24"/>
                <w:color w:val="auto"/>
              </w:rPr>
            </w:pPr>
          </w:p>
        </w:tc>
        <w:tc>
          <w:tcPr>
            <w:tcW w:w="20" w:type="dxa"/>
            <w:vAlign w:val="bottom"/>
            <w:shd w:val="clear" w:color="auto" w:fill="003B71"/>
          </w:tcPr>
          <w:p>
            <w:pPr>
              <w:spacing w:after="0"/>
              <w:rPr>
                <w:sz w:val="24"/>
                <w:szCs w:val="24"/>
                <w:color w:val="auto"/>
              </w:rPr>
            </w:pPr>
          </w:p>
        </w:tc>
        <w:tc>
          <w:tcPr>
            <w:tcW w:w="4380" w:type="dxa"/>
            <w:vAlign w:val="bottom"/>
          </w:tcPr>
          <w:p>
            <w:pPr>
              <w:ind w:left="80"/>
              <w:spacing w:after="0"/>
              <w:rPr>
                <w:sz w:val="20"/>
                <w:szCs w:val="20"/>
                <w:color w:val="auto"/>
              </w:rPr>
            </w:pPr>
            <w:r>
              <w:rPr>
                <w:rFonts w:ascii="Arial" w:cs="Arial" w:eastAsia="Arial" w:hAnsi="Arial"/>
                <w:sz w:val="19"/>
                <w:szCs w:val="19"/>
                <w:b w:val="1"/>
                <w:bCs w:val="1"/>
                <w:color w:val="003B71"/>
              </w:rPr>
              <w:t>OTHER PUBLIC COMPANY BOARDS</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4380" w:type="dxa"/>
            <w:vAlign w:val="bottom"/>
            <w:tcBorders>
              <w:bottom w:val="single" w:sz="8" w:color="003B71"/>
            </w:tcBorders>
          </w:tcPr>
          <w:p>
            <w:pPr>
              <w:spacing w:after="0"/>
              <w:rPr>
                <w:sz w:val="5"/>
                <w:szCs w:val="5"/>
                <w:color w:val="auto"/>
              </w:rPr>
            </w:pPr>
          </w:p>
        </w:tc>
        <w:tc>
          <w:tcPr>
            <w:tcW w:w="4200" w:type="dxa"/>
            <w:vAlign w:val="bottom"/>
            <w:tcBorders>
              <w:bottom w:val="single" w:sz="8" w:color="003B71"/>
            </w:tcBorders>
          </w:tcPr>
          <w:p>
            <w:pPr>
              <w:spacing w:after="0"/>
              <w:rPr>
                <w:sz w:val="5"/>
                <w:szCs w:val="5"/>
                <w:color w:val="auto"/>
              </w:rPr>
            </w:pPr>
          </w:p>
        </w:tc>
        <w:tc>
          <w:tcPr>
            <w:tcW w:w="18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20" w:type="dxa"/>
            <w:vAlign w:val="bottom"/>
            <w:shd w:val="clear" w:color="auto" w:fill="003B71"/>
          </w:tcPr>
          <w:p>
            <w:pPr>
              <w:spacing w:after="0"/>
              <w:rPr>
                <w:sz w:val="16"/>
                <w:szCs w:val="16"/>
                <w:color w:val="auto"/>
              </w:rPr>
            </w:pPr>
          </w:p>
        </w:tc>
        <w:tc>
          <w:tcPr>
            <w:tcW w:w="4380" w:type="dxa"/>
            <w:vAlign w:val="bottom"/>
          </w:tcPr>
          <w:p>
            <w:pPr>
              <w:ind w:left="1940"/>
              <w:spacing w:after="0" w:line="195" w:lineRule="exact"/>
              <w:rPr>
                <w:sz w:val="20"/>
                <w:szCs w:val="20"/>
                <w:color w:val="auto"/>
              </w:rPr>
            </w:pPr>
            <w:r>
              <w:rPr>
                <w:rFonts w:ascii="Arial" w:cs="Arial" w:eastAsia="Arial" w:hAnsi="Arial"/>
                <w:sz w:val="18"/>
                <w:szCs w:val="18"/>
                <w:b w:val="1"/>
                <w:bCs w:val="1"/>
                <w:color w:val="auto"/>
              </w:rPr>
              <w:t>Current</w:t>
            </w:r>
          </w:p>
        </w:tc>
        <w:tc>
          <w:tcPr>
            <w:tcW w:w="4200" w:type="dxa"/>
            <w:vAlign w:val="bottom"/>
          </w:tcPr>
          <w:p>
            <w:pPr>
              <w:jc w:val="center"/>
              <w:ind w:left="87"/>
              <w:spacing w:after="0" w:line="195" w:lineRule="exact"/>
              <w:rPr>
                <w:sz w:val="20"/>
                <w:szCs w:val="20"/>
                <w:color w:val="auto"/>
              </w:rPr>
            </w:pPr>
            <w:r>
              <w:rPr>
                <w:rFonts w:ascii="Arial" w:cs="Arial" w:eastAsia="Arial" w:hAnsi="Arial"/>
                <w:sz w:val="18"/>
                <w:szCs w:val="18"/>
                <w:b w:val="1"/>
                <w:bCs w:val="1"/>
                <w:color w:val="auto"/>
                <w:w w:val="98"/>
              </w:rPr>
              <w:t>Past 5 Years</w:t>
            </w: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4380" w:type="dxa"/>
            <w:vAlign w:val="bottom"/>
          </w:tcPr>
          <w:p>
            <w:pPr>
              <w:ind w:left="1940"/>
              <w:spacing w:after="0"/>
              <w:rPr>
                <w:sz w:val="20"/>
                <w:szCs w:val="20"/>
                <w:color w:val="auto"/>
              </w:rPr>
            </w:pPr>
            <w:r>
              <w:rPr>
                <w:rFonts w:ascii="Arial" w:cs="Arial" w:eastAsia="Arial" w:hAnsi="Arial"/>
                <w:sz w:val="18"/>
                <w:szCs w:val="18"/>
                <w:color w:val="auto"/>
              </w:rPr>
              <w:t>Bill.com</w:t>
            </w:r>
          </w:p>
        </w:tc>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9"/>
              </w:rPr>
              <w:t>Fleetmatics Group PLC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-3771265</wp:posOffset>
            </wp:positionV>
            <wp:extent cx="6995160" cy="384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3848735"/>
                    </a:xfrm>
                    <a:prstGeom prst="rect">
                      <a:avLst/>
                    </a:prstGeom>
                    <a:noFill/>
                  </pic:spPr>
                </pic:pic>
              </a:graphicData>
            </a:graphic>
          </wp:anchor>
        </w:drawing>
      </w:r>
    </w:p>
    <w:p>
      <w:pPr>
        <w:spacing w:after="0" w:line="227" w:lineRule="exact"/>
        <w:rPr>
          <w:sz w:val="20"/>
          <w:szCs w:val="20"/>
          <w:color w:val="auto"/>
        </w:rPr>
      </w:pPr>
    </w:p>
    <w:p>
      <w:pPr>
        <w:ind w:left="960" w:hanging="700"/>
        <w:spacing w:after="0"/>
        <w:tabs>
          <w:tab w:leader="none" w:pos="960" w:val="left"/>
        </w:tabs>
        <w:numPr>
          <w:ilvl w:val="0"/>
          <w:numId w:val="9"/>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3720" w:type="dxa"/>
            <w:vAlign w:val="bottom"/>
            <w:gridSpan w:val="4"/>
          </w:tcPr>
          <w:p>
            <w:pPr>
              <w:ind w:left="360"/>
              <w:spacing w:after="0"/>
              <w:rPr>
                <w:sz w:val="20"/>
                <w:szCs w:val="20"/>
                <w:color w:val="auto"/>
              </w:rPr>
            </w:pPr>
            <w:r>
              <w:rPr>
                <w:rFonts w:ascii="Arial" w:cs="Arial" w:eastAsia="Arial" w:hAnsi="Arial"/>
                <w:sz w:val="20"/>
                <w:szCs w:val="20"/>
                <w:b w:val="1"/>
                <w:bCs w:val="1"/>
                <w:color w:val="003B71"/>
              </w:rPr>
              <w:t>Proposal 1: Election of Directors</w:t>
            </w:r>
          </w:p>
        </w:tc>
        <w:tc>
          <w:tcPr>
            <w:tcW w:w="0" w:type="dxa"/>
            <w:vAlign w:val="bottom"/>
          </w:tcPr>
          <w:p>
            <w:pPr>
              <w:spacing w:after="0"/>
              <w:rPr>
                <w:sz w:val="1"/>
                <w:szCs w:val="1"/>
                <w:color w:val="auto"/>
              </w:rPr>
            </w:pPr>
          </w:p>
        </w:tc>
      </w:tr>
      <w:tr>
        <w:trPr>
          <w:trHeight w:val="90"/>
        </w:trPr>
        <w:tc>
          <w:tcPr>
            <w:tcW w:w="2300" w:type="dxa"/>
            <w:vAlign w:val="bottom"/>
            <w:tcBorders>
              <w:bottom w:val="single" w:sz="8" w:color="003B71"/>
            </w:tcBorders>
          </w:tcPr>
          <w:p>
            <w:pPr>
              <w:spacing w:after="0"/>
              <w:rPr>
                <w:sz w:val="7"/>
                <w:szCs w:val="7"/>
                <w:color w:val="auto"/>
              </w:rPr>
            </w:pPr>
          </w:p>
        </w:tc>
        <w:tc>
          <w:tcPr>
            <w:tcW w:w="20" w:type="dxa"/>
            <w:vAlign w:val="bottom"/>
            <w:tcBorders>
              <w:bottom w:val="single" w:sz="8" w:color="003B71"/>
            </w:tcBorders>
          </w:tcPr>
          <w:p>
            <w:pPr>
              <w:spacing w:after="0"/>
              <w:rPr>
                <w:sz w:val="7"/>
                <w:szCs w:val="7"/>
                <w:color w:val="auto"/>
              </w:rPr>
            </w:pPr>
          </w:p>
        </w:tc>
        <w:tc>
          <w:tcPr>
            <w:tcW w:w="5040" w:type="dxa"/>
            <w:vAlign w:val="bottom"/>
            <w:tcBorders>
              <w:bottom w:val="single" w:sz="8" w:color="003B71"/>
            </w:tcBorders>
          </w:tcPr>
          <w:p>
            <w:pPr>
              <w:spacing w:after="0"/>
              <w:rPr>
                <w:sz w:val="7"/>
                <w:szCs w:val="7"/>
                <w:color w:val="auto"/>
              </w:rPr>
            </w:pPr>
          </w:p>
        </w:tc>
        <w:tc>
          <w:tcPr>
            <w:tcW w:w="3480" w:type="dxa"/>
            <w:vAlign w:val="bottom"/>
            <w:tcBorders>
              <w:bottom w:val="single" w:sz="8" w:color="003B71"/>
            </w:tcBorders>
          </w:tcPr>
          <w:p>
            <w:pPr>
              <w:spacing w:after="0"/>
              <w:rPr>
                <w:sz w:val="7"/>
                <w:szCs w:val="7"/>
                <w:color w:val="auto"/>
              </w:rPr>
            </w:pPr>
          </w:p>
        </w:tc>
        <w:tc>
          <w:tcPr>
            <w:tcW w:w="60" w:type="dxa"/>
            <w:vAlign w:val="bottom"/>
            <w:tcBorders>
              <w:bottom w:val="single" w:sz="8" w:color="003B71"/>
            </w:tcBorders>
          </w:tcPr>
          <w:p>
            <w:pPr>
              <w:spacing w:after="0"/>
              <w:rPr>
                <w:sz w:val="7"/>
                <w:szCs w:val="7"/>
                <w:color w:val="auto"/>
              </w:rPr>
            </w:pPr>
          </w:p>
        </w:tc>
        <w:tc>
          <w:tcPr>
            <w:tcW w:w="120" w:type="dxa"/>
            <w:vAlign w:val="bottom"/>
            <w:tcBorders>
              <w:bottom w:val="single" w:sz="8" w:color="003B71"/>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30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003B71"/>
              </w:rPr>
              <w:t>Anne M. Mulcahy</w:t>
            </w:r>
          </w:p>
        </w:tc>
        <w:tc>
          <w:tcPr>
            <w:tcW w:w="20" w:type="dxa"/>
            <w:vAlign w:val="bottom"/>
          </w:tcPr>
          <w:p>
            <w:pPr>
              <w:spacing w:after="0"/>
              <w:rPr>
                <w:sz w:val="24"/>
                <w:szCs w:val="24"/>
                <w:color w:val="auto"/>
              </w:rPr>
            </w:pPr>
          </w:p>
        </w:tc>
        <w:tc>
          <w:tcPr>
            <w:tcW w:w="504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BACKGROUND</w:t>
            </w: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300" w:type="dxa"/>
            <w:vAlign w:val="bottom"/>
            <w:vMerge w:val="continue"/>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504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8520" w:type="dxa"/>
            <w:vAlign w:val="bottom"/>
            <w:tcBorders>
              <w:bottom w:val="single" w:sz="8" w:color="003B71"/>
            </w:tcBorders>
            <w:gridSpan w:val="2"/>
          </w:tcPr>
          <w:p>
            <w:pPr>
              <w:spacing w:after="0"/>
              <w:rPr>
                <w:sz w:val="5"/>
                <w:szCs w:val="5"/>
                <w:color w:val="auto"/>
              </w:rPr>
            </w:pPr>
          </w:p>
        </w:tc>
        <w:tc>
          <w:tcPr>
            <w:tcW w:w="60" w:type="dxa"/>
            <w:vAlign w:val="bottom"/>
            <w:tcBorders>
              <w:bottom w:val="single" w:sz="8" w:color="003B71"/>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Age 67</w:t>
            </w:r>
          </w:p>
        </w:tc>
        <w:tc>
          <w:tcPr>
            <w:tcW w:w="20" w:type="dxa"/>
            <w:vAlign w:val="bottom"/>
            <w:shd w:val="clear" w:color="auto" w:fill="003B71"/>
          </w:tcPr>
          <w:p>
            <w:pPr>
              <w:spacing w:after="0"/>
              <w:rPr>
                <w:sz w:val="16"/>
                <w:szCs w:val="16"/>
                <w:color w:val="auto"/>
              </w:rPr>
            </w:pPr>
          </w:p>
        </w:tc>
        <w:tc>
          <w:tcPr>
            <w:tcW w:w="870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Ms. Mulcahy served as chair of the board of trustees of Save The Children Federation, Inc., a non-profit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 w:type="dxa"/>
            <w:vAlign w:val="bottom"/>
            <w:shd w:val="clear" w:color="auto" w:fill="003B71"/>
          </w:tcPr>
          <w:p>
            <w:pPr>
              <w:spacing w:after="0"/>
              <w:rPr>
                <w:sz w:val="10"/>
                <w:szCs w:val="10"/>
                <w:color w:val="auto"/>
              </w:rPr>
            </w:pPr>
          </w:p>
        </w:tc>
        <w:tc>
          <w:tcPr>
            <w:tcW w:w="8700" w:type="dxa"/>
            <w:vAlign w:val="bottom"/>
            <w:gridSpan w:val="4"/>
            <w:vMerge w:val="restart"/>
          </w:tcPr>
          <w:p>
            <w:pPr>
              <w:ind w:left="80"/>
              <w:spacing w:after="0" w:line="202" w:lineRule="exact"/>
              <w:rPr>
                <w:sz w:val="20"/>
                <w:szCs w:val="20"/>
                <w:color w:val="auto"/>
              </w:rPr>
            </w:pPr>
            <w:r>
              <w:rPr>
                <w:rFonts w:ascii="Arial" w:cs="Arial" w:eastAsia="Arial" w:hAnsi="Arial"/>
                <w:sz w:val="18"/>
                <w:szCs w:val="18"/>
                <w:color w:val="auto"/>
              </w:rPr>
              <w:t>organization dedicated to creating lasting change in the lives of children throughout the world, from March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20" w:type="dxa"/>
            <w:vAlign w:val="bottom"/>
            <w:shd w:val="clear" w:color="auto" w:fill="003B71"/>
          </w:tcPr>
          <w:p>
            <w:pPr>
              <w:spacing w:after="0"/>
              <w:rPr>
                <w:sz w:val="6"/>
                <w:szCs w:val="6"/>
                <w:color w:val="auto"/>
              </w:rPr>
            </w:pPr>
          </w:p>
        </w:tc>
        <w:tc>
          <w:tcPr>
            <w:tcW w:w="87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00"/>
              <w:spacing w:after="0" w:line="202" w:lineRule="exact"/>
              <w:rPr>
                <w:sz w:val="20"/>
                <w:szCs w:val="20"/>
                <w:color w:val="auto"/>
              </w:rPr>
            </w:pPr>
            <w:r>
              <w:rPr>
                <w:rFonts w:ascii="Arial" w:cs="Arial" w:eastAsia="Arial" w:hAnsi="Arial"/>
                <w:sz w:val="18"/>
                <w:szCs w:val="18"/>
                <w:color w:val="auto"/>
              </w:rPr>
              <w:t>Director Since 2013</w:t>
            </w:r>
          </w:p>
        </w:tc>
        <w:tc>
          <w:tcPr>
            <w:tcW w:w="20" w:type="dxa"/>
            <w:vAlign w:val="bottom"/>
            <w:shd w:val="clear" w:color="auto" w:fill="003B71"/>
          </w:tcPr>
          <w:p>
            <w:pPr>
              <w:spacing w:after="0"/>
              <w:rPr>
                <w:sz w:val="17"/>
                <w:szCs w:val="17"/>
                <w:color w:val="auto"/>
              </w:rPr>
            </w:pPr>
          </w:p>
        </w:tc>
        <w:tc>
          <w:tcPr>
            <w:tcW w:w="87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2010 to February 2017. She previously served as chair of the board of Xerox Corporation (“Xerox”), a global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Independent</w:t>
            </w:r>
          </w:p>
        </w:tc>
        <w:tc>
          <w:tcPr>
            <w:tcW w:w="20" w:type="dxa"/>
            <w:vAlign w:val="bottom"/>
            <w:shd w:val="clear" w:color="auto" w:fill="003B71"/>
          </w:tcPr>
          <w:p>
            <w:pPr>
              <w:spacing w:after="0"/>
              <w:rPr>
                <w:sz w:val="17"/>
                <w:szCs w:val="17"/>
                <w:color w:val="auto"/>
              </w:rPr>
            </w:pPr>
          </w:p>
        </w:tc>
        <w:tc>
          <w:tcPr>
            <w:tcW w:w="87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business services and document technology provider, from January 2002 to May 2010, and chief executive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vMerge w:val="continue"/>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00" w:type="dxa"/>
            <w:vAlign w:val="bottom"/>
            <w:gridSpan w:val="4"/>
          </w:tcPr>
          <w:p>
            <w:pPr>
              <w:ind w:left="80"/>
              <w:spacing w:after="0" w:line="202" w:lineRule="exact"/>
              <w:rPr>
                <w:sz w:val="20"/>
                <w:szCs w:val="20"/>
                <w:color w:val="auto"/>
              </w:rPr>
            </w:pPr>
            <w:r>
              <w:rPr>
                <w:rFonts w:ascii="Arial" w:cs="Arial" w:eastAsia="Arial" w:hAnsi="Arial"/>
                <w:sz w:val="18"/>
                <w:szCs w:val="18"/>
                <w:color w:val="auto"/>
                <w:w w:val="99"/>
              </w:rPr>
              <w:t>officer of Xerox from August 2001 to July 2009. Prior to serving as a chief executive officer, Ms. Mulcahy was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876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president and chief operating officer of Xerox. Ms. Mulcahy received a B.A. from Marymount College of</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Fordham University.</w:t>
            </w:r>
          </w:p>
        </w:tc>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Committees:</w:t>
            </w:r>
          </w:p>
        </w:tc>
        <w:tc>
          <w:tcPr>
            <w:tcW w:w="20" w:type="dxa"/>
            <w:vAlign w:val="bottom"/>
            <w:shd w:val="clear" w:color="auto" w:fill="003B71"/>
          </w:tcPr>
          <w:p>
            <w:pPr>
              <w:spacing w:after="0"/>
              <w:rPr>
                <w:sz w:val="21"/>
                <w:szCs w:val="21"/>
                <w:color w:val="auto"/>
              </w:rPr>
            </w:pPr>
          </w:p>
        </w:tc>
        <w:tc>
          <w:tcPr>
            <w:tcW w:w="5040" w:type="dxa"/>
            <w:vAlign w:val="bottom"/>
            <w:vMerge w:val="restart"/>
          </w:tcPr>
          <w:p>
            <w:pPr>
              <w:ind w:left="80"/>
              <w:spacing w:after="0"/>
              <w:rPr>
                <w:sz w:val="20"/>
                <w:szCs w:val="20"/>
                <w:color w:val="auto"/>
              </w:rPr>
            </w:pPr>
            <w:r>
              <w:rPr>
                <w:rFonts w:ascii="Arial" w:cs="Arial" w:eastAsia="Arial" w:hAnsi="Arial"/>
                <w:sz w:val="19"/>
                <w:szCs w:val="19"/>
                <w:b w:val="1"/>
                <w:bCs w:val="1"/>
                <w:color w:val="003B71"/>
              </w:rPr>
              <w:t>QUALIFICATIONS</w:t>
            </w: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300" w:type="dxa"/>
            <w:vAlign w:val="bottom"/>
            <w:vMerge w:val="restart"/>
          </w:tcPr>
          <w:p>
            <w:pPr>
              <w:ind w:left="10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003B71"/>
          </w:tcPr>
          <w:p>
            <w:pPr>
              <w:spacing w:after="0"/>
              <w:rPr>
                <w:sz w:val="20"/>
                <w:szCs w:val="20"/>
                <w:color w:val="auto"/>
              </w:rPr>
            </w:pPr>
          </w:p>
        </w:tc>
        <w:tc>
          <w:tcPr>
            <w:tcW w:w="504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300" w:type="dxa"/>
            <w:vAlign w:val="bottom"/>
            <w:vMerge w:val="continue"/>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5040" w:type="dxa"/>
            <w:vAlign w:val="bottom"/>
            <w:tcBorders>
              <w:bottom w:val="single" w:sz="8" w:color="003B71"/>
            </w:tcBorders>
          </w:tcPr>
          <w:p>
            <w:pPr>
              <w:spacing w:after="0"/>
              <w:rPr>
                <w:sz w:val="5"/>
                <w:szCs w:val="5"/>
                <w:color w:val="auto"/>
              </w:rPr>
            </w:pPr>
          </w:p>
        </w:tc>
        <w:tc>
          <w:tcPr>
            <w:tcW w:w="3480" w:type="dxa"/>
            <w:vAlign w:val="bottom"/>
            <w:tcBorders>
              <w:bottom w:val="single" w:sz="8" w:color="003B71"/>
            </w:tcBorders>
          </w:tcPr>
          <w:p>
            <w:pPr>
              <w:spacing w:after="0"/>
              <w:rPr>
                <w:sz w:val="5"/>
                <w:szCs w:val="5"/>
                <w:color w:val="auto"/>
              </w:rPr>
            </w:pPr>
          </w:p>
        </w:tc>
        <w:tc>
          <w:tcPr>
            <w:tcW w:w="60" w:type="dxa"/>
            <w:vAlign w:val="bottom"/>
            <w:tcBorders>
              <w:bottom w:val="single" w:sz="8" w:color="003B71"/>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00"/>
              <w:spacing w:after="0"/>
              <w:rPr>
                <w:sz w:val="20"/>
                <w:szCs w:val="20"/>
                <w:color w:val="auto"/>
              </w:rPr>
            </w:pPr>
            <w:r>
              <w:rPr>
                <w:rFonts w:ascii="Arial" w:cs="Arial" w:eastAsia="Arial" w:hAnsi="Arial"/>
                <w:sz w:val="18"/>
                <w:szCs w:val="18"/>
                <w:color w:val="auto"/>
              </w:rPr>
              <w:t>Committee (Chair)</w:t>
            </w:r>
          </w:p>
        </w:tc>
        <w:tc>
          <w:tcPr>
            <w:tcW w:w="20" w:type="dxa"/>
            <w:vAlign w:val="bottom"/>
            <w:shd w:val="clear" w:color="auto" w:fill="003B71"/>
          </w:tcPr>
          <w:p>
            <w:pPr>
              <w:spacing w:after="0"/>
              <w:rPr>
                <w:sz w:val="18"/>
                <w:szCs w:val="18"/>
                <w:color w:val="auto"/>
              </w:rPr>
            </w:pPr>
          </w:p>
        </w:tc>
        <w:tc>
          <w:tcPr>
            <w:tcW w:w="8760" w:type="dxa"/>
            <w:vAlign w:val="bottom"/>
            <w:gridSpan w:val="5"/>
            <w:vMerge w:val="restart"/>
          </w:tcPr>
          <w:p>
            <w:pPr>
              <w:ind w:left="80"/>
              <w:spacing w:after="0"/>
              <w:rPr>
                <w:sz w:val="20"/>
                <w:szCs w:val="20"/>
                <w:color w:val="auto"/>
              </w:rPr>
            </w:pPr>
            <w:r>
              <w:rPr>
                <w:rFonts w:ascii="Arial" w:cs="Arial" w:eastAsia="Arial" w:hAnsi="Arial"/>
                <w:sz w:val="18"/>
                <w:szCs w:val="18"/>
                <w:color w:val="auto"/>
              </w:rPr>
              <w:t>Ms. Mulcahy’s pertinent qualifications include her extensive experience in all areas of business management</w:t>
            </w:r>
          </w:p>
        </w:tc>
        <w:tc>
          <w:tcPr>
            <w:tcW w:w="0" w:type="dxa"/>
            <w:vAlign w:val="bottom"/>
          </w:tcPr>
          <w:p>
            <w:pPr>
              <w:spacing w:after="0"/>
              <w:rPr>
                <w:sz w:val="1"/>
                <w:szCs w:val="1"/>
                <w:color w:val="auto"/>
              </w:rPr>
            </w:pPr>
          </w:p>
        </w:tc>
      </w:tr>
      <w:tr>
        <w:trPr>
          <w:trHeight w:val="53"/>
        </w:trPr>
        <w:tc>
          <w:tcPr>
            <w:tcW w:w="2300" w:type="dxa"/>
            <w:vAlign w:val="bottom"/>
          </w:tcPr>
          <w:p>
            <w:pPr>
              <w:spacing w:after="0"/>
              <w:rPr>
                <w:sz w:val="4"/>
                <w:szCs w:val="4"/>
                <w:color w:val="auto"/>
              </w:rPr>
            </w:pPr>
          </w:p>
        </w:tc>
        <w:tc>
          <w:tcPr>
            <w:tcW w:w="20" w:type="dxa"/>
            <w:vAlign w:val="bottom"/>
            <w:shd w:val="clear" w:color="auto" w:fill="003B71"/>
          </w:tcPr>
          <w:p>
            <w:pPr>
              <w:spacing w:after="0"/>
              <w:rPr>
                <w:sz w:val="4"/>
                <w:szCs w:val="4"/>
                <w:color w:val="auto"/>
              </w:rPr>
            </w:pPr>
          </w:p>
        </w:tc>
        <w:tc>
          <w:tcPr>
            <w:tcW w:w="8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300" w:type="dxa"/>
            <w:vAlign w:val="bottom"/>
          </w:tcPr>
          <w:p>
            <w:pPr>
              <w:ind w:left="100"/>
              <w:spacing w:after="0"/>
              <w:rPr>
                <w:sz w:val="20"/>
                <w:szCs w:val="20"/>
                <w:color w:val="auto"/>
              </w:rPr>
            </w:pPr>
            <w:r>
              <w:rPr>
                <w:rFonts w:ascii="Arial" w:cs="Arial" w:eastAsia="Arial" w:hAnsi="Arial"/>
                <w:sz w:val="18"/>
                <w:szCs w:val="18"/>
                <w:color w:val="auto"/>
              </w:rPr>
              <w:t>Nominating and</w:t>
            </w:r>
          </w:p>
        </w:tc>
        <w:tc>
          <w:tcPr>
            <w:tcW w:w="20" w:type="dxa"/>
            <w:vAlign w:val="bottom"/>
            <w:shd w:val="clear" w:color="auto" w:fill="003B71"/>
          </w:tcPr>
          <w:p>
            <w:pPr>
              <w:spacing w:after="0"/>
              <w:rPr>
                <w:sz w:val="18"/>
                <w:szCs w:val="18"/>
                <w:color w:val="auto"/>
              </w:rPr>
            </w:pPr>
          </w:p>
        </w:tc>
        <w:tc>
          <w:tcPr>
            <w:tcW w:w="8760" w:type="dxa"/>
            <w:vAlign w:val="bottom"/>
            <w:gridSpan w:val="5"/>
          </w:tcPr>
          <w:p>
            <w:pPr>
              <w:ind w:left="80"/>
              <w:spacing w:after="0"/>
              <w:rPr>
                <w:sz w:val="20"/>
                <w:szCs w:val="20"/>
                <w:color w:val="auto"/>
              </w:rPr>
            </w:pPr>
            <w:r>
              <w:rPr>
                <w:rFonts w:ascii="Arial" w:cs="Arial" w:eastAsia="Arial" w:hAnsi="Arial"/>
                <w:sz w:val="18"/>
                <w:szCs w:val="18"/>
                <w:color w:val="auto"/>
              </w:rPr>
              <w:t>and strategic execution as she led Xerox through a transformational turnaround; valuable insights into</w:t>
            </w:r>
          </w:p>
        </w:tc>
        <w:tc>
          <w:tcPr>
            <w:tcW w:w="0" w:type="dxa"/>
            <w:vAlign w:val="bottom"/>
          </w:tcPr>
          <w:p>
            <w:pPr>
              <w:spacing w:after="0"/>
              <w:rPr>
                <w:sz w:val="1"/>
                <w:szCs w:val="1"/>
                <w:color w:val="auto"/>
              </w:rPr>
            </w:pPr>
          </w:p>
        </w:tc>
      </w:tr>
      <w:tr>
        <w:trPr>
          <w:trHeight w:val="203"/>
        </w:trPr>
        <w:tc>
          <w:tcPr>
            <w:tcW w:w="2300" w:type="dxa"/>
            <w:vAlign w:val="bottom"/>
          </w:tcPr>
          <w:p>
            <w:pPr>
              <w:ind w:left="100"/>
              <w:spacing w:after="0" w:line="202" w:lineRule="exact"/>
              <w:rPr>
                <w:sz w:val="20"/>
                <w:szCs w:val="20"/>
                <w:color w:val="auto"/>
              </w:rPr>
            </w:pPr>
            <w:r>
              <w:rPr>
                <w:rFonts w:ascii="Arial" w:cs="Arial" w:eastAsia="Arial" w:hAnsi="Arial"/>
                <w:sz w:val="18"/>
                <w:szCs w:val="18"/>
                <w:color w:val="auto"/>
              </w:rPr>
              <w:t>Governance</w:t>
            </w:r>
          </w:p>
        </w:tc>
        <w:tc>
          <w:tcPr>
            <w:tcW w:w="20" w:type="dxa"/>
            <w:vAlign w:val="bottom"/>
            <w:shd w:val="clear" w:color="auto" w:fill="003B71"/>
          </w:tcPr>
          <w:p>
            <w:pPr>
              <w:spacing w:after="0"/>
              <w:rPr>
                <w:sz w:val="17"/>
                <w:szCs w:val="17"/>
                <w:color w:val="auto"/>
              </w:rPr>
            </w:pPr>
          </w:p>
        </w:tc>
        <w:tc>
          <w:tcPr>
            <w:tcW w:w="876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organizational and operational management issues, including business innovation, financial management</w:t>
            </w:r>
          </w:p>
        </w:tc>
        <w:tc>
          <w:tcPr>
            <w:tcW w:w="0" w:type="dxa"/>
            <w:vAlign w:val="bottom"/>
          </w:tcPr>
          <w:p>
            <w:pPr>
              <w:spacing w:after="0"/>
              <w:rPr>
                <w:sz w:val="1"/>
                <w:szCs w:val="1"/>
                <w:color w:val="auto"/>
              </w:rPr>
            </w:pPr>
          </w:p>
        </w:tc>
      </w:tr>
      <w:tr>
        <w:trPr>
          <w:trHeight w:val="203"/>
        </w:trPr>
        <w:tc>
          <w:tcPr>
            <w:tcW w:w="2300" w:type="dxa"/>
            <w:vAlign w:val="bottom"/>
          </w:tcPr>
          <w:p>
            <w:pPr>
              <w:ind w:left="100"/>
              <w:spacing w:after="0" w:line="202" w:lineRule="exact"/>
              <w:rPr>
                <w:sz w:val="20"/>
                <w:szCs w:val="20"/>
                <w:color w:val="auto"/>
              </w:rPr>
            </w:pPr>
            <w:r>
              <w:rPr>
                <w:rFonts w:ascii="Arial" w:cs="Arial" w:eastAsia="Arial" w:hAnsi="Arial"/>
                <w:sz w:val="18"/>
                <w:szCs w:val="18"/>
                <w:color w:val="auto"/>
              </w:rPr>
              <w:t>Committee</w:t>
            </w:r>
          </w:p>
        </w:tc>
        <w:tc>
          <w:tcPr>
            <w:tcW w:w="20" w:type="dxa"/>
            <w:vAlign w:val="bottom"/>
            <w:shd w:val="clear" w:color="auto" w:fill="003B71"/>
          </w:tcPr>
          <w:p>
            <w:pPr>
              <w:spacing w:after="0"/>
              <w:rPr>
                <w:sz w:val="17"/>
                <w:szCs w:val="17"/>
                <w:color w:val="auto"/>
              </w:rPr>
            </w:pPr>
          </w:p>
        </w:tc>
        <w:tc>
          <w:tcPr>
            <w:tcW w:w="876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and talent development; and leadership roles in business trade associations and public policy activities,</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8760" w:type="dxa"/>
            <w:vAlign w:val="bottom"/>
            <w:gridSpan w:val="5"/>
          </w:tcPr>
          <w:p>
            <w:pPr>
              <w:ind w:left="80"/>
              <w:spacing w:after="0"/>
              <w:rPr>
                <w:sz w:val="20"/>
                <w:szCs w:val="20"/>
                <w:color w:val="auto"/>
              </w:rPr>
            </w:pPr>
            <w:r>
              <w:rPr>
                <w:rFonts w:ascii="Arial" w:cs="Arial" w:eastAsia="Arial" w:hAnsi="Arial"/>
                <w:sz w:val="18"/>
                <w:szCs w:val="18"/>
                <w:color w:val="auto"/>
              </w:rPr>
              <w:t>which provide the Board with additional expertise in the area of organizational effectiveness.</w:t>
            </w: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20" w:type="dxa"/>
            <w:vAlign w:val="bottom"/>
            <w:shd w:val="clear" w:color="auto" w:fill="003B71"/>
          </w:tcPr>
          <w:p>
            <w:pPr>
              <w:spacing w:after="0"/>
              <w:rPr>
                <w:sz w:val="24"/>
                <w:szCs w:val="24"/>
                <w:color w:val="auto"/>
              </w:rPr>
            </w:pPr>
          </w:p>
        </w:tc>
        <w:tc>
          <w:tcPr>
            <w:tcW w:w="5040" w:type="dxa"/>
            <w:vAlign w:val="bottom"/>
          </w:tcPr>
          <w:p>
            <w:pPr>
              <w:ind w:left="80"/>
              <w:spacing w:after="0"/>
              <w:rPr>
                <w:sz w:val="20"/>
                <w:szCs w:val="20"/>
                <w:color w:val="auto"/>
              </w:rPr>
            </w:pPr>
            <w:r>
              <w:rPr>
                <w:rFonts w:ascii="Arial" w:cs="Arial" w:eastAsia="Arial" w:hAnsi="Arial"/>
                <w:sz w:val="19"/>
                <w:szCs w:val="19"/>
                <w:b w:val="1"/>
                <w:bCs w:val="1"/>
                <w:color w:val="003B71"/>
              </w:rPr>
              <w:t>OTHER PUBLIC COMPANY BOARDS</w:t>
            </w: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300" w:type="dxa"/>
            <w:vAlign w:val="bottom"/>
          </w:tcPr>
          <w:p>
            <w:pPr>
              <w:spacing w:after="0"/>
              <w:rPr>
                <w:sz w:val="5"/>
                <w:szCs w:val="5"/>
                <w:color w:val="auto"/>
              </w:rPr>
            </w:pPr>
          </w:p>
        </w:tc>
        <w:tc>
          <w:tcPr>
            <w:tcW w:w="20" w:type="dxa"/>
            <w:vAlign w:val="bottom"/>
            <w:tcBorders>
              <w:bottom w:val="single" w:sz="8" w:color="003B71"/>
            </w:tcBorders>
            <w:shd w:val="clear" w:color="auto" w:fill="003B71"/>
          </w:tcPr>
          <w:p>
            <w:pPr>
              <w:spacing w:after="0"/>
              <w:rPr>
                <w:sz w:val="5"/>
                <w:szCs w:val="5"/>
                <w:color w:val="auto"/>
              </w:rPr>
            </w:pPr>
          </w:p>
        </w:tc>
        <w:tc>
          <w:tcPr>
            <w:tcW w:w="5040" w:type="dxa"/>
            <w:vAlign w:val="bottom"/>
            <w:tcBorders>
              <w:bottom w:val="single" w:sz="8" w:color="003B71"/>
            </w:tcBorders>
          </w:tcPr>
          <w:p>
            <w:pPr>
              <w:spacing w:after="0"/>
              <w:rPr>
                <w:sz w:val="5"/>
                <w:szCs w:val="5"/>
                <w:color w:val="auto"/>
              </w:rPr>
            </w:pPr>
          </w:p>
        </w:tc>
        <w:tc>
          <w:tcPr>
            <w:tcW w:w="3480" w:type="dxa"/>
            <w:vAlign w:val="bottom"/>
            <w:tcBorders>
              <w:bottom w:val="single" w:sz="8" w:color="003B71"/>
            </w:tcBorders>
          </w:tcPr>
          <w:p>
            <w:pPr>
              <w:spacing w:after="0"/>
              <w:rPr>
                <w:sz w:val="5"/>
                <w:szCs w:val="5"/>
                <w:color w:val="auto"/>
              </w:rPr>
            </w:pPr>
          </w:p>
        </w:tc>
        <w:tc>
          <w:tcPr>
            <w:tcW w:w="60" w:type="dxa"/>
            <w:vAlign w:val="bottom"/>
            <w:tcBorders>
              <w:bottom w:val="single" w:sz="8" w:color="003B71"/>
            </w:tcBorders>
          </w:tcPr>
          <w:p>
            <w:pPr>
              <w:spacing w:after="0"/>
              <w:rPr>
                <w:sz w:val="5"/>
                <w:szCs w:val="5"/>
                <w:color w:val="auto"/>
              </w:rPr>
            </w:pPr>
          </w:p>
        </w:tc>
        <w:tc>
          <w:tcPr>
            <w:tcW w:w="18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20" w:type="dxa"/>
            <w:vAlign w:val="bottom"/>
            <w:shd w:val="clear" w:color="auto" w:fill="003B71"/>
          </w:tcPr>
          <w:p>
            <w:pPr>
              <w:spacing w:after="0"/>
              <w:rPr>
                <w:sz w:val="16"/>
                <w:szCs w:val="16"/>
                <w:color w:val="auto"/>
              </w:rPr>
            </w:pPr>
          </w:p>
        </w:tc>
        <w:tc>
          <w:tcPr>
            <w:tcW w:w="5040" w:type="dxa"/>
            <w:vAlign w:val="bottom"/>
          </w:tcPr>
          <w:p>
            <w:pPr>
              <w:jc w:val="center"/>
              <w:ind w:right="429"/>
              <w:spacing w:after="0" w:line="195" w:lineRule="exact"/>
              <w:rPr>
                <w:sz w:val="20"/>
                <w:szCs w:val="20"/>
                <w:color w:val="auto"/>
              </w:rPr>
            </w:pPr>
            <w:r>
              <w:rPr>
                <w:rFonts w:ascii="Arial" w:cs="Arial" w:eastAsia="Arial" w:hAnsi="Arial"/>
                <w:sz w:val="18"/>
                <w:szCs w:val="18"/>
                <w:b w:val="1"/>
                <w:bCs w:val="1"/>
                <w:color w:val="auto"/>
                <w:w w:val="98"/>
              </w:rPr>
              <w:t>Current</w:t>
            </w:r>
          </w:p>
        </w:tc>
        <w:tc>
          <w:tcPr>
            <w:tcW w:w="3540" w:type="dxa"/>
            <w:vAlign w:val="bottom"/>
            <w:gridSpan w:val="2"/>
          </w:tcPr>
          <w:p>
            <w:pPr>
              <w:jc w:val="center"/>
              <w:ind w:right="480"/>
              <w:spacing w:after="0" w:line="195" w:lineRule="exact"/>
              <w:rPr>
                <w:sz w:val="20"/>
                <w:szCs w:val="20"/>
                <w:color w:val="auto"/>
              </w:rPr>
            </w:pPr>
            <w:r>
              <w:rPr>
                <w:rFonts w:ascii="Arial" w:cs="Arial" w:eastAsia="Arial" w:hAnsi="Arial"/>
                <w:sz w:val="18"/>
                <w:szCs w:val="18"/>
                <w:b w:val="1"/>
                <w:bCs w:val="1"/>
                <w:color w:val="auto"/>
                <w:w w:val="98"/>
              </w:rPr>
              <w:t>Past 5 Years</w:t>
            </w: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5040" w:type="dxa"/>
            <w:vAlign w:val="bottom"/>
          </w:tcPr>
          <w:p>
            <w:pPr>
              <w:jc w:val="center"/>
              <w:ind w:right="449"/>
              <w:spacing w:after="0" w:line="202" w:lineRule="exact"/>
              <w:rPr>
                <w:sz w:val="20"/>
                <w:szCs w:val="20"/>
                <w:color w:val="auto"/>
              </w:rPr>
            </w:pPr>
            <w:r>
              <w:rPr>
                <w:rFonts w:ascii="Arial" w:cs="Arial" w:eastAsia="Arial" w:hAnsi="Arial"/>
                <w:sz w:val="18"/>
                <w:szCs w:val="18"/>
                <w:color w:val="auto"/>
                <w:w w:val="99"/>
              </w:rPr>
              <w:t>Graham Holdings Company</w:t>
            </w:r>
          </w:p>
        </w:tc>
        <w:tc>
          <w:tcPr>
            <w:tcW w:w="3720" w:type="dxa"/>
            <w:vAlign w:val="bottom"/>
            <w:gridSpan w:val="4"/>
          </w:tcPr>
          <w:p>
            <w:pPr>
              <w:jc w:val="center"/>
              <w:ind w:right="660"/>
              <w:spacing w:after="0" w:line="202" w:lineRule="exact"/>
              <w:rPr>
                <w:sz w:val="20"/>
                <w:szCs w:val="20"/>
                <w:color w:val="auto"/>
              </w:rPr>
            </w:pPr>
            <w:r>
              <w:rPr>
                <w:rFonts w:ascii="Arial" w:cs="Arial" w:eastAsia="Arial" w:hAnsi="Arial"/>
                <w:sz w:val="18"/>
                <w:szCs w:val="18"/>
                <w:color w:val="auto"/>
                <w:w w:val="99"/>
              </w:rPr>
              <w:t>Target Corporation</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shd w:val="clear" w:color="auto" w:fill="003B71"/>
          </w:tcPr>
          <w:p>
            <w:pPr>
              <w:spacing w:after="0"/>
              <w:rPr>
                <w:sz w:val="17"/>
                <w:szCs w:val="17"/>
                <w:color w:val="auto"/>
              </w:rPr>
            </w:pPr>
          </w:p>
        </w:tc>
        <w:tc>
          <w:tcPr>
            <w:tcW w:w="5040" w:type="dxa"/>
            <w:vAlign w:val="bottom"/>
          </w:tcPr>
          <w:p>
            <w:pPr>
              <w:jc w:val="center"/>
              <w:ind w:right="449"/>
              <w:spacing w:after="0" w:line="202" w:lineRule="exact"/>
              <w:rPr>
                <w:sz w:val="20"/>
                <w:szCs w:val="20"/>
                <w:color w:val="auto"/>
              </w:rPr>
            </w:pPr>
            <w:r>
              <w:rPr>
                <w:rFonts w:ascii="Arial" w:cs="Arial" w:eastAsia="Arial" w:hAnsi="Arial"/>
                <w:sz w:val="18"/>
                <w:szCs w:val="18"/>
                <w:color w:val="auto"/>
                <w:w w:val="99"/>
              </w:rPr>
              <w:t>Johnson &amp; Johnson</w:t>
            </w:r>
          </w:p>
        </w:tc>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040" w:type="dxa"/>
            <w:vAlign w:val="bottom"/>
          </w:tcPr>
          <w:p>
            <w:pPr>
              <w:jc w:val="center"/>
              <w:ind w:right="429"/>
              <w:spacing w:after="0"/>
              <w:rPr>
                <w:sz w:val="20"/>
                <w:szCs w:val="20"/>
                <w:color w:val="auto"/>
              </w:rPr>
            </w:pPr>
            <w:r>
              <w:rPr>
                <w:rFonts w:ascii="Arial" w:cs="Arial" w:eastAsia="Arial" w:hAnsi="Arial"/>
                <w:sz w:val="18"/>
                <w:szCs w:val="18"/>
                <w:color w:val="auto"/>
              </w:rPr>
              <w:t>Williams-Sonoma, Inc.</w:t>
            </w:r>
          </w:p>
        </w:tc>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8"/>
        </w:trPr>
        <w:tc>
          <w:tcPr>
            <w:tcW w:w="2300" w:type="dxa"/>
            <w:vAlign w:val="bottom"/>
          </w:tcPr>
          <w:p>
            <w:pPr>
              <w:ind w:left="140"/>
              <w:spacing w:after="0"/>
              <w:rPr>
                <w:sz w:val="20"/>
                <w:szCs w:val="20"/>
                <w:color w:val="auto"/>
              </w:rPr>
            </w:pPr>
            <w:r>
              <w:rPr>
                <w:rFonts w:ascii="Arial" w:cs="Arial" w:eastAsia="Arial" w:hAnsi="Arial"/>
                <w:sz w:val="18"/>
                <w:szCs w:val="18"/>
                <w:b w:val="1"/>
                <w:bCs w:val="1"/>
                <w:i w:val="1"/>
                <w:iCs w:val="1"/>
                <w:color w:val="003B71"/>
              </w:rPr>
              <w:t>James S. Putnam</w:t>
            </w:r>
          </w:p>
        </w:tc>
        <w:tc>
          <w:tcPr>
            <w:tcW w:w="20" w:type="dxa"/>
            <w:vAlign w:val="bottom"/>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19"/>
                <w:szCs w:val="19"/>
                <w:b w:val="1"/>
                <w:bCs w:val="1"/>
                <w:color w:val="003B71"/>
              </w:rPr>
              <w:t>BACKGROUND</w:t>
            </w: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520" w:type="dxa"/>
            <w:vAlign w:val="bottom"/>
            <w:tcBorders>
              <w:bottom w:val="single" w:sz="8" w:color="003B71"/>
            </w:tcBorders>
            <w:gridSpan w:val="2"/>
          </w:tcPr>
          <w:p>
            <w:pPr>
              <w:spacing w:after="0"/>
              <w:rPr>
                <w:sz w:val="5"/>
                <w:szCs w:val="5"/>
                <w:color w:val="auto"/>
              </w:rPr>
            </w:pPr>
          </w:p>
        </w:tc>
        <w:tc>
          <w:tcPr>
            <w:tcW w:w="24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300" w:type="dxa"/>
            <w:vAlign w:val="bottom"/>
            <w:vMerge w:val="restart"/>
          </w:tcPr>
          <w:p>
            <w:pPr>
              <w:ind w:left="140"/>
              <w:spacing w:after="0"/>
              <w:rPr>
                <w:sz w:val="20"/>
                <w:szCs w:val="20"/>
                <w:color w:val="auto"/>
              </w:rPr>
            </w:pPr>
            <w:r>
              <w:rPr>
                <w:rFonts w:ascii="Arial" w:cs="Arial" w:eastAsia="Arial" w:hAnsi="Arial"/>
                <w:sz w:val="18"/>
                <w:szCs w:val="18"/>
                <w:color w:val="auto"/>
              </w:rPr>
              <w:t>Age 65</w:t>
            </w:r>
          </w:p>
        </w:tc>
        <w:tc>
          <w:tcPr>
            <w:tcW w:w="20" w:type="dxa"/>
            <w:vAlign w:val="bottom"/>
          </w:tcPr>
          <w:p>
            <w:pPr>
              <w:spacing w:after="0"/>
              <w:rPr>
                <w:sz w:val="20"/>
                <w:szCs w:val="20"/>
                <w:color w:val="auto"/>
              </w:rPr>
            </w:pPr>
          </w:p>
        </w:tc>
        <w:tc>
          <w:tcPr>
            <w:tcW w:w="8760" w:type="dxa"/>
            <w:vAlign w:val="bottom"/>
            <w:gridSpan w:val="5"/>
          </w:tcPr>
          <w:p>
            <w:pPr>
              <w:ind w:left="100"/>
              <w:spacing w:after="0"/>
              <w:rPr>
                <w:sz w:val="20"/>
                <w:szCs w:val="20"/>
                <w:color w:val="auto"/>
              </w:rPr>
            </w:pPr>
            <w:r>
              <w:rPr>
                <w:rFonts w:ascii="Arial" w:cs="Arial" w:eastAsia="Arial" w:hAnsi="Arial"/>
                <w:sz w:val="18"/>
                <w:szCs w:val="18"/>
                <w:color w:val="auto"/>
              </w:rPr>
              <w:t>Mr. Putnam has served as chair of the Board of Directors since March 2017, and he served as our lead</w:t>
            </w:r>
          </w:p>
        </w:tc>
        <w:tc>
          <w:tcPr>
            <w:tcW w:w="0" w:type="dxa"/>
            <w:vAlign w:val="bottom"/>
          </w:tcPr>
          <w:p>
            <w:pPr>
              <w:spacing w:after="0"/>
              <w:rPr>
                <w:sz w:val="1"/>
                <w:szCs w:val="1"/>
                <w:color w:val="auto"/>
              </w:rPr>
            </w:pPr>
          </w:p>
        </w:tc>
      </w:tr>
      <w:tr>
        <w:trPr>
          <w:trHeight w:val="82"/>
        </w:trPr>
        <w:tc>
          <w:tcPr>
            <w:tcW w:w="2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760" w:type="dxa"/>
            <w:vAlign w:val="bottom"/>
            <w:gridSpan w:val="5"/>
            <w:vMerge w:val="restart"/>
          </w:tcPr>
          <w:p>
            <w:pPr>
              <w:ind w:left="100"/>
              <w:spacing w:after="0" w:line="202" w:lineRule="exact"/>
              <w:rPr>
                <w:sz w:val="20"/>
                <w:szCs w:val="20"/>
                <w:color w:val="auto"/>
              </w:rPr>
            </w:pPr>
            <w:r>
              <w:rPr>
                <w:rFonts w:ascii="Arial" w:cs="Arial" w:eastAsia="Arial" w:hAnsi="Arial"/>
                <w:sz w:val="18"/>
                <w:szCs w:val="18"/>
                <w:color w:val="auto"/>
              </w:rPr>
              <w:t>director from June 2016 until March 2017. He was employed by LPL Financial from 1983 to 2005 and</w:t>
            </w:r>
          </w:p>
        </w:tc>
        <w:tc>
          <w:tcPr>
            <w:tcW w:w="0" w:type="dxa"/>
            <w:vAlign w:val="bottom"/>
          </w:tcPr>
          <w:p>
            <w:pPr>
              <w:spacing w:after="0"/>
              <w:rPr>
                <w:sz w:val="1"/>
                <w:szCs w:val="1"/>
                <w:color w:val="auto"/>
              </w:rPr>
            </w:pPr>
          </w:p>
        </w:tc>
      </w:tr>
      <w:tr>
        <w:trPr>
          <w:trHeight w:val="121"/>
        </w:trPr>
        <w:tc>
          <w:tcPr>
            <w:tcW w:w="2300" w:type="dxa"/>
            <w:vAlign w:val="bottom"/>
            <w:vMerge w:val="restart"/>
          </w:tcPr>
          <w:p>
            <w:pPr>
              <w:ind w:left="140"/>
              <w:spacing w:after="0"/>
              <w:rPr>
                <w:sz w:val="20"/>
                <w:szCs w:val="20"/>
                <w:color w:val="auto"/>
              </w:rPr>
            </w:pPr>
            <w:r>
              <w:rPr>
                <w:rFonts w:ascii="Arial" w:cs="Arial" w:eastAsia="Arial" w:hAnsi="Arial"/>
                <w:sz w:val="18"/>
                <w:szCs w:val="18"/>
                <w:color w:val="auto"/>
              </w:rPr>
              <w:t>Director Since 2005</w:t>
            </w:r>
          </w:p>
        </w:tc>
        <w:tc>
          <w:tcPr>
            <w:tcW w:w="20" w:type="dxa"/>
            <w:vAlign w:val="bottom"/>
          </w:tcPr>
          <w:p>
            <w:pPr>
              <w:spacing w:after="0"/>
              <w:rPr>
                <w:sz w:val="10"/>
                <w:szCs w:val="10"/>
                <w:color w:val="auto"/>
              </w:rPr>
            </w:pPr>
          </w:p>
        </w:tc>
        <w:tc>
          <w:tcPr>
            <w:tcW w:w="8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served as its managing director of national sales from 1987 to 2005. In that role, he was responsible for the</w:t>
            </w: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40"/>
              <w:spacing w:after="0"/>
              <w:rPr>
                <w:sz w:val="20"/>
                <w:szCs w:val="20"/>
                <w:color w:val="auto"/>
              </w:rPr>
            </w:pPr>
            <w:r>
              <w:rPr>
                <w:rFonts w:ascii="Arial" w:cs="Arial" w:eastAsia="Arial" w:hAnsi="Arial"/>
                <w:sz w:val="18"/>
                <w:szCs w:val="18"/>
                <w:color w:val="auto"/>
              </w:rPr>
              <w:t>Independent</w:t>
            </w:r>
          </w:p>
        </w:tc>
        <w:tc>
          <w:tcPr>
            <w:tcW w:w="20" w:type="dxa"/>
            <w:vAlign w:val="bottom"/>
          </w:tcPr>
          <w:p>
            <w:pPr>
              <w:spacing w:after="0"/>
              <w:rPr>
                <w:sz w:val="17"/>
                <w:szCs w:val="17"/>
                <w:color w:val="auto"/>
              </w:rPr>
            </w:pPr>
          </w:p>
        </w:tc>
        <w:tc>
          <w:tcPr>
            <w:tcW w:w="5040" w:type="dxa"/>
            <w:vAlign w:val="bottom"/>
          </w:tcPr>
          <w:p>
            <w:pPr>
              <w:ind w:left="100"/>
              <w:spacing w:after="0" w:line="202" w:lineRule="exact"/>
              <w:rPr>
                <w:sz w:val="20"/>
                <w:szCs w:val="20"/>
                <w:color w:val="auto"/>
              </w:rPr>
            </w:pPr>
            <w:r>
              <w:rPr>
                <w:rFonts w:ascii="Arial" w:cs="Arial" w:eastAsia="Arial" w:hAnsi="Arial"/>
                <w:sz w:val="18"/>
                <w:szCs w:val="18"/>
                <w:color w:val="auto"/>
              </w:rPr>
              <w:t>recruitment, retention and management of LPL Financial</w:t>
            </w:r>
          </w:p>
        </w:tc>
        <w:tc>
          <w:tcPr>
            <w:tcW w:w="37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advisors, as well as branch development,</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760" w:type="dxa"/>
            <w:vAlign w:val="bottom"/>
            <w:gridSpan w:val="5"/>
            <w:vMerge w:val="restart"/>
          </w:tcPr>
          <w:p>
            <w:pPr>
              <w:ind w:left="100"/>
              <w:spacing w:after="0" w:line="202" w:lineRule="exact"/>
              <w:rPr>
                <w:sz w:val="20"/>
                <w:szCs w:val="20"/>
                <w:color w:val="auto"/>
              </w:rPr>
            </w:pPr>
            <w:r>
              <w:rPr>
                <w:rFonts w:ascii="Arial" w:cs="Arial" w:eastAsia="Arial" w:hAnsi="Arial"/>
                <w:sz w:val="18"/>
                <w:szCs w:val="18"/>
                <w:color w:val="auto"/>
              </w:rPr>
              <w:t>marketing and all product sales. Mr. Putnam also previously served as the chief executive officer of Global</w:t>
            </w: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Portfolio Advisors (“GPA”), formerly a global brokerage clearing services provider that sold substantially all</w:t>
            </w: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Chair of the Board</w:t>
            </w:r>
          </w:p>
        </w:tc>
        <w:tc>
          <w:tcPr>
            <w:tcW w:w="20" w:type="dxa"/>
            <w:vAlign w:val="bottom"/>
          </w:tcPr>
          <w:p>
            <w:pPr>
              <w:spacing w:after="0"/>
              <w:rPr>
                <w:sz w:val="17"/>
                <w:szCs w:val="17"/>
                <w:color w:val="auto"/>
              </w:rPr>
            </w:pPr>
          </w:p>
        </w:tc>
        <w:tc>
          <w:tcPr>
            <w:tcW w:w="876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of its operations in 2014. GPA was under common ownership with LPL Financial until 2005, and Mr. Putnam</w:t>
            </w: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served as chief executive officer of GPA from 2004 until 2014. He began his securities career as a retail</w:t>
            </w:r>
          </w:p>
        </w:tc>
        <w:tc>
          <w:tcPr>
            <w:tcW w:w="0" w:type="dxa"/>
            <w:vAlign w:val="bottom"/>
          </w:tcPr>
          <w:p>
            <w:pPr>
              <w:spacing w:after="0"/>
              <w:rPr>
                <w:sz w:val="1"/>
                <w:szCs w:val="1"/>
                <w:color w:val="auto"/>
              </w:rPr>
            </w:pPr>
          </w:p>
        </w:tc>
      </w:tr>
      <w:tr>
        <w:trPr>
          <w:trHeight w:val="203"/>
        </w:trPr>
        <w:tc>
          <w:tcPr>
            <w:tcW w:w="2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Committee:</w:t>
            </w:r>
          </w:p>
        </w:tc>
        <w:tc>
          <w:tcPr>
            <w:tcW w:w="20" w:type="dxa"/>
            <w:vAlign w:val="bottom"/>
          </w:tcPr>
          <w:p>
            <w:pPr>
              <w:spacing w:after="0"/>
              <w:rPr>
                <w:sz w:val="17"/>
                <w:szCs w:val="17"/>
                <w:color w:val="auto"/>
              </w:rPr>
            </w:pPr>
          </w:p>
        </w:tc>
        <w:tc>
          <w:tcPr>
            <w:tcW w:w="876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representative with Dean Witter Reynolds in 1979. Mr. Putnam received a B.A. from Western Illinois</w:t>
            </w:r>
          </w:p>
        </w:tc>
        <w:tc>
          <w:tcPr>
            <w:tcW w:w="0" w:type="dxa"/>
            <w:vAlign w:val="bottom"/>
          </w:tcPr>
          <w:p>
            <w:pPr>
              <w:spacing w:after="0"/>
              <w:rPr>
                <w:sz w:val="1"/>
                <w:szCs w:val="1"/>
                <w:color w:val="auto"/>
              </w:rPr>
            </w:pPr>
          </w:p>
        </w:tc>
      </w:tr>
      <w:tr>
        <w:trPr>
          <w:trHeight w:val="136"/>
        </w:trPr>
        <w:tc>
          <w:tcPr>
            <w:tcW w:w="2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University.</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4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40"/>
              <w:spacing w:after="0"/>
              <w:rPr>
                <w:sz w:val="20"/>
                <w:szCs w:val="20"/>
                <w:color w:val="auto"/>
              </w:rPr>
            </w:pPr>
            <w:r>
              <w:rPr>
                <w:rFonts w:ascii="Arial" w:cs="Arial" w:eastAsia="Arial" w:hAnsi="Arial"/>
                <w:sz w:val="18"/>
                <w:szCs w:val="18"/>
                <w:color w:val="auto"/>
              </w:rPr>
              <w:t>Compensation Committee</w:t>
            </w:r>
          </w:p>
        </w:tc>
        <w:tc>
          <w:tcPr>
            <w:tcW w:w="20" w:type="dxa"/>
            <w:vAlign w:val="bottom"/>
          </w:tcPr>
          <w:p>
            <w:pPr>
              <w:spacing w:after="0"/>
              <w:rPr>
                <w:sz w:val="21"/>
                <w:szCs w:val="21"/>
                <w:color w:val="auto"/>
              </w:rPr>
            </w:pPr>
          </w:p>
        </w:tc>
        <w:tc>
          <w:tcPr>
            <w:tcW w:w="5040" w:type="dxa"/>
            <w:vAlign w:val="bottom"/>
            <w:vMerge w:val="restart"/>
          </w:tcPr>
          <w:p>
            <w:pPr>
              <w:ind w:left="100"/>
              <w:spacing w:after="0"/>
              <w:rPr>
                <w:sz w:val="20"/>
                <w:szCs w:val="20"/>
                <w:color w:val="auto"/>
              </w:rPr>
            </w:pPr>
            <w:r>
              <w:rPr>
                <w:rFonts w:ascii="Arial" w:cs="Arial" w:eastAsia="Arial" w:hAnsi="Arial"/>
                <w:sz w:val="19"/>
                <w:szCs w:val="19"/>
                <w:b w:val="1"/>
                <w:bCs w:val="1"/>
                <w:color w:val="003B71"/>
              </w:rPr>
              <w:t>QUALIFICATIONS</w:t>
            </w: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-5229860</wp:posOffset>
            </wp:positionV>
            <wp:extent cx="6995160" cy="6497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6497955"/>
                    </a:xfrm>
                    <a:prstGeom prst="rect">
                      <a:avLst/>
                    </a:prstGeom>
                    <a:noFill/>
                  </pic:spPr>
                </pic:pic>
              </a:graphicData>
            </a:graphic>
          </wp:anchor>
        </w:drawing>
      </w:r>
    </w:p>
    <w:p>
      <w:pPr>
        <w:spacing w:after="0" w:line="58" w:lineRule="exact"/>
        <w:rPr>
          <w:sz w:val="20"/>
          <w:szCs w:val="20"/>
          <w:color w:val="auto"/>
        </w:rPr>
      </w:pPr>
    </w:p>
    <w:p>
      <w:pPr>
        <w:jc w:val="both"/>
        <w:ind w:left="2540" w:right="60"/>
        <w:spacing w:after="0" w:line="238" w:lineRule="auto"/>
        <w:rPr>
          <w:sz w:val="20"/>
          <w:szCs w:val="20"/>
          <w:color w:val="auto"/>
        </w:rPr>
      </w:pPr>
      <w:r>
        <w:rPr>
          <w:rFonts w:ascii="Arial" w:cs="Arial" w:eastAsia="Arial" w:hAnsi="Arial"/>
          <w:sz w:val="18"/>
          <w:szCs w:val="18"/>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227" w:lineRule="exact"/>
        <w:rPr>
          <w:sz w:val="20"/>
          <w:szCs w:val="20"/>
          <w:color w:val="auto"/>
        </w:rPr>
      </w:pPr>
    </w:p>
    <w:p>
      <w:pPr>
        <w:ind w:left="2540"/>
        <w:spacing w:after="0"/>
        <w:rPr>
          <w:sz w:val="20"/>
          <w:szCs w:val="20"/>
          <w:color w:val="auto"/>
        </w:rPr>
      </w:pPr>
      <w:r>
        <w:rPr>
          <w:rFonts w:ascii="Arial" w:cs="Arial" w:eastAsia="Arial" w:hAnsi="Arial"/>
          <w:sz w:val="19"/>
          <w:szCs w:val="19"/>
          <w:b w:val="1"/>
          <w:bCs w:val="1"/>
          <w:color w:val="003B71"/>
        </w:rPr>
        <w:t>OTHER PUBLIC COMPANY BOARDS</w:t>
      </w:r>
    </w:p>
    <w:p>
      <w:pPr>
        <w:spacing w:after="0" w:line="78" w:lineRule="exact"/>
        <w:rPr>
          <w:sz w:val="20"/>
          <w:szCs w:val="20"/>
          <w:color w:val="auto"/>
        </w:rPr>
      </w:pPr>
    </w:p>
    <w:tbl>
      <w:tblPr>
        <w:tblLayout w:type="fixed"/>
        <w:tblInd w:w="2440" w:type="dxa"/>
        <w:tblCellMar>
          <w:top w:w="0" w:type="dxa"/>
          <w:left w:w="0" w:type="dxa"/>
          <w:bottom w:w="0" w:type="dxa"/>
          <w:right w:w="0" w:type="dxa"/>
        </w:tblCellMar>
      </w:tblPr>
      <w:tr>
        <w:trPr>
          <w:trHeight w:val="215"/>
        </w:trPr>
        <w:tc>
          <w:tcPr>
            <w:tcW w:w="4300" w:type="dxa"/>
            <w:vAlign w:val="bottom"/>
            <w:tcBorders>
              <w:top w:val="single" w:sz="8" w:color="003B71"/>
            </w:tcBorders>
          </w:tcPr>
          <w:p>
            <w:pPr>
              <w:jc w:val="center"/>
              <w:ind w:left="150"/>
              <w:spacing w:after="0"/>
              <w:rPr>
                <w:sz w:val="20"/>
                <w:szCs w:val="20"/>
                <w:color w:val="auto"/>
              </w:rPr>
            </w:pPr>
            <w:r>
              <w:rPr>
                <w:rFonts w:ascii="Arial" w:cs="Arial" w:eastAsia="Arial" w:hAnsi="Arial"/>
                <w:sz w:val="18"/>
                <w:szCs w:val="18"/>
                <w:b w:val="1"/>
                <w:bCs w:val="1"/>
                <w:color w:val="auto"/>
              </w:rPr>
              <w:t>Current</w:t>
            </w:r>
          </w:p>
        </w:tc>
        <w:tc>
          <w:tcPr>
            <w:tcW w:w="3860" w:type="dxa"/>
            <w:vAlign w:val="bottom"/>
            <w:tcBorders>
              <w:top w:val="single" w:sz="8" w:color="003B71"/>
            </w:tcBorders>
          </w:tcPr>
          <w:p>
            <w:pPr>
              <w:jc w:val="center"/>
              <w:ind w:left="510"/>
              <w:spacing w:after="0"/>
              <w:rPr>
                <w:sz w:val="20"/>
                <w:szCs w:val="20"/>
                <w:color w:val="auto"/>
              </w:rPr>
            </w:pPr>
            <w:r>
              <w:rPr>
                <w:rFonts w:ascii="Arial" w:cs="Arial" w:eastAsia="Arial" w:hAnsi="Arial"/>
                <w:sz w:val="18"/>
                <w:szCs w:val="18"/>
                <w:b w:val="1"/>
                <w:bCs w:val="1"/>
                <w:color w:val="auto"/>
                <w:w w:val="98"/>
              </w:rPr>
              <w:t>Past 5 Years</w:t>
            </w:r>
          </w:p>
        </w:tc>
        <w:tc>
          <w:tcPr>
            <w:tcW w:w="20" w:type="dxa"/>
            <w:vAlign w:val="bottom"/>
            <w:tcBorders>
              <w:top w:val="single" w:sz="8" w:color="003B71"/>
            </w:tcBorders>
          </w:tcPr>
          <w:p>
            <w:pPr>
              <w:spacing w:after="0"/>
              <w:rPr>
                <w:sz w:val="18"/>
                <w:szCs w:val="18"/>
                <w:color w:val="auto"/>
              </w:rPr>
            </w:pPr>
          </w:p>
        </w:tc>
        <w:tc>
          <w:tcPr>
            <w:tcW w:w="340" w:type="dxa"/>
            <w:vAlign w:val="bottom"/>
            <w:tcBorders>
              <w:top w:val="single" w:sz="8" w:color="003B71"/>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tcPr>
          <w:p>
            <w:pPr>
              <w:jc w:val="center"/>
              <w:ind w:left="150"/>
              <w:spacing w:after="0"/>
              <w:rPr>
                <w:sz w:val="20"/>
                <w:szCs w:val="20"/>
                <w:color w:val="auto"/>
              </w:rPr>
            </w:pPr>
            <w:r>
              <w:rPr>
                <w:rFonts w:ascii="Arial" w:cs="Arial" w:eastAsia="Arial" w:hAnsi="Arial"/>
                <w:sz w:val="18"/>
                <w:szCs w:val="18"/>
                <w:color w:val="auto"/>
                <w:w w:val="97"/>
              </w:rPr>
              <w:t>None</w:t>
            </w:r>
          </w:p>
        </w:tc>
        <w:tc>
          <w:tcPr>
            <w:tcW w:w="3860" w:type="dxa"/>
            <w:vAlign w:val="bottom"/>
          </w:tcPr>
          <w:p>
            <w:pPr>
              <w:jc w:val="center"/>
              <w:ind w:left="510"/>
              <w:spacing w:after="0"/>
              <w:rPr>
                <w:sz w:val="20"/>
                <w:szCs w:val="20"/>
                <w:color w:val="auto"/>
              </w:rPr>
            </w:pPr>
            <w:r>
              <w:rPr>
                <w:rFonts w:ascii="Arial" w:cs="Arial" w:eastAsia="Arial" w:hAnsi="Arial"/>
                <w:sz w:val="18"/>
                <w:szCs w:val="18"/>
                <w:color w:val="auto"/>
                <w:w w:val="97"/>
              </w:rPr>
              <w:t>None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3860" w:type="dxa"/>
            <w:vAlign w:val="bottom"/>
            <w:vMerge w:val="restart"/>
          </w:tcPr>
          <w:p>
            <w:pPr>
              <w:ind w:left="1780"/>
              <w:spacing w:after="0"/>
              <w:rPr>
                <w:sz w:val="20"/>
                <w:szCs w:val="20"/>
                <w:color w:val="auto"/>
              </w:rPr>
            </w:pPr>
            <w:r>
              <w:rPr>
                <w:rFonts w:ascii="Arial" w:cs="Arial" w:eastAsia="Arial" w:hAnsi="Arial"/>
                <w:sz w:val="18"/>
                <w:szCs w:val="18"/>
                <w:b w:val="1"/>
                <w:bCs w:val="1"/>
                <w:color w:val="003B71"/>
              </w:rPr>
              <w:t>2020 Proxy Statement</w:t>
            </w:r>
          </w:p>
        </w:tc>
        <w:tc>
          <w:tcPr>
            <w:tcW w:w="20" w:type="dxa"/>
            <w:vAlign w:val="bottom"/>
          </w:tcPr>
          <w:p>
            <w:pPr>
              <w:spacing w:after="0"/>
              <w:rPr>
                <w:sz w:val="23"/>
                <w:szCs w:val="2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003B71"/>
              </w:rPr>
              <w:t>15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60"/>
        <w:spacing w:after="0"/>
        <w:rPr>
          <w:sz w:val="20"/>
          <w:szCs w:val="20"/>
          <w:color w:val="auto"/>
        </w:rPr>
      </w:pPr>
      <w:r>
        <w:rPr>
          <w:rFonts w:ascii="Arial" w:cs="Arial" w:eastAsia="Arial" w:hAnsi="Arial"/>
          <w:sz w:val="20"/>
          <w:szCs w:val="20"/>
          <w:b w:val="1"/>
          <w:bCs w:val="1"/>
          <w:color w:val="003B71"/>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3000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3000375"/>
                    </a:xfrm>
                    <a:prstGeom prst="rect">
                      <a:avLst/>
                    </a:prstGeom>
                    <a:noFill/>
                  </pic:spPr>
                </pic:pic>
              </a:graphicData>
            </a:graphic>
          </wp:anchor>
        </w:drawing>
      </w:r>
    </w:p>
    <w:p>
      <w:pPr>
        <w:sectPr>
          <w:pgSz w:w="11900" w:h="16838" w:orient="portrait"/>
          <w:cols w:equalWidth="0" w:num="1">
            <w:col w:w="11160"/>
          </w:cols>
          <w:pgMar w:left="320" w:top="459" w:right="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B71"/>
        </w:rPr>
        <w:t>Richard P. Schifter</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 67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Since 2005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Committee: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BACKGROUND</w:t>
      </w:r>
    </w:p>
    <w:p>
      <w:pPr>
        <w:spacing w:after="0" w:line="111" w:lineRule="exact"/>
        <w:rPr>
          <w:sz w:val="20"/>
          <w:szCs w:val="20"/>
          <w:color w:val="auto"/>
        </w:rPr>
      </w:pPr>
    </w:p>
    <w:p>
      <w:pPr>
        <w:jc w:val="both"/>
        <w:ind w:left="100" w:right="20"/>
        <w:spacing w:after="0" w:line="237" w:lineRule="auto"/>
        <w:rPr>
          <w:sz w:val="20"/>
          <w:szCs w:val="20"/>
          <w:color w:val="auto"/>
        </w:rPr>
      </w:pPr>
      <w:r>
        <w:rPr>
          <w:rFonts w:ascii="Arial" w:cs="Arial" w:eastAsia="Arial" w:hAnsi="Arial"/>
          <w:sz w:val="18"/>
          <w:szCs w:val="18"/>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board of overseers of the University of Pennsylvania Law School. Mr. Schifter received a B.A. with distinction from George Washington University and a J.D. cum laude from the University of Pennsylvania Law School.</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QUALIFICATIONS</w:t>
      </w:r>
    </w:p>
    <w:p>
      <w:pPr>
        <w:spacing w:after="0" w:line="111" w:lineRule="exact"/>
        <w:rPr>
          <w:sz w:val="20"/>
          <w:szCs w:val="20"/>
          <w:color w:val="auto"/>
        </w:rPr>
      </w:pPr>
    </w:p>
    <w:p>
      <w:pPr>
        <w:jc w:val="both"/>
        <w:ind w:left="100"/>
        <w:spacing w:after="0"/>
        <w:rPr>
          <w:sz w:val="20"/>
          <w:szCs w:val="20"/>
          <w:color w:val="auto"/>
        </w:rPr>
      </w:pPr>
      <w:r>
        <w:rPr>
          <w:rFonts w:ascii="Arial" w:cs="Arial" w:eastAsia="Arial" w:hAnsi="Arial"/>
          <w:sz w:val="18"/>
          <w:szCs w:val="18"/>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OTHER PUBLIC COMPANY BOARDS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top w:val="single" w:sz="8" w:color="003B71"/>
            </w:tcBorders>
          </w:tcPr>
          <w:p>
            <w:pPr>
              <w:jc w:val="center"/>
              <w:ind w:left="330"/>
              <w:spacing w:after="0"/>
              <w:rPr>
                <w:sz w:val="20"/>
                <w:szCs w:val="20"/>
                <w:color w:val="auto"/>
              </w:rPr>
            </w:pPr>
            <w:r>
              <w:rPr>
                <w:rFonts w:ascii="Arial" w:cs="Arial" w:eastAsia="Arial" w:hAnsi="Arial"/>
                <w:sz w:val="18"/>
                <w:szCs w:val="18"/>
                <w:b w:val="1"/>
                <w:bCs w:val="1"/>
                <w:color w:val="auto"/>
              </w:rPr>
              <w:t>Current</w:t>
            </w:r>
          </w:p>
        </w:tc>
        <w:tc>
          <w:tcPr>
            <w:tcW w:w="4440" w:type="dxa"/>
            <w:vAlign w:val="bottom"/>
            <w:tcBorders>
              <w:top w:val="single" w:sz="8" w:color="003B71"/>
            </w:tcBorders>
          </w:tcPr>
          <w:p>
            <w:pPr>
              <w:jc w:val="center"/>
              <w:ind w:left="33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120" w:type="dxa"/>
            <w:vAlign w:val="bottom"/>
          </w:tcPr>
          <w:p>
            <w:pPr>
              <w:jc w:val="center"/>
              <w:ind w:left="350"/>
              <w:spacing w:after="0" w:line="202" w:lineRule="exact"/>
              <w:rPr>
                <w:sz w:val="20"/>
                <w:szCs w:val="20"/>
                <w:color w:val="auto"/>
              </w:rPr>
            </w:pPr>
            <w:r>
              <w:rPr>
                <w:rFonts w:ascii="Arial" w:cs="Arial" w:eastAsia="Arial" w:hAnsi="Arial"/>
                <w:sz w:val="18"/>
                <w:szCs w:val="18"/>
                <w:color w:val="auto"/>
                <w:w w:val="99"/>
              </w:rPr>
              <w:t>Avianca Holdings SA</w:t>
            </w:r>
          </w:p>
        </w:tc>
        <w:tc>
          <w:tcPr>
            <w:tcW w:w="4440" w:type="dxa"/>
            <w:vAlign w:val="bottom"/>
          </w:tcPr>
          <w:p>
            <w:pPr>
              <w:jc w:val="center"/>
              <w:ind w:left="350"/>
              <w:spacing w:after="0" w:line="202" w:lineRule="exact"/>
              <w:rPr>
                <w:sz w:val="20"/>
                <w:szCs w:val="20"/>
                <w:color w:val="auto"/>
              </w:rPr>
            </w:pPr>
            <w:r>
              <w:rPr>
                <w:rFonts w:ascii="Arial" w:cs="Arial" w:eastAsia="Arial" w:hAnsi="Arial"/>
                <w:sz w:val="18"/>
                <w:szCs w:val="18"/>
                <w:color w:val="auto"/>
              </w:rPr>
              <w:t>American Airlines Group</w:t>
            </w:r>
          </w:p>
        </w:tc>
      </w:tr>
      <w:tr>
        <w:trPr>
          <w:trHeight w:val="203"/>
        </w:trPr>
        <w:tc>
          <w:tcPr>
            <w:tcW w:w="4120" w:type="dxa"/>
            <w:vAlign w:val="bottom"/>
          </w:tcPr>
          <w:p>
            <w:pPr>
              <w:jc w:val="center"/>
              <w:ind w:left="330"/>
              <w:spacing w:after="0" w:line="202" w:lineRule="exact"/>
              <w:rPr>
                <w:sz w:val="20"/>
                <w:szCs w:val="20"/>
                <w:color w:val="auto"/>
              </w:rPr>
            </w:pPr>
            <w:r>
              <w:rPr>
                <w:rFonts w:ascii="Arial" w:cs="Arial" w:eastAsia="Arial" w:hAnsi="Arial"/>
                <w:sz w:val="18"/>
                <w:szCs w:val="18"/>
                <w:color w:val="auto"/>
              </w:rPr>
              <w:t>ProSight Global, Inc.</w:t>
            </w:r>
          </w:p>
        </w:tc>
        <w:tc>
          <w:tcPr>
            <w:tcW w:w="4440" w:type="dxa"/>
            <w:vAlign w:val="bottom"/>
          </w:tcPr>
          <w:p>
            <w:pPr>
              <w:jc w:val="center"/>
              <w:ind w:left="350"/>
              <w:spacing w:after="0" w:line="202" w:lineRule="exact"/>
              <w:rPr>
                <w:sz w:val="20"/>
                <w:szCs w:val="20"/>
                <w:color w:val="auto"/>
              </w:rPr>
            </w:pPr>
            <w:r>
              <w:rPr>
                <w:rFonts w:ascii="Arial" w:cs="Arial" w:eastAsia="Arial" w:hAnsi="Arial"/>
                <w:sz w:val="18"/>
                <w:szCs w:val="18"/>
                <w:color w:val="auto"/>
              </w:rPr>
              <w:t>American Beacon Advisors, Inc.</w:t>
            </w:r>
          </w:p>
        </w:tc>
      </w:tr>
      <w:tr>
        <w:trPr>
          <w:trHeight w:val="203"/>
        </w:trPr>
        <w:tc>
          <w:tcPr>
            <w:tcW w:w="4120" w:type="dxa"/>
            <w:vAlign w:val="bottom"/>
          </w:tcPr>
          <w:p>
            <w:pPr>
              <w:spacing w:after="0"/>
              <w:rPr>
                <w:sz w:val="17"/>
                <w:szCs w:val="17"/>
                <w:color w:val="auto"/>
              </w:rPr>
            </w:pPr>
          </w:p>
        </w:tc>
        <w:tc>
          <w:tcPr>
            <w:tcW w:w="4440" w:type="dxa"/>
            <w:vAlign w:val="bottom"/>
          </w:tcPr>
          <w:p>
            <w:pPr>
              <w:jc w:val="center"/>
              <w:ind w:left="350"/>
              <w:spacing w:after="0" w:line="202" w:lineRule="exact"/>
              <w:rPr>
                <w:sz w:val="20"/>
                <w:szCs w:val="20"/>
                <w:color w:val="auto"/>
              </w:rPr>
            </w:pPr>
            <w:r>
              <w:rPr>
                <w:rFonts w:ascii="Arial" w:cs="Arial" w:eastAsia="Arial" w:hAnsi="Arial"/>
                <w:sz w:val="18"/>
                <w:szCs w:val="18"/>
                <w:color w:val="auto"/>
              </w:rPr>
              <w:t>Caesars Entertainment Corporation</w:t>
            </w:r>
          </w:p>
        </w:tc>
      </w:tr>
      <w:tr>
        <w:trPr>
          <w:trHeight w:val="217"/>
        </w:trPr>
        <w:tc>
          <w:tcPr>
            <w:tcW w:w="4120" w:type="dxa"/>
            <w:vAlign w:val="bottom"/>
          </w:tcPr>
          <w:p>
            <w:pPr>
              <w:spacing w:after="0"/>
              <w:rPr>
                <w:sz w:val="18"/>
                <w:szCs w:val="18"/>
                <w:color w:val="auto"/>
              </w:rPr>
            </w:pPr>
          </w:p>
        </w:tc>
        <w:tc>
          <w:tcPr>
            <w:tcW w:w="4440" w:type="dxa"/>
            <w:vAlign w:val="bottom"/>
          </w:tcPr>
          <w:p>
            <w:pPr>
              <w:jc w:val="center"/>
              <w:ind w:left="350"/>
              <w:spacing w:after="0"/>
              <w:rPr>
                <w:sz w:val="20"/>
                <w:szCs w:val="20"/>
                <w:color w:val="auto"/>
              </w:rPr>
            </w:pPr>
            <w:r>
              <w:rPr>
                <w:rFonts w:ascii="Arial" w:cs="Arial" w:eastAsia="Arial" w:hAnsi="Arial"/>
                <w:sz w:val="18"/>
                <w:szCs w:val="18"/>
                <w:color w:val="auto"/>
                <w:w w:val="99"/>
              </w:rPr>
              <w:t>EverBank Financial Corp.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231775</wp:posOffset>
            </wp:positionV>
            <wp:extent cx="6995160" cy="3008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3008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0"/>
            <w:col w:w="8760"/>
          </w:cols>
          <w:pgMar w:left="320" w:top="459" w:right="419" w:bottom="1440" w:gutter="0" w:footer="0" w:header="0"/>
          <w:type w:val="continuous"/>
        </w:sect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3B71"/>
        </w:rPr>
        <w:t>Corey E. Thomas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 44</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Director Since 2019</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Committee: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BACKGROUND</w:t>
      </w:r>
    </w:p>
    <w:p>
      <w:pPr>
        <w:spacing w:after="0" w:line="111" w:lineRule="exact"/>
        <w:rPr>
          <w:sz w:val="20"/>
          <w:szCs w:val="20"/>
          <w:color w:val="auto"/>
        </w:rPr>
      </w:pPr>
    </w:p>
    <w:p>
      <w:pPr>
        <w:jc w:val="both"/>
        <w:ind w:left="100" w:right="20"/>
        <w:spacing w:after="0" w:line="237" w:lineRule="auto"/>
        <w:rPr>
          <w:sz w:val="20"/>
          <w:szCs w:val="20"/>
          <w:color w:val="auto"/>
        </w:rPr>
      </w:pPr>
      <w:r>
        <w:rPr>
          <w:rFonts w:ascii="Arial" w:cs="Arial" w:eastAsia="Arial" w:hAnsi="Arial"/>
          <w:sz w:val="18"/>
          <w:szCs w:val="18"/>
          <w:color w:val="auto"/>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currently serves on the board of directors of Blue Cross Blue Shield of Massachusetts, serving on its audit and health care quality and affordability committees. Mr. Thomas received a B.E. in electrical engineering and computer science from Vanderbilt University and an M.B.A. from the Harvard Business School.</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QUALIFICATIONS</w:t>
      </w:r>
    </w:p>
    <w:p>
      <w:pPr>
        <w:spacing w:after="0" w:line="111" w:lineRule="exact"/>
        <w:rPr>
          <w:sz w:val="20"/>
          <w:szCs w:val="20"/>
          <w:color w:val="auto"/>
        </w:rPr>
      </w:pPr>
    </w:p>
    <w:p>
      <w:pPr>
        <w:jc w:val="both"/>
        <w:ind w:left="100" w:right="20"/>
        <w:spacing w:after="0" w:line="237" w:lineRule="auto"/>
        <w:rPr>
          <w:sz w:val="20"/>
          <w:szCs w:val="20"/>
          <w:color w:val="auto"/>
        </w:rPr>
      </w:pPr>
      <w:r>
        <w:rPr>
          <w:rFonts w:ascii="Arial" w:cs="Arial" w:eastAsia="Arial" w:hAnsi="Arial"/>
          <w:sz w:val="18"/>
          <w:szCs w:val="18"/>
          <w:color w:val="auto"/>
        </w:rPr>
        <w:t>Mr. Thomas’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03B71"/>
        </w:rPr>
        <w:t>OTHER PUBLIC COMPANY BOARDS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Borders>
              <w:top w:val="single" w:sz="8" w:color="003B71"/>
            </w:tcBorders>
          </w:tcPr>
          <w:p>
            <w:pPr>
              <w:jc w:val="center"/>
              <w:ind w:left="70"/>
              <w:spacing w:after="0"/>
              <w:rPr>
                <w:sz w:val="20"/>
                <w:szCs w:val="20"/>
                <w:color w:val="auto"/>
              </w:rPr>
            </w:pPr>
            <w:r>
              <w:rPr>
                <w:rFonts w:ascii="Arial" w:cs="Arial" w:eastAsia="Arial" w:hAnsi="Arial"/>
                <w:sz w:val="18"/>
                <w:szCs w:val="18"/>
                <w:b w:val="1"/>
                <w:bCs w:val="1"/>
                <w:color w:val="auto"/>
                <w:w w:val="98"/>
              </w:rPr>
              <w:t>Current</w:t>
            </w:r>
          </w:p>
        </w:tc>
        <w:tc>
          <w:tcPr>
            <w:tcW w:w="4160" w:type="dxa"/>
            <w:vAlign w:val="bottom"/>
            <w:tcBorders>
              <w:top w:val="single" w:sz="8" w:color="003B71"/>
            </w:tcBorders>
          </w:tcPr>
          <w:p>
            <w:pPr>
              <w:jc w:val="center"/>
              <w:ind w:left="9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4400" w:type="dxa"/>
            <w:vAlign w:val="bottom"/>
          </w:tcPr>
          <w:p>
            <w:pPr>
              <w:jc w:val="center"/>
              <w:ind w:left="70"/>
              <w:spacing w:after="0"/>
              <w:rPr>
                <w:sz w:val="20"/>
                <w:szCs w:val="20"/>
                <w:color w:val="auto"/>
              </w:rPr>
            </w:pPr>
            <w:r>
              <w:rPr>
                <w:rFonts w:ascii="Arial" w:cs="Arial" w:eastAsia="Arial" w:hAnsi="Arial"/>
                <w:sz w:val="18"/>
                <w:szCs w:val="18"/>
                <w:color w:val="auto"/>
                <w:w w:val="98"/>
              </w:rPr>
              <w:t>Rapid 7, Inc.</w:t>
            </w:r>
          </w:p>
        </w:tc>
        <w:tc>
          <w:tcPr>
            <w:tcW w:w="4160" w:type="dxa"/>
            <w:vAlign w:val="bottom"/>
          </w:tcPr>
          <w:p>
            <w:pPr>
              <w:jc w:val="center"/>
              <w:ind w:left="90"/>
              <w:spacing w:after="0"/>
              <w:rPr>
                <w:sz w:val="20"/>
                <w:szCs w:val="20"/>
                <w:color w:val="auto"/>
              </w:rPr>
            </w:pPr>
            <w:r>
              <w:rPr>
                <w:rFonts w:ascii="Arial" w:cs="Arial" w:eastAsia="Arial" w:hAnsi="Arial"/>
                <w:sz w:val="18"/>
                <w:szCs w:val="18"/>
                <w:color w:val="auto"/>
                <w:w w:val="97"/>
              </w:rPr>
              <w:t>None</w:t>
            </w:r>
          </w:p>
        </w:tc>
      </w:tr>
    </w:tbl>
    <w:p>
      <w:pPr>
        <w:spacing w:after="0" w:line="200" w:lineRule="exact"/>
        <w:rPr>
          <w:sz w:val="20"/>
          <w:szCs w:val="20"/>
          <w:color w:val="auto"/>
        </w:rPr>
      </w:pPr>
    </w:p>
    <w:p>
      <w:pPr>
        <w:sectPr>
          <w:pgSz w:w="11900" w:h="16838" w:orient="portrait"/>
          <w:cols w:equalWidth="0" w:num="2">
            <w:col w:w="1800" w:space="600"/>
            <w:col w:w="8760"/>
          </w:cols>
          <w:pgMar w:left="320" w:top="459" w:right="419" w:bottom="1440" w:gutter="0" w:footer="0" w:header="0"/>
          <w:type w:val="continuous"/>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vote on the election of the director nominees, stockholders may:</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003B71"/>
        </w:rPr>
        <w:t>FOR</w:t>
      </w:r>
      <w:r>
        <w:rPr>
          <w:rFonts w:ascii="Arial" w:cs="Arial" w:eastAsia="Arial" w:hAnsi="Arial"/>
          <w:sz w:val="18"/>
          <w:szCs w:val="18"/>
          <w:color w:val="auto"/>
        </w:rPr>
        <w:t xml:space="preserve"> any of the nominees;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003B71"/>
        </w:rPr>
        <w:t>AGAINST</w:t>
      </w:r>
      <w:r>
        <w:rPr>
          <w:rFonts w:ascii="Arial" w:cs="Arial" w:eastAsia="Arial" w:hAnsi="Arial"/>
          <w:sz w:val="18"/>
          <w:szCs w:val="18"/>
          <w:color w:val="auto"/>
        </w:rPr>
        <w:t xml:space="preserve"> any of the nominees; or</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 xml:space="preserve">ABSTAIN </w:t>
      </w:r>
      <w:r>
        <w:rPr>
          <w:rFonts w:ascii="Arial" w:cs="Arial" w:eastAsia="Arial" w:hAnsi="Arial"/>
          <w:sz w:val="18"/>
          <w:szCs w:val="18"/>
          <w:color w:val="000000"/>
        </w:rPr>
        <w:t>from voting as to any of the nominees.</w:t>
      </w:r>
    </w:p>
    <w:p>
      <w:pPr>
        <w:spacing w:after="0" w:line="24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color w:val="003B71"/>
        </w:rPr>
        <w:t>THE BOARD OF DIRECTORS RECOMMENDS A VOTE “FOR” THE ELECTION OF EACH OF THE ABOVE-NAMED NOMINEES AS A DIRECTOR.</w:t>
      </w:r>
    </w:p>
    <w:p>
      <w:pPr>
        <w:sectPr>
          <w:pgSz w:w="11900" w:h="16838" w:orient="portrait"/>
          <w:cols w:equalWidth="0" w:num="1">
            <w:col w:w="11160"/>
          </w:cols>
          <w:pgMar w:left="320" w:top="459" w:right="419" w:bottom="1440" w:gutter="0" w:footer="0" w:header="0"/>
          <w:type w:val="continuous"/>
        </w:sectPr>
      </w:pP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200"/>
          </w:cols>
          <w:pgMar w:left="32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Information Regarding Board and Committee Structure</w:t>
      </w:r>
    </w:p>
    <w:p>
      <w:pPr>
        <w:sectPr>
          <w:pgSz w:w="11900" w:h="16838" w:orient="portrait"/>
          <w:cols w:equalWidth="0" w:num="1">
            <w:col w:w="11140"/>
          </w:cols>
          <w:pgMar w:left="320" w:top="459" w:right="439" w:bottom="1440" w:gutter="0" w:footer="0" w:header="0"/>
        </w:sectPr>
      </w:pPr>
    </w:p>
    <w:p>
      <w:pPr>
        <w:spacing w:after="0" w:line="31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During 2019, the Board of Directors held six meetings, of which one was held by conference call. Each of our directors attended at least 75% of the aggregate of:</w:t>
      </w:r>
    </w:p>
    <w:p>
      <w:pPr>
        <w:spacing w:after="0" w:line="230" w:lineRule="exact"/>
        <w:rPr>
          <w:sz w:val="20"/>
          <w:szCs w:val="20"/>
          <w:color w:val="auto"/>
        </w:rPr>
      </w:pPr>
    </w:p>
    <w:p>
      <w:pPr>
        <w:ind w:left="480" w:hanging="364"/>
        <w:spacing w:after="0" w:line="246"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meetings of the Board of Directors during 2019; and</w:t>
      </w:r>
    </w:p>
    <w:p>
      <w:pPr>
        <w:spacing w:after="0" w:line="223" w:lineRule="exact"/>
        <w:rPr>
          <w:rFonts w:ascii="Arial" w:cs="Arial" w:eastAsia="Arial" w:hAnsi="Arial"/>
          <w:sz w:val="18"/>
          <w:szCs w:val="18"/>
          <w:color w:val="auto"/>
        </w:rPr>
      </w:pPr>
    </w:p>
    <w:p>
      <w:pPr>
        <w:ind w:left="480" w:right="20" w:hanging="364"/>
        <w:spacing w:after="0" w:line="246"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on which the director served during 2019.</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Corporate Governance Guidelines provide that each director who is nominated for election is expected to attend the Annual Meeting. Each of the nine nominees for election at the 2019 annual meeting of stockholders attended such meeting.</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20"/>
          <w:szCs w:val="20"/>
          <w:b w:val="1"/>
          <w:bCs w:val="1"/>
          <w:color w:val="003B71"/>
        </w:rPr>
        <w:t>Corporate Governance Guidelines, Committee Charters and Code of Conduct</w:t>
      </w:r>
    </w:p>
    <w:p>
      <w:pPr>
        <w:spacing w:after="0" w:line="182" w:lineRule="exact"/>
        <w:rPr>
          <w:sz w:val="20"/>
          <w:szCs w:val="20"/>
          <w:color w:val="auto"/>
        </w:rPr>
      </w:pPr>
    </w:p>
    <w:p>
      <w:pPr>
        <w:jc w:val="both"/>
        <w:ind w:left="120"/>
        <w:spacing w:after="0" w:line="274" w:lineRule="auto"/>
        <w:rPr>
          <w:sz w:val="20"/>
          <w:szCs w:val="20"/>
          <w:color w:val="auto"/>
        </w:rPr>
      </w:pPr>
      <w:r>
        <w:rPr>
          <w:rFonts w:ascii="Arial" w:cs="Arial" w:eastAsia="Arial" w:hAnsi="Arial"/>
          <w:sz w:val="17"/>
          <w:szCs w:val="17"/>
          <w:color w:val="auto"/>
        </w:rPr>
        <w:t>We believe that good corporate governance is important to ensure that we are managed for the long-term benefit of our stakeholders.</w:t>
      </w:r>
    </w:p>
    <w:p>
      <w:pPr>
        <w:spacing w:after="0" w:line="17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has adopted our Corporate Governance Guidelines to set clear parameters for the operation of our Board. Our Board of Directors has also adopted charters for the Audit Committee,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Copies of our Annual Report, committee charters, Corporate Governance Guidelines and codes of conduct are available, free of charge, by writing to us at the following address: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234" w:lineRule="auto"/>
        <w:rPr>
          <w:sz w:val="20"/>
          <w:szCs w:val="20"/>
          <w:color w:val="auto"/>
        </w:rPr>
      </w:pPr>
      <w:r>
        <w:rPr>
          <w:rFonts w:ascii="Arial" w:cs="Arial" w:eastAsia="Arial" w:hAnsi="Arial"/>
          <w:sz w:val="18"/>
          <w:szCs w:val="18"/>
          <w:color w:val="auto"/>
        </w:rPr>
        <w:t>75 State Street, 22nd Floor</w:t>
      </w:r>
    </w:p>
    <w:p>
      <w:pPr>
        <w:spacing w:after="0" w:line="235" w:lineRule="auto"/>
        <w:rPr>
          <w:sz w:val="20"/>
          <w:szCs w:val="20"/>
          <w:color w:val="auto"/>
        </w:rPr>
      </w:pPr>
      <w:r>
        <w:rPr>
          <w:rFonts w:ascii="Arial" w:cs="Arial" w:eastAsia="Arial" w:hAnsi="Arial"/>
          <w:sz w:val="18"/>
          <w:szCs w:val="18"/>
          <w:color w:val="auto"/>
        </w:rPr>
        <w:t>Boston, MA 02109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Investor Relations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3"/>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003B71"/>
              </w:rPr>
              <w:t>2020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03B71"/>
              </w:rPr>
              <w:t>17</w:t>
            </w:r>
          </w:p>
        </w:tc>
        <w:tc>
          <w:tcPr>
            <w:tcW w:w="0" w:type="dxa"/>
            <w:vAlign w:val="bottom"/>
          </w:tcPr>
          <w:p>
            <w:pPr>
              <w:spacing w:after="0" w:line="20" w:lineRule="exact"/>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 w:type="dxa"/>
            <w:vAlign w:val="bottom"/>
            <w:shd w:val="clear" w:color="auto" w:fill="003B71"/>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3B71"/>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3660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3660140"/>
                    </a:xfrm>
                    <a:prstGeom prst="rect">
                      <a:avLst/>
                    </a:prstGeom>
                    <a:noFill/>
                  </pic:spPr>
                </pic:pic>
              </a:graphicData>
            </a:graphic>
          </wp:anchor>
        </w:drawing>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implemented several important measures that are designed to promote long-term stakeholder value:</w:t>
      </w:r>
    </w:p>
    <w:p>
      <w:pPr>
        <w:spacing w:after="0" w:line="10" w:lineRule="exact"/>
        <w:rPr>
          <w:sz w:val="20"/>
          <w:szCs w:val="20"/>
          <w:color w:val="auto"/>
        </w:rPr>
      </w:pPr>
    </w:p>
    <w:p>
      <w:pPr>
        <w:ind w:left="560" w:right="120" w:firstLine="32"/>
        <w:spacing w:after="0" w:line="248" w:lineRule="auto"/>
        <w:rPr>
          <w:sz w:val="20"/>
          <w:szCs w:val="20"/>
          <w:color w:val="auto"/>
        </w:rPr>
      </w:pPr>
      <w:r>
        <w:rPr>
          <w:rFonts w:ascii="Arial" w:cs="Arial" w:eastAsia="Arial" w:hAnsi="Arial"/>
          <w:sz w:val="18"/>
          <w:szCs w:val="18"/>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33" w:lineRule="exact"/>
        <w:rPr>
          <w:sz w:val="20"/>
          <w:szCs w:val="20"/>
          <w:color w:val="auto"/>
        </w:rPr>
      </w:pPr>
    </w:p>
    <w:p>
      <w:pPr>
        <w:ind w:left="560" w:right="120" w:hanging="9"/>
        <w:spacing w:after="0" w:line="248" w:lineRule="auto"/>
        <w:rPr>
          <w:sz w:val="20"/>
          <w:szCs w:val="20"/>
          <w:color w:val="auto"/>
        </w:rPr>
      </w:pPr>
      <w:r>
        <w:rPr>
          <w:rFonts w:ascii="Arial" w:cs="Arial" w:eastAsia="Arial" w:hAnsi="Arial"/>
          <w:sz w:val="18"/>
          <w:szCs w:val="18"/>
          <w:color w:val="auto"/>
        </w:rPr>
        <w:t>We currently separate the offices of the chair of the Board and chief executive officer of the Company, although the Board maintains the flexibility to select the chair of the Board and its leadership structure, from time to time, based on the criteria that it deems to be in the best interests of the Company and its stakeholders.</w:t>
      </w:r>
    </w:p>
    <w:p>
      <w:pPr>
        <w:spacing w:after="0" w:line="33" w:lineRule="exact"/>
        <w:rPr>
          <w:sz w:val="20"/>
          <w:szCs w:val="20"/>
          <w:color w:val="auto"/>
        </w:rPr>
      </w:pPr>
    </w:p>
    <w:p>
      <w:pPr>
        <w:ind w:left="560" w:right="120" w:firstLine="5"/>
        <w:spacing w:after="0" w:line="243" w:lineRule="auto"/>
        <w:rPr>
          <w:sz w:val="20"/>
          <w:szCs w:val="20"/>
          <w:color w:val="auto"/>
        </w:rPr>
      </w:pPr>
      <w:r>
        <w:rPr>
          <w:rFonts w:ascii="Arial" w:cs="Arial" w:eastAsia="Arial" w:hAnsi="Arial"/>
          <w:sz w:val="18"/>
          <w:szCs w:val="18"/>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39" w:lineRule="exact"/>
        <w:rPr>
          <w:sz w:val="20"/>
          <w:szCs w:val="20"/>
          <w:color w:val="auto"/>
        </w:rPr>
      </w:pPr>
    </w:p>
    <w:p>
      <w:pPr>
        <w:ind w:left="560" w:right="120" w:hanging="12"/>
        <w:spacing w:after="0" w:line="248" w:lineRule="auto"/>
        <w:rPr>
          <w:sz w:val="20"/>
          <w:szCs w:val="20"/>
          <w:color w:val="auto"/>
        </w:rPr>
      </w:pPr>
      <w:r>
        <w:rPr>
          <w:rFonts w:ascii="Arial" w:cs="Arial" w:eastAsia="Arial" w:hAnsi="Arial"/>
          <w:sz w:val="18"/>
          <w:szCs w:val="18"/>
          <w:color w:val="auto"/>
        </w:rPr>
        <w:t>To facilitate Board refreshment, we have adopted a director retirement policy in our Corporate Governance Guidelines pursuant to which any director who reaches the age of 75 while serving as a director will retire from the Board effective as of the end of his or her then current term.</w:t>
      </w:r>
    </w:p>
    <w:p>
      <w:pPr>
        <w:spacing w:after="0" w:line="33" w:lineRule="exact"/>
        <w:rPr>
          <w:sz w:val="20"/>
          <w:szCs w:val="20"/>
          <w:color w:val="auto"/>
        </w:rPr>
      </w:pPr>
    </w:p>
    <w:p>
      <w:pPr>
        <w:ind w:left="560" w:right="120" w:firstLine="32"/>
        <w:spacing w:after="0" w:line="261" w:lineRule="auto"/>
        <w:rPr>
          <w:sz w:val="20"/>
          <w:szCs w:val="20"/>
          <w:color w:val="auto"/>
        </w:rPr>
      </w:pPr>
      <w:r>
        <w:rPr>
          <w:rFonts w:ascii="Arial" w:cs="Arial" w:eastAsia="Arial" w:hAnsi="Arial"/>
          <w:sz w:val="18"/>
          <w:szCs w:val="18"/>
          <w:color w:val="auto"/>
        </w:rPr>
        <w:t>We seek an advisory vote on the compensation of our named executive officers annually, which underscores the careful consideration we give to our stockholders’ views on our compensation practices.</w:t>
      </w:r>
    </w:p>
    <w:p>
      <w:pPr>
        <w:spacing w:after="0" w:line="22" w:lineRule="exact"/>
        <w:rPr>
          <w:sz w:val="20"/>
          <w:szCs w:val="20"/>
          <w:color w:val="auto"/>
        </w:rPr>
      </w:pPr>
    </w:p>
    <w:p>
      <w:pPr>
        <w:ind w:left="560" w:right="120" w:firstLine="59"/>
        <w:spacing w:after="0" w:line="261" w:lineRule="auto"/>
        <w:rPr>
          <w:sz w:val="20"/>
          <w:szCs w:val="20"/>
          <w:color w:val="auto"/>
        </w:rPr>
      </w:pPr>
      <w:r>
        <w:rPr>
          <w:rFonts w:ascii="Arial" w:cs="Arial" w:eastAsia="Arial" w:hAnsi="Arial"/>
          <w:sz w:val="18"/>
          <w:szCs w:val="18"/>
          <w:color w:val="auto"/>
        </w:rPr>
        <w:t>We have established a compensation clawback policy that enables the Company to recoup cash and equity incentive compensation from executive officers in the event of certain financial restatements.</w:t>
      </w:r>
    </w:p>
    <w:p>
      <w:pPr>
        <w:spacing w:after="0" w:line="22" w:lineRule="exact"/>
        <w:rPr>
          <w:sz w:val="20"/>
          <w:szCs w:val="20"/>
          <w:color w:val="auto"/>
        </w:rPr>
      </w:pPr>
    </w:p>
    <w:p>
      <w:pPr>
        <w:ind w:left="560" w:right="120" w:hanging="9"/>
        <w:spacing w:after="0" w:line="261" w:lineRule="auto"/>
        <w:rPr>
          <w:sz w:val="20"/>
          <w:szCs w:val="20"/>
          <w:color w:val="auto"/>
        </w:rPr>
      </w:pPr>
      <w:r>
        <w:rPr>
          <w:rFonts w:ascii="Arial" w:cs="Arial" w:eastAsia="Arial" w:hAnsi="Arial"/>
          <w:sz w:val="18"/>
          <w:szCs w:val="18"/>
          <w:color w:val="auto"/>
        </w:rPr>
        <w:t>Our executive officers are subject to equity ownership guidelines that set minimum ownership requirements based on a multiple of annual base salary, which aligns the interests of senior management with the interests of our stockholders.</w:t>
      </w:r>
    </w:p>
    <w:p>
      <w:pPr>
        <w:spacing w:after="0" w:line="22" w:lineRule="exact"/>
        <w:rPr>
          <w:sz w:val="20"/>
          <w:szCs w:val="20"/>
          <w:color w:val="auto"/>
        </w:rPr>
      </w:pPr>
    </w:p>
    <w:p>
      <w:pPr>
        <w:ind w:left="560" w:right="120" w:hanging="9"/>
        <w:spacing w:after="0" w:line="261" w:lineRule="auto"/>
        <w:rPr>
          <w:sz w:val="20"/>
          <w:szCs w:val="20"/>
          <w:color w:val="auto"/>
        </w:rPr>
      </w:pPr>
      <w:r>
        <w:rPr>
          <w:rFonts w:ascii="Arial" w:cs="Arial" w:eastAsia="Arial" w:hAnsi="Arial"/>
          <w:sz w:val="18"/>
          <w:szCs w:val="18"/>
          <w:color w:val="auto"/>
        </w:rPr>
        <w:t>We have also adopted equity ownership guidelines for directors, which set minimum ownership requirements based on a multiple of the cash portion of the annual base retainer then in effect.</w:t>
      </w:r>
    </w:p>
    <w:p>
      <w:pPr>
        <w:spacing w:after="0" w:line="22" w:lineRule="exact"/>
        <w:rPr>
          <w:sz w:val="20"/>
          <w:szCs w:val="20"/>
          <w:color w:val="auto"/>
        </w:rPr>
      </w:pPr>
    </w:p>
    <w:p>
      <w:pPr>
        <w:ind w:left="560" w:right="120" w:hanging="9"/>
        <w:spacing w:after="0" w:line="261" w:lineRule="auto"/>
        <w:rPr>
          <w:sz w:val="20"/>
          <w:szCs w:val="20"/>
          <w:color w:val="auto"/>
        </w:rPr>
      </w:pPr>
      <w:r>
        <w:rPr>
          <w:rFonts w:ascii="Arial" w:cs="Arial" w:eastAsia="Arial" w:hAnsi="Arial"/>
          <w:sz w:val="18"/>
          <w:szCs w:val="18"/>
          <w:color w:val="auto"/>
        </w:rPr>
        <w:t>Our Insider Trading Policy prohibits our executives and directors from pledging and hedging our Common Stock, in order to further the alignment between stockholders and our executives that our equity awards are designed to create.</w:t>
      </w:r>
    </w:p>
    <w:p>
      <w:pPr>
        <w:sectPr>
          <w:pgSz w:w="11900" w:h="16838" w:orient="portrait"/>
          <w:cols w:equalWidth="0" w:num="1">
            <w:col w:w="11140"/>
          </w:cols>
          <w:pgMar w:left="320" w:top="459" w:right="439" w:bottom="1440" w:gutter="0" w:footer="0" w:header="0"/>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Director Independence</w:t>
      </w:r>
    </w:p>
    <w:p>
      <w:pPr>
        <w:spacing w:after="0" w:line="22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w:t>
      </w:r>
    </w:p>
    <w:p>
      <w:pPr>
        <w:spacing w:after="0" w:line="20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After its evaluation of director independence, the Board of Directors has affirmatively determined that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Messrs. Glavin, Putnam, Riepe, Schifter and Thomas, and Mses. Eberhart, Mnookin and Mulcahy are independent directors under applicable Nasdaq rules, and Mr. Bernard will qualify as an independent director if elected.</w:t>
      </w:r>
    </w:p>
    <w:p>
      <w:pPr>
        <w:spacing w:after="0" w:line="178"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b w:val="1"/>
          <w:bCs w:val="1"/>
          <w:color w:val="003B71"/>
        </w:rPr>
        <w:t>Board Composition and Leadership Structure of the Board of Directors</w:t>
      </w:r>
    </w:p>
    <w:p>
      <w:pPr>
        <w:spacing w:after="0" w:line="18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Our business and affairs are managed under the direction of the Board of Directors. As of March 23, 2020, our Board of Directors was composed of nine directors. Under our Amended and Restated Certificate of Incorporation, the number of directors shall not be fewer than three or more than 15. The authorized number of directors may be changed only by resolution of the Board of Directors.</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Board does not have a fixed policy regarding the separation of the offices of chair of the Board and chief executive officer of the Company. Rather, the Board believes that it should maintain the flexibility to</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6"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select the chair of the Board and its Board leadership structure, from time to time, based on the criteria that it deems to be in the best interests of the Company and its stakeholders.</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At this time, the Company believes that having a separate chief executive officer and chair allows Mr. Arnold to focus on his role as president and chief executive officer and increases the Board’s independence from management, leading to effective monitoring and oversight. As non-executive chair, Mr. Putnam serves as a key source of communication between the independent directors and our chief executive officer, establishes the agenda for each meeting of the Board and coordinates the agenda for and leads meetings of the independent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Board Oversight</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Strategic Planning</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Oversight of the Company’s business strategy and strategic planning is a key responsibility of our Board. At the beginning of the year, the chair of the Board and our chief executive officer prepare an annual Board work plan that is tied to our strategic framework. As a result, elements of our strategy and operating plans are embedded in the agenda for every quarterly meeting of the Board. All members of our management committee, as well as other senior leaders, regularly attend Board and committee meetings and discuss the Company’s strategy, plans and operating results with the Board and its committees. In addition, the Board dedicates a multi-day session each year to focus on the Company’s long-term strategy and related planning. This session, which is led by our Corporate Strategy team and includes senior management, enables a deep discussion between directors and management regarding the Company’s operating environment, desired strategic positioning, emerging risks and financial outcomes associated with execution of the strategic plan.</w:t>
      </w:r>
    </w:p>
    <w:p>
      <w:pPr>
        <w:spacing w:after="0" w:line="21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also dedicates significant attention to reviewing our capital allocation strategy, which is focused on disciplined capital management to drive long-term stockholder value. Key elements of our current strategy are:</w:t>
      </w:r>
    </w:p>
    <w:p>
      <w:pPr>
        <w:spacing w:after="0" w:line="232" w:lineRule="exact"/>
        <w:rPr>
          <w:sz w:val="20"/>
          <w:szCs w:val="20"/>
          <w:color w:val="auto"/>
        </w:rPr>
      </w:pPr>
    </w:p>
    <w:p>
      <w:pPr>
        <w:ind w:left="820" w:hanging="38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strong and flexible balance sheet;</w:t>
      </w:r>
    </w:p>
    <w:p>
      <w:pPr>
        <w:spacing w:after="0" w:line="238" w:lineRule="exact"/>
        <w:rPr>
          <w:rFonts w:ascii="Arial" w:cs="Arial" w:eastAsia="Arial" w:hAnsi="Arial"/>
          <w:sz w:val="18"/>
          <w:szCs w:val="18"/>
          <w:color w:val="auto"/>
        </w:rPr>
      </w:pPr>
    </w:p>
    <w:p>
      <w:pPr>
        <w:ind w:left="820" w:hanging="380"/>
        <w:spacing w:after="0" w:line="24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prioritizing investments that drive organic business growth;</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700" w:right="20" w:hanging="382"/>
        <w:spacing w:after="0" w:line="24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positioning the Company to take advantage of attractive merger and acquisition opportunities; and</w:t>
      </w:r>
    </w:p>
    <w:p>
      <w:pPr>
        <w:spacing w:after="0" w:line="223" w:lineRule="exact"/>
        <w:rPr>
          <w:rFonts w:ascii="Arial" w:cs="Arial" w:eastAsia="Arial" w:hAnsi="Arial"/>
          <w:sz w:val="18"/>
          <w:szCs w:val="18"/>
          <w:color w:val="auto"/>
        </w:rPr>
      </w:pPr>
    </w:p>
    <w:p>
      <w:pPr>
        <w:ind w:left="700" w:right="40" w:hanging="382"/>
        <w:spacing w:after="0" w:line="24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returning capital to stockholders through share repurchases and 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Workplace Conduct and Culture</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are committed to fostering a respectful, rewarding, diverse and inclusive workplace in which all of our employees and advisors are positioned for success. The Compensation Committee, as well as our Board, engages with our leadership team on a regular basis on human capital management topics, including executive succession planning, talent acquisition, development and retention, and diversity and inclusion initiatives. We believe that human capital management and talent development are important to the Company’s continued success.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believe that corporate culture is instrumental to executing our strategy. In an effort to ensure the Company’s culture was aligned to its strategy, the Company introduced a new mission statement in 2018 and initiated a cultural transformation that seeks to instill a client-centric mindset, logic-based thinking and mission-driven alignment throughout the Company. Accordingly, oversight of the Company’s culture was an area of focus for the Board and the Compensation Committee in 2019, as management activated the new culture by:</w:t>
      </w:r>
    </w:p>
    <w:p>
      <w:pPr>
        <w:spacing w:after="0" w:line="234" w:lineRule="exact"/>
        <w:rPr>
          <w:sz w:val="20"/>
          <w:szCs w:val="20"/>
          <w:color w:val="auto"/>
        </w:rPr>
      </w:pPr>
    </w:p>
    <w:p>
      <w:pPr>
        <w:ind w:left="700" w:hanging="38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introducing new behavior-based values;</w:t>
      </w:r>
    </w:p>
    <w:p>
      <w:pPr>
        <w:spacing w:after="0" w:line="238" w:lineRule="exact"/>
        <w:rPr>
          <w:rFonts w:ascii="Arial" w:cs="Arial" w:eastAsia="Arial" w:hAnsi="Arial"/>
          <w:sz w:val="18"/>
          <w:szCs w:val="18"/>
          <w:color w:val="auto"/>
        </w:rPr>
      </w:pPr>
    </w:p>
    <w:p>
      <w:pPr>
        <w:ind w:left="700" w:right="20" w:hanging="382"/>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evolving how the Company attracts and develops talent to its client service teams; and</w:t>
      </w:r>
    </w:p>
    <w:p>
      <w:pPr>
        <w:spacing w:after="0" w:line="223" w:lineRule="exact"/>
        <w:rPr>
          <w:rFonts w:ascii="Arial" w:cs="Arial" w:eastAsia="Arial" w:hAnsi="Arial"/>
          <w:sz w:val="18"/>
          <w:szCs w:val="18"/>
          <w:color w:val="auto"/>
        </w:rPr>
      </w:pPr>
    </w:p>
    <w:p>
      <w:pPr>
        <w:ind w:left="700" w:right="20" w:hanging="382"/>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new rewards and recognition programs that reinforce our cultural aspirations.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For additional information on the cultural transformation, please see </w:t>
      </w:r>
      <w:r>
        <w:rPr>
          <w:rFonts w:ascii="Arial" w:cs="Arial" w:eastAsia="Arial" w:hAnsi="Arial"/>
          <w:sz w:val="18"/>
          <w:szCs w:val="18"/>
          <w:i w:val="1"/>
          <w:iCs w:val="1"/>
          <w:color w:val="auto"/>
        </w:rPr>
        <w:t>“Compensation Discussion and Analysis.”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Compensation Committee’s request, management previously conducted an evaluation of the Company’s workplace conduct practices, including its training, policies and procedures for preventing and responding to workplace conduct matters. The Company’s chief legal officer and chief</w:t>
      </w:r>
    </w:p>
    <w:p>
      <w:pPr>
        <w:spacing w:after="0" w:line="232"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5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003B71"/>
        </w:rPr>
        <w:t>19</w:t>
      </w:r>
    </w:p>
    <w:p>
      <w:pPr>
        <w:sectPr>
          <w:pgSz w:w="11900" w:h="16838" w:orient="portrait"/>
          <w:cols w:equalWidth="0" w:num="2">
            <w:col w:w="10400" w:space="540"/>
            <w:col w:w="20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6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human capital officer provide a report to the Board on an annual basis on historical workplace conduct claims, investigations and trends.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Cybersecurity</w:t>
      </w:r>
    </w:p>
    <w:p>
      <w:pPr>
        <w:spacing w:after="0" w:line="234"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The Audit Committee and the Board are each involved in overseeing the Company’s management of cybersecurity risk. We believe that cybersecurity</w:t>
      </w:r>
    </w:p>
    <w:p>
      <w:pPr>
        <w:spacing w:after="0" w:line="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protection is critical to maintaining our proprietary information and the trust of our advisors and their clients. In 2019, management provided regular updates to the Audit Committee and the Board on cybersecurity matters, including projects to strengthen controls and defenses, the threat landscape and the Company’s incident response plans. In 2020, the Board toured the Company’s security and network operations center and also received a presentation from an external consultant on sources of cybersecurity risk for financial services firms, best practices and the role of the Board in addressing cybersecurity risk.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Sustainability</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mission is to take care of our financial advisors so they can take care of their clients. We enable our advisors to provide objective financial guidance to millions of American families as they work toward their life’s aspirations. Our advisors are a diverse community of entrepreneurial financial services professionals, and we are committed to supporting their vital work with excellence, integrity and ethical standards. Our work makes a positive difference, and we believe that the Company’s sustainability depends not only on the business we conduct but also on </w:t>
      </w:r>
      <w:r>
        <w:rPr>
          <w:rFonts w:ascii="Arial" w:cs="Arial" w:eastAsia="Arial" w:hAnsi="Arial"/>
          <w:sz w:val="18"/>
          <w:szCs w:val="18"/>
          <w:i w:val="1"/>
          <w:iCs w:val="1"/>
          <w:color w:val="auto"/>
        </w:rPr>
        <w:t>how</w:t>
      </w:r>
      <w:r>
        <w:rPr>
          <w:rFonts w:ascii="Arial" w:cs="Arial" w:eastAsia="Arial" w:hAnsi="Arial"/>
          <w:sz w:val="18"/>
          <w:szCs w:val="18"/>
          <w:color w:val="auto"/>
        </w:rPr>
        <w:t xml:space="preserve"> we conduct it.</w:t>
      </w:r>
    </w:p>
    <w:p>
      <w:pPr>
        <w:spacing w:after="0" w:line="20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Board supports the Company’s efforts to serve its stakeholders’ interests, including stockholders, employees and advisors and their clients. The Nominating and Governance Committee provides oversight of our environmental, social and governance (“ESG”) program, which began in 2008 as a corporate social responsibility program focused on community involvement. The program subsequently expanded and evolved to encompass additional ESG matters that are aligned with the Company’s business strategy and culture.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ESG was an area of significant focus in 2019 for management and the Nominating and Governance Committee. The Company engaged Ernst &amp; Young LLP to assist in the benchmarking of the Company’s ESG initiatives and the refinement of its strategy and reporting. In 2019, the Company issued its inaugural sustainability report and took steps to strengthen its sustainability efforts and further integrate them into its business practices. For example, we:</w:t>
      </w:r>
    </w:p>
    <w:p>
      <w:pPr>
        <w:spacing w:after="0" w:line="230" w:lineRule="exact"/>
        <w:rPr>
          <w:sz w:val="20"/>
          <w:szCs w:val="20"/>
          <w:color w:val="auto"/>
        </w:rPr>
      </w:pPr>
    </w:p>
    <w:p>
      <w:pPr>
        <w:jc w:val="both"/>
        <w:ind w:left="700" w:hanging="382"/>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to develop sustainable investing strategies and platforms, providing our advisors and their clients more thoughtful options to meet their sustainable investment needs;</w:t>
      </w:r>
    </w:p>
    <w:p>
      <w:pPr>
        <w:spacing w:after="0" w:line="231" w:lineRule="exact"/>
        <w:rPr>
          <w:rFonts w:ascii="Arial" w:cs="Arial" w:eastAsia="Arial" w:hAnsi="Arial"/>
          <w:sz w:val="18"/>
          <w:szCs w:val="18"/>
          <w:color w:val="auto"/>
        </w:rPr>
      </w:pPr>
    </w:p>
    <w:p>
      <w:pPr>
        <w:jc w:val="both"/>
        <w:ind w:left="700" w:hanging="38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our training and development programs for our employees as part of our cultural transformation, giving them new tools to help them succeed; and</w:t>
      </w:r>
    </w:p>
    <w:p>
      <w:pPr>
        <w:spacing w:after="0" w:line="229" w:lineRule="exact"/>
        <w:rPr>
          <w:rFonts w:ascii="Arial" w:cs="Arial" w:eastAsia="Arial" w:hAnsi="Arial"/>
          <w:sz w:val="18"/>
          <w:szCs w:val="18"/>
          <w:color w:val="auto"/>
        </w:rPr>
      </w:pPr>
    </w:p>
    <w:p>
      <w:pPr>
        <w:jc w:val="both"/>
        <w:ind w:left="700" w:hanging="382"/>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the ease and efficacy of our paperless statement mailing program for advisors, an initiative which, as a financial firm, we believe will lead to one of the biggest impacts we can have on our environmental footprint.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goal is a sustainability strategy that drives long-term value and related disclosures that are transparent and credible. The Board reviews our corporate social responsibility program at least annually.</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learn more, please see the “Social Responsibility” section of our website at www.lpl.com, through which our 2019 sustainability report is also available.</w:t>
      </w:r>
    </w:p>
    <w:p>
      <w:pPr>
        <w:spacing w:after="0" w:line="2544"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60"/>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120" w:type="dxa"/>
            <w:vAlign w:val="bottom"/>
          </w:tcPr>
          <w:p>
            <w:pPr>
              <w:ind w:left="3720"/>
              <w:spacing w:after="0"/>
              <w:rPr>
                <w:sz w:val="20"/>
                <w:szCs w:val="20"/>
                <w:color w:val="auto"/>
              </w:rPr>
            </w:pPr>
            <w:r>
              <w:rPr>
                <w:rFonts w:ascii="Arial" w:cs="Arial" w:eastAsia="Arial" w:hAnsi="Arial"/>
                <w:sz w:val="20"/>
                <w:szCs w:val="20"/>
                <w:b w:val="1"/>
                <w:bCs w:val="1"/>
                <w:color w:val="003B71"/>
              </w:rPr>
              <w:t>Information Regarding Board and Committee Structure</w:t>
            </w:r>
          </w:p>
        </w:tc>
      </w:tr>
      <w:tr>
        <w:trPr>
          <w:trHeight w:val="91"/>
        </w:trPr>
        <w:tc>
          <w:tcPr>
            <w:tcW w:w="1660" w:type="dxa"/>
            <w:vAlign w:val="bottom"/>
            <w:tcBorders>
              <w:bottom w:val="single" w:sz="8" w:color="003B71"/>
            </w:tcBorders>
          </w:tcPr>
          <w:p>
            <w:pPr>
              <w:spacing w:after="0"/>
              <w:rPr>
                <w:sz w:val="7"/>
                <w:szCs w:val="7"/>
                <w:color w:val="auto"/>
              </w:rPr>
            </w:pPr>
          </w:p>
        </w:tc>
        <w:tc>
          <w:tcPr>
            <w:tcW w:w="240" w:type="dxa"/>
            <w:vAlign w:val="bottom"/>
            <w:tcBorders>
              <w:bottom w:val="single" w:sz="8" w:color="003B71"/>
            </w:tcBorders>
          </w:tcPr>
          <w:p>
            <w:pPr>
              <w:spacing w:after="0"/>
              <w:rPr>
                <w:sz w:val="7"/>
                <w:szCs w:val="7"/>
                <w:color w:val="auto"/>
              </w:rPr>
            </w:pPr>
          </w:p>
        </w:tc>
        <w:tc>
          <w:tcPr>
            <w:tcW w:w="9120" w:type="dxa"/>
            <w:vAlign w:val="bottom"/>
            <w:tcBorders>
              <w:bottom w:val="single" w:sz="8" w:color="003B71"/>
            </w:tcBorders>
          </w:tcPr>
          <w:p>
            <w:pPr>
              <w:spacing w:after="0"/>
              <w:rPr>
                <w:sz w:val="7"/>
                <w:szCs w:val="7"/>
                <w:color w:val="auto"/>
              </w:rPr>
            </w:pPr>
          </w:p>
        </w:tc>
      </w:tr>
      <w:tr>
        <w:trPr>
          <w:trHeight w:val="535"/>
        </w:trPr>
        <w:tc>
          <w:tcPr>
            <w:tcW w:w="1660" w:type="dxa"/>
            <w:vAlign w:val="bottom"/>
          </w:tcPr>
          <w:p>
            <w:pPr>
              <w:ind w:left="100"/>
              <w:spacing w:after="0"/>
              <w:rPr>
                <w:sz w:val="20"/>
                <w:szCs w:val="20"/>
                <w:color w:val="auto"/>
              </w:rPr>
            </w:pPr>
            <w:r>
              <w:rPr>
                <w:rFonts w:ascii="Arial" w:cs="Arial" w:eastAsia="Arial" w:hAnsi="Arial"/>
                <w:sz w:val="16"/>
                <w:szCs w:val="16"/>
                <w:color w:val="FFFFFF"/>
              </w:rPr>
              <w:t>Community</w:t>
            </w: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We support programs that increase access to career pathways for under-resourced teens and young adults. Our partners in</w:t>
            </w:r>
          </w:p>
        </w:tc>
      </w:tr>
      <w:tr>
        <w:trPr>
          <w:trHeight w:val="189"/>
        </w:trPr>
        <w:tc>
          <w:tcPr>
            <w:tcW w:w="1660" w:type="dxa"/>
            <w:vAlign w:val="bottom"/>
          </w:tcPr>
          <w:p>
            <w:pPr>
              <w:ind w:left="100"/>
              <w:spacing w:after="0"/>
              <w:rPr>
                <w:sz w:val="20"/>
                <w:szCs w:val="20"/>
                <w:color w:val="auto"/>
              </w:rPr>
            </w:pPr>
            <w:r>
              <w:rPr>
                <w:rFonts w:ascii="Arial" w:cs="Arial" w:eastAsia="Arial" w:hAnsi="Arial"/>
                <w:sz w:val="16"/>
                <w:szCs w:val="16"/>
                <w:color w:val="FFFFFF"/>
              </w:rPr>
              <w:t>Involvement</w:t>
            </w: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this work include Junior Achievement, Rock The Street, Wall Street, California State University San Marcos and Johnson C.</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Smith University.</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provide resources to connect employees with volunteer opportunities in their communities, as well as tools for creating</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and sharing volunteer activities. Annually, over 20% of our employees utilize our Volunteer Time Off benefit to volunteer.</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Employees and advisors are also able to utilize the LPL Foundation Matching Gift Program, which doubles personal</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contributions to their chosen eligible nonprofit organizations.</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annually sponsor May Serve Days, which enable employees to participate in a wide array of volunteer activities, from</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fundraising walks and clothing drives to community clean-up events and mentoring programs.</w:t>
            </w:r>
          </w:p>
        </w:tc>
      </w:tr>
      <w:tr>
        <w:trPr>
          <w:trHeight w:val="318"/>
        </w:trPr>
        <w:tc>
          <w:tcPr>
            <w:tcW w:w="1660" w:type="dxa"/>
            <w:vAlign w:val="bottom"/>
          </w:tcPr>
          <w:p>
            <w:pPr>
              <w:ind w:left="100"/>
              <w:spacing w:after="0"/>
              <w:rPr>
                <w:sz w:val="20"/>
                <w:szCs w:val="20"/>
                <w:color w:val="auto"/>
              </w:rPr>
            </w:pPr>
            <w:r>
              <w:rPr>
                <w:rFonts w:ascii="Arial" w:cs="Arial" w:eastAsia="Arial" w:hAnsi="Arial"/>
                <w:sz w:val="16"/>
                <w:szCs w:val="16"/>
                <w:color w:val="FFFFFF"/>
              </w:rPr>
              <w:t>Diversity &amp; Inclusion</w:t>
            </w: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In 2019, we were recognized as a Winning ‘W’ Company by 2020 Women on Boards (“2020WOB”). We are proud to have</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three women on our nine-member board of directors, and 2020WOB recognized us for our commitment to diversity.</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have an established Advisor Inclusion Council, which is composed of a diverse group of representatives from advisor</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firms and institutions, that partners with our leaders to advance our vision of being the most diverse and inclusive place to do</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business.</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foster diversity and a culture of inclusivity through our Employee Resource Groups (“ERGs”). Our ERGs bring together</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employees  who  share  common  interests  and  experiences  through  events  such  as  seminars,  guest  speakers,</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meet-and-greets and charitable events. We have 11 unique ERGs and 19 total chapters, including four national chapters.</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Currently, over 33% of our employees belong to at least one ERG.</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Each year since 2016, we have received a 100% rating on the Human Rights Campaign Foundation’s Corporate Equality</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Index, in recognition of our steps to ensure greater equity for LGBTQ workers and their families in the form of</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comprehensive policies, benefits and practices.</w:t>
            </w:r>
          </w:p>
        </w:tc>
      </w:tr>
      <w:tr>
        <w:trPr>
          <w:trHeight w:val="318"/>
        </w:trPr>
        <w:tc>
          <w:tcPr>
            <w:tcW w:w="166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We launched our African American Advisor Business Community in February 2019, and plan to launch other diverse</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community groups to enable advisors to continue to learn, share and grow.</w:t>
            </w:r>
          </w:p>
        </w:tc>
      </w:tr>
      <w:tr>
        <w:trPr>
          <w:trHeight w:val="318"/>
        </w:trPr>
        <w:tc>
          <w:tcPr>
            <w:tcW w:w="1660" w:type="dxa"/>
            <w:vAlign w:val="bottom"/>
          </w:tcPr>
          <w:p>
            <w:pPr>
              <w:ind w:left="100"/>
              <w:spacing w:after="0"/>
              <w:rPr>
                <w:sz w:val="20"/>
                <w:szCs w:val="20"/>
                <w:color w:val="auto"/>
              </w:rPr>
            </w:pPr>
            <w:r>
              <w:rPr>
                <w:rFonts w:ascii="Arial" w:cs="Arial" w:eastAsia="Arial" w:hAnsi="Arial"/>
                <w:sz w:val="16"/>
                <w:szCs w:val="16"/>
                <w:color w:val="FFFFFF"/>
              </w:rPr>
              <w:t>Environment &amp;</w:t>
            </w: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We have committed ourselves to making it easier for our advisors and their clients to go paperless. Our progress in 2019</w:t>
            </w:r>
          </w:p>
        </w:tc>
      </w:tr>
      <w:tr>
        <w:trPr>
          <w:trHeight w:val="189"/>
        </w:trPr>
        <w:tc>
          <w:tcPr>
            <w:tcW w:w="1660" w:type="dxa"/>
            <w:vAlign w:val="bottom"/>
          </w:tcPr>
          <w:p>
            <w:pPr>
              <w:ind w:left="100"/>
              <w:spacing w:after="0"/>
              <w:rPr>
                <w:sz w:val="20"/>
                <w:szCs w:val="20"/>
                <w:color w:val="auto"/>
              </w:rPr>
            </w:pPr>
            <w:r>
              <w:rPr>
                <w:rFonts w:ascii="Arial" w:cs="Arial" w:eastAsia="Arial" w:hAnsi="Arial"/>
                <w:sz w:val="16"/>
                <w:szCs w:val="16"/>
                <w:color w:val="FFFFFF"/>
              </w:rPr>
              <w:t>Sustainability</w:t>
            </w: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included the piloting of new electronic processes to reduce paper consumption related to account statements and mailed</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shareholder communications.</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have recycling and composting stations located throughout our Carolinas campus, which earned LEED Gold certification</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for its innovation in sustainable design strategies. Our San Diego facility, which earned LEED Platinum certification for its</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interior design and construction, employs single-stream waste management.</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collect 18,000,000 gallons of rainwater each year at our Carolinas campus for use in landscaping, cooling towers and</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toilets.</w:t>
            </w:r>
          </w:p>
        </w:tc>
      </w:tr>
      <w:tr>
        <w:trPr>
          <w:trHeight w:val="318"/>
        </w:trPr>
        <w:tc>
          <w:tcPr>
            <w:tcW w:w="166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6"/>
                <w:szCs w:val="16"/>
                <w:color w:val="FFFFFF"/>
              </w:rPr>
              <w:t>•  We have a Sustainability Employee Action Committee comprised of employees who serve as “sustainability champions” and</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promote eco-friendly practices throughout our facilities and operations.</w:t>
            </w:r>
          </w:p>
        </w:tc>
      </w:tr>
      <w:tr>
        <w:trPr>
          <w:trHeight w:val="318"/>
        </w:trPr>
        <w:tc>
          <w:tcPr>
            <w:tcW w:w="1660" w:type="dxa"/>
            <w:vAlign w:val="bottom"/>
          </w:tcPr>
          <w:p>
            <w:pPr>
              <w:ind w:left="100"/>
              <w:spacing w:after="0"/>
              <w:rPr>
                <w:sz w:val="20"/>
                <w:szCs w:val="20"/>
                <w:color w:val="auto"/>
              </w:rPr>
            </w:pPr>
            <w:r>
              <w:rPr>
                <w:rFonts w:ascii="Arial" w:cs="Arial" w:eastAsia="Arial" w:hAnsi="Arial"/>
                <w:sz w:val="16"/>
                <w:szCs w:val="16"/>
                <w:color w:val="FFFFFF"/>
              </w:rPr>
              <w:t>Business Practices</w:t>
            </w: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Our business is dedicated exclusively to our advisors; we are not a market-maker nor do we offer investment banking or</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underwriting services or proprietary products of our own. Because we do not offer proprietary products, we enable our</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advisors to offer their clients lower-conflict advice.</w:t>
            </w:r>
          </w:p>
        </w:tc>
      </w:tr>
      <w:tr>
        <w:trPr>
          <w:trHeight w:val="318"/>
        </w:trPr>
        <w:tc>
          <w:tcPr>
            <w:tcW w:w="166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FFFFFF"/>
              </w:rPr>
              <w:t>•</w:t>
            </w:r>
          </w:p>
        </w:tc>
        <w:tc>
          <w:tcPr>
            <w:tcW w:w="9120" w:type="dxa"/>
            <w:vAlign w:val="bottom"/>
          </w:tcPr>
          <w:p>
            <w:pPr>
              <w:ind w:left="60"/>
              <w:spacing w:after="0"/>
              <w:rPr>
                <w:sz w:val="20"/>
                <w:szCs w:val="20"/>
                <w:color w:val="auto"/>
              </w:rPr>
            </w:pPr>
            <w:r>
              <w:rPr>
                <w:rFonts w:ascii="Arial" w:cs="Arial" w:eastAsia="Arial" w:hAnsi="Arial"/>
                <w:sz w:val="16"/>
                <w:szCs w:val="16"/>
                <w:color w:val="FFFFFF"/>
              </w:rPr>
              <w:t>Our Research team provides resources for market insights, asset allocation, manager research and turnkey centrally</w:t>
            </w:r>
          </w:p>
        </w:tc>
      </w:tr>
      <w:tr>
        <w:trPr>
          <w:trHeight w:val="189"/>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managed portfolios to enable our advisors to include sustainable investing in their practices. Approximately 9,000 advisors</w:t>
            </w:r>
          </w:p>
        </w:tc>
      </w:tr>
      <w:tr>
        <w:trPr>
          <w:trHeight w:val="195"/>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120" w:type="dxa"/>
            <w:vAlign w:val="bottom"/>
          </w:tcPr>
          <w:p>
            <w:pPr>
              <w:ind w:left="80"/>
              <w:spacing w:after="0"/>
              <w:rPr>
                <w:sz w:val="20"/>
                <w:szCs w:val="20"/>
                <w:color w:val="auto"/>
              </w:rPr>
            </w:pPr>
            <w:r>
              <w:rPr>
                <w:rFonts w:ascii="Arial" w:cs="Arial" w:eastAsia="Arial" w:hAnsi="Arial"/>
                <w:sz w:val="16"/>
                <w:szCs w:val="16"/>
                <w:color w:val="FFFFFF"/>
              </w:rPr>
              <w:t>had more than 100,000 clients who had invested over $3.5 billion across these products as of June 30,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-5910580</wp:posOffset>
            </wp:positionV>
            <wp:extent cx="6995160" cy="73552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7355205"/>
                    </a:xfrm>
                    <a:prstGeom prst="rect">
                      <a:avLst/>
                    </a:prstGeom>
                    <a:noFill/>
                  </pic:spPr>
                </pic:pic>
              </a:graphicData>
            </a:graphic>
          </wp:anchor>
        </w:drawing>
      </w:r>
    </w:p>
    <w:p>
      <w:pPr>
        <w:spacing w:after="0" w:line="109" w:lineRule="exact"/>
        <w:rPr>
          <w:sz w:val="20"/>
          <w:szCs w:val="20"/>
          <w:color w:val="auto"/>
        </w:rPr>
      </w:pPr>
    </w:p>
    <w:p>
      <w:pPr>
        <w:jc w:val="both"/>
        <w:ind w:left="2080" w:right="120" w:hanging="214"/>
        <w:spacing w:after="0" w:line="253" w:lineRule="auto"/>
        <w:tabs>
          <w:tab w:leader="none" w:pos="2060" w:val="left"/>
        </w:tabs>
        <w:rPr>
          <w:sz w:val="20"/>
          <w:szCs w:val="20"/>
          <w:color w:val="auto"/>
        </w:rPr>
      </w:pPr>
      <w:r>
        <w:rPr>
          <w:rFonts w:ascii="Arial" w:cs="Arial" w:eastAsia="Arial" w:hAnsi="Arial"/>
          <w:sz w:val="16"/>
          <w:szCs w:val="16"/>
          <w:color w:val="FFFFFF"/>
        </w:rPr>
        <w:t>•</w:t>
        <w:tab/>
        <w:t>To foster greater connection with our employees and to support their work, we check in with them via an annual survey which is called “LPL Listens.” The survey affords our employees the opportunity to share their perspectives on their work experience with us.</w:t>
      </w:r>
    </w:p>
    <w:p>
      <w:pPr>
        <w:spacing w:after="0" w:line="120" w:lineRule="exact"/>
        <w:rPr>
          <w:sz w:val="20"/>
          <w:szCs w:val="20"/>
          <w:color w:val="auto"/>
        </w:rPr>
      </w:pPr>
    </w:p>
    <w:p>
      <w:pPr>
        <w:jc w:val="both"/>
        <w:ind w:left="2080" w:right="120" w:hanging="214"/>
        <w:spacing w:after="0" w:line="253" w:lineRule="auto"/>
        <w:tabs>
          <w:tab w:leader="none" w:pos="2060" w:val="left"/>
        </w:tabs>
        <w:rPr>
          <w:sz w:val="20"/>
          <w:szCs w:val="20"/>
          <w:color w:val="auto"/>
        </w:rPr>
      </w:pPr>
      <w:r>
        <w:rPr>
          <w:rFonts w:ascii="Arial" w:cs="Arial" w:eastAsia="Arial" w:hAnsi="Arial"/>
          <w:sz w:val="16"/>
          <w:szCs w:val="16"/>
          <w:color w:val="FFFFFF"/>
        </w:rPr>
        <w:t>•</w:t>
        <w:tab/>
        <w:t>We have a strong corporate culture that promotes the highest standards of ethics and compliance for our business. Our advisors sign a Code of Ethics that covers disclosure of conflicts of interest, as well as compliance with securities laws and the protection of confidential client information.</w:t>
      </w:r>
    </w:p>
    <w:p>
      <w:pPr>
        <w:spacing w:after="0" w:line="120" w:lineRule="exact"/>
        <w:rPr>
          <w:sz w:val="20"/>
          <w:szCs w:val="20"/>
          <w:color w:val="auto"/>
        </w:rPr>
      </w:pPr>
    </w:p>
    <w:p>
      <w:pPr>
        <w:jc w:val="both"/>
        <w:ind w:left="2080" w:right="120" w:hanging="214"/>
        <w:spacing w:after="0" w:line="253" w:lineRule="auto"/>
        <w:tabs>
          <w:tab w:leader="none" w:pos="2060" w:val="left"/>
        </w:tabs>
        <w:rPr>
          <w:sz w:val="20"/>
          <w:szCs w:val="20"/>
          <w:color w:val="auto"/>
        </w:rPr>
      </w:pPr>
      <w:r>
        <w:rPr>
          <w:rFonts w:ascii="Arial" w:cs="Arial" w:eastAsia="Arial" w:hAnsi="Arial"/>
          <w:sz w:val="16"/>
          <w:szCs w:val="16"/>
          <w:color w:val="FFFFFF"/>
        </w:rPr>
        <w:t>•</w:t>
        <w:tab/>
        <w:t>Our Code of Conduct guides our employees’ decision-making processes when there is no prescriptive rule for the situation at hand. The Code summarizes fundamental principles, explains our approach to business ethics and provides a guiding framework for doing the right thing.</w:t>
      </w:r>
    </w:p>
    <w:p>
      <w:pPr>
        <w:sectPr>
          <w:pgSz w:w="11900" w:h="16838" w:orient="portrait"/>
          <w:cols w:equalWidth="0" w:num="1">
            <w:col w:w="11140"/>
          </w:cols>
          <w:pgMar w:left="320" w:top="459" w:right="439" w:bottom="1440" w:gutter="0" w:footer="0" w:header="0"/>
        </w:sectPr>
      </w:pPr>
    </w:p>
    <w:p>
      <w:pPr>
        <w:spacing w:after="0" w:line="284"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003B71"/>
        </w:rPr>
        <w:t>21</w:t>
      </w:r>
    </w:p>
    <w:p>
      <w:pPr>
        <w:sectPr>
          <w:pgSz w:w="11900" w:h="16838" w:orient="portrait"/>
          <w:cols w:equalWidth="0" w:num="2">
            <w:col w:w="10400" w:space="540"/>
            <w:col w:w="20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Annual Board Evaluation</w:t>
      </w:r>
    </w:p>
    <w:p>
      <w:pPr>
        <w:spacing w:after="0" w:line="22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Board recognizes that a robust and constructive 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performance, operations, size and composition are effective for the Company, both in the short- and longer-term.</w:t>
      </w:r>
    </w:p>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Following discussion by the Nominating and Governance Committee, the 2020 annual evaluation included the following elements:</w:t>
      </w:r>
    </w:p>
    <w:p>
      <w:pPr>
        <w:spacing w:after="0" w:line="108" w:lineRule="exact"/>
        <w:rPr>
          <w:sz w:val="20"/>
          <w:szCs w:val="20"/>
          <w:color w:val="auto"/>
        </w:rPr>
      </w:pPr>
    </w:p>
    <w:p>
      <w:pPr>
        <w:ind w:left="820" w:hanging="38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written questionnaire completed by each director;</w:t>
      </w:r>
    </w:p>
    <w:p>
      <w:pPr>
        <w:spacing w:after="0" w:line="117"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written questionnaire for each Board committee completed by each committee member;</w:t>
      </w:r>
    </w:p>
    <w:p>
      <w:pPr>
        <w:spacing w:after="0" w:line="102" w:lineRule="exact"/>
        <w:rPr>
          <w:rFonts w:ascii="Arial" w:cs="Arial" w:eastAsia="Arial" w:hAnsi="Arial"/>
          <w:sz w:val="18"/>
          <w:szCs w:val="18"/>
          <w:color w:val="auto"/>
        </w:rPr>
      </w:pPr>
    </w:p>
    <w:p>
      <w:pPr>
        <w:jc w:val="both"/>
        <w:ind w:left="820" w:hanging="380"/>
        <w:spacing w:after="0" w:line="23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director interviews conducted by the chair of the Board and our chief legal officer (who elicited confidential feedback about the chair from directors outside the presence of the chair); and</w:t>
      </w:r>
    </w:p>
    <w:p>
      <w:pPr>
        <w:spacing w:after="0" w:line="110"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written questionnaires completed by our executive officers.</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director and management questionnaires provided feedback on an unattributed basis and informed the individual director interviews, which provided further opportunity for candid discussion.</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topics of the 2020 annual evaluation were:</w:t>
      </w:r>
    </w:p>
    <w:p>
      <w:pPr>
        <w:spacing w:after="0" w:line="117" w:lineRule="exact"/>
        <w:rPr>
          <w:sz w:val="20"/>
          <w:szCs w:val="20"/>
          <w:color w:val="auto"/>
        </w:rPr>
      </w:pPr>
    </w:p>
    <w:p>
      <w:pPr>
        <w:ind w:left="820" w:right="20" w:hanging="380"/>
        <w:spacing w:after="0" w:line="246"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composition, diversity and size, including desired director skills and attributes;</w:t>
      </w:r>
    </w:p>
    <w:p>
      <w:pPr>
        <w:spacing w:after="0" w:line="102"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of materials and information provided to the Board;</w:t>
      </w:r>
    </w:p>
    <w:p>
      <w:pPr>
        <w:spacing w:after="0" w:line="102" w:lineRule="exact"/>
        <w:rPr>
          <w:rFonts w:ascii="Arial" w:cs="Arial" w:eastAsia="Arial" w:hAnsi="Arial"/>
          <w:sz w:val="18"/>
          <w:szCs w:val="18"/>
          <w:color w:val="auto"/>
        </w:rPr>
      </w:pPr>
    </w:p>
    <w:p>
      <w:pPr>
        <w:ind w:left="820" w:hanging="38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structure and conduct of Board meetings;</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leadership and decision-making processes;</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committee structure and performance;</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culture and dynamics;</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Board and director interactions with management; 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left="700" w:hanging="38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Board oversight, including attention to issues and opportunities that affect long-term stockholder value.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the 2020 annual evaluation, directors had the opportunity to provide feedback on individual directors, in order to help improve performance or contributions to the Board.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discussed the results of the 2020 annual evaluation in a closed session co-led by the chair of the Board and the chair of the Nominating and Governance Committee.</w:t>
      </w:r>
    </w:p>
    <w:p>
      <w:pPr>
        <w:spacing w:after="0" w:line="7238"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6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Board Committees</w:t>
      </w:r>
    </w:p>
    <w:p>
      <w:pPr>
        <w:spacing w:after="0" w:line="12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of Directors has established three standing committees: the Audit Committee, the Nominating and Governance Committee, and the Compensation Committee, each with the composition and responsibilities described below. The members of each committee were appointed by the Board of</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chaired by an independent director.</w:t>
      </w:r>
    </w:p>
    <w:p>
      <w:pPr>
        <w:spacing w:after="0" w:line="32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reflects the composition of the Board’s three standing committees as of 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1611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3415" cy="1611630"/>
                    </a:xfrm>
                    <a:prstGeom prst="rect">
                      <a:avLst/>
                    </a:prstGeom>
                    <a:noFill/>
                  </pic:spPr>
                </pic:pic>
              </a:graphicData>
            </a:graphic>
          </wp:anchor>
        </w:drawing>
      </w:r>
    </w:p>
    <w:p>
      <w:pPr>
        <w:spacing w:after="0" w:line="235" w:lineRule="exact"/>
        <w:rPr>
          <w:sz w:val="20"/>
          <w:szCs w:val="20"/>
          <w:color w:val="auto"/>
        </w:rPr>
      </w:pPr>
    </w:p>
    <w:tbl>
      <w:tblPr>
        <w:tblLayout w:type="fixed"/>
        <w:tblInd w:w="3460" w:type="dxa"/>
        <w:tblCellMar>
          <w:top w:w="0" w:type="dxa"/>
          <w:left w:w="0" w:type="dxa"/>
          <w:bottom w:w="0" w:type="dxa"/>
          <w:right w:w="0" w:type="dxa"/>
        </w:tblCellMar>
      </w:tblPr>
      <w:tr>
        <w:trPr>
          <w:trHeight w:val="195"/>
        </w:trPr>
        <w:tc>
          <w:tcPr>
            <w:tcW w:w="1700" w:type="dxa"/>
            <w:vAlign w:val="bottom"/>
          </w:tcPr>
          <w:p>
            <w:pPr>
              <w:spacing w:after="0"/>
              <w:rPr>
                <w:sz w:val="20"/>
                <w:szCs w:val="20"/>
                <w:color w:val="auto"/>
              </w:rPr>
            </w:pPr>
            <w:r>
              <w:rPr>
                <w:rFonts w:ascii="Arial" w:cs="Arial" w:eastAsia="Arial" w:hAnsi="Arial"/>
                <w:sz w:val="16"/>
                <w:szCs w:val="16"/>
                <w:color w:val="auto"/>
              </w:rPr>
              <w:t>Audit Committee</w:t>
            </w:r>
          </w:p>
        </w:tc>
        <w:tc>
          <w:tcPr>
            <w:tcW w:w="3640" w:type="dxa"/>
            <w:vAlign w:val="bottom"/>
          </w:tcPr>
          <w:p>
            <w:pPr>
              <w:ind w:left="500"/>
              <w:spacing w:after="0"/>
              <w:rPr>
                <w:sz w:val="20"/>
                <w:szCs w:val="20"/>
                <w:color w:val="auto"/>
              </w:rPr>
            </w:pPr>
            <w:r>
              <w:rPr>
                <w:rFonts w:ascii="Arial" w:cs="Arial" w:eastAsia="Arial" w:hAnsi="Arial"/>
                <w:sz w:val="16"/>
                <w:szCs w:val="16"/>
                <w:color w:val="auto"/>
              </w:rPr>
              <w:t>Nominating and Governance Committee</w:t>
            </w:r>
          </w:p>
        </w:tc>
        <w:tc>
          <w:tcPr>
            <w:tcW w:w="2160" w:type="dxa"/>
            <w:vAlign w:val="bottom"/>
          </w:tcPr>
          <w:p>
            <w:pPr>
              <w:ind w:left="280"/>
              <w:spacing w:after="0"/>
              <w:rPr>
                <w:sz w:val="20"/>
                <w:szCs w:val="20"/>
                <w:color w:val="auto"/>
              </w:rPr>
            </w:pPr>
            <w:r>
              <w:rPr>
                <w:rFonts w:ascii="Arial" w:cs="Arial" w:eastAsia="Arial" w:hAnsi="Arial"/>
                <w:sz w:val="16"/>
                <w:szCs w:val="16"/>
                <w:color w:val="auto"/>
              </w:rPr>
              <w:t>Compensation Committee</w:t>
            </w:r>
          </w:p>
        </w:tc>
      </w:tr>
    </w:tbl>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H. Paulett Eberhart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William F. Glavin, Jr.</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Allison H. Mnookin</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Anne M. Mulcahy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James S. Putnam</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James S. Riepe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Richard P. Schifter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Corey E. Thomas</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2417" w:val="left"/>
        </w:tabs>
        <w:rPr>
          <w:sz w:val="20"/>
          <w:szCs w:val="20"/>
          <w:color w:val="auto"/>
        </w:rPr>
      </w:pPr>
      <w:r>
        <w:rPr>
          <w:rFonts w:ascii="Arial" w:cs="Arial" w:eastAsia="Arial" w:hAnsi="Arial"/>
          <w:sz w:val="16"/>
          <w:szCs w:val="16"/>
          <w:color w:val="auto"/>
        </w:rPr>
        <w:t>Member</w:t>
      </w:r>
      <w:r>
        <w:rPr>
          <w:sz w:val="20"/>
          <w:szCs w:val="20"/>
          <w:color w:val="auto"/>
        </w:rPr>
        <w:tab/>
      </w:r>
      <w:r>
        <w:rPr>
          <w:sz w:val="1"/>
          <w:szCs w:val="1"/>
          <w:color w:val="auto"/>
        </w:rPr>
        <w:drawing>
          <wp:inline distT="0" distB="0" distL="0" distR="0">
            <wp:extent cx="85725" cy="774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color w:val="auto"/>
        </w:rPr>
        <w:t xml:space="preserve">  Chair                  </w:t>
      </w:r>
      <w:r>
        <w:rPr>
          <w:sz w:val="1"/>
          <w:szCs w:val="1"/>
          <w:color w:val="auto"/>
        </w:rPr>
        <w:drawing>
          <wp:inline distT="0" distB="0" distL="0" distR="0">
            <wp:extent cx="60325" cy="857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5725"/>
                    </a:xfrm>
                    <a:prstGeom prst="rect">
                      <a:avLst/>
                    </a:prstGeom>
                    <a:noFill/>
                    <a:ln>
                      <a:noFill/>
                    </a:ln>
                  </pic:spPr>
                </pic:pic>
              </a:graphicData>
            </a:graphic>
          </wp:inline>
        </w:drawing>
      </w:r>
      <w:r>
        <w:rPr>
          <w:rFonts w:ascii="Arial" w:cs="Arial" w:eastAsia="Arial" w:hAnsi="Arial"/>
          <w:sz w:val="16"/>
          <w:szCs w:val="16"/>
          <w:color w:val="auto"/>
        </w:rPr>
        <w:t xml:space="preserv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4318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14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7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Nominating and Governance Committee will reassess the composition of the standing committees of the Board following the election of directors at the Annual Meeting. Following its assessment after the 2019 annual meeting of stockholders:</w:t>
      </w:r>
    </w:p>
    <w:p>
      <w:pPr>
        <w:spacing w:after="0" w:line="110" w:lineRule="exact"/>
        <w:rPr>
          <w:sz w:val="20"/>
          <w:szCs w:val="20"/>
          <w:color w:val="auto"/>
        </w:rPr>
      </w:pPr>
    </w:p>
    <w:p>
      <w:pPr>
        <w:ind w:left="820" w:hanging="380"/>
        <w:spacing w:after="0" w:line="246"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Thomas succeeded Mr. Putnam on the Audit Committee;</w:t>
      </w:r>
    </w:p>
    <w:p>
      <w:pPr>
        <w:spacing w:after="0" w:line="102"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Putnam succeeded Mr. Riepe on the Compensation Committee; and</w:t>
      </w:r>
    </w:p>
    <w:p>
      <w:pPr>
        <w:spacing w:after="0" w:line="102" w:lineRule="exact"/>
        <w:rPr>
          <w:rFonts w:ascii="Arial" w:cs="Arial" w:eastAsia="Arial" w:hAnsi="Arial"/>
          <w:sz w:val="18"/>
          <w:szCs w:val="18"/>
          <w:color w:val="auto"/>
        </w:rPr>
      </w:pPr>
    </w:p>
    <w:p>
      <w:pPr>
        <w:ind w:left="820" w:hanging="380"/>
        <w:spacing w:after="0" w:line="246"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Eberhart succeeded Mr. Riepe as chair of the Audit Committee, effective as of September 25, 2019.</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Audit Committee</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Audit Committee is composed of the following members: H. Paulett Eberhart, William F. Glavin, Jr., James S. Riepe and Corey E. Thomas. Ms. Eberhart serves as the chair of the Audit Committee.</w:t>
      </w:r>
    </w:p>
    <w:p>
      <w:pPr>
        <w:spacing w:after="0" w:line="9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of the Audit Committee members is independent under the listing standards of Nasdaq, including under Rule 10A-3 of the Exchange Act. None of the Audit Committee members is an employee of ours or any of our subsidiaries, nor simultaneously serves on the audit committees of more than three public companies, including ours. All</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 the Audit Committee members meet the requirements for financial literacy and are able to read and understand fundamental financial statements, including the Company’s balance sheet, income statement and cash flow statement. Our Board has affirmatively determined that Ms. Eberhart qualifies as an audit committee financial expert under the applicable rules and regulations of the SEC.</w:t>
      </w:r>
    </w:p>
    <w:p>
      <w:pPr>
        <w:spacing w:after="0" w:line="3721"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4"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003B71"/>
        </w:rPr>
        <w:t>23</w:t>
      </w:r>
    </w:p>
    <w:p>
      <w:pPr>
        <w:sectPr>
          <w:pgSz w:w="11900" w:h="16838" w:orient="portrait"/>
          <w:cols w:equalWidth="0" w:num="2">
            <w:col w:w="10400" w:space="540"/>
            <w:col w:w="200"/>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220" w:right="140"/>
        <w:spacing w:after="0" w:line="238" w:lineRule="auto"/>
        <w:rPr>
          <w:sz w:val="20"/>
          <w:szCs w:val="20"/>
          <w:color w:val="auto"/>
        </w:rPr>
      </w:pPr>
      <w:r>
        <w:rPr>
          <w:rFonts w:ascii="Arial" w:cs="Arial" w:eastAsia="Arial" w:hAnsi="Arial"/>
          <w:sz w:val="18"/>
          <w:szCs w:val="18"/>
          <w:color w:val="FFFFFF"/>
        </w:rPr>
        <w:t>Our Audit Committee is responsible for, among other things, the appointment, compensation, oversight and replacement, if necessary, of the independent auditor and assisting the Board in overseeing and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-563245</wp:posOffset>
            </wp:positionV>
            <wp:extent cx="3351530" cy="2717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2717165"/>
                    </a:xfrm>
                    <a:prstGeom prst="rect">
                      <a:avLst/>
                    </a:prstGeom>
                    <a:noFill/>
                  </pic:spPr>
                </pic:pic>
              </a:graphicData>
            </a:graphic>
          </wp:anchor>
        </w:drawing>
      </w:r>
    </w:p>
    <w:p>
      <w:pPr>
        <w:spacing w:after="0" w:line="4" w:lineRule="exact"/>
        <w:rPr>
          <w:sz w:val="20"/>
          <w:szCs w:val="20"/>
          <w:color w:val="auto"/>
        </w:rPr>
      </w:pPr>
    </w:p>
    <w:p>
      <w:pPr>
        <w:ind w:left="520" w:right="140" w:firstLine="31"/>
        <w:spacing w:after="0" w:line="248" w:lineRule="auto"/>
        <w:rPr>
          <w:sz w:val="20"/>
          <w:szCs w:val="20"/>
          <w:color w:val="auto"/>
        </w:rPr>
      </w:pPr>
      <w:r>
        <w:rPr>
          <w:rFonts w:ascii="Arial" w:cs="Arial" w:eastAsia="Arial" w:hAnsi="Arial"/>
          <w:sz w:val="18"/>
          <w:szCs w:val="18"/>
          <w:color w:val="FFFFFF"/>
        </w:rPr>
        <w:t>the integrity of the Company’s financial statements and other financial information provided by the Company to its stockholders;</w:t>
      </w:r>
    </w:p>
    <w:p>
      <w:pPr>
        <w:spacing w:after="0" w:line="46" w:lineRule="exact"/>
        <w:rPr>
          <w:sz w:val="20"/>
          <w:szCs w:val="20"/>
          <w:color w:val="auto"/>
        </w:rPr>
      </w:pPr>
    </w:p>
    <w:p>
      <w:pPr>
        <w:ind w:left="520" w:right="140" w:firstLine="58"/>
        <w:spacing w:after="0" w:line="248" w:lineRule="auto"/>
        <w:rPr>
          <w:sz w:val="20"/>
          <w:szCs w:val="20"/>
          <w:color w:val="auto"/>
        </w:rPr>
      </w:pPr>
      <w:r>
        <w:rPr>
          <w:rFonts w:ascii="Arial" w:cs="Arial" w:eastAsia="Arial" w:hAnsi="Arial"/>
          <w:sz w:val="18"/>
          <w:szCs w:val="18"/>
          <w:color w:val="FFFFFF"/>
        </w:rPr>
        <w:t>the integrity of the accounting and financial reporting processes of the Company, and the audit of the Company’s financial statements;</w:t>
      </w:r>
    </w:p>
    <w:p>
      <w:pPr>
        <w:spacing w:after="0" w:line="46" w:lineRule="exact"/>
        <w:rPr>
          <w:sz w:val="20"/>
          <w:szCs w:val="20"/>
          <w:color w:val="auto"/>
        </w:rPr>
      </w:pPr>
    </w:p>
    <w:p>
      <w:pPr>
        <w:ind w:left="520" w:right="140" w:hanging="9"/>
        <w:spacing w:after="0" w:line="261" w:lineRule="auto"/>
        <w:rPr>
          <w:sz w:val="20"/>
          <w:szCs w:val="20"/>
          <w:color w:val="auto"/>
        </w:rPr>
      </w:pPr>
      <w:r>
        <w:rPr>
          <w:rFonts w:ascii="Arial" w:cs="Arial" w:eastAsia="Arial" w:hAnsi="Arial"/>
          <w:sz w:val="18"/>
          <w:szCs w:val="18"/>
          <w:color w:val="FFFFFF"/>
        </w:rPr>
        <w:t>the Company’s compliance with legal, regulatory and public disclosure requirements;</w:t>
      </w:r>
    </w:p>
    <w:p>
      <w:pPr>
        <w:spacing w:after="0" w:line="35" w:lineRule="exact"/>
        <w:rPr>
          <w:sz w:val="20"/>
          <w:szCs w:val="20"/>
          <w:color w:val="auto"/>
        </w:rPr>
      </w:pPr>
    </w:p>
    <w:p>
      <w:pPr>
        <w:ind w:left="520" w:right="140" w:firstLine="45"/>
        <w:spacing w:after="0" w:line="248" w:lineRule="auto"/>
        <w:rPr>
          <w:sz w:val="20"/>
          <w:szCs w:val="20"/>
          <w:color w:val="auto"/>
        </w:rPr>
      </w:pPr>
      <w:r>
        <w:rPr>
          <w:rFonts w:ascii="Arial" w:cs="Arial" w:eastAsia="Arial" w:hAnsi="Arial"/>
          <w:sz w:val="18"/>
          <w:szCs w:val="18"/>
          <w:color w:val="FFFFFF"/>
        </w:rPr>
        <w:t>enterprise risk management, privacy and data security (except for risks assigned to other committees or retained by the Board);</w:t>
      </w:r>
    </w:p>
    <w:p>
      <w:pPr>
        <w:spacing w:after="0" w:line="46" w:lineRule="exact"/>
        <w:rPr>
          <w:sz w:val="20"/>
          <w:szCs w:val="20"/>
          <w:color w:val="auto"/>
        </w:rPr>
      </w:pPr>
    </w:p>
    <w:p>
      <w:pPr>
        <w:ind w:left="520" w:right="140" w:firstLine="126"/>
        <w:spacing w:after="0" w:line="261" w:lineRule="auto"/>
        <w:rPr>
          <w:sz w:val="20"/>
          <w:szCs w:val="20"/>
          <w:color w:val="auto"/>
        </w:rPr>
      </w:pPr>
      <w:r>
        <w:rPr>
          <w:rFonts w:ascii="Arial" w:cs="Arial" w:eastAsia="Arial" w:hAnsi="Arial"/>
          <w:sz w:val="18"/>
          <w:szCs w:val="18"/>
          <w:color w:val="FFFFFF"/>
        </w:rPr>
        <w:t>the Company’s independent auditor, including its qualifications, performance and independence;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FFFFFF"/>
        </w:rPr>
        <w:t>the performance of the Company’s internal audit function.</w:t>
      </w:r>
    </w:p>
    <w:p>
      <w:pPr>
        <w:spacing w:after="0" w:line="312"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The Audit Committee reviews and discusses our annual and quarterly financial statements, our disclosures in the “Management’s Discussion and Analysis of Financial Condition and Results of Operations” in our annual and quarterly reports filed with the SEC, and our earnings announcements prior to their release. The Audit Committee also reviews matters related to the Company’s related party transaction policy, the operations of the Company’s Technology department and the Company’s whistle-blower and integrity program. For additional information on the Audit Committee’s role in our enterprise risk management</w:t>
      </w:r>
    </w:p>
    <w:p>
      <w:pPr>
        <w:spacing w:after="0" w:line="7"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 xml:space="preserve">framework, please see “ </w:t>
      </w:r>
      <w:r>
        <w:rPr>
          <w:rFonts w:ascii="Arial" w:cs="Arial" w:eastAsia="Arial" w:hAnsi="Arial"/>
          <w:sz w:val="18"/>
          <w:szCs w:val="18"/>
          <w:i w:val="1"/>
          <w:iCs w:val="1"/>
          <w:color w:val="auto"/>
        </w:rPr>
        <w:t>— Risk Management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Policies and Practices</w:t>
      </w:r>
      <w:r>
        <w:rPr>
          <w:rFonts w:ascii="Arial" w:cs="Arial" w:eastAsia="Arial" w:hAnsi="Arial"/>
          <w:sz w:val="18"/>
          <w:szCs w:val="18"/>
          <w:color w:val="auto"/>
        </w:rPr>
        <w:t>.”</w:t>
      </w:r>
    </w:p>
    <w:p>
      <w:pPr>
        <w:spacing w:after="0" w:line="156"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In addition, the Audit Committee is responsible for overseeing the fee negotiations associated with our retention of Deloitte &amp; Touche LLP, our independent registered public accounting firm (“Deloitte”).</w:t>
      </w:r>
    </w:p>
    <w:p>
      <w:pPr>
        <w:spacing w:after="0" w:line="14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Audit Committee has authority under its charter to obtain advice and assistance from outside legal counsel, accounting or other outside advisors as deemed appropriate to perform its duties and responsibilities.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met nine times during 2019.</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Nominating and Governance Committee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Nominating and Governance Committee is composed of the following members: William F. Glavin, Jr., Allison H. Mnookin, Anne M. Mulcahy and Richard P. Schifter. Mr. Schifter serves as the chair of the Nominating and Governance Committee.</w:t>
      </w:r>
    </w:p>
    <w:p>
      <w:pPr>
        <w:spacing w:after="0" w:line="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Each member of the Nominating and Governance Committee is independent under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3420110" cy="25114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0110" cy="251142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The Nominating and Governance Committee is responsible for:</w:t>
      </w:r>
    </w:p>
    <w:p>
      <w:pPr>
        <w:spacing w:after="0" w:line="30" w:lineRule="exact"/>
        <w:rPr>
          <w:sz w:val="20"/>
          <w:szCs w:val="20"/>
          <w:color w:val="auto"/>
        </w:rPr>
      </w:pPr>
    </w:p>
    <w:p>
      <w:pPr>
        <w:ind w:left="400" w:right="160" w:firstLine="31"/>
        <w:spacing w:after="0" w:line="243" w:lineRule="auto"/>
        <w:rPr>
          <w:sz w:val="20"/>
          <w:szCs w:val="20"/>
          <w:color w:val="auto"/>
        </w:rPr>
      </w:pPr>
      <w:r>
        <w:rPr>
          <w:rFonts w:ascii="Arial" w:cs="Arial" w:eastAsia="Arial" w:hAnsi="Arial"/>
          <w:sz w:val="18"/>
          <w:szCs w:val="18"/>
          <w:color w:val="FFFFFF"/>
        </w:rPr>
        <w:t>developing a profile of attributes that a potential director should possess in order to contribute effectively to the Board, taking into account the overall diversity and composition of the Board;</w:t>
      </w:r>
    </w:p>
    <w:p>
      <w:pPr>
        <w:spacing w:after="0" w:line="52" w:lineRule="exact"/>
        <w:rPr>
          <w:sz w:val="20"/>
          <w:szCs w:val="20"/>
          <w:color w:val="auto"/>
        </w:rPr>
      </w:pPr>
    </w:p>
    <w:p>
      <w:pPr>
        <w:ind w:left="400" w:right="160" w:firstLine="31"/>
        <w:spacing w:after="0" w:line="261" w:lineRule="auto"/>
        <w:rPr>
          <w:sz w:val="20"/>
          <w:szCs w:val="20"/>
          <w:color w:val="auto"/>
        </w:rPr>
      </w:pPr>
      <w:r>
        <w:rPr>
          <w:rFonts w:ascii="Arial" w:cs="Arial" w:eastAsia="Arial" w:hAnsi="Arial"/>
          <w:sz w:val="18"/>
          <w:szCs w:val="18"/>
          <w:color w:val="FFFFFF"/>
        </w:rPr>
        <w:t>identifying, evaluating and recruiting qualified persons to serve on our Board of Directors;</w:t>
      </w:r>
    </w:p>
    <w:p>
      <w:pPr>
        <w:spacing w:after="0" w:line="35" w:lineRule="exact"/>
        <w:rPr>
          <w:sz w:val="20"/>
          <w:szCs w:val="20"/>
          <w:color w:val="auto"/>
        </w:rPr>
      </w:pPr>
    </w:p>
    <w:p>
      <w:pPr>
        <w:ind w:left="400" w:right="160" w:firstLine="58"/>
        <w:spacing w:after="0" w:line="261" w:lineRule="auto"/>
        <w:rPr>
          <w:sz w:val="20"/>
          <w:szCs w:val="20"/>
          <w:color w:val="auto"/>
        </w:rPr>
      </w:pPr>
      <w:r>
        <w:rPr>
          <w:rFonts w:ascii="Arial" w:cs="Arial" w:eastAsia="Arial" w:hAnsi="Arial"/>
          <w:sz w:val="18"/>
          <w:szCs w:val="18"/>
          <w:color w:val="FFFFFF"/>
        </w:rPr>
        <w:t>selecting, or recommending to the Board for selection, nominees for election as directors;</w:t>
      </w:r>
    </w:p>
    <w:p>
      <w:pPr>
        <w:spacing w:after="0" w:line="35" w:lineRule="exact"/>
        <w:rPr>
          <w:sz w:val="20"/>
          <w:szCs w:val="20"/>
          <w:color w:val="auto"/>
        </w:rPr>
      </w:pPr>
    </w:p>
    <w:p>
      <w:pPr>
        <w:ind w:left="400" w:right="160" w:hanging="9"/>
        <w:spacing w:after="0" w:line="261" w:lineRule="auto"/>
        <w:rPr>
          <w:sz w:val="20"/>
          <w:szCs w:val="20"/>
          <w:color w:val="auto"/>
        </w:rPr>
      </w:pPr>
      <w:r>
        <w:rPr>
          <w:rFonts w:ascii="Arial" w:cs="Arial" w:eastAsia="Arial" w:hAnsi="Arial"/>
          <w:sz w:val="18"/>
          <w:szCs w:val="18"/>
          <w:color w:val="FFFFFF"/>
        </w:rPr>
        <w:t>reviewing and recommending the composition of the Board’s standing committees;</w:t>
      </w:r>
    </w:p>
    <w:p>
      <w:pPr>
        <w:spacing w:after="0" w:line="35" w:lineRule="exact"/>
        <w:rPr>
          <w:sz w:val="20"/>
          <w:szCs w:val="20"/>
          <w:color w:val="auto"/>
        </w:rPr>
      </w:pPr>
    </w:p>
    <w:p>
      <w:pPr>
        <w:ind w:left="400" w:right="160" w:firstLine="126"/>
        <w:spacing w:after="0" w:line="261" w:lineRule="auto"/>
        <w:rPr>
          <w:sz w:val="20"/>
          <w:szCs w:val="20"/>
          <w:color w:val="auto"/>
        </w:rPr>
      </w:pPr>
      <w:r>
        <w:rPr>
          <w:rFonts w:ascii="Arial" w:cs="Arial" w:eastAsia="Arial" w:hAnsi="Arial"/>
          <w:sz w:val="18"/>
          <w:szCs w:val="18"/>
          <w:color w:val="FFFFFF"/>
        </w:rPr>
        <w:t>reviewing and assessing the Company’s corporate governance guidelines;</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overseeing our ESG program; and</w:t>
      </w:r>
    </w:p>
    <w:p>
      <w:pPr>
        <w:spacing w:after="0" w:line="76" w:lineRule="exact"/>
        <w:rPr>
          <w:sz w:val="20"/>
          <w:szCs w:val="20"/>
          <w:color w:val="auto"/>
        </w:rPr>
      </w:pPr>
    </w:p>
    <w:p>
      <w:pPr>
        <w:ind w:left="400" w:right="160" w:firstLine="18"/>
        <w:spacing w:after="0" w:line="261" w:lineRule="auto"/>
        <w:rPr>
          <w:sz w:val="20"/>
          <w:szCs w:val="20"/>
          <w:color w:val="auto"/>
        </w:rPr>
      </w:pPr>
      <w:r>
        <w:rPr>
          <w:rFonts w:ascii="Arial" w:cs="Arial" w:eastAsia="Arial" w:hAnsi="Arial"/>
          <w:sz w:val="18"/>
          <w:szCs w:val="18"/>
          <w:color w:val="FFFFFF"/>
        </w:rPr>
        <w:t>annually evaluating the performance, operations, size and composition of our Board of Directors.</w:t>
      </w:r>
    </w:p>
    <w:p>
      <w:pPr>
        <w:spacing w:after="0" w:line="29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Nominating and Governance Committee has authority under its charter to engage such independent legal, accounting and other advisors as it deems necessary or appropriate to carry out its responsibilities. As discussed above, the Nominating and Governance Committee engaged SpencerStuart, a director search firm, in 2019 to provide ongoing assistance in Board succession planning and in identifying, evaluating, and recruiting potential additional director candidates.</w:t>
      </w:r>
    </w:p>
    <w:p>
      <w:pPr>
        <w:spacing w:after="0" w:line="10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Nominating and Governance Committee met eight times during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Compensation and Human Resources Committee</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Compensation Committee is composed of the following members: H. Paulett Eberhart, Allison H. Mnookin, Anne M. Mulcahy and James S. Putnam. Ms. Mulcahy serves as the chair of the Compensation Committee.</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6"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3351530" cy="3317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3317240"/>
                    </a:xfrm>
                    <a:prstGeom prst="rect">
                      <a:avLst/>
                    </a:prstGeom>
                    <a:noFill/>
                  </pic:spPr>
                </pic:pic>
              </a:graphicData>
            </a:graphic>
          </wp:anchor>
        </w:drawing>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FFFFFF"/>
        </w:rPr>
        <w:t>The Compensation Committee is responsible for:</w:t>
      </w:r>
    </w:p>
    <w:p>
      <w:pPr>
        <w:spacing w:after="0" w:line="30" w:lineRule="exact"/>
        <w:rPr>
          <w:sz w:val="20"/>
          <w:szCs w:val="20"/>
          <w:color w:val="auto"/>
        </w:rPr>
      </w:pPr>
    </w:p>
    <w:p>
      <w:pPr>
        <w:ind w:left="520" w:right="140" w:firstLine="18"/>
        <w:spacing w:after="0" w:line="243" w:lineRule="auto"/>
        <w:rPr>
          <w:sz w:val="20"/>
          <w:szCs w:val="20"/>
          <w:color w:val="auto"/>
        </w:rPr>
      </w:pPr>
      <w:r>
        <w:rPr>
          <w:rFonts w:ascii="Arial" w:cs="Arial" w:eastAsia="Arial" w:hAnsi="Arial"/>
          <w:sz w:val="18"/>
          <w:szCs w:val="18"/>
          <w:color w:val="FFFFFF"/>
        </w:rPr>
        <w:t>reviewing and approving goals and objectives relevant to executive officer compensation and evaluating the performance of executive officers in light of those goals and objectives;</w:t>
      </w:r>
    </w:p>
    <w:p>
      <w:pPr>
        <w:spacing w:after="0" w:line="66" w:lineRule="exact"/>
        <w:rPr>
          <w:sz w:val="20"/>
          <w:szCs w:val="20"/>
          <w:color w:val="auto"/>
        </w:rPr>
      </w:pPr>
    </w:p>
    <w:p>
      <w:pPr>
        <w:ind w:left="520" w:right="140" w:firstLine="72"/>
        <w:spacing w:after="0" w:line="248" w:lineRule="auto"/>
        <w:rPr>
          <w:sz w:val="20"/>
          <w:szCs w:val="20"/>
          <w:color w:val="auto"/>
        </w:rPr>
      </w:pPr>
      <w:r>
        <w:rPr>
          <w:rFonts w:ascii="Arial" w:cs="Arial" w:eastAsia="Arial" w:hAnsi="Arial"/>
          <w:sz w:val="18"/>
          <w:szCs w:val="18"/>
          <w:color w:val="FFFFFF"/>
        </w:rPr>
        <w:t>reviewing and approving the chief executive officer’s compensation based upon the Compensation Committee’s evaluation of the chief executive officer’s performance;</w:t>
      </w:r>
    </w:p>
    <w:p>
      <w:pPr>
        <w:spacing w:after="0" w:line="60" w:lineRule="exact"/>
        <w:rPr>
          <w:sz w:val="20"/>
          <w:szCs w:val="20"/>
          <w:color w:val="auto"/>
        </w:rPr>
      </w:pPr>
    </w:p>
    <w:p>
      <w:pPr>
        <w:ind w:left="520" w:right="360"/>
        <w:spacing w:after="0" w:line="364" w:lineRule="auto"/>
        <w:rPr>
          <w:sz w:val="20"/>
          <w:szCs w:val="20"/>
          <w:color w:val="auto"/>
        </w:rPr>
      </w:pPr>
      <w:r>
        <w:rPr>
          <w:rFonts w:ascii="Arial" w:cs="Arial" w:eastAsia="Arial" w:hAnsi="Arial"/>
          <w:sz w:val="17"/>
          <w:szCs w:val="17"/>
          <w:color w:val="FFFFFF"/>
        </w:rPr>
        <w:t>reviewing and approving executive officer compensation; overseeing senior management succession planning;</w:t>
      </w:r>
    </w:p>
    <w:p>
      <w:pPr>
        <w:spacing w:after="0" w:line="1" w:lineRule="exact"/>
        <w:rPr>
          <w:sz w:val="20"/>
          <w:szCs w:val="20"/>
          <w:color w:val="auto"/>
        </w:rPr>
      </w:pPr>
    </w:p>
    <w:p>
      <w:pPr>
        <w:ind w:left="520" w:right="140" w:firstLine="58"/>
        <w:spacing w:after="0" w:line="243" w:lineRule="auto"/>
        <w:rPr>
          <w:sz w:val="20"/>
          <w:szCs w:val="20"/>
          <w:color w:val="auto"/>
        </w:rPr>
      </w:pPr>
      <w:r>
        <w:rPr>
          <w:rFonts w:ascii="Arial" w:cs="Arial" w:eastAsia="Arial" w:hAnsi="Arial"/>
          <w:sz w:val="18"/>
          <w:szCs w:val="18"/>
          <w:color w:val="FFFFFF"/>
        </w:rPr>
        <w:t>making recommendations to the Board regarding the adoption of new incentive compensation and equity-based plans, and administering our existing incentive compensation and equity-based plans;</w:t>
      </w:r>
    </w:p>
    <w:p>
      <w:pPr>
        <w:spacing w:after="0" w:line="66" w:lineRule="exact"/>
        <w:rPr>
          <w:sz w:val="20"/>
          <w:szCs w:val="20"/>
          <w:color w:val="auto"/>
        </w:rPr>
      </w:pPr>
    </w:p>
    <w:p>
      <w:pPr>
        <w:ind w:left="520" w:right="140" w:firstLine="126"/>
        <w:spacing w:after="0" w:line="261" w:lineRule="auto"/>
        <w:rPr>
          <w:sz w:val="20"/>
          <w:szCs w:val="20"/>
          <w:color w:val="auto"/>
        </w:rPr>
      </w:pPr>
      <w:r>
        <w:rPr>
          <w:rFonts w:ascii="Arial" w:cs="Arial" w:eastAsia="Arial" w:hAnsi="Arial"/>
          <w:sz w:val="18"/>
          <w:szCs w:val="18"/>
          <w:color w:val="FFFFFF"/>
        </w:rPr>
        <w:t>making recommendations to the Board regarding compensation of our directors;</w:t>
      </w:r>
    </w:p>
    <w:p>
      <w:pPr>
        <w:spacing w:after="0" w:line="49" w:lineRule="exact"/>
        <w:rPr>
          <w:sz w:val="20"/>
          <w:szCs w:val="20"/>
          <w:color w:val="auto"/>
        </w:rPr>
      </w:pPr>
    </w:p>
    <w:p>
      <w:pPr>
        <w:ind w:left="520" w:right="140" w:firstLine="4"/>
        <w:spacing w:after="0" w:line="248" w:lineRule="auto"/>
        <w:rPr>
          <w:sz w:val="20"/>
          <w:szCs w:val="20"/>
          <w:color w:val="auto"/>
        </w:rPr>
      </w:pPr>
      <w:r>
        <w:rPr>
          <w:rFonts w:ascii="Arial" w:cs="Arial" w:eastAsia="Arial" w:hAnsi="Arial"/>
          <w:sz w:val="18"/>
          <w:szCs w:val="18"/>
          <w:color w:val="FFFFFF"/>
        </w:rPr>
        <w:t>reviewing and approving the general design and terms of any significant non-executive compensation and benefits plans; and</w:t>
      </w:r>
    </w:p>
    <w:p>
      <w:pPr>
        <w:spacing w:after="0" w:line="60" w:lineRule="exact"/>
        <w:rPr>
          <w:sz w:val="20"/>
          <w:szCs w:val="20"/>
          <w:color w:val="auto"/>
        </w:rPr>
      </w:pPr>
    </w:p>
    <w:p>
      <w:pPr>
        <w:ind w:left="520" w:right="140" w:hanging="9"/>
        <w:spacing w:after="0" w:line="261" w:lineRule="auto"/>
        <w:rPr>
          <w:sz w:val="20"/>
          <w:szCs w:val="20"/>
          <w:color w:val="auto"/>
        </w:rPr>
      </w:pPr>
      <w:r>
        <w:rPr>
          <w:rFonts w:ascii="Arial" w:cs="Arial" w:eastAsia="Arial" w:hAnsi="Arial"/>
          <w:sz w:val="18"/>
          <w:szCs w:val="18"/>
          <w:color w:val="FFFFFF"/>
        </w:rPr>
        <w:t>reviewing our significant policies, practices and procedures concerning human resource-related matters.</w:t>
      </w:r>
    </w:p>
    <w:p>
      <w:pPr>
        <w:spacing w:after="0" w:line="27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addition, the Compensation Committee reviews our executive and non-executive officer talent to ensure that we attract and develop employees with the skill sets needed to execute our business strategy. The Compensation Committee focuses on ongoing development and coaching for future leadership positions, including:</w:t>
      </w:r>
    </w:p>
    <w:p>
      <w:pPr>
        <w:spacing w:after="0" w:line="110" w:lineRule="exact"/>
        <w:rPr>
          <w:sz w:val="20"/>
          <w:szCs w:val="20"/>
          <w:color w:val="auto"/>
        </w:rPr>
      </w:pPr>
    </w:p>
    <w:p>
      <w:pPr>
        <w:jc w:val="both"/>
        <w:ind w:left="820" w:right="20" w:hanging="38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succession planning for all managing director roles to ensure we are identifying and investing in key talent for critical positions;</w:t>
      </w:r>
    </w:p>
    <w:p>
      <w:pPr>
        <w:spacing w:after="0" w:line="108" w:lineRule="exact"/>
        <w:rPr>
          <w:rFonts w:ascii="Arial" w:cs="Arial" w:eastAsia="Arial" w:hAnsi="Arial"/>
          <w:sz w:val="18"/>
          <w:szCs w:val="18"/>
          <w:color w:val="auto"/>
        </w:rPr>
      </w:pPr>
    </w:p>
    <w:p>
      <w:pPr>
        <w:jc w:val="both"/>
        <w:ind w:left="820" w:hanging="38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talent reviews of individual leaders at quarterly committee meetings to provide the Compensation Committee with insight into</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700" w:right="20"/>
        <w:spacing w:after="0" w:line="246" w:lineRule="auto"/>
        <w:rPr>
          <w:sz w:val="20"/>
          <w:szCs w:val="20"/>
          <w:color w:val="auto"/>
        </w:rPr>
      </w:pPr>
      <w:r>
        <w:rPr>
          <w:rFonts w:ascii="Arial" w:cs="Arial" w:eastAsia="Arial" w:hAnsi="Arial"/>
          <w:sz w:val="18"/>
          <w:szCs w:val="18"/>
          <w:color w:val="auto"/>
        </w:rPr>
        <w:t>our talent pipeline, as well as development feedback to those leaders; and</w:t>
      </w:r>
    </w:p>
    <w:p>
      <w:pPr>
        <w:spacing w:after="0" w:line="102" w:lineRule="exact"/>
        <w:rPr>
          <w:sz w:val="20"/>
          <w:szCs w:val="20"/>
          <w:color w:val="auto"/>
        </w:rPr>
      </w:pPr>
    </w:p>
    <w:p>
      <w:pPr>
        <w:jc w:val="both"/>
        <w:ind w:left="700" w:right="20" w:hanging="382"/>
        <w:spacing w:after="0" w:line="23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the Company’s diversity and inclusion initiatives for both advisors and employees, to ensure that the Company is cultivating a diverse group of leaders and an inclusive environment.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has authority under its charter to access such internal and external resources, including retaining legal, financial or other advisors, as the Compensation Committee deems necessary or appropriate to fulfill its responsibilities. In 2019, the Compensation Committee engaged an independent compensation consultant, Meridian Compensation Partners, LLC (the “Compensation Consultant”), to advise on compensation matters and provide experiential guidance on what is considered fair and competitive practice in our industry, primarily with respect to the compensation of our executive officers, and also with regard to director compensation.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stock options,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five times during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Compensation Committee Interlocks and Insider Participation</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 member of the Compensation Committee is or was during 2019 an officer or employee of ours or any of our subsidiaries. Mr. Putnam, who joined the Compensation Committee in May 2019,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095"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003B71"/>
        </w:rPr>
        <w:t>25</w:t>
      </w:r>
    </w:p>
    <w:p>
      <w:pPr>
        <w:sectPr>
          <w:pgSz w:w="11900" w:h="16838" w:orient="portrait"/>
          <w:cols w:equalWidth="0" w:num="2">
            <w:col w:w="10400" w:space="540"/>
            <w:col w:w="20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37"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b w:val="1"/>
          <w:bCs w:val="1"/>
          <w:color w:val="003B71"/>
        </w:rPr>
        <w:t>Risk Management and Compensation Policies and Practices</w:t>
      </w:r>
    </w:p>
    <w:p>
      <w:pPr>
        <w:spacing w:after="0" w:line="7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9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risk management governance approach is discussed in our Annual Report under “Item 7A. Quantitative and Qualitative Disclosures About Market Risk </w:t>
      </w:r>
      <w:r>
        <w:rPr>
          <w:rFonts w:ascii="Arial" w:cs="Arial" w:eastAsia="Arial" w:hAnsi="Arial"/>
          <w:sz w:val="18"/>
          <w:szCs w:val="18"/>
          <w:i w:val="1"/>
          <w:iCs w:val="1"/>
          <w:color w:val="auto"/>
        </w:rPr>
        <w:t>—</w:t>
      </w:r>
      <w:r>
        <w:rPr>
          <w:rFonts w:ascii="Arial" w:cs="Arial" w:eastAsia="Arial" w:hAnsi="Arial"/>
          <w:sz w:val="18"/>
          <w:szCs w:val="18"/>
          <w:color w:val="auto"/>
        </w:rPr>
        <w:t xml:space="preserve"> Risk Management.” This approach includes the Board of Directors, the Audit Committee and the Compensation Committee, as well as the Company’s Risk Oversight Committee (the “ROC”) and its subcommittees, the Company’s Internal Audit department, the Company’s Compliance, Legal and Risk department, and business line management.</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Role of the Audit Committee</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addition to its other responsibilities, the Audit Committee reviews our policies with respect to risk assessment and risk management, as well as our major regulatory, litigation and financial risk exposures and the steps management has undertaken to monitor and control them. The Audit Committee generally provides reports to the Board at each of the Board’s regularly scheduled quarterly meetings.</w:t>
      </w:r>
    </w:p>
    <w:p>
      <w:pPr>
        <w:spacing w:after="0" w:line="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Audit Committee has mandated that the ROC oversee our risk management activities, including those of our subsidiaries. The Company’s chief legal officer provides updates on pertinent ROC discussions to the Audit Committee on a regular basis and, if necessary or requested, to the Board. In addition, our Internal Audit department provides independent and objective assurance of the effectiveness of the Company’s governance, risk management and internal controls by conducting risk assessments and audits designed to identify and cover important risk categories. Our Internal Audit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department reports directly to the Audit Committee, which provides oversight of the department’s activities and approves its annual plan. Our Internal Audit department provides regular reports to the ROC and reports to the Audit Committee at least as often as quarterly.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Role of the Compensation Committee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has reviewed and evaluated the development and implementation of our compensation practices across our Company. It is our belief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62"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compensation mix overly weighted toward annual bonus awards;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excessive focus on short-term equity incentive awards that could cause behavior to drive short-term stock price gains in lieu of long-term value creation; and</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unreasonable financial goals or thresholds that could encourage efforts to generate near-term revenue with an adverse impact on long-term success.</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the following serve to mitigate the potential for adverse risk that may be caused by the action of our executive officers or other key employees:</w:t>
      </w:r>
    </w:p>
    <w:p>
      <w:pPr>
        <w:spacing w:after="0" w:line="62" w:lineRule="exact"/>
        <w:rPr>
          <w:sz w:val="20"/>
          <w:szCs w:val="20"/>
          <w:color w:val="auto"/>
        </w:rPr>
      </w:pPr>
    </w:p>
    <w:p>
      <w:pPr>
        <w:ind w:left="360"/>
        <w:spacing w:after="0" w:line="246" w:lineRule="auto"/>
        <w:rPr>
          <w:sz w:val="20"/>
          <w:szCs w:val="20"/>
          <w:color w:val="auto"/>
        </w:rPr>
      </w:pPr>
      <w:r>
        <w:rPr>
          <w:rFonts w:ascii="Arial" w:cs="Arial" w:eastAsia="Arial" w:hAnsi="Arial"/>
          <w:sz w:val="18"/>
          <w:szCs w:val="18"/>
          <w:color w:val="auto"/>
        </w:rPr>
        <w:t>defined processes for developing strategic and annual operating plans, and approval of capital investments;</w:t>
      </w:r>
    </w:p>
    <w:p>
      <w:pPr>
        <w:spacing w:after="0" w:line="102" w:lineRule="exact"/>
        <w:rPr>
          <w:sz w:val="20"/>
          <w:szCs w:val="20"/>
          <w:color w:val="auto"/>
        </w:rPr>
      </w:pPr>
    </w:p>
    <w:p>
      <w:pPr>
        <w:ind w:left="360"/>
        <w:spacing w:after="0" w:line="238" w:lineRule="auto"/>
        <w:rPr>
          <w:sz w:val="20"/>
          <w:szCs w:val="20"/>
          <w:color w:val="auto"/>
        </w:rPr>
      </w:pPr>
      <w:r>
        <w:rPr>
          <w:rFonts w:ascii="Arial" w:cs="Arial" w:eastAsia="Arial" w:hAnsi="Arial"/>
          <w:sz w:val="18"/>
          <w:szCs w:val="18"/>
          <w:color w:val="auto"/>
        </w:rPr>
        <w:t>Board approval of the Company’s annual corporate goals, which aligns these goals with our annual operating plan, strategic plan and compensation programs to achieve an appropriate risk-reward balance;</w:t>
      </w:r>
    </w:p>
    <w:p>
      <w:pPr>
        <w:spacing w:after="0" w:line="582"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87"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60"/>
          </w:cols>
          <w:pgMar w:left="32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003B71"/>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review of peer group practices and compensation surveys to develop compensation strategies and practices;</w:t>
      </w:r>
    </w:p>
    <w:p>
      <w:pPr>
        <w:spacing w:after="0" w:line="130" w:lineRule="exact"/>
        <w:rPr>
          <w:sz w:val="20"/>
          <w:szCs w:val="20"/>
          <w:color w:val="auto"/>
        </w:rPr>
      </w:pPr>
    </w:p>
    <w:p>
      <w:pPr>
        <w:ind w:left="480" w:right="20"/>
        <w:spacing w:after="0"/>
        <w:rPr>
          <w:sz w:val="20"/>
          <w:szCs w:val="20"/>
          <w:color w:val="auto"/>
        </w:rPr>
      </w:pPr>
      <w:r>
        <w:rPr>
          <w:rFonts w:ascii="Arial" w:cs="Arial" w:eastAsia="Arial" w:hAnsi="Arial"/>
          <w:sz w:val="18"/>
          <w:szCs w:val="18"/>
          <w:color w:val="auto"/>
        </w:rPr>
        <w:t>annual incentive awards based on a review by the Compensation Committee of a variety of metrics, including both financial performance and strategic achievements, reducing the potential to concentrate on one metric as the basis of an annual incentive award;</w:t>
      </w:r>
    </w:p>
    <w:p>
      <w:pPr>
        <w:spacing w:after="0" w:line="108"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mix of fixed and variable, annual and long-term, and cash and equity compensation, encouraging decisions and actions that are in our long-term best interests;</w:t>
      </w:r>
    </w:p>
    <w:p>
      <w:pPr>
        <w:spacing w:after="0" w:line="102"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discretionary authority is maintained by the Compensation Committee to adjust annual bonus funding and payments, which reduces business risk associated with our cash bonus program;</w:t>
      </w:r>
    </w:p>
    <w:p>
      <w:pPr>
        <w:spacing w:after="0" w:line="102"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102" w:lineRule="exact"/>
        <w:rPr>
          <w:sz w:val="20"/>
          <w:szCs w:val="20"/>
          <w:color w:val="auto"/>
        </w:rPr>
      </w:pPr>
    </w:p>
    <w:p>
      <w:pPr>
        <w:ind w:left="480"/>
        <w:spacing w:after="0" w:line="246" w:lineRule="auto"/>
        <w:rPr>
          <w:sz w:val="20"/>
          <w:szCs w:val="20"/>
          <w:color w:val="auto"/>
        </w:rPr>
      </w:pPr>
      <w:r>
        <w:rPr>
          <w:rFonts w:ascii="Arial" w:cs="Arial" w:eastAsia="Arial" w:hAnsi="Arial"/>
          <w:sz w:val="18"/>
          <w:szCs w:val="18"/>
          <w:color w:val="auto"/>
        </w:rPr>
        <w:t>use of more than one long-term equity incentive vehicle mitigates the risk of any one vehicle creating undue incentive to take on excessive risk; and</w:t>
      </w:r>
    </w:p>
    <w:p>
      <w:pPr>
        <w:spacing w:after="0" w:line="102"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inclusion of stock ownership requirements for all executive officers, a “claw-back” policy, and anti-hedging policies that help to mitigate the possibility of short-term risk-taking at the expense of long-term value creation.</w:t>
      </w:r>
    </w:p>
    <w:p>
      <w:pPr>
        <w:spacing w:after="0" w:line="131"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FFFFFF"/>
        </w:rPr>
        <w:t>Communicating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31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311275"/>
                    </a:xfrm>
                    <a:prstGeom prst="rect">
                      <a:avLst/>
                    </a:prstGeom>
                    <a:noFill/>
                  </pic:spPr>
                </pic:pic>
              </a:graphicData>
            </a:graphic>
          </wp:anchor>
        </w:drawing>
      </w:r>
    </w:p>
    <w:p>
      <w:pPr>
        <w:spacing w:after="0" w:line="5"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FFFFFF"/>
        </w:rPr>
        <w:t>Board of Directors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Any stockholder who wishes to contact a member of our Board of Directors may do so by writing to the following address:</w:t>
      </w:r>
    </w:p>
    <w:p>
      <w:pPr>
        <w:spacing w:after="0" w:line="14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FFFFFF"/>
        </w:rPr>
        <w:t>Board of Directors</w:t>
      </w:r>
    </w:p>
    <w:p>
      <w:pPr>
        <w:jc w:val="center"/>
        <w:ind w:right="440"/>
        <w:spacing w:after="0"/>
        <w:rPr>
          <w:sz w:val="20"/>
          <w:szCs w:val="20"/>
          <w:color w:val="auto"/>
        </w:rPr>
      </w:pPr>
      <w:r>
        <w:rPr>
          <w:rFonts w:ascii="Arial" w:cs="Arial" w:eastAsia="Arial" w:hAnsi="Arial"/>
          <w:sz w:val="16"/>
          <w:szCs w:val="16"/>
          <w:color w:val="FFFFFF"/>
        </w:rPr>
        <w:t>c/o Secretary</w:t>
      </w:r>
    </w:p>
    <w:p>
      <w:pPr>
        <w:spacing w:after="0" w:line="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FFFFFF"/>
        </w:rPr>
        <w:t>LPL Financial Holdings Inc.</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FFFFFF"/>
        </w:rPr>
        <w:t>75 State Street</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FFFFFF"/>
        </w:rPr>
        <w:t>Boston, MA 02109</w:t>
      </w:r>
    </w:p>
    <w:p>
      <w:pPr>
        <w:spacing w:after="0" w:line="133" w:lineRule="exact"/>
        <w:rPr>
          <w:sz w:val="20"/>
          <w:szCs w:val="20"/>
          <w:color w:val="auto"/>
        </w:rPr>
      </w:pPr>
    </w:p>
    <w:p>
      <w:pPr>
        <w:ind w:left="120" w:right="680"/>
        <w:spacing w:after="0" w:line="260" w:lineRule="auto"/>
        <w:rPr>
          <w:sz w:val="20"/>
          <w:szCs w:val="20"/>
          <w:color w:val="auto"/>
        </w:rPr>
      </w:pPr>
      <w:r>
        <w:rPr>
          <w:rFonts w:ascii="Arial" w:cs="Arial" w:eastAsia="Arial" w:hAnsi="Arial"/>
          <w:sz w:val="16"/>
          <w:szCs w:val="16"/>
          <w:color w:val="FFFFFF"/>
        </w:rPr>
        <w:t>Communications will be distributed to the chair of the Board or the other members of the Board as appropriate depending on the facts and circumstances outlined in the communication received.</w:t>
      </w:r>
    </w:p>
    <w:p>
      <w:pPr>
        <w:sectPr>
          <w:pgSz w:w="11900" w:h="16838" w:orient="portrait"/>
          <w:cols w:equalWidth="0" w:num="1">
            <w:col w:w="11140"/>
          </w:cols>
          <w:pgMar w:left="320" w:top="459" w:right="439" w:bottom="1440" w:gutter="0" w:footer="0" w:header="0"/>
        </w:sectPr>
      </w:pPr>
    </w:p>
    <w:p>
      <w:pPr>
        <w:spacing w:after="0" w:line="34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003B71"/>
        </w:rPr>
        <w:t>27</w:t>
      </w:r>
    </w:p>
    <w:p>
      <w:pPr>
        <w:sectPr>
          <w:pgSz w:w="11900" w:h="16838" w:orient="portrait"/>
          <w:cols w:equalWidth="0" w:num="2">
            <w:col w:w="10400" w:space="540"/>
            <w:col w:w="20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Board of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Board of Director Compensation</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Director Compensation Policy</w:t>
      </w:r>
    </w:p>
    <w:p>
      <w:pPr>
        <w:spacing w:after="0" w:line="12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director compensation policy provides that each of our non-employee directors receives an annual service retainer of $235,000. Of this amount, $80,000 is paid in a lump sum in cash (or, at the director’s election, in the form of shares of our Common Stock as described below) and $155,000 is paid in the form of restricted shares of our Common Stock granted under our Amended and Restated 2010 Omnibus Equity Incentive Plan (the “2010 Plan”).</w:t>
      </w:r>
    </w:p>
    <w:p>
      <w:pPr>
        <w:spacing w:after="0" w:line="10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following table sets forth the additional annual service retainers under our director compensation policy that a committee member received for his or her additional duties during 2019:</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003B71"/>
              </w:rPr>
              <w:t>Each Other</w:t>
            </w:r>
          </w:p>
        </w:tc>
      </w:tr>
      <w:tr>
        <w:trPr>
          <w:trHeight w:val="215"/>
        </w:trPr>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003B71"/>
              </w:rPr>
              <w:t>Chair</w:t>
            </w:r>
          </w:p>
        </w:tc>
        <w:tc>
          <w:tcPr>
            <w:tcW w:w="28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003B71"/>
              </w:rPr>
              <w:t>Member</w:t>
            </w:r>
          </w:p>
        </w:tc>
      </w:tr>
      <w:tr>
        <w:trPr>
          <w:trHeight w:val="87"/>
        </w:trPr>
        <w:tc>
          <w:tcPr>
            <w:tcW w:w="2500" w:type="dxa"/>
            <w:vAlign w:val="bottom"/>
            <w:tcBorders>
              <w:bottom w:val="single" w:sz="8" w:color="003B71"/>
            </w:tcBorders>
          </w:tcPr>
          <w:p>
            <w:pPr>
              <w:spacing w:after="0"/>
              <w:rPr>
                <w:sz w:val="7"/>
                <w:szCs w:val="7"/>
                <w:color w:val="auto"/>
              </w:rPr>
            </w:pPr>
          </w:p>
        </w:tc>
        <w:tc>
          <w:tcPr>
            <w:tcW w:w="560" w:type="dxa"/>
            <w:vAlign w:val="bottom"/>
            <w:tcBorders>
              <w:bottom w:val="single" w:sz="8" w:color="003B71"/>
            </w:tcBorders>
          </w:tcPr>
          <w:p>
            <w:pPr>
              <w:spacing w:after="0"/>
              <w:rPr>
                <w:sz w:val="7"/>
                <w:szCs w:val="7"/>
                <w:color w:val="auto"/>
              </w:rPr>
            </w:pPr>
          </w:p>
        </w:tc>
        <w:tc>
          <w:tcPr>
            <w:tcW w:w="900" w:type="dxa"/>
            <w:vAlign w:val="bottom"/>
            <w:tcBorders>
              <w:bottom w:val="single" w:sz="8" w:color="003B71"/>
            </w:tcBorders>
          </w:tcPr>
          <w:p>
            <w:pPr>
              <w:spacing w:after="0"/>
              <w:rPr>
                <w:sz w:val="7"/>
                <w:szCs w:val="7"/>
                <w:color w:val="auto"/>
              </w:rPr>
            </w:pPr>
          </w:p>
        </w:tc>
        <w:tc>
          <w:tcPr>
            <w:tcW w:w="280" w:type="dxa"/>
            <w:vAlign w:val="bottom"/>
            <w:tcBorders>
              <w:bottom w:val="single" w:sz="8" w:color="003B71"/>
            </w:tcBorders>
          </w:tcPr>
          <w:p>
            <w:pPr>
              <w:spacing w:after="0"/>
              <w:rPr>
                <w:sz w:val="7"/>
                <w:szCs w:val="7"/>
                <w:color w:val="auto"/>
              </w:rPr>
            </w:pPr>
          </w:p>
        </w:tc>
        <w:tc>
          <w:tcPr>
            <w:tcW w:w="1040" w:type="dxa"/>
            <w:vAlign w:val="bottom"/>
            <w:tcBorders>
              <w:bottom w:val="single" w:sz="8" w:color="003B71"/>
            </w:tcBorders>
          </w:tcPr>
          <w:p>
            <w:pPr>
              <w:spacing w:after="0"/>
              <w:rPr>
                <w:sz w:val="7"/>
                <w:szCs w:val="7"/>
                <w:color w:val="auto"/>
              </w:rPr>
            </w:pPr>
          </w:p>
        </w:tc>
      </w:tr>
      <w:tr>
        <w:trPr>
          <w:trHeight w:val="216"/>
        </w:trPr>
        <w:tc>
          <w:tcPr>
            <w:tcW w:w="25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Audit Committee</w:t>
            </w:r>
          </w:p>
        </w:tc>
        <w:tc>
          <w:tcPr>
            <w:tcW w:w="5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3F3F6"/>
            </w:tcBorders>
            <w:shd w:val="clear" w:color="auto" w:fill="E3F3F6"/>
          </w:tcPr>
          <w:p>
            <w:pPr>
              <w:jc w:val="right"/>
              <w:ind w:right="79"/>
              <w:spacing w:after="0"/>
              <w:rPr>
                <w:sz w:val="20"/>
                <w:szCs w:val="20"/>
                <w:color w:val="auto"/>
              </w:rPr>
            </w:pPr>
            <w:r>
              <w:rPr>
                <w:rFonts w:ascii="Arial" w:cs="Arial" w:eastAsia="Arial" w:hAnsi="Arial"/>
                <w:sz w:val="16"/>
                <w:szCs w:val="16"/>
                <w:color w:val="auto"/>
              </w:rPr>
              <w:t>30,000</w:t>
            </w:r>
          </w:p>
        </w:tc>
        <w:tc>
          <w:tcPr>
            <w:tcW w:w="28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3F3F6"/>
            </w:tcBorders>
            <w:shd w:val="clear" w:color="auto" w:fill="E3F3F6"/>
          </w:tcPr>
          <w:p>
            <w:pPr>
              <w:jc w:val="right"/>
              <w:ind w:right="39"/>
              <w:spacing w:after="0"/>
              <w:rPr>
                <w:sz w:val="20"/>
                <w:szCs w:val="20"/>
                <w:color w:val="auto"/>
              </w:rPr>
            </w:pPr>
            <w:r>
              <w:rPr>
                <w:rFonts w:ascii="Arial" w:cs="Arial" w:eastAsia="Arial" w:hAnsi="Arial"/>
                <w:sz w:val="16"/>
                <w:szCs w:val="16"/>
                <w:color w:val="auto"/>
              </w:rPr>
              <w:t>15,000</w:t>
            </w:r>
          </w:p>
        </w:tc>
      </w:tr>
      <w:tr>
        <w:trPr>
          <w:trHeight w:val="197"/>
        </w:trPr>
        <w:tc>
          <w:tcPr>
            <w:tcW w:w="2500" w:type="dxa"/>
            <w:vAlign w:val="bottom"/>
          </w:tcPr>
          <w:p>
            <w:pPr>
              <w:spacing w:after="0"/>
              <w:rPr>
                <w:sz w:val="20"/>
                <w:szCs w:val="20"/>
                <w:color w:val="auto"/>
              </w:rPr>
            </w:pPr>
            <w:r>
              <w:rPr>
                <w:rFonts w:ascii="Arial" w:cs="Arial" w:eastAsia="Arial" w:hAnsi="Arial"/>
                <w:sz w:val="16"/>
                <w:szCs w:val="16"/>
                <w:color w:val="auto"/>
              </w:rPr>
              <w:t>Compensation Committee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12,500</w:t>
            </w:r>
          </w:p>
        </w:tc>
      </w:tr>
      <w:tr>
        <w:trPr>
          <w:trHeight w:val="46"/>
        </w:trPr>
        <w:tc>
          <w:tcPr>
            <w:tcW w:w="2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91"/>
        </w:trPr>
        <w:tc>
          <w:tcPr>
            <w:tcW w:w="2500" w:type="dxa"/>
            <w:vAlign w:val="bottom"/>
            <w:shd w:val="clear" w:color="auto" w:fill="E3F3F6"/>
          </w:tcPr>
          <w:p>
            <w:pPr>
              <w:spacing w:after="0"/>
              <w:rPr>
                <w:sz w:val="20"/>
                <w:szCs w:val="20"/>
                <w:color w:val="auto"/>
              </w:rPr>
            </w:pPr>
            <w:r>
              <w:rPr>
                <w:rFonts w:ascii="Arial" w:cs="Arial" w:eastAsia="Arial" w:hAnsi="Arial"/>
                <w:sz w:val="16"/>
                <w:szCs w:val="16"/>
                <w:color w:val="auto"/>
              </w:rPr>
              <w:t>Nominating and Governance</w:t>
            </w:r>
          </w:p>
        </w:tc>
        <w:tc>
          <w:tcPr>
            <w:tcW w:w="560" w:type="dxa"/>
            <w:vAlign w:val="bottom"/>
            <w:shd w:val="clear" w:color="auto" w:fill="E3F3F6"/>
          </w:tcPr>
          <w:p>
            <w:pPr>
              <w:spacing w:after="0"/>
              <w:rPr>
                <w:sz w:val="16"/>
                <w:szCs w:val="16"/>
                <w:color w:val="auto"/>
              </w:rPr>
            </w:pPr>
          </w:p>
        </w:tc>
        <w:tc>
          <w:tcPr>
            <w:tcW w:w="900" w:type="dxa"/>
            <w:vAlign w:val="bottom"/>
            <w:shd w:val="clear" w:color="auto" w:fill="E3F3F6"/>
          </w:tcPr>
          <w:p>
            <w:pPr>
              <w:spacing w:after="0"/>
              <w:rPr>
                <w:sz w:val="16"/>
                <w:szCs w:val="16"/>
                <w:color w:val="auto"/>
              </w:rPr>
            </w:pPr>
          </w:p>
        </w:tc>
        <w:tc>
          <w:tcPr>
            <w:tcW w:w="280" w:type="dxa"/>
            <w:vAlign w:val="bottom"/>
            <w:shd w:val="clear" w:color="auto" w:fill="E3F3F6"/>
          </w:tcPr>
          <w:p>
            <w:pPr>
              <w:spacing w:after="0"/>
              <w:rPr>
                <w:sz w:val="16"/>
                <w:szCs w:val="16"/>
                <w:color w:val="auto"/>
              </w:rPr>
            </w:pPr>
          </w:p>
        </w:tc>
        <w:tc>
          <w:tcPr>
            <w:tcW w:w="1040" w:type="dxa"/>
            <w:vAlign w:val="bottom"/>
            <w:shd w:val="clear" w:color="auto" w:fill="E3F3F6"/>
          </w:tcPr>
          <w:p>
            <w:pPr>
              <w:spacing w:after="0"/>
              <w:rPr>
                <w:sz w:val="16"/>
                <w:szCs w:val="16"/>
                <w:color w:val="auto"/>
              </w:rPr>
            </w:pPr>
          </w:p>
        </w:tc>
      </w:tr>
      <w:tr>
        <w:trPr>
          <w:trHeight w:val="221"/>
        </w:trPr>
        <w:tc>
          <w:tcPr>
            <w:tcW w:w="2500" w:type="dxa"/>
            <w:vAlign w:val="bottom"/>
            <w:tcBorders>
              <w:bottom w:val="single" w:sz="8" w:color="E3F3F6"/>
            </w:tcBorders>
            <w:shd w:val="clear" w:color="auto" w:fill="E3F3F6"/>
          </w:tcPr>
          <w:p>
            <w:pPr>
              <w:ind w:left="160"/>
              <w:spacing w:after="0"/>
              <w:rPr>
                <w:sz w:val="20"/>
                <w:szCs w:val="20"/>
                <w:color w:val="auto"/>
              </w:rPr>
            </w:pPr>
            <w:r>
              <w:rPr>
                <w:rFonts w:ascii="Arial" w:cs="Arial" w:eastAsia="Arial" w:hAnsi="Arial"/>
                <w:sz w:val="16"/>
                <w:szCs w:val="16"/>
                <w:color w:val="auto"/>
              </w:rPr>
              <w:t>Committee</w:t>
            </w:r>
          </w:p>
        </w:tc>
        <w:tc>
          <w:tcPr>
            <w:tcW w:w="5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3F3F6"/>
            </w:tcBorders>
            <w:shd w:val="clear" w:color="auto" w:fill="E3F3F6"/>
          </w:tcPr>
          <w:p>
            <w:pPr>
              <w:jc w:val="right"/>
              <w:ind w:right="79"/>
              <w:spacing w:after="0"/>
              <w:rPr>
                <w:sz w:val="20"/>
                <w:szCs w:val="20"/>
                <w:color w:val="auto"/>
              </w:rPr>
            </w:pPr>
            <w:r>
              <w:rPr>
                <w:rFonts w:ascii="Arial" w:cs="Arial" w:eastAsia="Arial" w:hAnsi="Arial"/>
                <w:sz w:val="16"/>
                <w:szCs w:val="16"/>
                <w:color w:val="auto"/>
              </w:rPr>
              <w:t>20,000</w:t>
            </w:r>
          </w:p>
        </w:tc>
        <w:tc>
          <w:tcPr>
            <w:tcW w:w="28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3F3F6"/>
            </w:tcBorders>
            <w:shd w:val="clear" w:color="auto" w:fill="E3F3F6"/>
          </w:tcPr>
          <w:p>
            <w:pPr>
              <w:jc w:val="right"/>
              <w:ind w:right="39"/>
              <w:spacing w:after="0"/>
              <w:rPr>
                <w:sz w:val="20"/>
                <w:szCs w:val="20"/>
                <w:color w:val="auto"/>
              </w:rPr>
            </w:pPr>
            <w:r>
              <w:rPr>
                <w:rFonts w:ascii="Arial" w:cs="Arial" w:eastAsia="Arial" w:hAnsi="Arial"/>
                <w:sz w:val="16"/>
                <w:szCs w:val="16"/>
                <w:color w:val="auto"/>
              </w:rPr>
              <w:t>10,000</w:t>
            </w:r>
          </w:p>
        </w:tc>
      </w:tr>
      <w:tr>
        <w:trPr>
          <w:trHeight w:val="20"/>
        </w:trPr>
        <w:tc>
          <w:tcPr>
            <w:tcW w:w="2500" w:type="dxa"/>
            <w:vAlign w:val="bottom"/>
            <w:shd w:val="clear" w:color="auto" w:fill="003B71"/>
          </w:tcPr>
          <w:p>
            <w:pPr>
              <w:spacing w:after="0" w:line="20" w:lineRule="exact"/>
              <w:rPr>
                <w:sz w:val="1"/>
                <w:szCs w:val="1"/>
                <w:color w:val="auto"/>
              </w:rPr>
            </w:pPr>
          </w:p>
        </w:tc>
        <w:tc>
          <w:tcPr>
            <w:tcW w:w="560" w:type="dxa"/>
            <w:vAlign w:val="bottom"/>
            <w:shd w:val="clear" w:color="auto" w:fill="003B71"/>
          </w:tcPr>
          <w:p>
            <w:pPr>
              <w:spacing w:after="0" w:line="20" w:lineRule="exact"/>
              <w:rPr>
                <w:sz w:val="1"/>
                <w:szCs w:val="1"/>
                <w:color w:val="auto"/>
              </w:rPr>
            </w:pPr>
          </w:p>
        </w:tc>
        <w:tc>
          <w:tcPr>
            <w:tcW w:w="900" w:type="dxa"/>
            <w:vAlign w:val="bottom"/>
            <w:shd w:val="clear" w:color="auto" w:fill="003B71"/>
          </w:tcPr>
          <w:p>
            <w:pPr>
              <w:spacing w:after="0" w:line="20" w:lineRule="exact"/>
              <w:rPr>
                <w:sz w:val="1"/>
                <w:szCs w:val="1"/>
                <w:color w:val="auto"/>
              </w:rPr>
            </w:pPr>
          </w:p>
        </w:tc>
        <w:tc>
          <w:tcPr>
            <w:tcW w:w="280" w:type="dxa"/>
            <w:vAlign w:val="bottom"/>
            <w:shd w:val="clear" w:color="auto" w:fill="003B71"/>
          </w:tcPr>
          <w:p>
            <w:pPr>
              <w:spacing w:after="0" w:line="20" w:lineRule="exact"/>
              <w:rPr>
                <w:sz w:val="1"/>
                <w:szCs w:val="1"/>
                <w:color w:val="auto"/>
              </w:rPr>
            </w:pPr>
          </w:p>
        </w:tc>
        <w:tc>
          <w:tcPr>
            <w:tcW w:w="1040" w:type="dxa"/>
            <w:vAlign w:val="bottom"/>
            <w:shd w:val="clear" w:color="auto" w:fill="003B71"/>
          </w:tcPr>
          <w:p>
            <w:pPr>
              <w:spacing w:after="0" w:line="20" w:lineRule="exact"/>
              <w:rPr>
                <w:sz w:val="1"/>
                <w:szCs w:val="1"/>
                <w:color w:val="auto"/>
              </w:rPr>
            </w:pPr>
          </w:p>
        </w:tc>
      </w:tr>
    </w:tbl>
    <w:p>
      <w:pPr>
        <w:spacing w:after="0" w:line="10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director compensation policy also provides that the chair of the Board receives an additional annual service retainer of $140,000 in connection with his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reviews the director compensation practices of our compensation peer group annually, as described under “Benchmarking” in the Compensation Discussion and Analysis, with the assistance of the Compensation Consultant. The 2019 benchmarking analysis indicated that the annual service retainer for our non-executive chair was below the median of our peer group. After reviewing this analysis, the Compensation Committee recommended, and the Board approved, an increase in such retainer from $120,000 to $140,000, effective as of October 1, 2019.</w:t>
      </w:r>
    </w:p>
    <w:p>
      <w:pPr>
        <w:spacing w:after="0" w:line="9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noted above, in 2019, each of our non-employee directors was granted an annual award of restricted stock having a grant date value of $155,000 (based on the average of the closing price of our Common Stock for the trailing thirty consecutive trading days including the grant date). These awards vest in full on May 5, 2020, which is the day prior to the Annual Meeting, generally subject to the director’s continued service through that date. We believe these equity grants serve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 further align our directors’ interests with the interests of our stockholders.</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director compensation policy permits non-employee directors to make an election to be issued, in lieu of the cash portion of their annual service retainer, fully vested shares of our Common Stock. In 2019, the number of fully vested shares was determined by dividing $ 80,000 by the average of the closing price of our Common Stock for the trailing thirty consecutive trading days, ending on and including the date such shares were granted.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Deferred Compensation Plan</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LPL Financial Holdings Inc. Non-Employee Director Deferred Compensation Plan (the “Deferred Plan”), non-employee directors may make an annual election to defer receipt of the equity portion, or both the equity and cash portion, of their annual service retainer for Board service. For directors who make such a deferral election, a book-entry account is established and credited with a number of deferred stock units granted under our 2010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All such shares will be paid only upon a director’s separation from service or a change in control, as defined in the Deferred Plan.</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Equity Ownership Guidelines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Neither vested nor unvested stock options are counted, however. As of March 9, 2020, each of our non-employee directors except for Ms. Mnookin and Mr. Thomas, who were elected to the Board in June 2018 and May 2019, respectively, satisfied this minimum ownership requirement.</w:t>
      </w:r>
    </w:p>
    <w:p>
      <w:pPr>
        <w:spacing w:after="0" w:line="112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9"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003B71"/>
        </w:rPr>
        <w:t>Board of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table sets forth the compensation received by each non-employee director for service on the Board for the fiscal year ended December 31, 2019. In addition to the payments disclosed in the table below, our directors were reimbursed for out-of-pocket expenses incurred in connection with their attendance at Board and committee meetings.</w:t>
      </w:r>
    </w:p>
    <w:p>
      <w:pPr>
        <w:spacing w:after="0" w:line="200" w:lineRule="exact"/>
        <w:rPr>
          <w:sz w:val="20"/>
          <w:szCs w:val="20"/>
          <w:color w:val="auto"/>
        </w:r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420" w:type="dxa"/>
            <w:vAlign w:val="bottom"/>
            <w:gridSpan w:val="3"/>
          </w:tcPr>
          <w:p>
            <w:pPr>
              <w:jc w:val="center"/>
              <w:ind w:left="63"/>
              <w:spacing w:after="0"/>
              <w:rPr>
                <w:sz w:val="20"/>
                <w:szCs w:val="20"/>
                <w:color w:val="auto"/>
              </w:rPr>
            </w:pPr>
            <w:r>
              <w:rPr>
                <w:rFonts w:ascii="Arial" w:cs="Arial" w:eastAsia="Arial" w:hAnsi="Arial"/>
                <w:sz w:val="16"/>
                <w:szCs w:val="16"/>
                <w:b w:val="1"/>
                <w:bCs w:val="1"/>
                <w:color w:val="003B71"/>
              </w:rPr>
              <w:t>Fees Earned</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60" w:type="dxa"/>
            <w:vAlign w:val="bottom"/>
          </w:tcPr>
          <w:p>
            <w:pPr>
              <w:ind w:left="1500"/>
              <w:spacing w:after="0"/>
              <w:rPr>
                <w:sz w:val="20"/>
                <w:szCs w:val="20"/>
                <w:color w:val="auto"/>
              </w:rPr>
            </w:pPr>
            <w:r>
              <w:rPr>
                <w:rFonts w:ascii="Arial" w:cs="Arial" w:eastAsia="Arial" w:hAnsi="Arial"/>
                <w:sz w:val="18"/>
                <w:szCs w:val="18"/>
                <w:b w:val="1"/>
                <w:bCs w:val="1"/>
                <w:color w:val="003B71"/>
                <w:w w:val="99"/>
              </w:rPr>
              <w:t>Non-Employee Director Compensation Mix</w:t>
            </w:r>
          </w:p>
        </w:tc>
      </w:tr>
      <w:tr>
        <w:trPr>
          <w:trHeight w:val="189"/>
        </w:trPr>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center"/>
              <w:ind w:right="104"/>
              <w:spacing w:after="0"/>
              <w:rPr>
                <w:sz w:val="20"/>
                <w:szCs w:val="20"/>
                <w:color w:val="auto"/>
              </w:rPr>
            </w:pPr>
            <w:r>
              <w:rPr>
                <w:rFonts w:ascii="Arial" w:cs="Arial" w:eastAsia="Arial" w:hAnsi="Arial"/>
                <w:sz w:val="16"/>
                <w:szCs w:val="16"/>
                <w:b w:val="1"/>
                <w:bCs w:val="1"/>
                <w:color w:val="003B71"/>
              </w:rPr>
              <w:t>or Paid in</w:t>
            </w:r>
          </w:p>
        </w:tc>
        <w:tc>
          <w:tcPr>
            <w:tcW w:w="960" w:type="dxa"/>
            <w:vAlign w:val="bottom"/>
          </w:tcPr>
          <w:p>
            <w:pPr>
              <w:jc w:val="center"/>
              <w:ind w:left="242"/>
              <w:spacing w:after="0"/>
              <w:rPr>
                <w:sz w:val="20"/>
                <w:szCs w:val="20"/>
                <w:color w:val="auto"/>
              </w:rPr>
            </w:pPr>
            <w:r>
              <w:rPr>
                <w:rFonts w:ascii="Arial" w:cs="Arial" w:eastAsia="Arial" w:hAnsi="Arial"/>
                <w:sz w:val="16"/>
                <w:szCs w:val="16"/>
                <w:b w:val="1"/>
                <w:bCs w:val="1"/>
                <w:color w:val="003B71"/>
              </w:rPr>
              <w:t>Stock</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188"/>
        </w:trPr>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center"/>
              <w:ind w:left="82"/>
              <w:spacing w:after="0"/>
              <w:rPr>
                <w:sz w:val="20"/>
                <w:szCs w:val="20"/>
                <w:color w:val="auto"/>
              </w:rPr>
            </w:pPr>
            <w:r>
              <w:rPr>
                <w:rFonts w:ascii="Arial" w:cs="Arial" w:eastAsia="Arial" w:hAnsi="Arial"/>
                <w:sz w:val="16"/>
                <w:szCs w:val="16"/>
                <w:b w:val="1"/>
                <w:bCs w:val="1"/>
                <w:color w:val="003B71"/>
              </w:rPr>
              <w:t>Cash</w:t>
            </w:r>
          </w:p>
        </w:tc>
        <w:tc>
          <w:tcPr>
            <w:tcW w:w="360" w:type="dxa"/>
            <w:vAlign w:val="bottom"/>
          </w:tcPr>
          <w:p>
            <w:pPr>
              <w:spacing w:after="0"/>
              <w:rPr>
                <w:sz w:val="16"/>
                <w:szCs w:val="16"/>
                <w:color w:val="auto"/>
              </w:rPr>
            </w:pPr>
          </w:p>
        </w:tc>
        <w:tc>
          <w:tcPr>
            <w:tcW w:w="960" w:type="dxa"/>
            <w:vAlign w:val="bottom"/>
          </w:tcPr>
          <w:p>
            <w:pPr>
              <w:jc w:val="center"/>
              <w:ind w:left="222"/>
              <w:spacing w:after="0"/>
              <w:rPr>
                <w:sz w:val="20"/>
                <w:szCs w:val="20"/>
                <w:color w:val="auto"/>
              </w:rPr>
            </w:pPr>
            <w:r>
              <w:rPr>
                <w:rFonts w:ascii="Arial" w:cs="Arial" w:eastAsia="Arial" w:hAnsi="Arial"/>
                <w:sz w:val="16"/>
                <w:szCs w:val="16"/>
                <w:b w:val="1"/>
                <w:bCs w:val="1"/>
                <w:color w:val="003B71"/>
              </w:rPr>
              <w:t>Awards</w:t>
            </w:r>
          </w:p>
        </w:tc>
        <w:tc>
          <w:tcPr>
            <w:tcW w:w="300" w:type="dxa"/>
            <w:vAlign w:val="bottom"/>
          </w:tcPr>
          <w:p>
            <w:pPr>
              <w:spacing w:after="0"/>
              <w:rPr>
                <w:sz w:val="16"/>
                <w:szCs w:val="16"/>
                <w:color w:val="auto"/>
              </w:rPr>
            </w:pPr>
          </w:p>
        </w:tc>
        <w:tc>
          <w:tcPr>
            <w:tcW w:w="6100" w:type="dxa"/>
            <w:vAlign w:val="bottom"/>
            <w:gridSpan w:val="2"/>
          </w:tcPr>
          <w:p>
            <w:pPr>
              <w:ind w:left="300"/>
              <w:spacing w:after="0"/>
              <w:rPr>
                <w:sz w:val="20"/>
                <w:szCs w:val="20"/>
                <w:color w:val="auto"/>
              </w:rPr>
            </w:pPr>
            <w:r>
              <w:rPr>
                <w:rFonts w:ascii="Arial" w:cs="Arial" w:eastAsia="Arial" w:hAnsi="Arial"/>
                <w:sz w:val="16"/>
                <w:szCs w:val="16"/>
                <w:b w:val="1"/>
                <w:bCs w:val="1"/>
                <w:color w:val="003B71"/>
              </w:rPr>
              <w:t>Total</w:t>
            </w:r>
          </w:p>
        </w:tc>
      </w:tr>
      <w:tr>
        <w:trPr>
          <w:trHeight w:val="216"/>
        </w:trPr>
        <w:tc>
          <w:tcPr>
            <w:tcW w:w="1660" w:type="dxa"/>
            <w:vAlign w:val="bottom"/>
          </w:tcPr>
          <w:p>
            <w:pPr>
              <w:spacing w:after="0"/>
              <w:rPr>
                <w:sz w:val="20"/>
                <w:szCs w:val="20"/>
                <w:color w:val="auto"/>
              </w:rPr>
            </w:pPr>
            <w:r>
              <w:rPr>
                <w:rFonts w:ascii="Arial" w:cs="Arial" w:eastAsia="Arial" w:hAnsi="Arial"/>
                <w:sz w:val="16"/>
                <w:szCs w:val="16"/>
                <w:b w:val="1"/>
                <w:bCs w:val="1"/>
                <w:color w:val="003B71"/>
              </w:rPr>
              <w:t>Name</w:t>
            </w:r>
          </w:p>
        </w:tc>
        <w:tc>
          <w:tcPr>
            <w:tcW w:w="340" w:type="dxa"/>
            <w:vAlign w:val="bottom"/>
          </w:tcPr>
          <w:p>
            <w:pPr>
              <w:spacing w:after="0"/>
              <w:rPr>
                <w:sz w:val="18"/>
                <w:szCs w:val="18"/>
                <w:color w:val="auto"/>
              </w:rPr>
            </w:pPr>
          </w:p>
        </w:tc>
        <w:tc>
          <w:tcPr>
            <w:tcW w:w="720" w:type="dxa"/>
            <w:vAlign w:val="bottom"/>
          </w:tcPr>
          <w:p>
            <w:pPr>
              <w:jc w:val="center"/>
              <w:ind w:left="82"/>
              <w:spacing w:after="0"/>
              <w:rPr>
                <w:sz w:val="20"/>
                <w:szCs w:val="20"/>
                <w:color w:val="auto"/>
              </w:rPr>
            </w:pPr>
            <w:r>
              <w:rPr>
                <w:rFonts w:ascii="Arial" w:cs="Arial" w:eastAsia="Arial" w:hAnsi="Arial"/>
                <w:sz w:val="16"/>
                <w:szCs w:val="16"/>
                <w:b w:val="1"/>
                <w:bCs w:val="1"/>
                <w:color w:val="003B71"/>
              </w:rPr>
              <w:t>($)</w:t>
            </w:r>
          </w:p>
        </w:tc>
        <w:tc>
          <w:tcPr>
            <w:tcW w:w="360" w:type="dxa"/>
            <w:vAlign w:val="bottom"/>
          </w:tcPr>
          <w:p>
            <w:pPr>
              <w:spacing w:after="0"/>
              <w:rPr>
                <w:sz w:val="18"/>
                <w:szCs w:val="18"/>
                <w:color w:val="auto"/>
              </w:rPr>
            </w:pPr>
          </w:p>
        </w:tc>
        <w:tc>
          <w:tcPr>
            <w:tcW w:w="960" w:type="dxa"/>
            <w:vAlign w:val="bottom"/>
          </w:tcPr>
          <w:p>
            <w:pPr>
              <w:jc w:val="center"/>
              <w:ind w:left="222"/>
              <w:spacing w:after="0"/>
              <w:rPr>
                <w:sz w:val="20"/>
                <w:szCs w:val="20"/>
                <w:color w:val="auto"/>
              </w:rPr>
            </w:pPr>
            <w:r>
              <w:rPr>
                <w:rFonts w:ascii="Arial" w:cs="Arial" w:eastAsia="Arial" w:hAnsi="Arial"/>
                <w:sz w:val="16"/>
                <w:szCs w:val="16"/>
                <w:b w:val="1"/>
                <w:bCs w:val="1"/>
                <w:color w:val="003B71"/>
              </w:rPr>
              <w:t>($)</w:t>
            </w:r>
            <w:r>
              <w:rPr>
                <w:rFonts w:ascii="Arial" w:cs="Arial" w:eastAsia="Arial" w:hAnsi="Arial"/>
                <w:sz w:val="13"/>
                <w:szCs w:val="13"/>
                <w:b w:val="1"/>
                <w:bCs w:val="1"/>
                <w:color w:val="003B71"/>
              </w:rPr>
              <w:t>(1)(2)</w:t>
            </w:r>
          </w:p>
        </w:tc>
        <w:tc>
          <w:tcPr>
            <w:tcW w:w="300" w:type="dxa"/>
            <w:vAlign w:val="bottom"/>
          </w:tcPr>
          <w:p>
            <w:pPr>
              <w:spacing w:after="0"/>
              <w:rPr>
                <w:sz w:val="18"/>
                <w:szCs w:val="18"/>
                <w:color w:val="auto"/>
              </w:rPr>
            </w:pPr>
          </w:p>
        </w:tc>
        <w:tc>
          <w:tcPr>
            <w:tcW w:w="940" w:type="dxa"/>
            <w:vAlign w:val="bottom"/>
          </w:tcPr>
          <w:p>
            <w:pPr>
              <w:jc w:val="right"/>
              <w:ind w:right="263"/>
              <w:spacing w:after="0"/>
              <w:rPr>
                <w:sz w:val="20"/>
                <w:szCs w:val="20"/>
                <w:color w:val="auto"/>
              </w:rPr>
            </w:pPr>
            <w:r>
              <w:rPr>
                <w:rFonts w:ascii="Arial" w:cs="Arial" w:eastAsia="Arial" w:hAnsi="Arial"/>
                <w:sz w:val="16"/>
                <w:szCs w:val="16"/>
                <w:b w:val="1"/>
                <w:bCs w:val="1"/>
                <w:color w:val="003B71"/>
              </w:rPr>
              <w:t>($)</w:t>
            </w:r>
          </w:p>
        </w:tc>
        <w:tc>
          <w:tcPr>
            <w:tcW w:w="5160" w:type="dxa"/>
            <w:vAlign w:val="bottom"/>
          </w:tcPr>
          <w:p>
            <w:pPr>
              <w:spacing w:after="0"/>
              <w:rPr>
                <w:sz w:val="18"/>
                <w:szCs w:val="18"/>
                <w:color w:val="auto"/>
              </w:rPr>
            </w:pPr>
          </w:p>
        </w:tc>
      </w:tr>
      <w:tr>
        <w:trPr>
          <w:trHeight w:val="46"/>
        </w:trPr>
        <w:tc>
          <w:tcPr>
            <w:tcW w:w="1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160" w:type="dxa"/>
            <w:vAlign w:val="bottom"/>
          </w:tcPr>
          <w:p>
            <w:pPr>
              <w:spacing w:after="0"/>
              <w:rPr>
                <w:sz w:val="4"/>
                <w:szCs w:val="4"/>
                <w:color w:val="auto"/>
              </w:rPr>
            </w:pPr>
          </w:p>
        </w:tc>
      </w:tr>
      <w:tr>
        <w:trPr>
          <w:trHeight w:val="190"/>
        </w:trPr>
        <w:tc>
          <w:tcPr>
            <w:tcW w:w="166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5"/>
                <w:szCs w:val="15"/>
                <w:color w:val="auto"/>
              </w:rPr>
              <w:t>H. Paulett Eberhart</w:t>
            </w:r>
          </w:p>
        </w:tc>
        <w:tc>
          <w:tcPr>
            <w:tcW w:w="34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E3F3F6"/>
            </w:tcBorders>
            <w:shd w:val="clear" w:color="auto" w:fill="E3F3F6"/>
          </w:tcPr>
          <w:p>
            <w:pPr>
              <w:jc w:val="right"/>
              <w:ind w:right="82"/>
              <w:spacing w:after="0"/>
              <w:rPr>
                <w:sz w:val="20"/>
                <w:szCs w:val="20"/>
                <w:color w:val="auto"/>
              </w:rPr>
            </w:pPr>
            <w:r>
              <w:rPr>
                <w:rFonts w:ascii="Arial" w:cs="Arial" w:eastAsia="Arial" w:hAnsi="Arial"/>
                <w:sz w:val="15"/>
                <w:szCs w:val="15"/>
                <w:color w:val="auto"/>
                <w:w w:val="99"/>
              </w:rPr>
              <w:t>111,250</w:t>
            </w:r>
          </w:p>
        </w:tc>
        <w:tc>
          <w:tcPr>
            <w:tcW w:w="360" w:type="dxa"/>
            <w:vAlign w:val="bottom"/>
            <w:tcBorders>
              <w:bottom w:val="single" w:sz="8" w:color="E3F3F6"/>
            </w:tcBorders>
            <w:shd w:val="clear" w:color="auto" w:fill="E3F3F6"/>
          </w:tcPr>
          <w:p>
            <w:pPr>
              <w:jc w:val="right"/>
              <w:ind w:right="24"/>
              <w:spacing w:after="0"/>
              <w:rPr>
                <w:sz w:val="20"/>
                <w:szCs w:val="20"/>
                <w:color w:val="auto"/>
              </w:rPr>
            </w:pPr>
            <w:r>
              <w:rPr>
                <w:rFonts w:ascii="Arial" w:cs="Arial" w:eastAsia="Arial" w:hAnsi="Arial"/>
                <w:sz w:val="15"/>
                <w:szCs w:val="15"/>
                <w:color w:val="auto"/>
              </w:rPr>
              <w:t>(3)</w:t>
            </w:r>
          </w:p>
        </w:tc>
        <w:tc>
          <w:tcPr>
            <w:tcW w:w="960" w:type="dxa"/>
            <w:vAlign w:val="bottom"/>
            <w:tcBorders>
              <w:bottom w:val="single" w:sz="8" w:color="E3F3F6"/>
            </w:tcBorders>
            <w:shd w:val="clear" w:color="auto" w:fill="E3F3F6"/>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Borders>
              <w:bottom w:val="single" w:sz="8" w:color="E3F3F6"/>
            </w:tcBorders>
            <w:shd w:val="clear" w:color="auto" w:fill="E3F3F6"/>
          </w:tcPr>
          <w:p>
            <w:pPr>
              <w:spacing w:after="0"/>
              <w:rPr>
                <w:sz w:val="16"/>
                <w:szCs w:val="16"/>
                <w:color w:val="auto"/>
              </w:rPr>
            </w:pPr>
          </w:p>
        </w:tc>
        <w:tc>
          <w:tcPr>
            <w:tcW w:w="940" w:type="dxa"/>
            <w:vAlign w:val="bottom"/>
            <w:tcBorders>
              <w:bottom w:val="single" w:sz="8" w:color="E3F3F6"/>
            </w:tcBorders>
            <w:shd w:val="clear" w:color="auto" w:fill="E3F3F6"/>
          </w:tcPr>
          <w:p>
            <w:pPr>
              <w:jc w:val="right"/>
              <w:ind w:right="103"/>
              <w:spacing w:after="0"/>
              <w:rPr>
                <w:sz w:val="20"/>
                <w:szCs w:val="20"/>
                <w:color w:val="auto"/>
              </w:rPr>
            </w:pPr>
            <w:r>
              <w:rPr>
                <w:rFonts w:ascii="Arial" w:cs="Arial" w:eastAsia="Arial" w:hAnsi="Arial"/>
                <w:sz w:val="15"/>
                <w:szCs w:val="15"/>
                <w:color w:val="auto"/>
              </w:rPr>
              <w:t>$281,297</w:t>
            </w:r>
          </w:p>
        </w:tc>
        <w:tc>
          <w:tcPr>
            <w:tcW w:w="5160" w:type="dxa"/>
            <w:vAlign w:val="bottom"/>
          </w:tcPr>
          <w:p>
            <w:pPr>
              <w:spacing w:after="0"/>
              <w:rPr>
                <w:sz w:val="16"/>
                <w:szCs w:val="16"/>
                <w:color w:val="auto"/>
              </w:rPr>
            </w:pPr>
          </w:p>
        </w:tc>
      </w:tr>
      <w:tr>
        <w:trPr>
          <w:trHeight w:val="184"/>
        </w:trPr>
        <w:tc>
          <w:tcPr>
            <w:tcW w:w="1660" w:type="dxa"/>
            <w:vAlign w:val="bottom"/>
          </w:tcPr>
          <w:p>
            <w:pPr>
              <w:ind w:left="40"/>
              <w:spacing w:after="0"/>
              <w:rPr>
                <w:sz w:val="20"/>
                <w:szCs w:val="20"/>
                <w:color w:val="auto"/>
              </w:rPr>
            </w:pPr>
            <w:r>
              <w:rPr>
                <w:rFonts w:ascii="Arial" w:cs="Arial" w:eastAsia="Arial" w:hAnsi="Arial"/>
                <w:sz w:val="15"/>
                <w:szCs w:val="15"/>
                <w:color w:val="auto"/>
              </w:rPr>
              <w:t>William F. Glavin, Jr.</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2"/>
              <w:spacing w:after="0"/>
              <w:rPr>
                <w:sz w:val="20"/>
                <w:szCs w:val="20"/>
                <w:color w:val="auto"/>
              </w:rPr>
            </w:pPr>
            <w:r>
              <w:rPr>
                <w:rFonts w:ascii="Arial" w:cs="Arial" w:eastAsia="Arial" w:hAnsi="Arial"/>
                <w:sz w:val="15"/>
                <w:szCs w:val="15"/>
                <w:color w:val="auto"/>
                <w:w w:val="99"/>
              </w:rPr>
              <w:t>112,729</w:t>
            </w:r>
          </w:p>
        </w:tc>
        <w:tc>
          <w:tcPr>
            <w:tcW w:w="36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960" w:type="dxa"/>
            <w:vAlign w:val="bottom"/>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$282,776</w:t>
            </w:r>
          </w:p>
        </w:tc>
        <w:tc>
          <w:tcPr>
            <w:tcW w:w="5160" w:type="dxa"/>
            <w:vAlign w:val="bottom"/>
          </w:tcPr>
          <w:p>
            <w:pPr>
              <w:spacing w:after="0"/>
              <w:rPr>
                <w:sz w:val="16"/>
                <w:szCs w:val="16"/>
                <w:color w:val="auto"/>
              </w:rPr>
            </w:pPr>
          </w:p>
        </w:tc>
      </w:tr>
      <w:tr>
        <w:trPr>
          <w:trHeight w:val="32"/>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196"/>
        </w:trPr>
        <w:tc>
          <w:tcPr>
            <w:tcW w:w="166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5"/>
                <w:szCs w:val="15"/>
                <w:color w:val="auto"/>
              </w:rPr>
              <w:t>Allison Mnookin</w:t>
            </w:r>
          </w:p>
        </w:tc>
        <w:tc>
          <w:tcPr>
            <w:tcW w:w="34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E3F3F6"/>
            </w:tcBorders>
            <w:shd w:val="clear" w:color="auto" w:fill="E3F3F6"/>
          </w:tcPr>
          <w:p>
            <w:pPr>
              <w:jc w:val="right"/>
              <w:ind w:right="82"/>
              <w:spacing w:after="0"/>
              <w:rPr>
                <w:sz w:val="20"/>
                <w:szCs w:val="20"/>
                <w:color w:val="auto"/>
              </w:rPr>
            </w:pPr>
            <w:r>
              <w:rPr>
                <w:rFonts w:ascii="Arial" w:cs="Arial" w:eastAsia="Arial" w:hAnsi="Arial"/>
                <w:sz w:val="15"/>
                <w:szCs w:val="15"/>
                <w:color w:val="auto"/>
                <w:w w:val="99"/>
              </w:rPr>
              <w:t>100,833</w:t>
            </w:r>
          </w:p>
        </w:tc>
        <w:tc>
          <w:tcPr>
            <w:tcW w:w="360" w:type="dxa"/>
            <w:vAlign w:val="bottom"/>
            <w:tcBorders>
              <w:bottom w:val="single" w:sz="8" w:color="E3F3F6"/>
            </w:tcBorders>
            <w:shd w:val="clear" w:color="auto" w:fill="E3F3F6"/>
          </w:tcPr>
          <w:p>
            <w:pPr>
              <w:jc w:val="right"/>
              <w:ind w:right="24"/>
              <w:spacing w:after="0"/>
              <w:rPr>
                <w:sz w:val="20"/>
                <w:szCs w:val="20"/>
                <w:color w:val="auto"/>
              </w:rPr>
            </w:pPr>
            <w:r>
              <w:rPr>
                <w:rFonts w:ascii="Arial" w:cs="Arial" w:eastAsia="Arial" w:hAnsi="Arial"/>
                <w:sz w:val="15"/>
                <w:szCs w:val="15"/>
                <w:color w:val="auto"/>
              </w:rPr>
              <w:t>(6)</w:t>
            </w:r>
          </w:p>
        </w:tc>
        <w:tc>
          <w:tcPr>
            <w:tcW w:w="960" w:type="dxa"/>
            <w:vAlign w:val="bottom"/>
            <w:tcBorders>
              <w:bottom w:val="single" w:sz="8" w:color="E3F3F6"/>
            </w:tcBorders>
            <w:shd w:val="clear" w:color="auto" w:fill="E3F3F6"/>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Borders>
              <w:bottom w:val="single" w:sz="8" w:color="E3F3F6"/>
            </w:tcBorders>
            <w:shd w:val="clear" w:color="auto" w:fill="E3F3F6"/>
          </w:tcPr>
          <w:p>
            <w:pPr>
              <w:spacing w:after="0"/>
              <w:rPr>
                <w:sz w:val="17"/>
                <w:szCs w:val="17"/>
                <w:color w:val="auto"/>
              </w:rPr>
            </w:pPr>
          </w:p>
        </w:tc>
        <w:tc>
          <w:tcPr>
            <w:tcW w:w="940" w:type="dxa"/>
            <w:vAlign w:val="bottom"/>
            <w:tcBorders>
              <w:bottom w:val="single" w:sz="8" w:color="E3F3F6"/>
            </w:tcBorders>
            <w:shd w:val="clear" w:color="auto" w:fill="E3F3F6"/>
          </w:tcPr>
          <w:p>
            <w:pPr>
              <w:jc w:val="right"/>
              <w:ind w:right="103"/>
              <w:spacing w:after="0"/>
              <w:rPr>
                <w:sz w:val="20"/>
                <w:szCs w:val="20"/>
                <w:color w:val="auto"/>
              </w:rPr>
            </w:pPr>
            <w:r>
              <w:rPr>
                <w:rFonts w:ascii="Arial" w:cs="Arial" w:eastAsia="Arial" w:hAnsi="Arial"/>
                <w:sz w:val="15"/>
                <w:szCs w:val="15"/>
                <w:color w:val="auto"/>
              </w:rPr>
              <w:t>$270,880</w:t>
            </w:r>
          </w:p>
        </w:tc>
        <w:tc>
          <w:tcPr>
            <w:tcW w:w="5160" w:type="dxa"/>
            <w:vAlign w:val="bottom"/>
          </w:tcPr>
          <w:p>
            <w:pPr>
              <w:spacing w:after="0"/>
              <w:rPr>
                <w:sz w:val="17"/>
                <w:szCs w:val="17"/>
                <w:color w:val="auto"/>
              </w:rPr>
            </w:pPr>
          </w:p>
        </w:tc>
      </w:tr>
      <w:tr>
        <w:trPr>
          <w:trHeight w:val="184"/>
        </w:trPr>
        <w:tc>
          <w:tcPr>
            <w:tcW w:w="1660" w:type="dxa"/>
            <w:vAlign w:val="bottom"/>
          </w:tcPr>
          <w:p>
            <w:pPr>
              <w:ind w:left="40"/>
              <w:spacing w:after="0"/>
              <w:rPr>
                <w:sz w:val="20"/>
                <w:szCs w:val="20"/>
                <w:color w:val="auto"/>
              </w:rPr>
            </w:pPr>
            <w:r>
              <w:rPr>
                <w:rFonts w:ascii="Arial" w:cs="Arial" w:eastAsia="Arial" w:hAnsi="Arial"/>
                <w:sz w:val="15"/>
                <w:szCs w:val="15"/>
                <w:color w:val="auto"/>
              </w:rPr>
              <w:t>Anne M. Mulcahy</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2"/>
              <w:spacing w:after="0"/>
              <w:rPr>
                <w:sz w:val="20"/>
                <w:szCs w:val="20"/>
                <w:color w:val="auto"/>
              </w:rPr>
            </w:pPr>
            <w:r>
              <w:rPr>
                <w:rFonts w:ascii="Arial" w:cs="Arial" w:eastAsia="Arial" w:hAnsi="Arial"/>
                <w:sz w:val="15"/>
                <w:szCs w:val="15"/>
                <w:color w:val="auto"/>
                <w:w w:val="99"/>
              </w:rPr>
              <w:t>122,729</w:t>
            </w:r>
          </w:p>
        </w:tc>
        <w:tc>
          <w:tcPr>
            <w:tcW w:w="360" w:type="dxa"/>
            <w:vAlign w:val="bottom"/>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$292,776</w:t>
            </w:r>
          </w:p>
        </w:tc>
        <w:tc>
          <w:tcPr>
            <w:tcW w:w="5160" w:type="dxa"/>
            <w:vAlign w:val="bottom"/>
          </w:tcPr>
          <w:p>
            <w:pPr>
              <w:spacing w:after="0"/>
              <w:rPr>
                <w:sz w:val="16"/>
                <w:szCs w:val="16"/>
                <w:color w:val="auto"/>
              </w:rPr>
            </w:pPr>
          </w:p>
        </w:tc>
      </w:tr>
      <w:tr>
        <w:trPr>
          <w:trHeight w:val="32"/>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196"/>
        </w:trPr>
        <w:tc>
          <w:tcPr>
            <w:tcW w:w="166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5"/>
                <w:szCs w:val="15"/>
                <w:color w:val="auto"/>
              </w:rPr>
              <w:t>James S. Putnam</w:t>
            </w:r>
          </w:p>
        </w:tc>
        <w:tc>
          <w:tcPr>
            <w:tcW w:w="34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E3F3F6"/>
            </w:tcBorders>
            <w:shd w:val="clear" w:color="auto" w:fill="E3F3F6"/>
          </w:tcPr>
          <w:p>
            <w:pPr>
              <w:jc w:val="right"/>
              <w:ind w:right="82"/>
              <w:spacing w:after="0"/>
              <w:rPr>
                <w:sz w:val="20"/>
                <w:szCs w:val="20"/>
                <w:color w:val="auto"/>
              </w:rPr>
            </w:pPr>
            <w:r>
              <w:rPr>
                <w:rFonts w:ascii="Arial" w:cs="Arial" w:eastAsia="Arial" w:hAnsi="Arial"/>
                <w:sz w:val="15"/>
                <w:szCs w:val="15"/>
                <w:color w:val="auto"/>
                <w:w w:val="99"/>
              </w:rPr>
              <w:t>218,542</w:t>
            </w:r>
          </w:p>
        </w:tc>
        <w:tc>
          <w:tcPr>
            <w:tcW w:w="360" w:type="dxa"/>
            <w:vAlign w:val="bottom"/>
            <w:tcBorders>
              <w:bottom w:val="single" w:sz="8" w:color="E3F3F6"/>
            </w:tcBorders>
            <w:shd w:val="clear" w:color="auto" w:fill="E3F3F6"/>
          </w:tcPr>
          <w:p>
            <w:pPr>
              <w:jc w:val="right"/>
              <w:ind w:right="24"/>
              <w:spacing w:after="0"/>
              <w:rPr>
                <w:sz w:val="20"/>
                <w:szCs w:val="20"/>
                <w:color w:val="auto"/>
              </w:rPr>
            </w:pPr>
            <w:r>
              <w:rPr>
                <w:rFonts w:ascii="Arial" w:cs="Arial" w:eastAsia="Arial" w:hAnsi="Arial"/>
                <w:sz w:val="15"/>
                <w:szCs w:val="15"/>
                <w:color w:val="auto"/>
              </w:rPr>
              <w:t>(7)</w:t>
            </w:r>
          </w:p>
        </w:tc>
        <w:tc>
          <w:tcPr>
            <w:tcW w:w="960" w:type="dxa"/>
            <w:vAlign w:val="bottom"/>
            <w:tcBorders>
              <w:bottom w:val="single" w:sz="8" w:color="E3F3F6"/>
            </w:tcBorders>
            <w:shd w:val="clear" w:color="auto" w:fill="E3F3F6"/>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Borders>
              <w:bottom w:val="single" w:sz="8" w:color="E3F3F6"/>
            </w:tcBorders>
            <w:shd w:val="clear" w:color="auto" w:fill="E3F3F6"/>
          </w:tcPr>
          <w:p>
            <w:pPr>
              <w:spacing w:after="0"/>
              <w:rPr>
                <w:sz w:val="17"/>
                <w:szCs w:val="17"/>
                <w:color w:val="auto"/>
              </w:rPr>
            </w:pPr>
          </w:p>
        </w:tc>
        <w:tc>
          <w:tcPr>
            <w:tcW w:w="940" w:type="dxa"/>
            <w:vAlign w:val="bottom"/>
            <w:tcBorders>
              <w:bottom w:val="single" w:sz="8" w:color="E3F3F6"/>
            </w:tcBorders>
            <w:shd w:val="clear" w:color="auto" w:fill="E3F3F6"/>
          </w:tcPr>
          <w:p>
            <w:pPr>
              <w:jc w:val="right"/>
              <w:ind w:right="103"/>
              <w:spacing w:after="0"/>
              <w:rPr>
                <w:sz w:val="20"/>
                <w:szCs w:val="20"/>
                <w:color w:val="auto"/>
              </w:rPr>
            </w:pPr>
            <w:r>
              <w:rPr>
                <w:rFonts w:ascii="Arial" w:cs="Arial" w:eastAsia="Arial" w:hAnsi="Arial"/>
                <w:sz w:val="15"/>
                <w:szCs w:val="15"/>
                <w:color w:val="auto"/>
              </w:rPr>
              <w:t>$388,589</w:t>
            </w:r>
          </w:p>
        </w:tc>
        <w:tc>
          <w:tcPr>
            <w:tcW w:w="5160" w:type="dxa"/>
            <w:vAlign w:val="bottom"/>
          </w:tcPr>
          <w:p>
            <w:pPr>
              <w:spacing w:after="0"/>
              <w:rPr>
                <w:sz w:val="17"/>
                <w:szCs w:val="17"/>
                <w:color w:val="auto"/>
              </w:rPr>
            </w:pPr>
          </w:p>
        </w:tc>
      </w:tr>
      <w:tr>
        <w:trPr>
          <w:trHeight w:val="159"/>
        </w:trPr>
        <w:tc>
          <w:tcPr>
            <w:tcW w:w="1660" w:type="dxa"/>
            <w:vAlign w:val="bottom"/>
          </w:tcPr>
          <w:p>
            <w:pPr>
              <w:ind w:left="40"/>
              <w:spacing w:after="0" w:line="159" w:lineRule="exact"/>
              <w:rPr>
                <w:sz w:val="20"/>
                <w:szCs w:val="20"/>
                <w:color w:val="auto"/>
              </w:rPr>
            </w:pPr>
            <w:r>
              <w:rPr>
                <w:rFonts w:ascii="Arial" w:cs="Arial" w:eastAsia="Arial" w:hAnsi="Arial"/>
                <w:sz w:val="15"/>
                <w:szCs w:val="15"/>
                <w:color w:val="auto"/>
              </w:rPr>
              <w:t>James S. Riepe</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ind w:right="24"/>
              <w:spacing w:after="0" w:line="159" w:lineRule="exact"/>
              <w:rPr>
                <w:sz w:val="20"/>
                <w:szCs w:val="20"/>
                <w:color w:val="auto"/>
              </w:rPr>
            </w:pPr>
            <w:r>
              <w:rPr>
                <w:rFonts w:ascii="Arial" w:cs="Arial" w:eastAsia="Arial" w:hAnsi="Arial"/>
                <w:sz w:val="15"/>
                <w:szCs w:val="15"/>
                <w:color w:val="auto"/>
              </w:rPr>
              <w:t>(4)</w:t>
            </w: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160" w:type="dxa"/>
            <w:vAlign w:val="bottom"/>
          </w:tcPr>
          <w:p>
            <w:pPr>
              <w:spacing w:after="0"/>
              <w:rPr>
                <w:sz w:val="13"/>
                <w:szCs w:val="13"/>
                <w:color w:val="auto"/>
              </w:rPr>
            </w:pPr>
          </w:p>
        </w:tc>
      </w:tr>
      <w:tr>
        <w:trPr>
          <w:trHeight w:val="184"/>
        </w:trPr>
        <w:tc>
          <w:tcPr>
            <w:tcW w:w="1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2"/>
              <w:spacing w:after="0"/>
              <w:rPr>
                <w:sz w:val="20"/>
                <w:szCs w:val="20"/>
                <w:color w:val="auto"/>
              </w:rPr>
            </w:pPr>
            <w:r>
              <w:rPr>
                <w:rFonts w:ascii="Arial" w:cs="Arial" w:eastAsia="Arial" w:hAnsi="Arial"/>
                <w:sz w:val="15"/>
                <w:szCs w:val="15"/>
                <w:color w:val="auto"/>
                <w:w w:val="99"/>
              </w:rPr>
              <w:t>119,188</w:t>
            </w:r>
          </w:p>
        </w:tc>
        <w:tc>
          <w:tcPr>
            <w:tcW w:w="36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960" w:type="dxa"/>
            <w:vAlign w:val="bottom"/>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$289,235</w:t>
            </w:r>
          </w:p>
        </w:tc>
        <w:tc>
          <w:tcPr>
            <w:tcW w:w="5160" w:type="dxa"/>
            <w:vAlign w:val="bottom"/>
          </w:tcPr>
          <w:p>
            <w:pPr>
              <w:spacing w:after="0"/>
              <w:rPr>
                <w:sz w:val="16"/>
                <w:szCs w:val="16"/>
                <w:color w:val="auto"/>
              </w:rPr>
            </w:pPr>
          </w:p>
        </w:tc>
      </w:tr>
      <w:tr>
        <w:trPr>
          <w:trHeight w:val="35"/>
        </w:trPr>
        <w:tc>
          <w:tcPr>
            <w:tcW w:w="1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160" w:type="dxa"/>
            <w:vAlign w:val="bottom"/>
          </w:tcPr>
          <w:p>
            <w:pPr>
              <w:spacing w:after="0"/>
              <w:rPr>
                <w:sz w:val="3"/>
                <w:szCs w:val="3"/>
                <w:color w:val="auto"/>
              </w:rPr>
            </w:pPr>
          </w:p>
        </w:tc>
      </w:tr>
      <w:tr>
        <w:trPr>
          <w:trHeight w:val="196"/>
        </w:trPr>
        <w:tc>
          <w:tcPr>
            <w:tcW w:w="166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5"/>
                <w:szCs w:val="15"/>
                <w:color w:val="auto"/>
              </w:rPr>
              <w:t>Richard P. Schifter</w:t>
            </w:r>
          </w:p>
        </w:tc>
        <w:tc>
          <w:tcPr>
            <w:tcW w:w="34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E3F3F6"/>
            </w:tcBorders>
            <w:shd w:val="clear" w:color="auto" w:fill="E3F3F6"/>
          </w:tcPr>
          <w:p>
            <w:pPr>
              <w:jc w:val="right"/>
              <w:ind w:right="82"/>
              <w:spacing w:after="0"/>
              <w:rPr>
                <w:sz w:val="20"/>
                <w:szCs w:val="20"/>
                <w:color w:val="auto"/>
              </w:rPr>
            </w:pPr>
            <w:r>
              <w:rPr>
                <w:rFonts w:ascii="Arial" w:cs="Arial" w:eastAsia="Arial" w:hAnsi="Arial"/>
                <w:sz w:val="15"/>
                <w:szCs w:val="15"/>
                <w:color w:val="auto"/>
                <w:w w:val="99"/>
              </w:rPr>
              <w:t>107,729</w:t>
            </w:r>
          </w:p>
        </w:tc>
        <w:tc>
          <w:tcPr>
            <w:tcW w:w="360" w:type="dxa"/>
            <w:vAlign w:val="bottom"/>
            <w:tcBorders>
              <w:bottom w:val="single" w:sz="8" w:color="E3F3F6"/>
            </w:tcBorders>
            <w:shd w:val="clear" w:color="auto" w:fill="E3F3F6"/>
          </w:tcPr>
          <w:p>
            <w:pPr>
              <w:jc w:val="right"/>
              <w:ind w:right="24"/>
              <w:spacing w:after="0"/>
              <w:rPr>
                <w:sz w:val="20"/>
                <w:szCs w:val="20"/>
                <w:color w:val="auto"/>
              </w:rPr>
            </w:pPr>
            <w:r>
              <w:rPr>
                <w:rFonts w:ascii="Arial" w:cs="Arial" w:eastAsia="Arial" w:hAnsi="Arial"/>
                <w:sz w:val="15"/>
                <w:szCs w:val="15"/>
                <w:color w:val="auto"/>
              </w:rPr>
              <w:t>(4)</w:t>
            </w:r>
          </w:p>
        </w:tc>
        <w:tc>
          <w:tcPr>
            <w:tcW w:w="960" w:type="dxa"/>
            <w:vAlign w:val="bottom"/>
            <w:tcBorders>
              <w:bottom w:val="single" w:sz="8" w:color="E3F3F6"/>
            </w:tcBorders>
            <w:shd w:val="clear" w:color="auto" w:fill="E3F3F6"/>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Borders>
              <w:bottom w:val="single" w:sz="8" w:color="E3F3F6"/>
            </w:tcBorders>
            <w:shd w:val="clear" w:color="auto" w:fill="E3F3F6"/>
          </w:tcPr>
          <w:p>
            <w:pPr>
              <w:jc w:val="right"/>
              <w:ind w:right="4"/>
              <w:spacing w:after="0"/>
              <w:rPr>
                <w:sz w:val="20"/>
                <w:szCs w:val="20"/>
                <w:color w:val="auto"/>
              </w:rPr>
            </w:pPr>
            <w:r>
              <w:rPr>
                <w:rFonts w:ascii="Arial" w:cs="Arial" w:eastAsia="Arial" w:hAnsi="Arial"/>
                <w:sz w:val="15"/>
                <w:szCs w:val="15"/>
                <w:color w:val="auto"/>
              </w:rPr>
              <w:t>(5)</w:t>
            </w:r>
          </w:p>
        </w:tc>
        <w:tc>
          <w:tcPr>
            <w:tcW w:w="940" w:type="dxa"/>
            <w:vAlign w:val="bottom"/>
            <w:tcBorders>
              <w:bottom w:val="single" w:sz="8" w:color="E3F3F6"/>
            </w:tcBorders>
            <w:shd w:val="clear" w:color="auto" w:fill="E3F3F6"/>
          </w:tcPr>
          <w:p>
            <w:pPr>
              <w:jc w:val="right"/>
              <w:ind w:right="103"/>
              <w:spacing w:after="0"/>
              <w:rPr>
                <w:sz w:val="20"/>
                <w:szCs w:val="20"/>
                <w:color w:val="auto"/>
              </w:rPr>
            </w:pPr>
            <w:r>
              <w:rPr>
                <w:rFonts w:ascii="Arial" w:cs="Arial" w:eastAsia="Arial" w:hAnsi="Arial"/>
                <w:sz w:val="15"/>
                <w:szCs w:val="15"/>
                <w:color w:val="auto"/>
              </w:rPr>
              <w:t>$277,776</w:t>
            </w:r>
          </w:p>
        </w:tc>
        <w:tc>
          <w:tcPr>
            <w:tcW w:w="5160" w:type="dxa"/>
            <w:vAlign w:val="bottom"/>
          </w:tcPr>
          <w:p>
            <w:pPr>
              <w:spacing w:after="0"/>
              <w:rPr>
                <w:sz w:val="17"/>
                <w:szCs w:val="17"/>
                <w:color w:val="auto"/>
              </w:rPr>
            </w:pPr>
          </w:p>
        </w:tc>
      </w:tr>
      <w:tr>
        <w:trPr>
          <w:trHeight w:val="159"/>
        </w:trPr>
        <w:tc>
          <w:tcPr>
            <w:tcW w:w="1660" w:type="dxa"/>
            <w:vAlign w:val="bottom"/>
          </w:tcPr>
          <w:p>
            <w:pPr>
              <w:ind w:left="40"/>
              <w:spacing w:after="0" w:line="159" w:lineRule="exact"/>
              <w:rPr>
                <w:sz w:val="20"/>
                <w:szCs w:val="20"/>
                <w:color w:val="auto"/>
              </w:rPr>
            </w:pPr>
            <w:r>
              <w:rPr>
                <w:rFonts w:ascii="Arial" w:cs="Arial" w:eastAsia="Arial" w:hAnsi="Arial"/>
                <w:sz w:val="15"/>
                <w:szCs w:val="15"/>
                <w:color w:val="auto"/>
              </w:rPr>
              <w:t>Corey E. Thomas</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ind w:right="24"/>
              <w:spacing w:after="0" w:line="159" w:lineRule="exact"/>
              <w:rPr>
                <w:sz w:val="20"/>
                <w:szCs w:val="20"/>
                <w:color w:val="auto"/>
              </w:rPr>
            </w:pPr>
            <w:r>
              <w:rPr>
                <w:rFonts w:ascii="Arial" w:cs="Arial" w:eastAsia="Arial" w:hAnsi="Arial"/>
                <w:sz w:val="15"/>
                <w:szCs w:val="15"/>
                <w:color w:val="auto"/>
              </w:rPr>
              <w:t>(4)</w:t>
            </w: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160" w:type="dxa"/>
            <w:vAlign w:val="bottom"/>
          </w:tcPr>
          <w:p>
            <w:pPr>
              <w:spacing w:after="0"/>
              <w:rPr>
                <w:sz w:val="13"/>
                <w:szCs w:val="13"/>
                <w:color w:val="auto"/>
              </w:rPr>
            </w:pPr>
          </w:p>
        </w:tc>
      </w:tr>
      <w:tr>
        <w:trPr>
          <w:trHeight w:val="184"/>
        </w:trPr>
        <w:tc>
          <w:tcPr>
            <w:tcW w:w="1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2"/>
              <w:spacing w:after="0"/>
              <w:rPr>
                <w:sz w:val="20"/>
                <w:szCs w:val="20"/>
                <w:color w:val="auto"/>
              </w:rPr>
            </w:pPr>
            <w:r>
              <w:rPr>
                <w:rFonts w:ascii="Arial" w:cs="Arial" w:eastAsia="Arial" w:hAnsi="Arial"/>
                <w:sz w:val="15"/>
                <w:szCs w:val="15"/>
                <w:color w:val="auto"/>
              </w:rPr>
              <w:t>96,479</w:t>
            </w:r>
          </w:p>
        </w:tc>
        <w:tc>
          <w:tcPr>
            <w:tcW w:w="36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960" w:type="dxa"/>
            <w:vAlign w:val="bottom"/>
          </w:tcPr>
          <w:p>
            <w:pPr>
              <w:jc w:val="right"/>
              <w:ind w:right="142"/>
              <w:spacing w:after="0"/>
              <w:rPr>
                <w:sz w:val="20"/>
                <w:szCs w:val="20"/>
                <w:color w:val="auto"/>
              </w:rPr>
            </w:pPr>
            <w:r>
              <w:rPr>
                <w:rFonts w:ascii="Arial" w:cs="Arial" w:eastAsia="Arial" w:hAnsi="Arial"/>
                <w:sz w:val="15"/>
                <w:szCs w:val="15"/>
                <w:color w:val="auto"/>
              </w:rPr>
              <w:t>$170,047</w:t>
            </w:r>
          </w:p>
        </w:tc>
        <w:tc>
          <w:tcPr>
            <w:tcW w:w="30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$266,526</w:t>
            </w:r>
          </w:p>
        </w:tc>
        <w:tc>
          <w:tcPr>
            <w:tcW w:w="5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-1511300</wp:posOffset>
            </wp:positionV>
            <wp:extent cx="1543050" cy="14833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0" cy="1483360"/>
                    </a:xfrm>
                    <a:prstGeom prst="rect">
                      <a:avLst/>
                    </a:prstGeom>
                    <a:noFill/>
                  </pic:spPr>
                </pic:pic>
              </a:graphicData>
            </a:graphic>
          </wp:anchor>
        </w:drawing>
      </w:r>
    </w:p>
    <w:p>
      <w:pPr>
        <w:spacing w:after="0" w:line="201" w:lineRule="exact"/>
        <w:rPr>
          <w:sz w:val="20"/>
          <w:szCs w:val="20"/>
          <w:color w:val="auto"/>
        </w:rPr>
      </w:pPr>
    </w:p>
    <w:p>
      <w:pPr>
        <w:jc w:val="both"/>
        <w:ind w:left="540" w:hanging="424"/>
        <w:spacing w:after="0" w:line="229"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restricted stock awards granted to our non-employee directors in 2019. The aggregate grant date fair value of the restricted stock awards, as determined under the Financial Accounting Standards Board (“FASB”) Accounting Standards Codification (“ASC”) Topic 718, was determined by multiplying the number of shares underlying the award by $81.99, which was the closing price per share of our Common Stock on the grant date. For information regarding the number of shares of restricted stock held by each non-employee director as of December 31, 2019, see the table in footnote 2 below. The amounts shown in this column do not include the value of any fully vested shares of Common Stock that certain of our non-employee directors elected to receive in lieu of the cash portion of the annual service retainer. In accordance with SEC rules, such amounts are shown in the column “</w:t>
      </w:r>
      <w:r>
        <w:rPr>
          <w:rFonts w:ascii="Arial" w:cs="Arial" w:eastAsia="Arial" w:hAnsi="Arial"/>
          <w:sz w:val="15"/>
          <w:szCs w:val="15"/>
          <w:i w:val="1"/>
          <w:iCs w:val="1"/>
          <w:color w:val="auto"/>
        </w:rPr>
        <w:t>Fees Earned or Paid in Cash”</w:t>
      </w:r>
      <w:r>
        <w:rPr>
          <w:rFonts w:ascii="Arial" w:cs="Arial" w:eastAsia="Arial" w:hAnsi="Arial"/>
          <w:sz w:val="15"/>
          <w:szCs w:val="15"/>
          <w:color w:val="auto"/>
        </w:rPr>
        <w:t>.</w:t>
      </w:r>
    </w:p>
    <w:p>
      <w:pPr>
        <w:spacing w:after="0" w:line="103" w:lineRule="exact"/>
        <w:rPr>
          <w:rFonts w:ascii="Arial" w:cs="Arial" w:eastAsia="Arial" w:hAnsi="Arial"/>
          <w:sz w:val="15"/>
          <w:szCs w:val="15"/>
          <w:color w:val="auto"/>
        </w:rPr>
      </w:pPr>
    </w:p>
    <w:p>
      <w:pPr>
        <w:ind w:left="540" w:right="20" w:hanging="424"/>
        <w:spacing w:after="0" w:line="242"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following table shows the aggregate number of shares of restricted stock held by each of our non-employee directors as of December 31, 2019. All restricted stock awards reported in the table below will vest in full on May 5, 2020.</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5380" w:type="dxa"/>
            <w:vAlign w:val="bottom"/>
          </w:tcPr>
          <w:p>
            <w:pPr>
              <w:jc w:val="center"/>
              <w:ind w:left="4108"/>
              <w:spacing w:after="0"/>
              <w:rPr>
                <w:sz w:val="20"/>
                <w:szCs w:val="20"/>
                <w:color w:val="auto"/>
              </w:rPr>
            </w:pPr>
            <w:r>
              <w:rPr>
                <w:rFonts w:ascii="Arial" w:cs="Arial" w:eastAsia="Arial" w:hAnsi="Arial"/>
                <w:sz w:val="14"/>
                <w:szCs w:val="14"/>
                <w:b w:val="1"/>
                <w:bCs w:val="1"/>
                <w:color w:val="003B71"/>
              </w:rPr>
              <w:t>Restricted</w:t>
            </w:r>
          </w:p>
        </w:tc>
      </w:tr>
      <w:tr>
        <w:trPr>
          <w:trHeight w:val="162"/>
        </w:trPr>
        <w:tc>
          <w:tcPr>
            <w:tcW w:w="5640" w:type="dxa"/>
            <w:vAlign w:val="bottom"/>
          </w:tcPr>
          <w:p>
            <w:pPr>
              <w:spacing w:after="0"/>
              <w:rPr>
                <w:sz w:val="14"/>
                <w:szCs w:val="14"/>
                <w:color w:val="auto"/>
              </w:rPr>
            </w:pPr>
          </w:p>
        </w:tc>
        <w:tc>
          <w:tcPr>
            <w:tcW w:w="5380" w:type="dxa"/>
            <w:vAlign w:val="bottom"/>
          </w:tcPr>
          <w:p>
            <w:pPr>
              <w:jc w:val="center"/>
              <w:ind w:left="4108"/>
              <w:spacing w:after="0"/>
              <w:rPr>
                <w:sz w:val="20"/>
                <w:szCs w:val="20"/>
                <w:color w:val="auto"/>
              </w:rPr>
            </w:pPr>
            <w:r>
              <w:rPr>
                <w:rFonts w:ascii="Arial" w:cs="Arial" w:eastAsia="Arial" w:hAnsi="Arial"/>
                <w:sz w:val="14"/>
                <w:szCs w:val="14"/>
                <w:b w:val="1"/>
                <w:bCs w:val="1"/>
                <w:color w:val="003B71"/>
              </w:rPr>
              <w:t>Stock Awards</w:t>
            </w:r>
          </w:p>
        </w:tc>
      </w:tr>
      <w:tr>
        <w:trPr>
          <w:trHeight w:val="190"/>
        </w:trPr>
        <w:tc>
          <w:tcPr>
            <w:tcW w:w="5640" w:type="dxa"/>
            <w:vAlign w:val="bottom"/>
          </w:tcPr>
          <w:p>
            <w:pPr>
              <w:ind w:left="40"/>
              <w:spacing w:after="0"/>
              <w:rPr>
                <w:sz w:val="20"/>
                <w:szCs w:val="20"/>
                <w:color w:val="auto"/>
              </w:rPr>
            </w:pPr>
            <w:r>
              <w:rPr>
                <w:rFonts w:ascii="Arial" w:cs="Arial" w:eastAsia="Arial" w:hAnsi="Arial"/>
                <w:sz w:val="14"/>
                <w:szCs w:val="14"/>
                <w:b w:val="1"/>
                <w:bCs w:val="1"/>
                <w:color w:val="003B71"/>
              </w:rPr>
              <w:t>Name</w:t>
            </w:r>
          </w:p>
        </w:tc>
        <w:tc>
          <w:tcPr>
            <w:tcW w:w="5380" w:type="dxa"/>
            <w:vAlign w:val="bottom"/>
          </w:tcPr>
          <w:p>
            <w:pPr>
              <w:jc w:val="center"/>
              <w:ind w:left="4108"/>
              <w:spacing w:after="0"/>
              <w:rPr>
                <w:sz w:val="20"/>
                <w:szCs w:val="20"/>
                <w:color w:val="auto"/>
              </w:rPr>
            </w:pPr>
            <w:r>
              <w:rPr>
                <w:rFonts w:ascii="Arial" w:cs="Arial" w:eastAsia="Arial" w:hAnsi="Arial"/>
                <w:sz w:val="14"/>
                <w:szCs w:val="14"/>
                <w:b w:val="1"/>
                <w:bCs w:val="1"/>
                <w:color w:val="003B71"/>
                <w:w w:val="93"/>
              </w:rPr>
              <w:t>(#)</w:t>
            </w:r>
          </w:p>
        </w:tc>
      </w:tr>
      <w:tr>
        <w:trPr>
          <w:trHeight w:val="39"/>
        </w:trPr>
        <w:tc>
          <w:tcPr>
            <w:tcW w:w="5640" w:type="dxa"/>
            <w:vAlign w:val="bottom"/>
            <w:tcBorders>
              <w:bottom w:val="single" w:sz="8" w:color="003B71"/>
            </w:tcBorders>
          </w:tcPr>
          <w:p>
            <w:pPr>
              <w:spacing w:after="0"/>
              <w:rPr>
                <w:sz w:val="3"/>
                <w:szCs w:val="3"/>
                <w:color w:val="auto"/>
              </w:rPr>
            </w:pPr>
          </w:p>
        </w:tc>
        <w:tc>
          <w:tcPr>
            <w:tcW w:w="5380" w:type="dxa"/>
            <w:vAlign w:val="bottom"/>
            <w:tcBorders>
              <w:bottom w:val="single" w:sz="8" w:color="003B71"/>
            </w:tcBorders>
          </w:tcPr>
          <w:p>
            <w:pPr>
              <w:spacing w:after="0"/>
              <w:rPr>
                <w:sz w:val="3"/>
                <w:szCs w:val="3"/>
                <w:color w:val="auto"/>
              </w:rPr>
            </w:pPr>
          </w:p>
        </w:tc>
      </w:tr>
      <w:tr>
        <w:trPr>
          <w:trHeight w:val="190"/>
        </w:trPr>
        <w:tc>
          <w:tcPr>
            <w:tcW w:w="56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4"/>
                <w:szCs w:val="14"/>
                <w:color w:val="auto"/>
              </w:rPr>
              <w:t>H. Paulett Eberhart</w:t>
            </w:r>
          </w:p>
        </w:tc>
        <w:tc>
          <w:tcPr>
            <w:tcW w:w="5380" w:type="dxa"/>
            <w:vAlign w:val="bottom"/>
            <w:tcBorders>
              <w:bottom w:val="single" w:sz="8" w:color="E3F3F6"/>
            </w:tcBorders>
            <w:shd w:val="clear" w:color="auto" w:fill="E3F3F6"/>
          </w:tcPr>
          <w:p>
            <w:pPr>
              <w:jc w:val="right"/>
              <w:ind w:right="88"/>
              <w:spacing w:after="0"/>
              <w:rPr>
                <w:sz w:val="20"/>
                <w:szCs w:val="20"/>
                <w:color w:val="auto"/>
              </w:rPr>
            </w:pPr>
            <w:r>
              <w:rPr>
                <w:rFonts w:ascii="Arial" w:cs="Arial" w:eastAsia="Arial" w:hAnsi="Arial"/>
                <w:sz w:val="14"/>
                <w:szCs w:val="14"/>
                <w:color w:val="auto"/>
              </w:rPr>
              <w:t>2,074</w:t>
            </w:r>
          </w:p>
        </w:tc>
      </w:tr>
      <w:tr>
        <w:trPr>
          <w:trHeight w:val="177"/>
        </w:trPr>
        <w:tc>
          <w:tcPr>
            <w:tcW w:w="5640" w:type="dxa"/>
            <w:vAlign w:val="bottom"/>
          </w:tcPr>
          <w:p>
            <w:pPr>
              <w:ind w:left="40"/>
              <w:spacing w:after="0"/>
              <w:rPr>
                <w:sz w:val="20"/>
                <w:szCs w:val="20"/>
                <w:color w:val="auto"/>
              </w:rPr>
            </w:pPr>
            <w:r>
              <w:rPr>
                <w:rFonts w:ascii="Arial" w:cs="Arial" w:eastAsia="Arial" w:hAnsi="Arial"/>
                <w:sz w:val="14"/>
                <w:szCs w:val="14"/>
                <w:color w:val="auto"/>
              </w:rPr>
              <w:t>William F. Glavin, Jr.</w:t>
            </w:r>
          </w:p>
        </w:tc>
        <w:tc>
          <w:tcPr>
            <w:tcW w:w="5380" w:type="dxa"/>
            <w:vAlign w:val="bottom"/>
          </w:tcPr>
          <w:p>
            <w:pPr>
              <w:jc w:val="right"/>
              <w:ind w:right="88"/>
              <w:spacing w:after="0"/>
              <w:rPr>
                <w:sz w:val="20"/>
                <w:szCs w:val="20"/>
                <w:color w:val="auto"/>
              </w:rPr>
            </w:pPr>
            <w:r>
              <w:rPr>
                <w:rFonts w:ascii="Arial" w:cs="Arial" w:eastAsia="Arial" w:hAnsi="Arial"/>
                <w:sz w:val="14"/>
                <w:szCs w:val="14"/>
                <w:color w:val="auto"/>
              </w:rPr>
              <w:t>2,074</w:t>
            </w:r>
          </w:p>
        </w:tc>
      </w:tr>
      <w:tr>
        <w:trPr>
          <w:trHeight w:val="39"/>
        </w:trPr>
        <w:tc>
          <w:tcPr>
            <w:tcW w:w="56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196"/>
        </w:trPr>
        <w:tc>
          <w:tcPr>
            <w:tcW w:w="5640" w:type="dxa"/>
            <w:vAlign w:val="bottom"/>
            <w:tcBorders>
              <w:bottom w:val="single" w:sz="8" w:color="E3F3F6"/>
            </w:tcBorders>
            <w:shd w:val="clear" w:color="auto" w:fill="E3F3F6"/>
          </w:tcPr>
          <w:p>
            <w:pPr>
              <w:ind w:left="20"/>
              <w:spacing w:after="0"/>
              <w:rPr>
                <w:sz w:val="20"/>
                <w:szCs w:val="20"/>
                <w:color w:val="auto"/>
              </w:rPr>
            </w:pPr>
            <w:r>
              <w:rPr>
                <w:rFonts w:ascii="Arial" w:cs="Arial" w:eastAsia="Arial" w:hAnsi="Arial"/>
                <w:sz w:val="14"/>
                <w:szCs w:val="14"/>
                <w:color w:val="auto"/>
              </w:rPr>
              <w:t>Allison Mnookin</w:t>
            </w:r>
          </w:p>
        </w:tc>
        <w:tc>
          <w:tcPr>
            <w:tcW w:w="5380" w:type="dxa"/>
            <w:vAlign w:val="bottom"/>
            <w:tcBorders>
              <w:bottom w:val="single" w:sz="8" w:color="E3F3F6"/>
            </w:tcBorders>
            <w:shd w:val="clear" w:color="auto" w:fill="E3F3F6"/>
          </w:tcPr>
          <w:p>
            <w:pPr>
              <w:jc w:val="right"/>
              <w:ind w:right="88"/>
              <w:spacing w:after="0"/>
              <w:rPr>
                <w:sz w:val="20"/>
                <w:szCs w:val="20"/>
                <w:color w:val="auto"/>
              </w:rPr>
            </w:pPr>
            <w:r>
              <w:rPr>
                <w:rFonts w:ascii="Arial" w:cs="Arial" w:eastAsia="Arial" w:hAnsi="Arial"/>
                <w:sz w:val="14"/>
                <w:szCs w:val="14"/>
                <w:color w:val="auto"/>
              </w:rPr>
              <w:t>2,074</w:t>
            </w:r>
          </w:p>
        </w:tc>
      </w:tr>
      <w:tr>
        <w:trPr>
          <w:trHeight w:val="177"/>
        </w:trPr>
        <w:tc>
          <w:tcPr>
            <w:tcW w:w="5640" w:type="dxa"/>
            <w:vAlign w:val="bottom"/>
          </w:tcPr>
          <w:p>
            <w:pPr>
              <w:ind w:left="20"/>
              <w:spacing w:after="0"/>
              <w:rPr>
                <w:sz w:val="20"/>
                <w:szCs w:val="20"/>
                <w:color w:val="auto"/>
              </w:rPr>
            </w:pPr>
            <w:r>
              <w:rPr>
                <w:rFonts w:ascii="Arial" w:cs="Arial" w:eastAsia="Arial" w:hAnsi="Arial"/>
                <w:sz w:val="14"/>
                <w:szCs w:val="14"/>
                <w:color w:val="auto"/>
              </w:rPr>
              <w:t>Anne M. Mulcahy</w:t>
            </w:r>
          </w:p>
        </w:tc>
        <w:tc>
          <w:tcPr>
            <w:tcW w:w="5380" w:type="dxa"/>
            <w:vAlign w:val="bottom"/>
          </w:tcPr>
          <w:p>
            <w:pPr>
              <w:jc w:val="right"/>
              <w:ind w:right="88"/>
              <w:spacing w:after="0"/>
              <w:rPr>
                <w:sz w:val="20"/>
                <w:szCs w:val="20"/>
                <w:color w:val="auto"/>
              </w:rPr>
            </w:pPr>
            <w:r>
              <w:rPr>
                <w:rFonts w:ascii="Arial" w:cs="Arial" w:eastAsia="Arial" w:hAnsi="Arial"/>
                <w:sz w:val="14"/>
                <w:szCs w:val="14"/>
                <w:color w:val="auto"/>
              </w:rPr>
              <w:t>2,074</w:t>
            </w:r>
          </w:p>
        </w:tc>
      </w:tr>
      <w:tr>
        <w:trPr>
          <w:trHeight w:val="39"/>
        </w:trPr>
        <w:tc>
          <w:tcPr>
            <w:tcW w:w="56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196"/>
        </w:trPr>
        <w:tc>
          <w:tcPr>
            <w:tcW w:w="56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4"/>
                <w:szCs w:val="14"/>
                <w:color w:val="auto"/>
              </w:rPr>
              <w:t>James S. Putnam</w:t>
            </w:r>
          </w:p>
        </w:tc>
        <w:tc>
          <w:tcPr>
            <w:tcW w:w="5380" w:type="dxa"/>
            <w:vAlign w:val="bottom"/>
            <w:tcBorders>
              <w:bottom w:val="single" w:sz="8" w:color="E3F3F6"/>
            </w:tcBorders>
            <w:shd w:val="clear" w:color="auto" w:fill="E3F3F6"/>
          </w:tcPr>
          <w:p>
            <w:pPr>
              <w:jc w:val="right"/>
              <w:ind w:right="88"/>
              <w:spacing w:after="0"/>
              <w:rPr>
                <w:sz w:val="20"/>
                <w:szCs w:val="20"/>
                <w:color w:val="auto"/>
              </w:rPr>
            </w:pPr>
            <w:r>
              <w:rPr>
                <w:rFonts w:ascii="Arial" w:cs="Arial" w:eastAsia="Arial" w:hAnsi="Arial"/>
                <w:sz w:val="14"/>
                <w:szCs w:val="14"/>
                <w:color w:val="auto"/>
              </w:rPr>
              <w:t>2,074</w:t>
            </w:r>
          </w:p>
        </w:tc>
      </w:tr>
      <w:tr>
        <w:trPr>
          <w:trHeight w:val="177"/>
        </w:trPr>
        <w:tc>
          <w:tcPr>
            <w:tcW w:w="5640" w:type="dxa"/>
            <w:vAlign w:val="bottom"/>
          </w:tcPr>
          <w:p>
            <w:pPr>
              <w:ind w:left="40"/>
              <w:spacing w:after="0"/>
              <w:rPr>
                <w:sz w:val="20"/>
                <w:szCs w:val="20"/>
                <w:color w:val="auto"/>
              </w:rPr>
            </w:pPr>
            <w:r>
              <w:rPr>
                <w:rFonts w:ascii="Arial" w:cs="Arial" w:eastAsia="Arial" w:hAnsi="Arial"/>
                <w:sz w:val="14"/>
                <w:szCs w:val="14"/>
                <w:color w:val="auto"/>
              </w:rPr>
              <w:t>James S. Riepe</w:t>
            </w:r>
          </w:p>
        </w:tc>
        <w:tc>
          <w:tcPr>
            <w:tcW w:w="5380" w:type="dxa"/>
            <w:vAlign w:val="bottom"/>
          </w:tcPr>
          <w:p>
            <w:pPr>
              <w:jc w:val="right"/>
              <w:ind w:right="88"/>
              <w:spacing w:after="0"/>
              <w:rPr>
                <w:sz w:val="20"/>
                <w:szCs w:val="20"/>
                <w:color w:val="auto"/>
              </w:rPr>
            </w:pPr>
            <w:r>
              <w:rPr>
                <w:rFonts w:ascii="Arial" w:cs="Arial" w:eastAsia="Arial" w:hAnsi="Arial"/>
                <w:sz w:val="14"/>
                <w:szCs w:val="14"/>
                <w:color w:val="auto"/>
              </w:rPr>
              <w:t>2,074</w:t>
            </w:r>
          </w:p>
        </w:tc>
      </w:tr>
      <w:tr>
        <w:trPr>
          <w:trHeight w:val="39"/>
        </w:trPr>
        <w:tc>
          <w:tcPr>
            <w:tcW w:w="5640" w:type="dxa"/>
            <w:vAlign w:val="bottom"/>
          </w:tcPr>
          <w:p>
            <w:pPr>
              <w:spacing w:after="0"/>
              <w:rPr>
                <w:sz w:val="3"/>
                <w:szCs w:val="3"/>
                <w:color w:val="auto"/>
              </w:rPr>
            </w:pPr>
          </w:p>
        </w:tc>
        <w:tc>
          <w:tcPr>
            <w:tcW w:w="5380" w:type="dxa"/>
            <w:vAlign w:val="bottom"/>
          </w:tcPr>
          <w:p>
            <w:pPr>
              <w:spacing w:after="0"/>
              <w:rPr>
                <w:sz w:val="3"/>
                <w:szCs w:val="3"/>
                <w:color w:val="auto"/>
              </w:rPr>
            </w:pPr>
          </w:p>
        </w:tc>
      </w:tr>
      <w:tr>
        <w:trPr>
          <w:trHeight w:val="196"/>
        </w:trPr>
        <w:tc>
          <w:tcPr>
            <w:tcW w:w="56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4"/>
                <w:szCs w:val="14"/>
                <w:color w:val="auto"/>
              </w:rPr>
              <w:t>Richard P. Schifter</w:t>
            </w:r>
          </w:p>
        </w:tc>
        <w:tc>
          <w:tcPr>
            <w:tcW w:w="5380" w:type="dxa"/>
            <w:vAlign w:val="bottom"/>
            <w:tcBorders>
              <w:bottom w:val="single" w:sz="8" w:color="E3F3F6"/>
            </w:tcBorders>
            <w:shd w:val="clear" w:color="auto" w:fill="E3F3F6"/>
          </w:tcPr>
          <w:p>
            <w:pPr>
              <w:jc w:val="right"/>
              <w:ind w:right="88"/>
              <w:spacing w:after="0"/>
              <w:rPr>
                <w:sz w:val="20"/>
                <w:szCs w:val="20"/>
                <w:color w:val="auto"/>
              </w:rPr>
            </w:pPr>
            <w:r>
              <w:rPr>
                <w:rFonts w:ascii="Arial" w:cs="Arial" w:eastAsia="Arial" w:hAnsi="Arial"/>
                <w:sz w:val="14"/>
                <w:szCs w:val="14"/>
                <w:color w:val="auto"/>
              </w:rPr>
              <w:t>2,074</w:t>
            </w:r>
          </w:p>
        </w:tc>
      </w:tr>
      <w:tr>
        <w:trPr>
          <w:trHeight w:val="177"/>
        </w:trPr>
        <w:tc>
          <w:tcPr>
            <w:tcW w:w="5640" w:type="dxa"/>
            <w:vAlign w:val="bottom"/>
          </w:tcPr>
          <w:p>
            <w:pPr>
              <w:ind w:left="40"/>
              <w:spacing w:after="0"/>
              <w:rPr>
                <w:sz w:val="20"/>
                <w:szCs w:val="20"/>
                <w:color w:val="auto"/>
              </w:rPr>
            </w:pPr>
            <w:r>
              <w:rPr>
                <w:rFonts w:ascii="Arial" w:cs="Arial" w:eastAsia="Arial" w:hAnsi="Arial"/>
                <w:sz w:val="14"/>
                <w:szCs w:val="14"/>
                <w:color w:val="auto"/>
              </w:rPr>
              <w:t>Corey E. Thomas</w:t>
            </w:r>
          </w:p>
        </w:tc>
        <w:tc>
          <w:tcPr>
            <w:tcW w:w="5380" w:type="dxa"/>
            <w:vAlign w:val="bottom"/>
          </w:tcPr>
          <w:p>
            <w:pPr>
              <w:jc w:val="right"/>
              <w:ind w:right="88"/>
              <w:spacing w:after="0"/>
              <w:rPr>
                <w:sz w:val="20"/>
                <w:szCs w:val="20"/>
                <w:color w:val="auto"/>
              </w:rPr>
            </w:pPr>
            <w:r>
              <w:rPr>
                <w:rFonts w:ascii="Arial" w:cs="Arial" w:eastAsia="Arial" w:hAnsi="Arial"/>
                <w:sz w:val="14"/>
                <w:szCs w:val="14"/>
                <w:color w:val="auto"/>
              </w:rPr>
              <w:t>2,074</w:t>
            </w:r>
          </w:p>
        </w:tc>
      </w:tr>
      <w:tr>
        <w:trPr>
          <w:trHeight w:val="39"/>
        </w:trPr>
        <w:tc>
          <w:tcPr>
            <w:tcW w:w="5640" w:type="dxa"/>
            <w:vAlign w:val="bottom"/>
            <w:tcBorders>
              <w:bottom w:val="single" w:sz="8" w:color="003B71"/>
            </w:tcBorders>
          </w:tcPr>
          <w:p>
            <w:pPr>
              <w:spacing w:after="0"/>
              <w:rPr>
                <w:sz w:val="3"/>
                <w:szCs w:val="3"/>
                <w:color w:val="auto"/>
              </w:rPr>
            </w:pPr>
          </w:p>
        </w:tc>
        <w:tc>
          <w:tcPr>
            <w:tcW w:w="5380" w:type="dxa"/>
            <w:vAlign w:val="bottom"/>
            <w:tcBorders>
              <w:bottom w:val="single" w:sz="8" w:color="003B71"/>
            </w:tcBorders>
          </w:tcPr>
          <w:p>
            <w:pPr>
              <w:spacing w:after="0"/>
              <w:rPr>
                <w:sz w:val="3"/>
                <w:szCs w:val="3"/>
                <w:color w:val="auto"/>
              </w:rPr>
            </w:pPr>
          </w:p>
        </w:tc>
      </w:tr>
    </w:tbl>
    <w:p>
      <w:pPr>
        <w:spacing w:after="0" w:line="118"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Ms. Eberhart’s prorated retainer for service as chair of the Audit Committee beginning on September 25, 2019.</w:t>
      </w:r>
    </w:p>
    <w:p>
      <w:pPr>
        <w:spacing w:after="0" w:line="30" w:lineRule="exact"/>
        <w:rPr>
          <w:rFonts w:ascii="Arial" w:cs="Arial" w:eastAsia="Arial" w:hAnsi="Arial"/>
          <w:sz w:val="15"/>
          <w:szCs w:val="15"/>
          <w:color w:val="auto"/>
        </w:rPr>
      </w:pPr>
    </w:p>
    <w:p>
      <w:pPr>
        <w:jc w:val="both"/>
        <w:ind w:left="540" w:right="20" w:hanging="424"/>
        <w:spacing w:after="0" w:line="231"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the value of fully vested shares of Common Stock that the director elected to receive in lieu of the cash portion of the director’s annual service retainer. The aggregate grant date fair value of these shares, as determined under FASB ASC Topic 718, was determined by multiplying the number of shares underlying the award by $81.99, which was the closing price per share of our Common Stock on the grant date. Messrs. Glavin, Riepe, Schifter and Thomas delivered a written deferral election under the Deferred Plan pursuant to which the director elected to defer receipt of the fully vested shares of Common Stock in lieu of the cash portion of the annual service retainer.</w:t>
      </w:r>
    </w:p>
    <w:p>
      <w:pPr>
        <w:spacing w:after="0" w:line="20" w:lineRule="exact"/>
        <w:rPr>
          <w:rFonts w:ascii="Arial" w:cs="Arial" w:eastAsia="Arial" w:hAnsi="Arial"/>
          <w:sz w:val="15"/>
          <w:szCs w:val="15"/>
          <w:color w:val="auto"/>
        </w:rPr>
      </w:pPr>
    </w:p>
    <w:p>
      <w:pPr>
        <w:ind w:left="540" w:right="20" w:hanging="424"/>
        <w:spacing w:after="0" w:line="242"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Messrs. Glavin, Riepe, Schifter and Thomas delivered a written deferral election under the Deferred Plan pursuant to which the director elected to defer receipt of the equity portion of his annual service retainer.</w:t>
      </w:r>
    </w:p>
    <w:p>
      <w:pPr>
        <w:spacing w:after="0" w:line="16" w:lineRule="exact"/>
        <w:rPr>
          <w:rFonts w:ascii="Arial" w:cs="Arial" w:eastAsia="Arial" w:hAnsi="Arial"/>
          <w:sz w:val="15"/>
          <w:szCs w:val="15"/>
          <w:color w:val="auto"/>
        </w:rPr>
      </w:pPr>
    </w:p>
    <w:p>
      <w:pPr>
        <w:ind w:left="540" w:hanging="42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Ms. Mnookin’s prorated retainer for service on the Nominating and Governance Committee beginning on February 6, 2019.</w:t>
      </w:r>
    </w:p>
    <w:p>
      <w:pPr>
        <w:spacing w:after="0" w:line="30" w:lineRule="exact"/>
        <w:rPr>
          <w:rFonts w:ascii="Arial" w:cs="Arial" w:eastAsia="Arial" w:hAnsi="Arial"/>
          <w:sz w:val="15"/>
          <w:szCs w:val="15"/>
          <w:color w:val="auto"/>
        </w:rPr>
      </w:pPr>
    </w:p>
    <w:p>
      <w:pPr>
        <w:ind w:left="540" w:hanging="424"/>
        <w:spacing w:after="0" w:line="242"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Mr. Putnam’s prorated retainer for service on the Compensation Committee beginning on May 8, 2019 and also reflects an increase in his annual retainer for service as non-executive chair beginning on October 1, 2019.</w:t>
      </w:r>
    </w:p>
    <w:p>
      <w:pPr>
        <w:spacing w:after="0" w:line="16" w:lineRule="exact"/>
        <w:rPr>
          <w:rFonts w:ascii="Arial" w:cs="Arial" w:eastAsia="Arial" w:hAnsi="Arial"/>
          <w:sz w:val="15"/>
          <w:szCs w:val="15"/>
          <w:color w:val="auto"/>
        </w:rPr>
      </w:pPr>
    </w:p>
    <w:p>
      <w:pPr>
        <w:ind w:left="540" w:right="20" w:hanging="424"/>
        <w:spacing w:after="0" w:line="242"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Mr. Riepe’s prorated retainer for service on the Compensation Committee until May 8, 2019 and his prorated retainer for service as chair of the Audit Committee until September 25, 2019.</w:t>
      </w:r>
    </w:p>
    <w:p>
      <w:pPr>
        <w:spacing w:after="0" w:line="16" w:lineRule="exact"/>
        <w:rPr>
          <w:rFonts w:ascii="Arial" w:cs="Arial" w:eastAsia="Arial" w:hAnsi="Arial"/>
          <w:sz w:val="15"/>
          <w:szCs w:val="15"/>
          <w:color w:val="auto"/>
        </w:rPr>
      </w:pPr>
    </w:p>
    <w:p>
      <w:pPr>
        <w:ind w:left="540" w:hanging="42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includes Mr. Thomas’ prorated retainer for service on the Audit Committee beginning on May 8, 2019.</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003B71"/>
        </w:rPr>
        <w:t>29</w:t>
      </w:r>
    </w:p>
    <w:p>
      <w:pPr>
        <w:sectPr>
          <w:pgSz w:w="11900" w:h="16838" w:orient="portrait"/>
          <w:cols w:equalWidth="0" w:num="2">
            <w:col w:w="10400" w:space="540"/>
            <w:col w:w="20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Compensation Discussion and Analysis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Executive Summary</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This Compensation Discussion and Analysis (“CD&amp;A”) describes the actions taken by the Compensation Committee with respect to 2019 compensation for our executive officers, including our named executive officers (“NEOs”). Under SEC rules, our NEOs for 2019 were: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300" w:type="dxa"/>
            <w:vAlign w:val="bottom"/>
          </w:tcPr>
          <w:p>
            <w:pPr>
              <w:spacing w:after="0"/>
              <w:rPr>
                <w:sz w:val="20"/>
                <w:szCs w:val="20"/>
                <w:color w:val="auto"/>
              </w:rPr>
            </w:pPr>
            <w:r>
              <w:rPr>
                <w:rFonts w:ascii="Arial" w:cs="Arial" w:eastAsia="Arial" w:hAnsi="Arial"/>
                <w:sz w:val="16"/>
                <w:szCs w:val="16"/>
                <w:b w:val="1"/>
                <w:bCs w:val="1"/>
                <w:color w:val="003B71"/>
              </w:rPr>
              <w:t>Executive</w:t>
            </w:r>
          </w:p>
        </w:tc>
        <w:tc>
          <w:tcPr>
            <w:tcW w:w="7720" w:type="dxa"/>
            <w:vAlign w:val="bottom"/>
          </w:tcPr>
          <w:p>
            <w:pPr>
              <w:ind w:left="120"/>
              <w:spacing w:after="0"/>
              <w:rPr>
                <w:sz w:val="20"/>
                <w:szCs w:val="20"/>
                <w:color w:val="auto"/>
              </w:rPr>
            </w:pPr>
            <w:r>
              <w:rPr>
                <w:rFonts w:ascii="Arial" w:cs="Arial" w:eastAsia="Arial" w:hAnsi="Arial"/>
                <w:sz w:val="16"/>
                <w:szCs w:val="16"/>
                <w:b w:val="1"/>
                <w:bCs w:val="1"/>
                <w:color w:val="003B71"/>
              </w:rPr>
              <w:t>Title</w:t>
            </w:r>
          </w:p>
        </w:tc>
      </w:tr>
      <w:tr>
        <w:trPr>
          <w:trHeight w:val="46"/>
        </w:trPr>
        <w:tc>
          <w:tcPr>
            <w:tcW w:w="3300" w:type="dxa"/>
            <w:vAlign w:val="bottom"/>
            <w:tcBorders>
              <w:bottom w:val="single" w:sz="8" w:color="003B71"/>
            </w:tcBorders>
          </w:tcPr>
          <w:p>
            <w:pPr>
              <w:spacing w:after="0"/>
              <w:rPr>
                <w:sz w:val="4"/>
                <w:szCs w:val="4"/>
                <w:color w:val="auto"/>
              </w:rPr>
            </w:pPr>
          </w:p>
        </w:tc>
        <w:tc>
          <w:tcPr>
            <w:tcW w:w="7720" w:type="dxa"/>
            <w:vAlign w:val="bottom"/>
            <w:tcBorders>
              <w:bottom w:val="single" w:sz="8" w:color="003B71"/>
            </w:tcBorders>
          </w:tcPr>
          <w:p>
            <w:pPr>
              <w:spacing w:after="0"/>
              <w:rPr>
                <w:sz w:val="4"/>
                <w:szCs w:val="4"/>
                <w:color w:val="auto"/>
              </w:rPr>
            </w:pPr>
          </w:p>
        </w:tc>
      </w:tr>
      <w:tr>
        <w:trPr>
          <w:trHeight w:val="311"/>
        </w:trPr>
        <w:tc>
          <w:tcPr>
            <w:tcW w:w="33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Dan H. Arnold</w:t>
            </w:r>
          </w:p>
        </w:tc>
        <w:tc>
          <w:tcPr>
            <w:tcW w:w="7720" w:type="dxa"/>
            <w:vAlign w:val="bottom"/>
            <w:tcBorders>
              <w:bottom w:val="single" w:sz="8" w:color="E3F3F6"/>
            </w:tcBorders>
            <w:shd w:val="clear" w:color="auto" w:fill="E3F3F6"/>
          </w:tcPr>
          <w:p>
            <w:pPr>
              <w:ind w:left="120"/>
              <w:spacing w:after="0"/>
              <w:rPr>
                <w:sz w:val="20"/>
                <w:szCs w:val="20"/>
                <w:color w:val="auto"/>
              </w:rPr>
            </w:pPr>
            <w:r>
              <w:rPr>
                <w:rFonts w:ascii="Arial" w:cs="Arial" w:eastAsia="Arial" w:hAnsi="Arial"/>
                <w:sz w:val="16"/>
                <w:szCs w:val="16"/>
                <w:color w:val="auto"/>
              </w:rPr>
              <w:t>President and Chief Executive Officer</w:t>
            </w:r>
          </w:p>
        </w:tc>
      </w:tr>
      <w:tr>
        <w:trPr>
          <w:trHeight w:val="305"/>
        </w:trPr>
        <w:tc>
          <w:tcPr>
            <w:tcW w:w="3300" w:type="dxa"/>
            <w:vAlign w:val="bottom"/>
          </w:tcPr>
          <w:p>
            <w:pPr>
              <w:spacing w:after="0"/>
              <w:rPr>
                <w:sz w:val="20"/>
                <w:szCs w:val="20"/>
                <w:color w:val="auto"/>
              </w:rPr>
            </w:pPr>
            <w:r>
              <w:rPr>
                <w:rFonts w:ascii="Arial" w:cs="Arial" w:eastAsia="Arial" w:hAnsi="Arial"/>
                <w:sz w:val="16"/>
                <w:szCs w:val="16"/>
                <w:color w:val="auto"/>
              </w:rPr>
              <w:t>Matthew J. Audette</w:t>
            </w:r>
          </w:p>
        </w:tc>
        <w:tc>
          <w:tcPr>
            <w:tcW w:w="772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47"/>
        </w:trPr>
        <w:tc>
          <w:tcPr>
            <w:tcW w:w="3300" w:type="dxa"/>
            <w:vAlign w:val="bottom"/>
          </w:tcPr>
          <w:p>
            <w:pPr>
              <w:spacing w:after="0"/>
              <w:rPr>
                <w:sz w:val="4"/>
                <w:szCs w:val="4"/>
                <w:color w:val="auto"/>
              </w:rPr>
            </w:pPr>
          </w:p>
        </w:tc>
        <w:tc>
          <w:tcPr>
            <w:tcW w:w="7720" w:type="dxa"/>
            <w:vAlign w:val="bottom"/>
          </w:tcPr>
          <w:p>
            <w:pPr>
              <w:spacing w:after="0"/>
              <w:rPr>
                <w:sz w:val="4"/>
                <w:szCs w:val="4"/>
                <w:color w:val="auto"/>
              </w:rPr>
            </w:pPr>
          </w:p>
        </w:tc>
      </w:tr>
      <w:tr>
        <w:trPr>
          <w:trHeight w:val="331"/>
        </w:trPr>
        <w:tc>
          <w:tcPr>
            <w:tcW w:w="33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Scott Seese</w:t>
            </w:r>
          </w:p>
        </w:tc>
        <w:tc>
          <w:tcPr>
            <w:tcW w:w="7720" w:type="dxa"/>
            <w:vAlign w:val="bottom"/>
            <w:tcBorders>
              <w:bottom w:val="single" w:sz="8" w:color="E3F3F6"/>
            </w:tcBorders>
            <w:shd w:val="clear" w:color="auto" w:fill="E3F3F6"/>
          </w:tcPr>
          <w:p>
            <w:pPr>
              <w:ind w:left="120"/>
              <w:spacing w:after="0"/>
              <w:rPr>
                <w:sz w:val="20"/>
                <w:szCs w:val="20"/>
                <w:color w:val="auto"/>
              </w:rPr>
            </w:pPr>
            <w:r>
              <w:rPr>
                <w:rFonts w:ascii="Arial" w:cs="Arial" w:eastAsia="Arial" w:hAnsi="Arial"/>
                <w:sz w:val="16"/>
                <w:szCs w:val="16"/>
                <w:color w:val="auto"/>
              </w:rPr>
              <w:t>Managing Director, Chief Information Officer</w:t>
            </w:r>
          </w:p>
        </w:tc>
      </w:tr>
      <w:tr>
        <w:trPr>
          <w:trHeight w:val="351"/>
        </w:trPr>
        <w:tc>
          <w:tcPr>
            <w:tcW w:w="3300" w:type="dxa"/>
            <w:vAlign w:val="bottom"/>
          </w:tcPr>
          <w:p>
            <w:pPr>
              <w:spacing w:after="0"/>
              <w:rPr>
                <w:sz w:val="20"/>
                <w:szCs w:val="20"/>
                <w:color w:val="auto"/>
              </w:rPr>
            </w:pPr>
            <w:r>
              <w:rPr>
                <w:rFonts w:ascii="Arial" w:cs="Arial" w:eastAsia="Arial" w:hAnsi="Arial"/>
                <w:sz w:val="16"/>
                <w:szCs w:val="16"/>
                <w:color w:val="auto"/>
              </w:rPr>
              <w:t>Dayton Semerjian</w:t>
            </w:r>
            <w:r>
              <w:rPr>
                <w:rFonts w:ascii="Arial" w:cs="Arial" w:eastAsia="Arial" w:hAnsi="Arial"/>
                <w:sz w:val="27"/>
                <w:szCs w:val="27"/>
                <w:color w:val="auto"/>
                <w:vertAlign w:val="superscript"/>
              </w:rPr>
              <w:t>(1)</w:t>
            </w:r>
          </w:p>
        </w:tc>
        <w:tc>
          <w:tcPr>
            <w:tcW w:w="7720" w:type="dxa"/>
            <w:vAlign w:val="bottom"/>
          </w:tcPr>
          <w:p>
            <w:pPr>
              <w:ind w:left="120"/>
              <w:spacing w:after="0"/>
              <w:rPr>
                <w:sz w:val="20"/>
                <w:szCs w:val="20"/>
                <w:color w:val="auto"/>
              </w:rPr>
            </w:pPr>
            <w:r>
              <w:rPr>
                <w:rFonts w:ascii="Arial" w:cs="Arial" w:eastAsia="Arial" w:hAnsi="Arial"/>
                <w:sz w:val="16"/>
                <w:szCs w:val="16"/>
                <w:color w:val="auto"/>
              </w:rPr>
              <w:t>Managing Director, Chief Customer Care Officer</w:t>
            </w:r>
          </w:p>
        </w:tc>
      </w:tr>
      <w:tr>
        <w:trPr>
          <w:trHeight w:val="331"/>
        </w:trPr>
        <w:tc>
          <w:tcPr>
            <w:tcW w:w="33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Richard Steinmeier</w:t>
            </w:r>
          </w:p>
        </w:tc>
        <w:tc>
          <w:tcPr>
            <w:tcW w:w="7720" w:type="dxa"/>
            <w:vAlign w:val="bottom"/>
            <w:tcBorders>
              <w:bottom w:val="single" w:sz="8" w:color="E3F3F6"/>
            </w:tcBorders>
            <w:shd w:val="clear" w:color="auto" w:fill="E3F3F6"/>
          </w:tcPr>
          <w:p>
            <w:pPr>
              <w:ind w:left="120"/>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0"/>
        </w:trPr>
        <w:tc>
          <w:tcPr>
            <w:tcW w:w="3300" w:type="dxa"/>
            <w:vAlign w:val="bottom"/>
            <w:shd w:val="clear" w:color="auto" w:fill="003B71"/>
          </w:tcPr>
          <w:p>
            <w:pPr>
              <w:spacing w:after="0" w:line="20" w:lineRule="exact"/>
              <w:rPr>
                <w:sz w:val="1"/>
                <w:szCs w:val="1"/>
                <w:color w:val="auto"/>
              </w:rPr>
            </w:pPr>
          </w:p>
        </w:tc>
        <w:tc>
          <w:tcPr>
            <w:tcW w:w="7720" w:type="dxa"/>
            <w:vAlign w:val="bottom"/>
            <w:shd w:val="clear" w:color="auto" w:fill="003B71"/>
          </w:tcPr>
          <w:p>
            <w:pPr>
              <w:spacing w:after="0" w:line="20" w:lineRule="exact"/>
              <w:rPr>
                <w:sz w:val="1"/>
                <w:szCs w:val="1"/>
                <w:color w:val="auto"/>
              </w:rPr>
            </w:pPr>
          </w:p>
        </w:tc>
      </w:tr>
    </w:tbl>
    <w:p>
      <w:pPr>
        <w:spacing w:after="0" w:line="42"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Semerjian commenced employment with us as Managing Director, Chief Customer Care Officer on February 28, 2019.</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Summary of 2019 Corporate Performance</w:t>
      </w:r>
    </w:p>
    <w:p>
      <w:pPr>
        <w:spacing w:after="0" w:line="19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following summary of the Company’s corporate performance is intended to provide additional context for the Compensation Committee’s evaluation of the Company’s performance in 2019 for compensation-related purposes. As discussed below, the Compensation Committee established a bonus pool funding framework at the beginning of 2019 that assigned equal weighting to the Company’s financial performance and achievement of its pre-established 2019 corporate goals.</w:t>
      </w:r>
    </w:p>
    <w:p>
      <w:pPr>
        <w:spacing w:after="0" w:line="16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Adjusted EBITDA was the primary metric used in the bonus pool funding framework to evaluate the Company’s financial performance in 2019. The Compensation Committee also considered the Company’s gross profit and expense management results, and their effect on the Company’s Adjusted EBITDA results. EBITDA, Adjusted EBITDA, gross profit and core G&amp;A are non-GAAP financial measures that are described under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in Appendix A.</w:t>
      </w:r>
    </w:p>
    <w:p>
      <w:pPr>
        <w:spacing w:after="0" w:line="17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Under the bonus pool funding framework, the Compensation Committee assessed the achievement of the following four corporate goals for 2019, which were approved by the Board of Directors at the beginning of the year along with underlying key performance metrics and program deliverables:</w:t>
      </w:r>
    </w:p>
    <w:p>
      <w:pPr>
        <w:spacing w:after="0" w:line="203" w:lineRule="exact"/>
        <w:rPr>
          <w:sz w:val="20"/>
          <w:szCs w:val="20"/>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Drive profitable growth (the “Growth Goal”);</w:t>
      </w:r>
    </w:p>
    <w:p>
      <w:pPr>
        <w:spacing w:after="0" w:line="211"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easier to do business with the Company (the “Service Goal”);</w:t>
      </w:r>
    </w:p>
    <w:p>
      <w:pPr>
        <w:spacing w:after="0" w:line="211"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Transform our culture (the “Culture Goal”); and</w:t>
      </w:r>
    </w:p>
    <w:p>
      <w:pPr>
        <w:spacing w:after="0" w:line="211"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Execute with discipline and focus (the “Execution Goal”).</w:t>
      </w:r>
    </w:p>
    <w:p>
      <w:pPr>
        <w:spacing w:after="0" w:line="17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Company generated strong financial results in 2019, including net income and earnings per share that grew year-over-year by 27% and 36%, respectively. The Company’s gross profit of $2.2 billion in 2019 increased 12% from $1.9 billion in 2018, as a result of growth across all primary revenue lines. The Company maintained a focus on expense management while increasing investments in organic growth, which resulted in core general and administrative expense (“core G&amp;A”) of $868 million, an increase of 6% year-over-year including costs related to the Company’s acquisition of Allen &amp; Company of Florida, LLC (“Allen &amp; Company”). As a result, the Company’s EBITDA grew year-over-year by 20%. The Company’s Adjusted EBITDA of $1,069 million in 2019, exceeded the Company’s 2019 performance target of $993 million by $76 million, or 8%. For additional discussion and analysis of the Company’s 2019 financial performance, please refer to the Annual Report.</w:t>
      </w:r>
    </w:p>
    <w:p>
      <w:pPr>
        <w:sectPr>
          <w:pgSz w:w="11900" w:h="16838" w:orient="portrait"/>
          <w:cols w:equalWidth="0" w:num="1">
            <w:col w:w="11140"/>
          </w:cols>
          <w:pgMar w:left="320" w:top="459" w:right="439" w:bottom="1440" w:gutter="0" w:footer="0" w:header="0"/>
        </w:sectPr>
      </w:pPr>
    </w:p>
    <w:p>
      <w:pPr>
        <w:spacing w:after="0" w:line="140"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further discussed below, the Compensation Committee determined that the Company generally performed well against its 2019 corporate goals. The Company drove growth in its total brokerage and advisory assets through improved organic growth, which was driven by recruited assets of $35.0 billion, compared to $27.3 billion in 2018, as well as higher production retention year-over-year and favorable macroeconomic conditions. In addition, the Company’s advisors continued to shift their business mix from brokerage to advisory solutions, and increase their use of both the Company’s corporate advisory and centrally managed platforms, which benefit the Company’s gross profit return on assets over time. The Company’s cultural transformation is a multi-year effort, and the Company made progress in 2019 in positioning itself to better serve and support its advisors, including improvements to its ClientWorks platform and client care model. In addition, the Company’s expense discipline enabled it to make significant investments in organic growth and technology capabilities in 2019, while also returning capital to stockholders.</w:t>
      </w:r>
    </w:p>
    <w:p>
      <w:pPr>
        <w:spacing w:after="0" w:line="20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After taking into account the Company’s overall performance against financial and non-financial goals for 2019, the Compensation Committee determined that the 2019 bonus pool would be funded at an above-target level, and the annual cash bonus awards to our NEOs (as well to our other executives and employees) would generally be paid at target, or above target level for high performing employees, including our NEOs. This approach is consistent with our compensation philosophy and past practice.</w:t>
      </w:r>
    </w:p>
    <w:p>
      <w:pPr>
        <w:spacing w:after="0" w:line="264"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003B71"/>
        </w:rPr>
        <w:t>Gross Profit</w:t>
      </w:r>
    </w:p>
    <w:p>
      <w:pPr>
        <w:spacing w:after="0" w:line="18"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003B71"/>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151765</wp:posOffset>
            </wp:positionV>
            <wp:extent cx="1834515" cy="8997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34515" cy="8997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06" w:lineRule="exact"/>
        <w:rPr>
          <w:sz w:val="20"/>
          <w:szCs w:val="20"/>
          <w:color w:val="auto"/>
        </w:rPr>
      </w:pPr>
    </w:p>
    <w:p>
      <w:pPr>
        <w:jc w:val="both"/>
        <w:ind w:left="120" w:right="1560"/>
        <w:spacing w:after="0" w:line="246" w:lineRule="auto"/>
        <w:rPr>
          <w:sz w:val="20"/>
          <w:szCs w:val="20"/>
          <w:color w:val="auto"/>
        </w:rPr>
      </w:pPr>
      <w:r>
        <w:rPr>
          <w:rFonts w:ascii="Arial" w:cs="Arial" w:eastAsia="Arial" w:hAnsi="Arial"/>
          <w:sz w:val="18"/>
          <w:szCs w:val="18"/>
          <w:color w:val="auto"/>
        </w:rPr>
        <w:t>Gross profit increased to $2.2 billion in 2019, up 12%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20" w:right="1560"/>
        <w:spacing w:after="0" w:line="238" w:lineRule="auto"/>
        <w:rPr>
          <w:sz w:val="20"/>
          <w:szCs w:val="20"/>
          <w:color w:val="auto"/>
        </w:rPr>
      </w:pPr>
      <w:r>
        <w:rPr>
          <w:rFonts w:ascii="Arial" w:cs="Arial" w:eastAsia="Arial" w:hAnsi="Arial"/>
          <w:sz w:val="18"/>
          <w:szCs w:val="18"/>
          <w:color w:val="auto"/>
        </w:rPr>
        <w:t>The increase in the Company’s gross profit combined with disciplined expense management generated operating leverage, as Adjusted EBITDA increased 20% year-over-year to $1,069 million. This result exceeded our 2019 performance target of $993 million by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003B71"/>
        </w:rPr>
        <w:t>Adjusted EBITDA</w:t>
      </w:r>
    </w:p>
    <w:p>
      <w:pPr>
        <w:spacing w:after="0" w:line="18"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003B71"/>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151765</wp:posOffset>
            </wp:positionV>
            <wp:extent cx="1834515" cy="9512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34515" cy="951230"/>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6960" w:space="720"/>
            <w:col w:w="346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003B71"/>
        </w:rPr>
        <w:t>31</w:t>
      </w:r>
    </w:p>
    <w:p>
      <w:pPr>
        <w:sectPr>
          <w:pgSz w:w="11900" w:h="16838" w:orient="portrait"/>
          <w:cols w:equalWidth="0" w:num="2">
            <w:col w:w="10400" w:space="540"/>
            <w:col w:w="20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Total Brokerage and Advisory Assets</w:t>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 in billions)</w:t>
      </w:r>
    </w:p>
    <w:p>
      <w:pPr>
        <w:spacing w:after="0" w:line="90" w:lineRule="exact"/>
        <w:rPr>
          <w:sz w:val="20"/>
          <w:szCs w:val="20"/>
          <w:color w:val="auto"/>
        </w:rPr>
      </w:pPr>
    </w:p>
    <w:p>
      <w:pPr>
        <w:jc w:val="both"/>
        <w:ind w:left="120" w:right="5500"/>
        <w:spacing w:after="0" w:line="238" w:lineRule="auto"/>
        <w:rPr>
          <w:sz w:val="20"/>
          <w:szCs w:val="20"/>
          <w:color w:val="auto"/>
        </w:rPr>
      </w:pPr>
      <w:r>
        <w:rPr>
          <w:rFonts w:ascii="Arial" w:cs="Arial" w:eastAsia="Arial" w:hAnsi="Arial"/>
          <w:sz w:val="18"/>
          <w:szCs w:val="18"/>
          <w:color w:val="auto"/>
        </w:rPr>
        <w:t>Total brokerage and advisory assets, which reflect market movement in addition to net new assets, were $764 billion as of December 31, 2019, a 22% increase from the prior year-end balance of $628 billion. Total net new assets in 2019 were $26.6 billion, including $2.9 billion from Allen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-504825</wp:posOffset>
            </wp:positionV>
            <wp:extent cx="1834515" cy="1225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3451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Advisory Assets</w:t>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 in billions)</w:t>
      </w:r>
    </w:p>
    <w:p>
      <w:pPr>
        <w:spacing w:after="0" w:line="90" w:lineRule="exact"/>
        <w:rPr>
          <w:sz w:val="20"/>
          <w:szCs w:val="20"/>
          <w:color w:val="auto"/>
        </w:rPr>
      </w:pPr>
    </w:p>
    <w:p>
      <w:pPr>
        <w:jc w:val="both"/>
        <w:ind w:left="120" w:right="5500"/>
        <w:spacing w:after="0" w:line="237" w:lineRule="auto"/>
        <w:rPr>
          <w:sz w:val="20"/>
          <w:szCs w:val="20"/>
          <w:color w:val="auto"/>
        </w:rPr>
      </w:pPr>
      <w:r>
        <w:rPr>
          <w:rFonts w:ascii="Arial" w:cs="Arial" w:eastAsia="Arial" w:hAnsi="Arial"/>
          <w:sz w:val="18"/>
          <w:szCs w:val="18"/>
          <w:color w:val="auto"/>
        </w:rPr>
        <w:t>As of December 31, 2019, advisory assets, which are a component of total brokerage and advisory assets, had grown to $366 billion, up 30% from the prior year and represented 48% of total brokerage and advisory assets at year-end. Corporate advisory assets and centrally managed assets grew year-over-year 33% and 36%,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-631825</wp:posOffset>
            </wp:positionV>
            <wp:extent cx="1834515" cy="1131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3451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Capital Returned to Shareholders</w:t>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003B71"/>
        </w:rPr>
        <w:t>($ in millions, except amount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151765</wp:posOffset>
            </wp:positionV>
            <wp:extent cx="1885950" cy="1551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595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5500"/>
        <w:spacing w:after="0" w:line="238" w:lineRule="auto"/>
        <w:rPr>
          <w:sz w:val="20"/>
          <w:szCs w:val="20"/>
          <w:color w:val="auto"/>
        </w:rPr>
      </w:pPr>
      <w:r>
        <w:rPr>
          <w:rFonts w:ascii="Arial" w:cs="Arial" w:eastAsia="Arial" w:hAnsi="Arial"/>
          <w:sz w:val="18"/>
          <w:szCs w:val="18"/>
          <w:color w:val="auto"/>
        </w:rPr>
        <w:t>Capital was returned to stockholders in 2019 through $83 million of dividends and $500 million of share repurchases. These shareholder capital returns of $583 million translated to $6.89 per share.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9940"/>
          </w:cols>
          <w:pgMar w:left="320" w:top="459" w:right="6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2837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283718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3B71"/>
        </w:rPr>
        <w:t>Compensation Philosophy</w:t>
      </w:r>
    </w:p>
    <w:p>
      <w:pPr>
        <w:spacing w:after="0" w:line="12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design and operation of our executive compensation program reflect the following basic objectives:</w:t>
      </w:r>
    </w:p>
    <w:p>
      <w:pPr>
        <w:spacing w:after="0" w:line="10"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aligning the interests of our executive officers with the interests of our Company and its stakeholders;</w:t>
      </w:r>
    </w:p>
    <w:p>
      <w:pPr>
        <w:spacing w:after="0" w:line="69" w:lineRule="exact"/>
        <w:rPr>
          <w:sz w:val="20"/>
          <w:szCs w:val="20"/>
          <w:color w:val="auto"/>
        </w:rPr>
      </w:pPr>
    </w:p>
    <w:p>
      <w:pPr>
        <w:ind w:left="520" w:right="60"/>
        <w:spacing w:after="0" w:line="244" w:lineRule="exact"/>
        <w:rPr>
          <w:sz w:val="20"/>
          <w:szCs w:val="20"/>
          <w:color w:val="auto"/>
        </w:rPr>
      </w:pPr>
      <w:r>
        <w:rPr>
          <w:rFonts w:ascii="Arial" w:cs="Arial" w:eastAsia="Arial" w:hAnsi="Arial"/>
          <w:sz w:val="18"/>
          <w:szCs w:val="18"/>
          <w:color w:val="auto"/>
        </w:rPr>
        <w:t>linking our executive officers’ compensation to the achievement of both short-term and long-term strategic and operational goals; and attracting, motivating and retaining highly qualified executive officers who are passionate about the mission of our Company.</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seek to achieve these objectives through the following guiding compensation principles:</w:t>
      </w:r>
    </w:p>
    <w:p>
      <w:pPr>
        <w:spacing w:after="0" w:line="10"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paying compensation that is competitive with that offered for similar positions with our peer companies;</w:t>
      </w:r>
    </w:p>
    <w:p>
      <w:pPr>
        <w:spacing w:after="0" w:line="69"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striking an appropriate balance between current and long-term compensation as well as cash and equity compensation;</w:t>
      </w:r>
    </w:p>
    <w:p>
      <w:pPr>
        <w:spacing w:after="0" w:line="63" w:lineRule="exact"/>
        <w:rPr>
          <w:sz w:val="20"/>
          <w:szCs w:val="20"/>
          <w:color w:val="auto"/>
        </w:rPr>
      </w:pPr>
    </w:p>
    <w:p>
      <w:pPr>
        <w:ind w:left="440" w:right="20" w:firstLine="121"/>
        <w:spacing w:after="0" w:line="216" w:lineRule="exact"/>
        <w:rPr>
          <w:sz w:val="20"/>
          <w:szCs w:val="20"/>
          <w:color w:val="auto"/>
        </w:rPr>
      </w:pPr>
      <w:r>
        <w:rPr>
          <w:rFonts w:ascii="Arial" w:cs="Arial" w:eastAsia="Arial" w:hAnsi="Arial"/>
          <w:sz w:val="18"/>
          <w:szCs w:val="18"/>
          <w:color w:val="auto"/>
        </w:rPr>
        <w:t>linking short-term and long-term total compensation largely to objective and, to the extent possible, quantifiable performance measures;</w:t>
      </w:r>
    </w:p>
    <w:p>
      <w:pPr>
        <w:spacing w:after="0" w:line="34" w:lineRule="exact"/>
        <w:rPr>
          <w:sz w:val="20"/>
          <w:szCs w:val="20"/>
          <w:color w:val="auto"/>
        </w:rPr>
      </w:pPr>
    </w:p>
    <w:p>
      <w:pPr>
        <w:ind w:left="520" w:right="2260"/>
        <w:spacing w:after="0" w:line="244" w:lineRule="exact"/>
        <w:rPr>
          <w:sz w:val="20"/>
          <w:szCs w:val="20"/>
          <w:color w:val="auto"/>
        </w:rPr>
      </w:pPr>
      <w:r>
        <w:rPr>
          <w:rFonts w:ascii="Arial" w:cs="Arial" w:eastAsia="Arial" w:hAnsi="Arial"/>
          <w:sz w:val="18"/>
          <w:szCs w:val="18"/>
          <w:color w:val="auto"/>
        </w:rPr>
        <w:t>rewarding Company and business unit performance, as well as individual performance and potential; and using equity-based compensation for a significant portion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308610</wp:posOffset>
            </wp:positionV>
            <wp:extent cx="6995160" cy="3180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3B71"/>
        </w:rPr>
        <w:t>Compensation Governance</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In order to implement our compensation philosophy, and to promote strong governance and alignment with stockholder interests, we do the following:</w:t>
      </w:r>
    </w:p>
    <w:p>
      <w:pPr>
        <w:spacing w:after="0" w:line="53" w:lineRule="exact"/>
        <w:rPr>
          <w:sz w:val="20"/>
          <w:szCs w:val="20"/>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maintain a pay mix that is weighted more heavily on variable, performance-based compensation than fixed compensation;</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maintain stock ownership guidelines for executives;</w:t>
      </w:r>
    </w:p>
    <w:p>
      <w:pPr>
        <w:spacing w:after="0" w:line="49" w:lineRule="exact"/>
        <w:rPr>
          <w:rFonts w:ascii="MS PGothic" w:cs="MS PGothic" w:eastAsia="MS PGothic" w:hAnsi="MS PGothic"/>
          <w:sz w:val="18"/>
          <w:szCs w:val="18"/>
          <w:color w:val="auto"/>
        </w:rPr>
      </w:pPr>
    </w:p>
    <w:p>
      <w:pPr>
        <w:ind w:left="320" w:right="120" w:hanging="204"/>
        <w:spacing w:after="0" w:line="243" w:lineRule="auto"/>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maintain a compensation claw-back policy that enables the Company to recoup cash and equity incentive compensation from executive officers in the event of certain financial restatements;</w:t>
      </w:r>
    </w:p>
    <w:p>
      <w:pPr>
        <w:spacing w:after="0" w:line="5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engaged by, and reporting directly to, the Compensation Committee;</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benchmark executive compensation against peers with which we compete for talent;</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conduct annual risk assessments of our executive compensation policies and practices;</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hold an annual stockholder “say on pay” vote; and</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hold Compensation Committee executive sessions without management present.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 addition, we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do the following:</w:t>
      </w:r>
    </w:p>
    <w:p>
      <w:pPr>
        <w:spacing w:after="0" w:line="85" w:lineRule="exact"/>
        <w:rPr>
          <w:sz w:val="20"/>
          <w:szCs w:val="20"/>
          <w:color w:val="auto"/>
        </w:rPr>
      </w:pPr>
    </w:p>
    <w:p>
      <w:pPr>
        <w:ind w:left="320" w:hanging="204"/>
        <w:spacing w:after="0"/>
        <w:tabs>
          <w:tab w:leader="none" w:pos="32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re-price stock options without stockholder approval;</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permit hedging transactions or short sales by executives;</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permit pledging or holding company stock in a margin account by executives;</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enter into individual employment agreements; or</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provide excise tax gross-ups to executives.</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designed our compensation practices to align with competitive market practices, strengthen the alignment between compensation paid and Company performance, and provide greater transparency for our employees and investors. These practices are discussed below.</w:t>
      </w:r>
    </w:p>
    <w:p>
      <w:pPr>
        <w:sectPr>
          <w:pgSz w:w="11900" w:h="16838" w:orient="portrait"/>
          <w:cols w:equalWidth="0" w:num="1">
            <w:col w:w="11140"/>
          </w:cols>
          <w:pgMar w:left="320" w:top="459" w:right="439" w:bottom="1440" w:gutter="0" w:footer="0" w:header="0"/>
        </w:sectPr>
      </w:pPr>
    </w:p>
    <w:p>
      <w:pPr>
        <w:spacing w:after="0" w:line="11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3B71"/>
        </w:rPr>
        <w:t>33</w:t>
      </w:r>
    </w:p>
    <w:p>
      <w:pPr>
        <w:sectPr>
          <w:pgSz w:w="11900" w:h="16838" w:orient="portrait"/>
          <w:cols w:equalWidth="0" w:num="2">
            <w:col w:w="10400" w:space="540"/>
            <w:col w:w="20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Components of Compensation</w:t>
      </w:r>
    </w:p>
    <w:p>
      <w:pPr>
        <w:spacing w:after="0" w:line="12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core components of our executive compensation program are: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 salary;</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cash bonus awards;</w:t>
      </w:r>
    </w:p>
    <w:p>
      <w:pPr>
        <w:spacing w:after="0" w:line="76" w:lineRule="exact"/>
        <w:rPr>
          <w:sz w:val="20"/>
          <w:szCs w:val="20"/>
          <w:color w:val="auto"/>
        </w:rPr>
      </w:pPr>
    </w:p>
    <w:p>
      <w:pPr>
        <w:ind w:left="480" w:right="1200"/>
        <w:spacing w:after="0" w:line="374" w:lineRule="auto"/>
        <w:rPr>
          <w:sz w:val="20"/>
          <w:szCs w:val="20"/>
          <w:color w:val="auto"/>
        </w:rPr>
      </w:pPr>
      <w:r>
        <w:rPr>
          <w:rFonts w:ascii="Arial" w:cs="Arial" w:eastAsia="Arial" w:hAnsi="Arial"/>
          <w:sz w:val="17"/>
          <w:szCs w:val="17"/>
          <w:color w:val="auto"/>
        </w:rPr>
        <w:t>Long-term equity incentive (“LTI”) awards ; and Severance and change-in-control benefits.</w:t>
      </w:r>
    </w:p>
    <w:p>
      <w:pPr>
        <w:spacing w:after="0" w:line="12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annual cash bonus awards incentivize our NEOs to achieve pre-determined annual Company and individual performance goals. The long-term equity incentive awards incentivize our NEOs to increase stockholder value over a sustained period of time and to achieve pre -determined long-term Company performance goals, which align the interests of our NEOs with the interests of our stockholders.</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charts below show that variable compensation comprised 87% of Mr. Arnold’s 2019 total target compensation mix and 76% of our other NEOs’ 2019 average total target compensation mix. Total target compensation consists of base salary, target annual cash bonus and the grant date fair value of LTI awards, with performance stock units (“PSUs”) valued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764540</wp:posOffset>
            </wp:positionV>
            <wp:extent cx="5340350" cy="31546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0350" cy="315468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Base Salary</w:t>
      </w:r>
    </w:p>
    <w:p>
      <w:pPr>
        <w:spacing w:after="0" w:line="18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on an annual basis, although salary changes may occur on a less frequent basis.</w:t>
      </w:r>
    </w:p>
    <w:p>
      <w:pPr>
        <w:spacing w:after="0" w:line="266" w:lineRule="exact"/>
        <w:rPr>
          <w:sz w:val="20"/>
          <w:szCs w:val="20"/>
          <w:color w:val="auto"/>
        </w:rPr>
      </w:pPr>
    </w:p>
    <w:p>
      <w:pPr>
        <w:ind w:left="960" w:hanging="700"/>
        <w:spacing w:after="0"/>
        <w:tabs>
          <w:tab w:leader="none" w:pos="960" w:val="left"/>
        </w:tabs>
        <w:numPr>
          <w:ilvl w:val="0"/>
          <w:numId w:val="38"/>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Generally, the Compensation Committee will increase an NEO’s base salary when individual performance, job scope or market compensation data indicate that an increase is warranted. As the responsibilities of our NEOs increase in the future, the Compensation Committee generally plans to adjust compensation through increases in the size of long-term equity awards and, to a lesser extent, annual cash bonus opportunity, rather than through adjustments to base salary.</w:t>
      </w:r>
    </w:p>
    <w:p>
      <w:pPr>
        <w:sectPr>
          <w:pgSz w:w="11900" w:h="16838" w:orient="portrait"/>
          <w:cols w:equalWidth="0" w:num="2">
            <w:col w:w="5400" w:space="340"/>
            <w:col w:w="540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our NEOs’ base salaries for 2019:</w:t>
      </w:r>
    </w:p>
    <w:p>
      <w:pPr>
        <w:spacing w:after="0" w:line="17"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Mr. Arnold’s base salary increased from $800,000 to $850,000;</w:t>
      </w:r>
    </w:p>
    <w:p>
      <w:pPr>
        <w:spacing w:after="0" w:line="48" w:lineRule="exact"/>
        <w:rPr>
          <w:sz w:val="20"/>
          <w:szCs w:val="20"/>
          <w:color w:val="auto"/>
        </w:rPr>
      </w:pPr>
    </w:p>
    <w:p>
      <w:pPr>
        <w:ind w:left="480" w:right="20"/>
        <w:spacing w:after="0"/>
        <w:rPr>
          <w:sz w:val="20"/>
          <w:szCs w:val="20"/>
          <w:color w:val="auto"/>
        </w:rPr>
      </w:pPr>
      <w:r>
        <w:rPr>
          <w:rFonts w:ascii="Arial" w:cs="Arial" w:eastAsia="Arial" w:hAnsi="Arial"/>
          <w:sz w:val="18"/>
          <w:szCs w:val="18"/>
          <w:color w:val="auto"/>
        </w:rPr>
        <w:t>The base salaries of Messrs. Audette, Seese and Steinmeier were unchanged from 2018 at $600,000, $500,000 and $450,000, respectively; and</w:t>
      </w:r>
    </w:p>
    <w:p>
      <w:pPr>
        <w:spacing w:after="0" w:line="54"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Mr. Semerjian’s base salary of $500,000 was set at the time he joined us on February 28, 2019.</w:t>
      </w:r>
    </w:p>
    <w:p>
      <w:pPr>
        <w:spacing w:after="0" w:line="13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determining the salary increase for Mr. Arnold, the Compensation Committee considered, among other things, the competitiveness and mix of his total compensation opportunity based on benchmarking data prepared by the Compensation Consultant. This benchmarking data included compensation data for comparable roles at relevant peer companies and other survey data, as described further in the “Benchmarking” section (“Benchmarking Data”). The Compensation Committee considered the same information in determining that the salaries remained appropriate for Messrs. Audette, Seese and Steinmeier.</w:t>
      </w:r>
    </w:p>
    <w:p>
      <w:pPr>
        <w:spacing w:after="0" w:line="9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setting Mr. Semerjian’s base salary, the Compensation Committee considered his expertise, the nature and scope of his responsibilities at the Company and his experience prior to joining the Company, as well as Benchmarking Data and internal equity considerations.</w:t>
      </w:r>
    </w:p>
    <w:p>
      <w:pPr>
        <w:spacing w:after="0" w:line="9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2019 salaries for all of our NEOs appear in the Summary Compensation table that follows this CD&amp;A.</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Annual Cash Bonus Awards</w:t>
      </w:r>
    </w:p>
    <w:p>
      <w:pPr>
        <w:spacing w:after="0" w:line="12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We provide annual cash bonus awards in order to tie a significant portion of the overall cash compensation of each of our NEOs to the achievement of annually-established, key short-term corporate objectives and financial goals of the Company. See </w:t>
      </w:r>
      <w:r>
        <w:rPr>
          <w:rFonts w:ascii="Arial" w:cs="Arial" w:eastAsia="Arial" w:hAnsi="Arial"/>
          <w:sz w:val="18"/>
          <w:szCs w:val="18"/>
          <w:i w:val="1"/>
          <w:iCs w:val="1"/>
          <w:color w:val="auto"/>
        </w:rPr>
        <w:t>“2019 Goals</w:t>
      </w:r>
      <w:r>
        <w:rPr>
          <w:rFonts w:ascii="Arial" w:cs="Arial" w:eastAsia="Arial" w:hAnsi="Arial"/>
          <w:sz w:val="18"/>
          <w:szCs w:val="18"/>
          <w:color w:val="auto"/>
        </w:rPr>
        <w:t xml:space="preserve"> </w:t>
      </w:r>
      <w:r>
        <w:rPr>
          <w:rFonts w:ascii="Arial" w:cs="Arial" w:eastAsia="Arial" w:hAnsi="Arial"/>
          <w:sz w:val="18"/>
          <w:szCs w:val="18"/>
          <w:i w:val="1"/>
          <w:iCs w:val="1"/>
          <w:color w:val="auto"/>
        </w:rPr>
        <w:t>and Performance Evaluation</w:t>
      </w:r>
      <w:r>
        <w:rPr>
          <w:rFonts w:ascii="Arial" w:cs="Arial" w:eastAsia="Arial" w:hAnsi="Arial"/>
          <w:sz w:val="18"/>
          <w:szCs w:val="18"/>
          <w:color w:val="auto"/>
        </w:rPr>
        <w:t>” below for a description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and goals and our 2019 performance against them. The Compensation Committee believes that our NEOs, as key members of the Company’s leadership team, share responsibility for supporting the goals and performance of the Company.</w:t>
      </w:r>
    </w:p>
    <w:p>
      <w:pPr>
        <w:spacing w:after="0" w:line="99"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At the beginning of 2019, the Compensation Committee established:</w:t>
      </w:r>
    </w:p>
    <w:p>
      <w:pPr>
        <w:spacing w:after="0" w:line="2" w:lineRule="exact"/>
        <w:rPr>
          <w:sz w:val="20"/>
          <w:szCs w:val="20"/>
          <w:color w:val="auto"/>
        </w:rPr>
      </w:pPr>
    </w:p>
    <w:p>
      <w:pPr>
        <w:jc w:val="both"/>
        <w:ind w:left="480" w:right="20" w:hanging="359"/>
        <w:spacing w:after="0" w:line="238" w:lineRule="auto"/>
        <w:tabs>
          <w:tab w:leader="none" w:pos="46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Target award amounts for each NEO (other than Mr. Semerjian, whose target award amount was set at the time he joined us in February 2019 based on the same factors described under “</w:t>
      </w:r>
      <w:r>
        <w:rPr>
          <w:rFonts w:ascii="Arial" w:cs="Arial" w:eastAsia="Arial" w:hAnsi="Arial"/>
          <w:sz w:val="18"/>
          <w:szCs w:val="18"/>
          <w:i w:val="1"/>
          <w:iCs w:val="1"/>
          <w:color w:val="auto"/>
        </w:rPr>
        <w:t>Base Salary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color w:val="auto"/>
        </w:rPr>
        <w:t>Financial and non-financial Company performance goals, which were also approved by the Board; and</w:t>
      </w:r>
    </w:p>
    <w:p>
      <w:pPr>
        <w:spacing w:after="0" w:line="48"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A bonus funding framework that provided a potential range of bonus pool funding based on the level of achievement of the Company’s financial and non-financial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Target Award Amounts</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Compensation Committee sets each NEO’s individual target award amount by taking into account Benchmark Data, the nature of the NEO’s role and the NEO’s potential contribution to the execution of the Company’s overall performance goals, rather than focusing only on their individual business unit or function.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Bonus Funding Framework</w:t>
      </w:r>
    </w:p>
    <w:p>
      <w:pPr>
        <w:spacing w:after="0" w:line="12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establishing the 2019 bonus pool funding framework, the Compensation Committee maintained the same approach to assessing corporate performance that it implemented in 2018. This approach combined a quantitative assessment with a level of discretion for the Compensation Committee, given the variety of factors that affect the Company’s Adjusted EBITDA results, including prevailing interest rates and equity market performance.</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determine the bonus pool funding for 2019, the Compensation Committee reviewed the following criteria, with the indicated weightings:</w:t>
      </w:r>
    </w:p>
    <w:p>
      <w:pPr>
        <w:spacing w:after="0" w:line="7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003B71"/>
        </w:rPr>
        <w:t>Criteria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11430</wp:posOffset>
            </wp:positionV>
            <wp:extent cx="2597150" cy="2125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2125980"/>
                    </a:xfrm>
                    <a:prstGeom prst="rect">
                      <a:avLst/>
                    </a:prstGeom>
                    <a:noFill/>
                  </pic:spPr>
                </pic:pic>
              </a:graphicData>
            </a:graphic>
          </wp:anchor>
        </w:drawing>
      </w:r>
    </w:p>
    <w:p>
      <w:pPr>
        <w:spacing w:after="0" w:line="404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1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003B71"/>
        </w:rPr>
        <w:t>35</w:t>
      </w:r>
    </w:p>
    <w:p>
      <w:pPr>
        <w:sectPr>
          <w:pgSz w:w="11900" w:h="16838" w:orient="portrait"/>
          <w:cols w:equalWidth="0" w:num="2">
            <w:col w:w="10400" w:space="540"/>
            <w:col w:w="20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Target performance as it related to the financial and corporate goals would yield a 2019 bonus funding pool of $53.7 million (“Target Funding”). Bonuses to our NEOs, other executives and employees were paid from this pool.</w:t>
      </w:r>
    </w:p>
    <w:p>
      <w:pPr>
        <w:spacing w:after="0" w:line="7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003B71"/>
        </w:rPr>
        <w:t>Financial Performance Goals</w:t>
      </w:r>
      <w:r>
        <w:rPr>
          <w:rFonts w:ascii="Arial" w:cs="Arial" w:eastAsia="Arial" w:hAnsi="Arial"/>
          <w:sz w:val="18"/>
          <w:szCs w:val="18"/>
          <w:color w:val="000000"/>
        </w:rPr>
        <w:t>. For the Company’s 2019 financial</w:t>
      </w:r>
      <w:r>
        <w:rPr>
          <w:rFonts w:ascii="Arial" w:cs="Arial" w:eastAsia="Arial" w:hAnsi="Arial"/>
          <w:sz w:val="18"/>
          <w:szCs w:val="18"/>
          <w:i w:val="1"/>
          <w:iCs w:val="1"/>
          <w:color w:val="003B71"/>
        </w:rPr>
        <w:t xml:space="preserve"> </w:t>
      </w:r>
      <w:r>
        <w:rPr>
          <w:rFonts w:ascii="Arial" w:cs="Arial" w:eastAsia="Arial" w:hAnsi="Arial"/>
          <w:sz w:val="18"/>
          <w:szCs w:val="18"/>
          <w:color w:val="000000"/>
        </w:rPr>
        <w:t>performance goals, the Compensation Committee established a range of bonus funding based on the Company’s actual Adjusted EBITDA results relative to a performance target of $993 million. The range of bonus funding was scaled such that performance above target would yield a proportionately greater payout and performance below target would yield a proportionately lesser payout. This approach was intended to ensure that the financial results were a motivating element in the funding framework:</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840" w:type="dxa"/>
            <w:vAlign w:val="bottom"/>
          </w:tcPr>
          <w:p>
            <w:pPr>
              <w:ind w:left="460"/>
              <w:spacing w:after="0"/>
              <w:rPr>
                <w:sz w:val="20"/>
                <w:szCs w:val="20"/>
                <w:color w:val="auto"/>
              </w:rPr>
            </w:pPr>
            <w:r>
              <w:rPr>
                <w:rFonts w:ascii="Arial" w:cs="Arial" w:eastAsia="Arial" w:hAnsi="Arial"/>
                <w:sz w:val="18"/>
                <w:szCs w:val="18"/>
                <w:b w:val="1"/>
                <w:bCs w:val="1"/>
                <w:color w:val="003B71"/>
              </w:rPr>
              <w:t>Percentage of Target</w:t>
            </w:r>
          </w:p>
        </w:tc>
        <w:tc>
          <w:tcPr>
            <w:tcW w:w="2440" w:type="dxa"/>
            <w:vAlign w:val="bottom"/>
          </w:tcPr>
          <w:p>
            <w:pPr>
              <w:ind w:left="600"/>
              <w:spacing w:after="0"/>
              <w:rPr>
                <w:sz w:val="20"/>
                <w:szCs w:val="20"/>
                <w:color w:val="auto"/>
              </w:rPr>
            </w:pPr>
            <w:r>
              <w:rPr>
                <w:rFonts w:ascii="Arial" w:cs="Arial" w:eastAsia="Arial" w:hAnsi="Arial"/>
                <w:sz w:val="18"/>
                <w:szCs w:val="18"/>
                <w:b w:val="1"/>
                <w:bCs w:val="1"/>
                <w:color w:val="003B71"/>
              </w:rPr>
              <w:t>Percent payout</w:t>
            </w:r>
          </w:p>
        </w:tc>
      </w:tr>
      <w:tr>
        <w:trPr>
          <w:trHeight w:val="67"/>
        </w:trPr>
        <w:tc>
          <w:tcPr>
            <w:tcW w:w="2840" w:type="dxa"/>
            <w:vAlign w:val="bottom"/>
            <w:tcBorders>
              <w:bottom w:val="single" w:sz="8" w:color="003B71"/>
            </w:tcBorders>
          </w:tcPr>
          <w:p>
            <w:pPr>
              <w:spacing w:after="0"/>
              <w:rPr>
                <w:sz w:val="5"/>
                <w:szCs w:val="5"/>
                <w:color w:val="auto"/>
              </w:rPr>
            </w:pPr>
          </w:p>
        </w:tc>
        <w:tc>
          <w:tcPr>
            <w:tcW w:w="2440" w:type="dxa"/>
            <w:vAlign w:val="bottom"/>
            <w:tcBorders>
              <w:bottom w:val="single" w:sz="8" w:color="003B71"/>
            </w:tcBorders>
          </w:tcPr>
          <w:p>
            <w:pPr>
              <w:spacing w:after="0"/>
              <w:rPr>
                <w:sz w:val="5"/>
                <w:szCs w:val="5"/>
                <w:color w:val="auto"/>
              </w:rPr>
            </w:pPr>
          </w:p>
        </w:tc>
      </w:tr>
      <w:tr>
        <w:trPr>
          <w:trHeight w:val="210"/>
        </w:trPr>
        <w:tc>
          <w:tcPr>
            <w:tcW w:w="2840" w:type="dxa"/>
            <w:vAlign w:val="bottom"/>
          </w:tcPr>
          <w:p>
            <w:pPr>
              <w:jc w:val="center"/>
              <w:ind w:right="50"/>
              <w:spacing w:after="0"/>
              <w:rPr>
                <w:sz w:val="20"/>
                <w:szCs w:val="20"/>
                <w:color w:val="auto"/>
              </w:rPr>
            </w:pPr>
            <w:r>
              <w:rPr>
                <w:rFonts w:ascii="Arial" w:cs="Arial" w:eastAsia="Arial" w:hAnsi="Arial"/>
                <w:sz w:val="18"/>
                <w:szCs w:val="18"/>
                <w:color w:val="auto"/>
                <w:w w:val="99"/>
              </w:rPr>
              <w:t>120%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40"/>
        </w:trPr>
        <w:tc>
          <w:tcPr>
            <w:tcW w:w="28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7"/>
        </w:trPr>
        <w:tc>
          <w:tcPr>
            <w:tcW w:w="2840" w:type="dxa"/>
            <w:vAlign w:val="bottom"/>
            <w:tcBorders>
              <w:bottom w:val="single" w:sz="8" w:color="E3F3F6"/>
            </w:tcBorders>
            <w:shd w:val="clear" w:color="auto" w:fill="E3F3F6"/>
          </w:tcPr>
          <w:p>
            <w:pPr>
              <w:jc w:val="center"/>
              <w:ind w:right="50"/>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8"/>
                <w:szCs w:val="18"/>
                <w:color w:val="auto"/>
                <w:w w:val="99"/>
              </w:rPr>
              <w:t>100%</w:t>
            </w:r>
          </w:p>
        </w:tc>
      </w:tr>
      <w:tr>
        <w:trPr>
          <w:trHeight w:val="217"/>
        </w:trPr>
        <w:tc>
          <w:tcPr>
            <w:tcW w:w="2840" w:type="dxa"/>
            <w:vAlign w:val="bottom"/>
          </w:tcPr>
          <w:p>
            <w:pPr>
              <w:jc w:val="center"/>
              <w:ind w:right="30"/>
              <w:spacing w:after="0"/>
              <w:rPr>
                <w:sz w:val="20"/>
                <w:szCs w:val="20"/>
                <w:color w:val="auto"/>
              </w:rPr>
            </w:pPr>
            <w:r>
              <w:rPr>
                <w:rFonts w:ascii="Arial" w:cs="Arial" w:eastAsia="Arial" w:hAnsi="Arial"/>
                <w:sz w:val="18"/>
                <w:szCs w:val="18"/>
                <w:color w:val="auto"/>
                <w:w w:val="99"/>
              </w:rPr>
              <w:t>80%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33604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3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generated Adjusted EBITDA of $1,069 million in 2019, which was 8% greater than the performance target. This level of achievement resulted in a funding level above target for this component of the funding framework.</w:t>
      </w:r>
    </w:p>
    <w:p>
      <w:pPr>
        <w:spacing w:after="0" w:line="79"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003B71"/>
        </w:rPr>
        <w:t>Corporate Goals</w:t>
      </w:r>
      <w:r>
        <w:rPr>
          <w:rFonts w:ascii="Arial" w:cs="Arial" w:eastAsia="Arial" w:hAnsi="Arial"/>
          <w:sz w:val="18"/>
          <w:szCs w:val="18"/>
          <w:color w:val="000000"/>
        </w:rPr>
        <w:t>. The Compensation Committee established the</w:t>
      </w:r>
      <w:r>
        <w:rPr>
          <w:rFonts w:ascii="Arial" w:cs="Arial" w:eastAsia="Arial" w:hAnsi="Arial"/>
          <w:sz w:val="18"/>
          <w:szCs w:val="18"/>
          <w:i w:val="1"/>
          <w:iCs w:val="1"/>
          <w:color w:val="003B71"/>
        </w:rPr>
        <w:t xml:space="preserve"> </w:t>
      </w:r>
      <w:r>
        <w:rPr>
          <w:rFonts w:ascii="Arial" w:cs="Arial" w:eastAsia="Arial" w:hAnsi="Arial"/>
          <w:sz w:val="18"/>
          <w:szCs w:val="18"/>
          <w:color w:val="000000"/>
        </w:rPr>
        <w:t>following weights for each of the Company’s 2019 corporate goals: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840" w:type="dxa"/>
            <w:vAlign w:val="bottom"/>
          </w:tcPr>
          <w:p>
            <w:pPr>
              <w:ind w:left="1160"/>
              <w:spacing w:after="0"/>
              <w:rPr>
                <w:sz w:val="20"/>
                <w:szCs w:val="20"/>
                <w:color w:val="auto"/>
              </w:rPr>
            </w:pPr>
            <w:r>
              <w:rPr>
                <w:rFonts w:ascii="Arial" w:cs="Arial" w:eastAsia="Arial" w:hAnsi="Arial"/>
                <w:sz w:val="18"/>
                <w:szCs w:val="18"/>
                <w:b w:val="1"/>
                <w:bCs w:val="1"/>
                <w:color w:val="003B71"/>
              </w:rPr>
              <w:t>Goal</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003B71"/>
                <w:w w:val="96"/>
              </w:rPr>
              <w:t>Weight</w:t>
            </w:r>
          </w:p>
        </w:tc>
      </w:tr>
      <w:tr>
        <w:trPr>
          <w:trHeight w:val="68"/>
        </w:trPr>
        <w:tc>
          <w:tcPr>
            <w:tcW w:w="2840" w:type="dxa"/>
            <w:vAlign w:val="bottom"/>
            <w:tcBorders>
              <w:bottom w:val="single" w:sz="8" w:color="003B71"/>
            </w:tcBorders>
          </w:tcPr>
          <w:p>
            <w:pPr>
              <w:spacing w:after="0"/>
              <w:rPr>
                <w:sz w:val="5"/>
                <w:szCs w:val="5"/>
                <w:color w:val="auto"/>
              </w:rPr>
            </w:pPr>
          </w:p>
        </w:tc>
        <w:tc>
          <w:tcPr>
            <w:tcW w:w="2440" w:type="dxa"/>
            <w:vAlign w:val="bottom"/>
            <w:tcBorders>
              <w:bottom w:val="single" w:sz="8" w:color="003B71"/>
            </w:tcBorders>
          </w:tcPr>
          <w:p>
            <w:pPr>
              <w:spacing w:after="0"/>
              <w:rPr>
                <w:sz w:val="5"/>
                <w:szCs w:val="5"/>
                <w:color w:val="auto"/>
              </w:rPr>
            </w:pPr>
          </w:p>
        </w:tc>
      </w:tr>
      <w:tr>
        <w:trPr>
          <w:trHeight w:val="210"/>
        </w:trPr>
        <w:tc>
          <w:tcPr>
            <w:tcW w:w="2840" w:type="dxa"/>
            <w:vAlign w:val="bottom"/>
          </w:tcPr>
          <w:p>
            <w:pPr>
              <w:spacing w:after="0"/>
              <w:rPr>
                <w:sz w:val="20"/>
                <w:szCs w:val="20"/>
                <w:color w:val="auto"/>
              </w:rPr>
            </w:pPr>
            <w:r>
              <w:rPr>
                <w:rFonts w:ascii="Arial" w:cs="Arial" w:eastAsia="Arial" w:hAnsi="Arial"/>
                <w:sz w:val="18"/>
                <w:szCs w:val="18"/>
                <w:color w:val="auto"/>
              </w:rPr>
              <w:t>Growth Goal</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40"/>
        </w:trPr>
        <w:tc>
          <w:tcPr>
            <w:tcW w:w="28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284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8"/>
                <w:szCs w:val="18"/>
                <w:color w:val="auto"/>
              </w:rPr>
              <w:t>Service Goal</w:t>
            </w:r>
          </w:p>
        </w:tc>
        <w:tc>
          <w:tcPr>
            <w:tcW w:w="244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8"/>
                <w:szCs w:val="18"/>
                <w:color w:val="auto"/>
                <w:w w:val="99"/>
              </w:rPr>
              <w:t>10%</w:t>
            </w:r>
          </w:p>
        </w:tc>
      </w:tr>
      <w:tr>
        <w:trPr>
          <w:trHeight w:val="217"/>
        </w:trPr>
        <w:tc>
          <w:tcPr>
            <w:tcW w:w="2840" w:type="dxa"/>
            <w:vAlign w:val="bottom"/>
          </w:tcPr>
          <w:p>
            <w:pPr>
              <w:spacing w:after="0"/>
              <w:rPr>
                <w:sz w:val="20"/>
                <w:szCs w:val="20"/>
                <w:color w:val="auto"/>
              </w:rPr>
            </w:pPr>
            <w:r>
              <w:rPr>
                <w:rFonts w:ascii="Arial" w:cs="Arial" w:eastAsia="Arial" w:hAnsi="Arial"/>
                <w:sz w:val="18"/>
                <w:szCs w:val="18"/>
                <w:color w:val="auto"/>
              </w:rPr>
              <w:t>Culture Goal</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40"/>
        </w:trPr>
        <w:tc>
          <w:tcPr>
            <w:tcW w:w="284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284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8"/>
                <w:szCs w:val="18"/>
                <w:color w:val="auto"/>
              </w:rPr>
              <w:t>Execution Goal</w:t>
            </w:r>
          </w:p>
        </w:tc>
        <w:tc>
          <w:tcPr>
            <w:tcW w:w="244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8"/>
                <w:szCs w:val="18"/>
                <w:color w:val="auto"/>
                <w:w w:val="99"/>
              </w:rPr>
              <w:t>10%</w:t>
            </w:r>
          </w:p>
        </w:tc>
      </w:tr>
      <w:tr>
        <w:trPr>
          <w:trHeight w:val="203"/>
        </w:trPr>
        <w:tc>
          <w:tcPr>
            <w:tcW w:w="2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Goals Contribution</w:t>
            </w:r>
          </w:p>
        </w:tc>
        <w:tc>
          <w:tcPr>
            <w:tcW w:w="24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40%</w:t>
            </w:r>
          </w:p>
        </w:tc>
      </w:tr>
    </w:tbl>
    <w:p>
      <w:pPr>
        <w:spacing w:after="0" w:line="10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assigned equal weighting to each of the goals because it determined that each was a priority element of the Company’s longer-term strategy.</w:t>
      </w:r>
    </w:p>
    <w:p>
      <w:pPr>
        <w:spacing w:after="0" w:line="248" w:lineRule="exact"/>
        <w:rPr>
          <w:sz w:val="20"/>
          <w:szCs w:val="20"/>
          <w:color w:val="auto"/>
        </w:rPr>
      </w:pPr>
    </w:p>
    <w:p>
      <w:pPr>
        <w:ind w:left="960" w:hanging="700"/>
        <w:spacing w:after="0"/>
        <w:tabs>
          <w:tab w:leader="none" w:pos="960" w:val="left"/>
        </w:tabs>
        <w:numPr>
          <w:ilvl w:val="0"/>
          <w:numId w:val="41"/>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Committee also established a range of bonus funding per goal using the performance rating scale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040" w:type="dxa"/>
            <w:vAlign w:val="bottom"/>
          </w:tcPr>
          <w:p>
            <w:pPr>
              <w:ind w:left="500"/>
              <w:spacing w:after="0"/>
              <w:rPr>
                <w:sz w:val="20"/>
                <w:szCs w:val="20"/>
                <w:color w:val="auto"/>
              </w:rPr>
            </w:pPr>
            <w:r>
              <w:rPr>
                <w:rFonts w:ascii="Arial" w:cs="Arial" w:eastAsia="Arial" w:hAnsi="Arial"/>
                <w:sz w:val="18"/>
                <w:szCs w:val="18"/>
                <w:b w:val="1"/>
                <w:bCs w:val="1"/>
                <w:color w:val="003B71"/>
              </w:rPr>
              <w:t>Performance Rating</w:t>
            </w:r>
          </w:p>
        </w:tc>
        <w:tc>
          <w:tcPr>
            <w:tcW w:w="2340" w:type="dxa"/>
            <w:vAlign w:val="bottom"/>
          </w:tcPr>
          <w:p>
            <w:pPr>
              <w:ind w:left="820"/>
              <w:spacing w:after="0"/>
              <w:rPr>
                <w:sz w:val="20"/>
                <w:szCs w:val="20"/>
                <w:color w:val="auto"/>
              </w:rPr>
            </w:pPr>
            <w:r>
              <w:rPr>
                <w:rFonts w:ascii="Arial" w:cs="Arial" w:eastAsia="Arial" w:hAnsi="Arial"/>
                <w:sz w:val="18"/>
                <w:szCs w:val="18"/>
                <w:b w:val="1"/>
                <w:bCs w:val="1"/>
                <w:color w:val="003B71"/>
              </w:rPr>
              <w:t>Payout</w:t>
            </w:r>
          </w:p>
        </w:tc>
        <w:tc>
          <w:tcPr>
            <w:tcW w:w="0" w:type="dxa"/>
            <w:vAlign w:val="bottom"/>
          </w:tcPr>
          <w:p>
            <w:pPr>
              <w:spacing w:after="0"/>
              <w:rPr>
                <w:sz w:val="1"/>
                <w:szCs w:val="1"/>
                <w:color w:val="auto"/>
              </w:rPr>
            </w:pPr>
          </w:p>
        </w:tc>
      </w:tr>
      <w:tr>
        <w:trPr>
          <w:trHeight w:val="68"/>
        </w:trPr>
        <w:tc>
          <w:tcPr>
            <w:tcW w:w="3060" w:type="dxa"/>
            <w:vAlign w:val="bottom"/>
            <w:gridSpan w:val="2"/>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003B71"/>
            </w:tcBorders>
          </w:tcPr>
          <w:p>
            <w:pPr>
              <w:spacing w:after="0"/>
              <w:rPr>
                <w:sz w:val="20"/>
                <w:szCs w:val="20"/>
                <w:color w:val="auto"/>
              </w:rPr>
            </w:pPr>
            <w:r>
              <w:rPr>
                <w:rFonts w:ascii="Arial" w:cs="Arial" w:eastAsia="Arial" w:hAnsi="Arial"/>
                <w:sz w:val="18"/>
                <w:szCs w:val="18"/>
                <w:color w:val="auto"/>
              </w:rPr>
              <w:t>Exceeds</w:t>
            </w:r>
          </w:p>
        </w:tc>
        <w:tc>
          <w:tcPr>
            <w:tcW w:w="2340" w:type="dxa"/>
            <w:vAlign w:val="bottom"/>
            <w:tcBorders>
              <w:top w:val="single" w:sz="8" w:color="003B71"/>
            </w:tcBorders>
          </w:tcPr>
          <w:p>
            <w:pPr>
              <w:jc w:val="center"/>
              <w:ind w:right="3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8"/>
                <w:szCs w:val="18"/>
                <w:color w:val="auto"/>
              </w:rPr>
              <w:t>Meets</w:t>
            </w:r>
          </w:p>
        </w:tc>
        <w:tc>
          <w:tcPr>
            <w:tcW w:w="2340" w:type="dxa"/>
            <w:vAlign w:val="bottom"/>
            <w:tcBorders>
              <w:bottom w:val="single" w:sz="8" w:color="E3F3F6"/>
            </w:tcBorders>
            <w:shd w:val="clear" w:color="auto" w:fill="E3F3F6"/>
          </w:tcPr>
          <w:p>
            <w:pPr>
              <w:jc w:val="center"/>
              <w:ind w:right="3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Partially meets</w:t>
            </w:r>
          </w:p>
        </w:tc>
        <w:tc>
          <w:tcPr>
            <w:tcW w:w="2340" w:type="dxa"/>
            <w:vAlign w:val="bottom"/>
          </w:tcPr>
          <w:p>
            <w:pPr>
              <w:jc w:val="center"/>
              <w:ind w:right="10"/>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34290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1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As further described under “</w:t>
      </w:r>
      <w:r>
        <w:rPr>
          <w:rFonts w:ascii="Arial" w:cs="Arial" w:eastAsia="Arial" w:hAnsi="Arial"/>
          <w:sz w:val="18"/>
          <w:szCs w:val="18"/>
          <w:i w:val="1"/>
          <w:iCs w:val="1"/>
          <w:color w:val="auto"/>
        </w:rPr>
        <w:t>2019 Goals and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w:t>
      </w:r>
      <w:r>
        <w:rPr>
          <w:rFonts w:ascii="Arial" w:cs="Arial" w:eastAsia="Arial" w:hAnsi="Arial"/>
          <w:sz w:val="18"/>
          <w:szCs w:val="18"/>
          <w:color w:val="auto"/>
        </w:rPr>
        <w:t>.” the Compensation Committee rated:</w:t>
      </w:r>
    </w:p>
    <w:p>
      <w:pPr>
        <w:spacing w:after="0" w:line="84" w:lineRule="exact"/>
        <w:rPr>
          <w:sz w:val="20"/>
          <w:szCs w:val="20"/>
          <w:color w:val="auto"/>
        </w:rPr>
      </w:pPr>
    </w:p>
    <w:p>
      <w:pPr>
        <w:ind w:left="700" w:hanging="38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Growth Goal and Culture Goal as “ meets;”</w:t>
      </w:r>
    </w:p>
    <w:p>
      <w:pPr>
        <w:spacing w:after="0" w:line="117" w:lineRule="exact"/>
        <w:rPr>
          <w:rFonts w:ascii="Arial" w:cs="Arial" w:eastAsia="Arial" w:hAnsi="Arial"/>
          <w:sz w:val="18"/>
          <w:szCs w:val="18"/>
          <w:color w:val="auto"/>
        </w:rPr>
      </w:pPr>
    </w:p>
    <w:p>
      <w:pPr>
        <w:ind w:left="700" w:hanging="38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Service Goal as “partially exceeds;” and</w:t>
      </w:r>
    </w:p>
    <w:p>
      <w:pPr>
        <w:spacing w:after="0" w:line="117" w:lineRule="exact"/>
        <w:rPr>
          <w:rFonts w:ascii="Arial" w:cs="Arial" w:eastAsia="Arial" w:hAnsi="Arial"/>
          <w:sz w:val="18"/>
          <w:szCs w:val="18"/>
          <w:color w:val="auto"/>
        </w:rPr>
      </w:pPr>
    </w:p>
    <w:p>
      <w:pPr>
        <w:ind w:left="700" w:hanging="38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Execution Goal as “exceeds.”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collective achievement of these corporate goals resulted in a funding level above target for this component of the funding framework.</w:t>
      </w:r>
    </w:p>
    <w:p>
      <w:pPr>
        <w:spacing w:after="0" w:line="77"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i w:val="1"/>
          <w:iCs w:val="1"/>
          <w:color w:val="003B71"/>
        </w:rPr>
        <w:t xml:space="preserve">Committee Discretion. </w:t>
      </w:r>
      <w:r>
        <w:rPr>
          <w:rFonts w:ascii="Arial" w:cs="Arial" w:eastAsia="Arial" w:hAnsi="Arial"/>
          <w:sz w:val="18"/>
          <w:szCs w:val="18"/>
          <w:color w:val="000000"/>
        </w:rPr>
        <w:t>After determining the applicable funding</w:t>
      </w:r>
      <w:r>
        <w:rPr>
          <w:rFonts w:ascii="Arial" w:cs="Arial" w:eastAsia="Arial" w:hAnsi="Arial"/>
          <w:sz w:val="18"/>
          <w:szCs w:val="18"/>
          <w:i w:val="1"/>
          <w:iCs w:val="1"/>
          <w:color w:val="003B71"/>
        </w:rPr>
        <w:t xml:space="preserve"> </w:t>
      </w:r>
      <w:r>
        <w:rPr>
          <w:rFonts w:ascii="Arial" w:cs="Arial" w:eastAsia="Arial" w:hAnsi="Arial"/>
          <w:sz w:val="18"/>
          <w:szCs w:val="18"/>
          <w:color w:val="000000"/>
        </w:rPr>
        <w:t>level, the Compensation Committee had discretion to adjust bonus pool funding up or down based on its subjective assessments of key drivers of performance (including business and market factors affecting the Company’s financial results) and the degree of difficulty of the individual 2019 corporate goals.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2019, the collective level of achievement of the Company’s financial and corporate goals yielded total bonus pool funding of $61.7 million, which exceeded Target Funding. The Compensation Committee declined to exercise its discretion to increase or decrease the level of 2019 bonus pool funding. The 2019 bonus pool was 5.8% of 2019 Adjusted EBITDA, compared to 6.2% as a percentage of 2018 Adjusted EBITDA for the 2018 bonus pool.</w:t>
      </w:r>
    </w:p>
    <w:p>
      <w:pPr>
        <w:sectPr>
          <w:pgSz w:w="11900" w:h="16838" w:orient="portrait"/>
          <w:cols w:equalWidth="0" w:num="2">
            <w:col w:w="5400" w:space="340"/>
            <w:col w:w="540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2019 Goals and Performance Evaluation</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NEOs are primarily responsible for ensuring that the Company achieves its annual and long-term goals. At the beginning of 2019, our Board determined, with the input of the chief executive officer, the corporate goals for the year, including the Adjusted EBITDA target and corporate goals described above. In evaluating incentive compensation at the end of the year, the Compensation Committee considered the level of achievement of the Company’s financial and non-financial performance goals.</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Compensation Committee determined that the Company generally performed well against its 2019 corporate goals based on the achievements listed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2800" w:type="dxa"/>
            <w:vAlign w:val="bottom"/>
            <w:tcBorders>
              <w:bottom w:val="single" w:sz="8" w:color="003B71"/>
            </w:tcBorders>
          </w:tcPr>
          <w:p>
            <w:pPr>
              <w:spacing w:after="0"/>
              <w:rPr>
                <w:sz w:val="20"/>
                <w:szCs w:val="20"/>
                <w:color w:val="auto"/>
              </w:rPr>
            </w:pPr>
            <w:r>
              <w:rPr>
                <w:rFonts w:ascii="Arial" w:cs="Arial" w:eastAsia="Arial" w:hAnsi="Arial"/>
                <w:sz w:val="18"/>
                <w:szCs w:val="18"/>
                <w:b w:val="1"/>
                <w:bCs w:val="1"/>
                <w:color w:val="003B71"/>
              </w:rPr>
              <w:t>2019 Corporate Goals</w:t>
            </w:r>
          </w:p>
        </w:tc>
        <w:tc>
          <w:tcPr>
            <w:tcW w:w="8220" w:type="dxa"/>
            <w:vAlign w:val="bottom"/>
            <w:tcBorders>
              <w:bottom w:val="single" w:sz="8" w:color="003B71"/>
            </w:tcBorders>
          </w:tcPr>
          <w:p>
            <w:pPr>
              <w:ind w:left="960"/>
              <w:spacing w:after="0"/>
              <w:rPr>
                <w:sz w:val="20"/>
                <w:szCs w:val="20"/>
                <w:color w:val="auto"/>
              </w:rPr>
            </w:pPr>
            <w:r>
              <w:rPr>
                <w:rFonts w:ascii="Arial" w:cs="Arial" w:eastAsia="Arial" w:hAnsi="Arial"/>
                <w:sz w:val="18"/>
                <w:szCs w:val="18"/>
                <w:b w:val="1"/>
                <w:bCs w:val="1"/>
                <w:color w:val="003B71"/>
              </w:rPr>
              <w:t>Performance Commentary</w:t>
            </w:r>
          </w:p>
        </w:tc>
      </w:tr>
      <w:tr>
        <w:trPr>
          <w:trHeight w:val="195"/>
        </w:trPr>
        <w:tc>
          <w:tcPr>
            <w:tcW w:w="2800" w:type="dxa"/>
            <w:vAlign w:val="bottom"/>
            <w:shd w:val="clear" w:color="auto" w:fill="E3F3F6"/>
          </w:tcPr>
          <w:p>
            <w:pPr>
              <w:spacing w:after="0" w:line="195" w:lineRule="exact"/>
              <w:rPr>
                <w:sz w:val="20"/>
                <w:szCs w:val="20"/>
                <w:color w:val="auto"/>
              </w:rPr>
            </w:pPr>
            <w:r>
              <w:rPr>
                <w:rFonts w:ascii="Arial" w:cs="Arial" w:eastAsia="Arial" w:hAnsi="Arial"/>
                <w:sz w:val="18"/>
                <w:szCs w:val="18"/>
                <w:color w:val="auto"/>
              </w:rPr>
              <w:t>Drive profitable growth</w:t>
            </w:r>
          </w:p>
        </w:tc>
        <w:tc>
          <w:tcPr>
            <w:tcW w:w="8220" w:type="dxa"/>
            <w:vAlign w:val="bottom"/>
            <w:shd w:val="clear" w:color="auto" w:fill="E3F3F6"/>
          </w:tcPr>
          <w:p>
            <w:pPr>
              <w:ind w:left="960"/>
              <w:spacing w:after="0" w:line="195" w:lineRule="exact"/>
              <w:rPr>
                <w:sz w:val="20"/>
                <w:szCs w:val="20"/>
                <w:color w:val="auto"/>
              </w:rPr>
            </w:pPr>
            <w:r>
              <w:rPr>
                <w:rFonts w:ascii="Arial" w:cs="Arial" w:eastAsia="Arial" w:hAnsi="Arial"/>
                <w:sz w:val="18"/>
                <w:szCs w:val="18"/>
                <w:color w:val="auto"/>
              </w:rPr>
              <w:t>Recruited assets of $35 billion represented a record recruiting year and exceeded our</w:t>
            </w:r>
          </w:p>
        </w:tc>
      </w:tr>
      <w:tr>
        <w:trPr>
          <w:trHeight w:val="203"/>
        </w:trPr>
        <w:tc>
          <w:tcPr>
            <w:tcW w:w="2800" w:type="dxa"/>
            <w:vAlign w:val="bottom"/>
            <w:shd w:val="clear" w:color="auto" w:fill="E3F3F6"/>
          </w:tcPr>
          <w:p>
            <w:pPr>
              <w:spacing w:after="0"/>
              <w:rPr>
                <w:sz w:val="17"/>
                <w:szCs w:val="17"/>
                <w:color w:val="auto"/>
              </w:rPr>
            </w:pPr>
          </w:p>
        </w:tc>
        <w:tc>
          <w:tcPr>
            <w:tcW w:w="8220" w:type="dxa"/>
            <w:vAlign w:val="bottom"/>
            <w:shd w:val="clear" w:color="auto" w:fill="E3F3F6"/>
          </w:tcPr>
          <w:p>
            <w:pPr>
              <w:ind w:left="960"/>
              <w:spacing w:after="0" w:line="202" w:lineRule="exact"/>
              <w:rPr>
                <w:sz w:val="20"/>
                <w:szCs w:val="20"/>
                <w:color w:val="auto"/>
              </w:rPr>
            </w:pPr>
            <w:r>
              <w:rPr>
                <w:rFonts w:ascii="Arial" w:cs="Arial" w:eastAsia="Arial" w:hAnsi="Arial"/>
                <w:sz w:val="18"/>
                <w:szCs w:val="18"/>
                <w:color w:val="auto"/>
              </w:rPr>
              <w:t>performance  target.  Total  net  new  assets  of  $24  billion  also  exceeded  our  target.</w:t>
            </w:r>
          </w:p>
        </w:tc>
      </w:tr>
      <w:tr>
        <w:trPr>
          <w:trHeight w:val="203"/>
        </w:trPr>
        <w:tc>
          <w:tcPr>
            <w:tcW w:w="2800" w:type="dxa"/>
            <w:vAlign w:val="bottom"/>
            <w:shd w:val="clear" w:color="auto" w:fill="E3F3F6"/>
          </w:tcPr>
          <w:p>
            <w:pPr>
              <w:spacing w:after="0"/>
              <w:rPr>
                <w:sz w:val="17"/>
                <w:szCs w:val="17"/>
                <w:color w:val="auto"/>
              </w:rPr>
            </w:pPr>
          </w:p>
        </w:tc>
        <w:tc>
          <w:tcPr>
            <w:tcW w:w="8220" w:type="dxa"/>
            <w:vAlign w:val="bottom"/>
            <w:shd w:val="clear" w:color="auto" w:fill="E3F3F6"/>
          </w:tcPr>
          <w:p>
            <w:pPr>
              <w:ind w:left="960"/>
              <w:spacing w:after="0" w:line="202" w:lineRule="exact"/>
              <w:rPr>
                <w:sz w:val="20"/>
                <w:szCs w:val="20"/>
                <w:color w:val="auto"/>
              </w:rPr>
            </w:pPr>
            <w:r>
              <w:rPr>
                <w:rFonts w:ascii="Arial" w:cs="Arial" w:eastAsia="Arial" w:hAnsi="Arial"/>
                <w:sz w:val="18"/>
                <w:szCs w:val="18"/>
                <w:color w:val="auto"/>
              </w:rPr>
              <w:t>Profitability metrics outperformed, as advisors increased their use of the Company’s</w:t>
            </w:r>
          </w:p>
        </w:tc>
      </w:tr>
      <w:tr>
        <w:trPr>
          <w:trHeight w:val="203"/>
        </w:trPr>
        <w:tc>
          <w:tcPr>
            <w:tcW w:w="2800" w:type="dxa"/>
            <w:vAlign w:val="bottom"/>
            <w:shd w:val="clear" w:color="auto" w:fill="E3F3F6"/>
          </w:tcPr>
          <w:p>
            <w:pPr>
              <w:spacing w:after="0"/>
              <w:rPr>
                <w:sz w:val="17"/>
                <w:szCs w:val="17"/>
                <w:color w:val="auto"/>
              </w:rPr>
            </w:pPr>
          </w:p>
        </w:tc>
        <w:tc>
          <w:tcPr>
            <w:tcW w:w="8220" w:type="dxa"/>
            <w:vAlign w:val="bottom"/>
            <w:shd w:val="clear" w:color="auto" w:fill="E3F3F6"/>
          </w:tcPr>
          <w:p>
            <w:pPr>
              <w:ind w:left="960"/>
              <w:spacing w:after="0" w:line="202" w:lineRule="exact"/>
              <w:rPr>
                <w:sz w:val="20"/>
                <w:szCs w:val="20"/>
                <w:color w:val="auto"/>
              </w:rPr>
            </w:pPr>
            <w:r>
              <w:rPr>
                <w:rFonts w:ascii="Arial" w:cs="Arial" w:eastAsia="Arial" w:hAnsi="Arial"/>
                <w:sz w:val="18"/>
                <w:szCs w:val="18"/>
                <w:color w:val="auto"/>
              </w:rPr>
              <w:t>advisory,  corporate  advisory  and  centrally  managed  platforms.  The  Company  also</w:t>
            </w:r>
          </w:p>
        </w:tc>
      </w:tr>
      <w:tr>
        <w:trPr>
          <w:trHeight w:val="203"/>
        </w:trPr>
        <w:tc>
          <w:tcPr>
            <w:tcW w:w="2800" w:type="dxa"/>
            <w:vAlign w:val="bottom"/>
            <w:shd w:val="clear" w:color="auto" w:fill="E3F3F6"/>
          </w:tcPr>
          <w:p>
            <w:pPr>
              <w:spacing w:after="0"/>
              <w:rPr>
                <w:sz w:val="17"/>
                <w:szCs w:val="17"/>
                <w:color w:val="auto"/>
              </w:rPr>
            </w:pPr>
          </w:p>
        </w:tc>
        <w:tc>
          <w:tcPr>
            <w:tcW w:w="8220" w:type="dxa"/>
            <w:vAlign w:val="bottom"/>
            <w:shd w:val="clear" w:color="auto" w:fill="E3F3F6"/>
          </w:tcPr>
          <w:p>
            <w:pPr>
              <w:ind w:left="960"/>
              <w:spacing w:after="0" w:line="202" w:lineRule="exact"/>
              <w:rPr>
                <w:sz w:val="20"/>
                <w:szCs w:val="20"/>
                <w:color w:val="auto"/>
              </w:rPr>
            </w:pPr>
            <w:r>
              <w:rPr>
                <w:rFonts w:ascii="Arial" w:cs="Arial" w:eastAsia="Arial" w:hAnsi="Arial"/>
                <w:sz w:val="18"/>
                <w:szCs w:val="18"/>
                <w:color w:val="auto"/>
              </w:rPr>
              <w:t>launched LPL Business Solutions and progressed the development of new affiliation</w:t>
            </w:r>
          </w:p>
        </w:tc>
      </w:tr>
      <w:tr>
        <w:trPr>
          <w:trHeight w:val="217"/>
        </w:trPr>
        <w:tc>
          <w:tcPr>
            <w:tcW w:w="2800" w:type="dxa"/>
            <w:vAlign w:val="bottom"/>
            <w:shd w:val="clear" w:color="auto" w:fill="E3F3F6"/>
          </w:tcPr>
          <w:p>
            <w:pPr>
              <w:spacing w:after="0"/>
              <w:rPr>
                <w:sz w:val="18"/>
                <w:szCs w:val="18"/>
                <w:color w:val="auto"/>
              </w:rPr>
            </w:pPr>
          </w:p>
        </w:tc>
        <w:tc>
          <w:tcPr>
            <w:tcW w:w="8220" w:type="dxa"/>
            <w:vAlign w:val="bottom"/>
            <w:shd w:val="clear" w:color="auto" w:fill="E3F3F6"/>
          </w:tcPr>
          <w:p>
            <w:pPr>
              <w:ind w:left="960"/>
              <w:spacing w:after="0"/>
              <w:rPr>
                <w:sz w:val="20"/>
                <w:szCs w:val="20"/>
                <w:color w:val="auto"/>
              </w:rPr>
            </w:pPr>
            <w:r>
              <w:rPr>
                <w:rFonts w:ascii="Arial" w:cs="Arial" w:eastAsia="Arial" w:hAnsi="Arial"/>
                <w:sz w:val="18"/>
                <w:szCs w:val="18"/>
                <w:color w:val="auto"/>
              </w:rPr>
              <w:t>models for premium and employee-based advisors.</w:t>
            </w:r>
          </w:p>
        </w:tc>
      </w:tr>
      <w:tr>
        <w:trPr>
          <w:trHeight w:val="41"/>
        </w:trPr>
        <w:tc>
          <w:tcPr>
            <w:tcW w:w="2800" w:type="dxa"/>
            <w:vAlign w:val="bottom"/>
            <w:shd w:val="clear" w:color="auto" w:fill="E3F3F6"/>
          </w:tcPr>
          <w:p>
            <w:pPr>
              <w:spacing w:after="0"/>
              <w:rPr>
                <w:sz w:val="3"/>
                <w:szCs w:val="3"/>
                <w:color w:val="auto"/>
              </w:rPr>
            </w:pPr>
          </w:p>
        </w:tc>
        <w:tc>
          <w:tcPr>
            <w:tcW w:w="8220" w:type="dxa"/>
            <w:vAlign w:val="bottom"/>
            <w:shd w:val="clear" w:color="auto" w:fill="E3F3F6"/>
          </w:tcPr>
          <w:p>
            <w:pPr>
              <w:spacing w:after="0"/>
              <w:rPr>
                <w:sz w:val="3"/>
                <w:szCs w:val="3"/>
                <w:color w:val="auto"/>
              </w:rPr>
            </w:pPr>
          </w:p>
        </w:tc>
      </w:tr>
    </w:tbl>
    <w:p>
      <w:pPr>
        <w:spacing w:after="0" w:line="53"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46" w:lineRule="auto"/>
        <w:rPr>
          <w:sz w:val="20"/>
          <w:szCs w:val="20"/>
          <w:color w:val="auto"/>
        </w:rPr>
      </w:pPr>
      <w:r>
        <w:rPr>
          <w:rFonts w:ascii="Arial" w:cs="Arial" w:eastAsia="Arial" w:hAnsi="Arial"/>
          <w:sz w:val="18"/>
          <w:szCs w:val="18"/>
          <w:color w:val="auto"/>
        </w:rPr>
        <w:t>Make it easier to do business with the Company</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8"/>
          <w:szCs w:val="18"/>
          <w:color w:val="auto"/>
        </w:rPr>
        <w:t>The Company made progress on this multi-year initiative, as reflected in a 45 point improvement in its net promoter score over the past two years. The Company delivered improvements to the functionality of its ClientWorks platform, including the ongoing digitization of advisor workflows and integration of curated third-party technology through ClientWorks Connected. It also made progress in transforming its service model into a client care model, including with regard to case management and omni-channel service capabilities.</w:t>
      </w:r>
    </w:p>
    <w:p>
      <w:pPr>
        <w:spacing w:after="0" w:line="26" w:lineRule="exact"/>
        <w:rPr>
          <w:sz w:val="20"/>
          <w:szCs w:val="20"/>
          <w:color w:val="auto"/>
        </w:rPr>
      </w:pPr>
    </w:p>
    <w:p>
      <w:pPr>
        <w:sectPr>
          <w:pgSz w:w="11900" w:h="16838" w:orient="portrait"/>
          <w:cols w:equalWidth="0" w:num="2">
            <w:col w:w="3660" w:space="220"/>
            <w:col w:w="72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34"/>
        </w:trPr>
        <w:tc>
          <w:tcPr>
            <w:tcW w:w="3540" w:type="dxa"/>
            <w:vAlign w:val="bottom"/>
            <w:vMerge w:val="restart"/>
            <w:shd w:val="clear" w:color="auto" w:fill="E3F3F6"/>
          </w:tcPr>
          <w:p>
            <w:pPr>
              <w:spacing w:after="0"/>
              <w:rPr>
                <w:sz w:val="20"/>
                <w:szCs w:val="20"/>
                <w:color w:val="auto"/>
              </w:rPr>
            </w:pPr>
            <w:r>
              <w:rPr>
                <w:rFonts w:ascii="Arial" w:cs="Arial" w:eastAsia="Arial" w:hAnsi="Arial"/>
                <w:sz w:val="18"/>
                <w:szCs w:val="18"/>
                <w:color w:val="auto"/>
              </w:rPr>
              <w:t>Transform our culture</w:t>
            </w:r>
          </w:p>
        </w:tc>
        <w:tc>
          <w:tcPr>
            <w:tcW w:w="7480" w:type="dxa"/>
            <w:vAlign w:val="bottom"/>
            <w:vMerge w:val="restart"/>
            <w:shd w:val="clear" w:color="auto" w:fill="E3F3F6"/>
          </w:tcPr>
          <w:p>
            <w:pPr>
              <w:ind w:left="220"/>
              <w:spacing w:after="0"/>
              <w:rPr>
                <w:sz w:val="20"/>
                <w:szCs w:val="20"/>
                <w:color w:val="auto"/>
              </w:rPr>
            </w:pPr>
            <w:r>
              <w:rPr>
                <w:rFonts w:ascii="Arial" w:cs="Arial" w:eastAsia="Arial" w:hAnsi="Arial"/>
                <w:sz w:val="18"/>
                <w:szCs w:val="18"/>
                <w:color w:val="auto"/>
              </w:rPr>
              <w:t>The Company continued its structured approach to a cultural transformation, including</w:t>
            </w:r>
          </w:p>
        </w:tc>
        <w:tc>
          <w:tcPr>
            <w:tcW w:w="0" w:type="dxa"/>
            <w:vAlign w:val="bottom"/>
          </w:tcPr>
          <w:p>
            <w:pPr>
              <w:spacing w:after="0" w:line="20" w:lineRule="exact"/>
              <w:rPr>
                <w:sz w:val="1"/>
                <w:szCs w:val="1"/>
                <w:color w:val="auto"/>
              </w:rPr>
            </w:pPr>
          </w:p>
        </w:tc>
      </w:tr>
      <w:tr>
        <w:trPr>
          <w:trHeight w:val="202"/>
        </w:trPr>
        <w:tc>
          <w:tcPr>
            <w:tcW w:w="3540" w:type="dxa"/>
            <w:vAlign w:val="bottom"/>
            <w:vMerge w:val="continue"/>
            <w:shd w:val="clear" w:color="auto" w:fill="E3F3F6"/>
          </w:tcPr>
          <w:p>
            <w:pPr>
              <w:spacing w:after="0"/>
              <w:rPr>
                <w:sz w:val="17"/>
                <w:szCs w:val="17"/>
                <w:color w:val="auto"/>
              </w:rPr>
            </w:pPr>
          </w:p>
        </w:tc>
        <w:tc>
          <w:tcPr>
            <w:tcW w:w="7480" w:type="dxa"/>
            <w:vAlign w:val="bottom"/>
            <w:vMerge w:val="continue"/>
            <w:shd w:val="clear" w:color="auto" w:fill="E3F3F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2" w:lineRule="exact"/>
              <w:rPr>
                <w:sz w:val="20"/>
                <w:szCs w:val="20"/>
                <w:color w:val="auto"/>
              </w:rPr>
            </w:pPr>
            <w:r>
              <w:rPr>
                <w:rFonts w:ascii="Arial" w:cs="Arial" w:eastAsia="Arial" w:hAnsi="Arial"/>
                <w:sz w:val="18"/>
                <w:szCs w:val="18"/>
                <w:color w:val="auto"/>
              </w:rPr>
              <w:t>activation of a mission-driven culture through the launch of new corporate values. A 72%</w:t>
            </w: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2" w:lineRule="exact"/>
              <w:rPr>
                <w:sz w:val="20"/>
                <w:szCs w:val="20"/>
                <w:color w:val="auto"/>
              </w:rPr>
            </w:pPr>
            <w:r>
              <w:rPr>
                <w:rFonts w:ascii="Arial" w:cs="Arial" w:eastAsia="Arial" w:hAnsi="Arial"/>
                <w:sz w:val="18"/>
                <w:szCs w:val="18"/>
                <w:color w:val="auto"/>
              </w:rPr>
              <w:t>overall favorable score in the annual employee engagement survey placed the Company</w:t>
            </w: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2" w:lineRule="exact"/>
              <w:rPr>
                <w:sz w:val="20"/>
                <w:szCs w:val="20"/>
                <w:color w:val="auto"/>
              </w:rPr>
            </w:pPr>
            <w:r>
              <w:rPr>
                <w:rFonts w:ascii="Arial" w:cs="Arial" w:eastAsia="Arial" w:hAnsi="Arial"/>
                <w:sz w:val="18"/>
                <w:szCs w:val="18"/>
                <w:color w:val="auto"/>
              </w:rPr>
              <w:t>ahead of benchmark for same-sized companies and validated our employee-focused</w:t>
            </w: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2" w:lineRule="exact"/>
              <w:rPr>
                <w:sz w:val="20"/>
                <w:szCs w:val="20"/>
                <w:color w:val="auto"/>
              </w:rPr>
            </w:pPr>
            <w:r>
              <w:rPr>
                <w:rFonts w:ascii="Arial" w:cs="Arial" w:eastAsia="Arial" w:hAnsi="Arial"/>
                <w:sz w:val="18"/>
                <w:szCs w:val="18"/>
                <w:color w:val="auto"/>
              </w:rPr>
              <w:t>initiatives.  The  Company  achieved  an  annualized  retention  rate  of  high  performing</w:t>
            </w: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2" w:lineRule="exact"/>
              <w:rPr>
                <w:sz w:val="20"/>
                <w:szCs w:val="20"/>
                <w:color w:val="auto"/>
              </w:rPr>
            </w:pPr>
            <w:r>
              <w:rPr>
                <w:rFonts w:ascii="Arial" w:cs="Arial" w:eastAsia="Arial" w:hAnsi="Arial"/>
                <w:sz w:val="18"/>
                <w:szCs w:val="18"/>
                <w:color w:val="auto"/>
                <w:w w:val="99"/>
              </w:rPr>
              <w:t>employees of 92% in 2019 despite a highly competitive employment market in its key office</w:t>
            </w:r>
          </w:p>
        </w:tc>
        <w:tc>
          <w:tcPr>
            <w:tcW w:w="0" w:type="dxa"/>
            <w:vAlign w:val="bottom"/>
          </w:tcPr>
          <w:p>
            <w:pPr>
              <w:spacing w:after="0"/>
              <w:rPr>
                <w:sz w:val="1"/>
                <w:szCs w:val="1"/>
                <w:color w:val="auto"/>
              </w:rPr>
            </w:pPr>
          </w:p>
        </w:tc>
      </w:tr>
      <w:tr>
        <w:trPr>
          <w:trHeight w:val="203"/>
        </w:trPr>
        <w:tc>
          <w:tcPr>
            <w:tcW w:w="3540" w:type="dxa"/>
            <w:vAlign w:val="bottom"/>
            <w:shd w:val="clear" w:color="auto" w:fill="E3F3F6"/>
          </w:tcPr>
          <w:p>
            <w:pPr>
              <w:spacing w:after="0"/>
              <w:rPr>
                <w:sz w:val="17"/>
                <w:szCs w:val="17"/>
                <w:color w:val="auto"/>
              </w:rPr>
            </w:pPr>
          </w:p>
        </w:tc>
        <w:tc>
          <w:tcPr>
            <w:tcW w:w="7480" w:type="dxa"/>
            <w:vAlign w:val="bottom"/>
            <w:shd w:val="clear" w:color="auto" w:fill="E3F3F6"/>
          </w:tcPr>
          <w:p>
            <w:pPr>
              <w:ind w:left="220"/>
              <w:spacing w:after="0" w:line="203" w:lineRule="exact"/>
              <w:rPr>
                <w:sz w:val="20"/>
                <w:szCs w:val="20"/>
                <w:color w:val="auto"/>
              </w:rPr>
            </w:pPr>
            <w:r>
              <w:rPr>
                <w:rFonts w:ascii="Arial" w:cs="Arial" w:eastAsia="Arial" w:hAnsi="Arial"/>
                <w:sz w:val="18"/>
                <w:szCs w:val="18"/>
                <w:color w:val="auto"/>
              </w:rPr>
              <w:t>locations.</w:t>
            </w: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0"/>
                <w:szCs w:val="20"/>
                <w:color w:val="auto"/>
              </w:rPr>
            </w:pPr>
            <w:r>
              <w:rPr>
                <w:rFonts w:ascii="Arial" w:cs="Arial" w:eastAsia="Arial" w:hAnsi="Arial"/>
                <w:sz w:val="18"/>
                <w:szCs w:val="18"/>
                <w:color w:val="auto"/>
              </w:rPr>
              <w:t>Execute with discipline and focus</w:t>
            </w:r>
          </w:p>
        </w:tc>
        <w:tc>
          <w:tcPr>
            <w:tcW w:w="7480" w:type="dxa"/>
            <w:vAlign w:val="bottom"/>
          </w:tcPr>
          <w:p>
            <w:pPr>
              <w:ind w:left="220"/>
              <w:spacing w:after="0"/>
              <w:rPr>
                <w:sz w:val="20"/>
                <w:szCs w:val="20"/>
                <w:color w:val="auto"/>
              </w:rPr>
            </w:pPr>
            <w:r>
              <w:rPr>
                <w:rFonts w:ascii="Arial" w:cs="Arial" w:eastAsia="Arial" w:hAnsi="Arial"/>
                <w:sz w:val="18"/>
                <w:szCs w:val="18"/>
                <w:color w:val="auto"/>
              </w:rPr>
              <w:t>The Company drove improved operating margin in 2019 through strong gross profit growth</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480" w:type="dxa"/>
            <w:vAlign w:val="bottom"/>
          </w:tcPr>
          <w:p>
            <w:pPr>
              <w:ind w:left="220"/>
              <w:spacing w:after="0" w:line="202" w:lineRule="exact"/>
              <w:rPr>
                <w:sz w:val="20"/>
                <w:szCs w:val="20"/>
                <w:color w:val="auto"/>
              </w:rPr>
            </w:pPr>
            <w:r>
              <w:rPr>
                <w:rFonts w:ascii="Arial" w:cs="Arial" w:eastAsia="Arial" w:hAnsi="Arial"/>
                <w:sz w:val="18"/>
                <w:szCs w:val="18"/>
                <w:color w:val="auto"/>
              </w:rPr>
              <w:t>and disciplined expense management. The Company deployed capital to drive organic</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480" w:type="dxa"/>
            <w:vAlign w:val="bottom"/>
          </w:tcPr>
          <w:p>
            <w:pPr>
              <w:ind w:left="220"/>
              <w:spacing w:after="0" w:line="202" w:lineRule="exact"/>
              <w:rPr>
                <w:sz w:val="20"/>
                <w:szCs w:val="20"/>
                <w:color w:val="auto"/>
              </w:rPr>
            </w:pPr>
            <w:r>
              <w:rPr>
                <w:rFonts w:ascii="Arial" w:cs="Arial" w:eastAsia="Arial" w:hAnsi="Arial"/>
                <w:sz w:val="18"/>
                <w:szCs w:val="18"/>
                <w:color w:val="auto"/>
              </w:rPr>
              <w:t>growth,  including  approximately  $155  million  in  technology-related  investments,  and</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480" w:type="dxa"/>
            <w:vAlign w:val="bottom"/>
          </w:tcPr>
          <w:p>
            <w:pPr>
              <w:ind w:left="220"/>
              <w:spacing w:after="0" w:line="202" w:lineRule="exact"/>
              <w:rPr>
                <w:sz w:val="20"/>
                <w:szCs w:val="20"/>
                <w:color w:val="auto"/>
              </w:rPr>
            </w:pPr>
            <w:r>
              <w:rPr>
                <w:rFonts w:ascii="Arial" w:cs="Arial" w:eastAsia="Arial" w:hAnsi="Arial"/>
                <w:sz w:val="18"/>
                <w:szCs w:val="18"/>
                <w:color w:val="auto"/>
              </w:rPr>
              <w:t>completed the Allen &amp; Company acquisition. The Company also returned $583 million to</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7480" w:type="dxa"/>
            <w:vAlign w:val="bottom"/>
          </w:tcPr>
          <w:p>
            <w:pPr>
              <w:ind w:left="220"/>
              <w:spacing w:after="0" w:line="202" w:lineRule="exact"/>
              <w:rPr>
                <w:sz w:val="20"/>
                <w:szCs w:val="20"/>
                <w:color w:val="auto"/>
              </w:rPr>
            </w:pPr>
            <w:r>
              <w:rPr>
                <w:rFonts w:ascii="Arial" w:cs="Arial" w:eastAsia="Arial" w:hAnsi="Arial"/>
                <w:sz w:val="18"/>
                <w:szCs w:val="18"/>
                <w:color w:val="auto"/>
              </w:rPr>
              <w:t>stockholders, and its total stockholder return was in the top decile of the Standard &amp; Poor’s</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1500 Capital Markets Companies.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As we look forward to 2020, the Board has recommitted our management team to goal categories that are generally consistent with those adopted in 2019.</w:t>
      </w:r>
    </w:p>
    <w:p>
      <w:pPr>
        <w:sectPr>
          <w:pgSz w:w="11900" w:h="16838" w:orient="portrait"/>
          <w:cols w:equalWidth="0" w:num="1">
            <w:col w:w="11140"/>
          </w:cols>
          <w:pgMar w:left="320" w:top="459" w:right="439" w:bottom="1440" w:gutter="0" w:footer="0" w:header="0"/>
          <w:type w:val="continuous"/>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Individual Cash Bonus Award Determinations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evaluates each NEO’s contribution to the Company’s overall performance, as well as the NEO’s performance against additional, previously established individual goals. In determining whether and to what extent bonuses are paid, the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Compensation Committee takes into account discussions with management and the Compensation Consultant. For additional information, including the assessing process for our chief executive officer, please see “</w:t>
      </w:r>
      <w:r>
        <w:rPr>
          <w:rFonts w:ascii="Arial" w:cs="Arial" w:eastAsia="Arial" w:hAnsi="Arial"/>
          <w:sz w:val="18"/>
          <w:szCs w:val="18"/>
          <w:i w:val="1"/>
          <w:iCs w:val="1"/>
          <w:color w:val="auto"/>
        </w:rPr>
        <w:t>How Compensation Decisions Were Made</w:t>
      </w:r>
      <w:r>
        <w:rPr>
          <w:rFonts w:ascii="Arial" w:cs="Arial" w:eastAsia="Arial" w:hAnsi="Arial"/>
          <w:sz w:val="18"/>
          <w:szCs w:val="18"/>
          <w:color w:val="auto"/>
        </w:rPr>
        <w:t>” on page 43 of this proxy statement.</w:t>
      </w:r>
    </w:p>
    <w:p>
      <w:pPr>
        <w:spacing w:after="0" w:line="618"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1"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3B71"/>
        </w:rPr>
        <w:t>37</w:t>
      </w:r>
    </w:p>
    <w:p>
      <w:pPr>
        <w:sectPr>
          <w:pgSz w:w="11900" w:h="16838" w:orient="portrait"/>
          <w:cols w:equalWidth="0" w:num="2">
            <w:col w:w="10400" w:space="540"/>
            <w:col w:w="200"/>
          </w:cols>
          <w:pgMar w:left="32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generally has the discretion to pay bonuses above or below the established targets based upon its assessment of each NEO’s contributions, performance and potential, and other considerations such as internal pay equity.</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chief executive officer and chief financial officer met with the Compensation Committee in December 2019 and January 2020 to discuss the Company’s actual performance compared to its financial and corporate goals for 2019. In February 2020, the Compensation Committee reviewed the individual performance in 2019 of each of our NEOs, including their respective contributions to the Company’s overall performance against its financial and corporate goals. The Compensation Consultant participated in each of the meetings.</w:t>
      </w:r>
    </w:p>
    <w:p>
      <w:pPr>
        <w:spacing w:after="0" w:line="20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Based primarily on these assessments, the Compensation Committee exercised its discretion to award annual cash bonuses to our NEOs above each executive’s target award amount for 2019. In making its individual determinations, the Compensation Committee considered the collective level of achievement of the Company’s financial and corporate goals and each NEO’s individual performance, including:</w:t>
      </w:r>
    </w:p>
    <w:p>
      <w:pPr>
        <w:spacing w:after="0" w:line="108" w:lineRule="exact"/>
        <w:rPr>
          <w:sz w:val="20"/>
          <w:szCs w:val="20"/>
          <w:color w:val="auto"/>
        </w:rPr>
      </w:pPr>
    </w:p>
    <w:p>
      <w:pPr>
        <w:jc w:val="both"/>
        <w:ind w:left="820" w:right="20" w:hanging="38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Arnold’s strategic vision and leadership of the Company in meeting or exceeding 2019 performance targets for both financial results and corporate goals;</w:t>
      </w:r>
    </w:p>
    <w:p>
      <w:pPr>
        <w:spacing w:after="0" w:line="108" w:lineRule="exact"/>
        <w:rPr>
          <w:rFonts w:ascii="Arial" w:cs="Arial" w:eastAsia="Arial" w:hAnsi="Arial"/>
          <w:sz w:val="18"/>
          <w:szCs w:val="18"/>
          <w:color w:val="auto"/>
        </w:rPr>
      </w:pPr>
    </w:p>
    <w:p>
      <w:pPr>
        <w:jc w:val="both"/>
        <w:ind w:left="820" w:hanging="380"/>
        <w:spacing w:after="0" w:line="238"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Audette’s contribution to above-target achievement of the Execution Goal, including development and execution of an operating plan that delivered operating leverage while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82" w:right="20"/>
        <w:spacing w:after="0" w:line="246" w:lineRule="auto"/>
        <w:rPr>
          <w:sz w:val="20"/>
          <w:szCs w:val="20"/>
          <w:color w:val="auto"/>
        </w:rPr>
      </w:pPr>
      <w:r>
        <w:rPr>
          <w:rFonts w:ascii="Arial" w:cs="Arial" w:eastAsia="Arial" w:hAnsi="Arial"/>
          <w:sz w:val="18"/>
          <w:szCs w:val="18"/>
          <w:color w:val="auto"/>
        </w:rPr>
        <w:t>enabling significant investments in organic growth and returning capital to stockholders;</w:t>
      </w:r>
    </w:p>
    <w:p>
      <w:pPr>
        <w:spacing w:after="0" w:line="102" w:lineRule="exact"/>
        <w:rPr>
          <w:sz w:val="20"/>
          <w:szCs w:val="20"/>
          <w:color w:val="auto"/>
        </w:rPr>
      </w:pPr>
    </w:p>
    <w:p>
      <w:pPr>
        <w:jc w:val="both"/>
        <w:ind w:left="382" w:right="20" w:hanging="382"/>
        <w:spacing w:after="0" w:line="238" w:lineRule="auto"/>
        <w:tabs>
          <w:tab w:leader="none" w:pos="3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Seese’s leadership in improving client service, notably through ClientWorks improvements, which contributed to a “partially exceeds” level of achievement of the Service Goal;</w:t>
      </w:r>
    </w:p>
    <w:p>
      <w:pPr>
        <w:spacing w:after="0" w:line="110" w:lineRule="exact"/>
        <w:rPr>
          <w:rFonts w:ascii="Arial" w:cs="Arial" w:eastAsia="Arial" w:hAnsi="Arial"/>
          <w:sz w:val="18"/>
          <w:szCs w:val="18"/>
          <w:color w:val="auto"/>
        </w:rPr>
      </w:pPr>
    </w:p>
    <w:p>
      <w:pPr>
        <w:jc w:val="both"/>
        <w:ind w:left="382" w:right="20" w:hanging="382"/>
        <w:spacing w:after="0" w:line="238" w:lineRule="auto"/>
        <w:tabs>
          <w:tab w:leader="none" w:pos="3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Semerjian’s progress in transforming our service model into a client care model, which also contributed to the “partially exceeds” level of achievement of the Service Goal; and</w:t>
      </w:r>
    </w:p>
    <w:p>
      <w:pPr>
        <w:spacing w:after="0" w:line="110" w:lineRule="exact"/>
        <w:rPr>
          <w:rFonts w:ascii="Arial" w:cs="Arial" w:eastAsia="Arial" w:hAnsi="Arial"/>
          <w:sz w:val="18"/>
          <w:szCs w:val="18"/>
          <w:color w:val="auto"/>
        </w:rPr>
      </w:pPr>
    </w:p>
    <w:p>
      <w:pPr>
        <w:jc w:val="both"/>
        <w:ind w:left="382" w:right="20" w:hanging="382"/>
        <w:spacing w:after="0" w:line="238" w:lineRule="auto"/>
        <w:tabs>
          <w:tab w:leader="none" w:pos="3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Steinmeier’s leadership in improving the efficacy of our business development efforts, which delivered record recruited assets in 2019, and in developing the Company’s new advisor affiliation models, including premium and employee-based offerings.</w:t>
      </w:r>
    </w:p>
    <w:p>
      <w:pPr>
        <w:spacing w:after="0" w:line="2937" w:lineRule="exact"/>
        <w:rPr>
          <w:sz w:val="20"/>
          <w:szCs w:val="20"/>
          <w:color w:val="auto"/>
        </w:rPr>
      </w:pPr>
    </w:p>
    <w:p>
      <w:pPr>
        <w:sectPr>
          <w:pgSz w:w="11900" w:h="16838" w:orient="portrait"/>
          <w:cols w:equalWidth="0" w:num="2">
            <w:col w:w="5400" w:space="658"/>
            <w:col w:w="5082"/>
          </w:cols>
          <w:pgMar w:left="320" w:top="459" w:right="439" w:bottom="1440" w:gutter="0" w:footer="0" w:header="0"/>
          <w:type w:val="continuous"/>
        </w:sectPr>
      </w:pPr>
    </w:p>
    <w:p>
      <w:pPr>
        <w:spacing w:after="0" w:line="18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table and chart below show the target annual cash bonus award opportunity established for each of our NEOs at the beginning of 2019, as well as the actual cash bonus awarded to each of our NEOs for 2019, as determined by the Compensation Committee: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00" w:type="dxa"/>
            <w:vAlign w:val="bottom"/>
          </w:tcPr>
          <w:p>
            <w:pPr>
              <w:jc w:val="center"/>
              <w:ind w:left="79"/>
              <w:spacing w:after="0"/>
              <w:rPr>
                <w:sz w:val="20"/>
                <w:szCs w:val="20"/>
                <w:color w:val="auto"/>
              </w:rPr>
            </w:pPr>
            <w:r>
              <w:rPr>
                <w:rFonts w:ascii="Arial" w:cs="Arial" w:eastAsia="Arial" w:hAnsi="Arial"/>
                <w:sz w:val="16"/>
                <w:szCs w:val="16"/>
                <w:b w:val="1"/>
                <w:bCs w:val="1"/>
                <w:color w:val="003B71"/>
                <w:w w:val="99"/>
              </w:rPr>
              <w:t>Target Award</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003B71"/>
              </w:rPr>
              <w:t>Cash Bonus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003B71"/>
              </w:rPr>
              <w:t>Cash Bonus</w:t>
            </w:r>
          </w:p>
        </w:tc>
      </w:tr>
      <w:tr>
        <w:trPr>
          <w:trHeight w:val="189"/>
        </w:trPr>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00" w:type="dxa"/>
            <w:vAlign w:val="bottom"/>
          </w:tcPr>
          <w:p>
            <w:pPr>
              <w:jc w:val="center"/>
              <w:ind w:left="99"/>
              <w:spacing w:after="0"/>
              <w:rPr>
                <w:sz w:val="20"/>
                <w:szCs w:val="20"/>
                <w:color w:val="auto"/>
              </w:rPr>
            </w:pPr>
            <w:r>
              <w:rPr>
                <w:rFonts w:ascii="Arial" w:cs="Arial" w:eastAsia="Arial" w:hAnsi="Arial"/>
                <w:sz w:val="16"/>
                <w:szCs w:val="16"/>
                <w:b w:val="1"/>
                <w:bCs w:val="1"/>
                <w:color w:val="003B71"/>
              </w:rPr>
              <w:t>as a</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003B71"/>
              </w:rPr>
              <w:t>Awarded as a</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003B71"/>
              </w:rPr>
              <w:t>Awarded as a</w:t>
            </w:r>
          </w:p>
        </w:tc>
      </w:tr>
      <w:tr>
        <w:trPr>
          <w:trHeight w:val="189"/>
        </w:trPr>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right"/>
              <w:ind w:right="679"/>
              <w:spacing w:after="0"/>
              <w:rPr>
                <w:sz w:val="20"/>
                <w:szCs w:val="20"/>
                <w:color w:val="auto"/>
              </w:rPr>
            </w:pPr>
            <w:r>
              <w:rPr>
                <w:rFonts w:ascii="Arial" w:cs="Arial" w:eastAsia="Arial" w:hAnsi="Arial"/>
                <w:sz w:val="16"/>
                <w:szCs w:val="16"/>
                <w:b w:val="1"/>
                <w:bCs w:val="1"/>
                <w:color w:val="003B71"/>
              </w:rPr>
              <w:t>Target</w:t>
            </w:r>
          </w:p>
        </w:tc>
        <w:tc>
          <w:tcPr>
            <w:tcW w:w="2100" w:type="dxa"/>
            <w:vAlign w:val="bottom"/>
          </w:tcPr>
          <w:p>
            <w:pPr>
              <w:jc w:val="center"/>
              <w:ind w:left="99"/>
              <w:spacing w:after="0"/>
              <w:rPr>
                <w:sz w:val="20"/>
                <w:szCs w:val="20"/>
                <w:color w:val="auto"/>
              </w:rPr>
            </w:pPr>
            <w:r>
              <w:rPr>
                <w:rFonts w:ascii="Arial" w:cs="Arial" w:eastAsia="Arial" w:hAnsi="Arial"/>
                <w:sz w:val="16"/>
                <w:szCs w:val="16"/>
                <w:b w:val="1"/>
                <w:bCs w:val="1"/>
                <w:color w:val="003B71"/>
              </w:rPr>
              <w:t>Percentage of</w:t>
            </w:r>
          </w:p>
        </w:tc>
        <w:tc>
          <w:tcPr>
            <w:tcW w:w="36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003B71"/>
              </w:rPr>
              <w:t>Cash</w:t>
            </w: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003B71"/>
              </w:rPr>
              <w:t>Percentage of</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003B71"/>
              </w:rPr>
              <w:t>Percentage of</w:t>
            </w:r>
          </w:p>
        </w:tc>
      </w:tr>
      <w:tr>
        <w:trPr>
          <w:trHeight w:val="215"/>
        </w:trPr>
        <w:tc>
          <w:tcPr>
            <w:tcW w:w="2100" w:type="dxa"/>
            <w:vAlign w:val="bottom"/>
          </w:tcPr>
          <w:p>
            <w:pPr>
              <w:spacing w:after="0"/>
              <w:rPr>
                <w:sz w:val="20"/>
                <w:szCs w:val="20"/>
                <w:color w:val="auto"/>
              </w:rPr>
            </w:pPr>
            <w:r>
              <w:rPr>
                <w:rFonts w:ascii="Arial" w:cs="Arial" w:eastAsia="Arial" w:hAnsi="Arial"/>
                <w:sz w:val="16"/>
                <w:szCs w:val="16"/>
                <w:b w:val="1"/>
                <w:bCs w:val="1"/>
                <w:color w:val="003B71"/>
              </w:rPr>
              <w:t>NEO</w:t>
            </w:r>
          </w:p>
        </w:tc>
        <w:tc>
          <w:tcPr>
            <w:tcW w:w="800" w:type="dxa"/>
            <w:vAlign w:val="bottom"/>
          </w:tcPr>
          <w:p>
            <w:pPr>
              <w:spacing w:after="0"/>
              <w:rPr>
                <w:sz w:val="18"/>
                <w:szCs w:val="18"/>
                <w:color w:val="auto"/>
              </w:rPr>
            </w:pPr>
          </w:p>
        </w:tc>
        <w:tc>
          <w:tcPr>
            <w:tcW w:w="1320" w:type="dxa"/>
            <w:vAlign w:val="bottom"/>
          </w:tcPr>
          <w:p>
            <w:pPr>
              <w:jc w:val="right"/>
              <w:ind w:right="679"/>
              <w:spacing w:after="0"/>
              <w:rPr>
                <w:sz w:val="20"/>
                <w:szCs w:val="20"/>
                <w:color w:val="auto"/>
              </w:rPr>
            </w:pPr>
            <w:r>
              <w:rPr>
                <w:rFonts w:ascii="Arial" w:cs="Arial" w:eastAsia="Arial" w:hAnsi="Arial"/>
                <w:sz w:val="16"/>
                <w:szCs w:val="16"/>
                <w:b w:val="1"/>
                <w:bCs w:val="1"/>
                <w:color w:val="003B71"/>
              </w:rPr>
              <w:t>Award</w:t>
            </w:r>
          </w:p>
        </w:tc>
        <w:tc>
          <w:tcPr>
            <w:tcW w:w="2100" w:type="dxa"/>
            <w:vAlign w:val="bottom"/>
          </w:tcPr>
          <w:p>
            <w:pPr>
              <w:jc w:val="center"/>
              <w:ind w:left="99"/>
              <w:spacing w:after="0"/>
              <w:rPr>
                <w:sz w:val="20"/>
                <w:szCs w:val="20"/>
                <w:color w:val="auto"/>
              </w:rPr>
            </w:pPr>
            <w:r>
              <w:rPr>
                <w:rFonts w:ascii="Arial" w:cs="Arial" w:eastAsia="Arial" w:hAnsi="Arial"/>
                <w:sz w:val="16"/>
                <w:szCs w:val="16"/>
                <w:b w:val="1"/>
                <w:bCs w:val="1"/>
                <w:color w:val="003B71"/>
              </w:rPr>
              <w:t>Base Salary</w:t>
            </w:r>
          </w:p>
        </w:tc>
        <w:tc>
          <w:tcPr>
            <w:tcW w:w="36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003B71"/>
              </w:rPr>
              <w:t>Bonus</w:t>
            </w: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003B71"/>
              </w:rPr>
              <w:t>Base Salary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003B71"/>
                <w:w w:val="99"/>
              </w:rPr>
              <w:t>Target Award</w:t>
            </w:r>
          </w:p>
        </w:tc>
      </w:tr>
      <w:tr>
        <w:trPr>
          <w:trHeight w:val="74"/>
        </w:trPr>
        <w:tc>
          <w:tcPr>
            <w:tcW w:w="2100" w:type="dxa"/>
            <w:vAlign w:val="bottom"/>
            <w:tcBorders>
              <w:bottom w:val="single" w:sz="8" w:color="003B71"/>
            </w:tcBorders>
          </w:tcPr>
          <w:p>
            <w:pPr>
              <w:spacing w:after="0"/>
              <w:rPr>
                <w:sz w:val="6"/>
                <w:szCs w:val="6"/>
                <w:color w:val="auto"/>
              </w:rPr>
            </w:pPr>
          </w:p>
        </w:tc>
        <w:tc>
          <w:tcPr>
            <w:tcW w:w="800" w:type="dxa"/>
            <w:vAlign w:val="bottom"/>
            <w:tcBorders>
              <w:bottom w:val="single" w:sz="8" w:color="003B71"/>
            </w:tcBorders>
          </w:tcPr>
          <w:p>
            <w:pPr>
              <w:spacing w:after="0"/>
              <w:rPr>
                <w:sz w:val="6"/>
                <w:szCs w:val="6"/>
                <w:color w:val="auto"/>
              </w:rPr>
            </w:pPr>
          </w:p>
        </w:tc>
        <w:tc>
          <w:tcPr>
            <w:tcW w:w="1320" w:type="dxa"/>
            <w:vAlign w:val="bottom"/>
            <w:tcBorders>
              <w:bottom w:val="single" w:sz="8" w:color="003B71"/>
            </w:tcBorders>
          </w:tcPr>
          <w:p>
            <w:pPr>
              <w:spacing w:after="0"/>
              <w:rPr>
                <w:sz w:val="6"/>
                <w:szCs w:val="6"/>
                <w:color w:val="auto"/>
              </w:rPr>
            </w:pPr>
          </w:p>
        </w:tc>
        <w:tc>
          <w:tcPr>
            <w:tcW w:w="2100" w:type="dxa"/>
            <w:vAlign w:val="bottom"/>
            <w:tcBorders>
              <w:bottom w:val="single" w:sz="8" w:color="003B71"/>
            </w:tcBorders>
          </w:tcPr>
          <w:p>
            <w:pPr>
              <w:spacing w:after="0"/>
              <w:rPr>
                <w:sz w:val="6"/>
                <w:szCs w:val="6"/>
                <w:color w:val="auto"/>
              </w:rPr>
            </w:pPr>
          </w:p>
        </w:tc>
        <w:tc>
          <w:tcPr>
            <w:tcW w:w="360" w:type="dxa"/>
            <w:vAlign w:val="bottom"/>
            <w:tcBorders>
              <w:bottom w:val="single" w:sz="8" w:color="003B71"/>
            </w:tcBorders>
          </w:tcPr>
          <w:p>
            <w:pPr>
              <w:spacing w:after="0"/>
              <w:rPr>
                <w:sz w:val="6"/>
                <w:szCs w:val="6"/>
                <w:color w:val="auto"/>
              </w:rPr>
            </w:pPr>
          </w:p>
        </w:tc>
        <w:tc>
          <w:tcPr>
            <w:tcW w:w="1000" w:type="dxa"/>
            <w:vAlign w:val="bottom"/>
            <w:tcBorders>
              <w:bottom w:val="single" w:sz="8" w:color="003B71"/>
            </w:tcBorders>
          </w:tcPr>
          <w:p>
            <w:pPr>
              <w:spacing w:after="0"/>
              <w:rPr>
                <w:sz w:val="6"/>
                <w:szCs w:val="6"/>
                <w:color w:val="auto"/>
              </w:rPr>
            </w:pPr>
          </w:p>
        </w:tc>
        <w:tc>
          <w:tcPr>
            <w:tcW w:w="1780" w:type="dxa"/>
            <w:vAlign w:val="bottom"/>
            <w:tcBorders>
              <w:bottom w:val="single" w:sz="8" w:color="003B71"/>
            </w:tcBorders>
          </w:tcPr>
          <w:p>
            <w:pPr>
              <w:spacing w:after="0"/>
              <w:rPr>
                <w:sz w:val="6"/>
                <w:szCs w:val="6"/>
                <w:color w:val="auto"/>
              </w:rPr>
            </w:pPr>
          </w:p>
        </w:tc>
        <w:tc>
          <w:tcPr>
            <w:tcW w:w="1560" w:type="dxa"/>
            <w:vAlign w:val="bottom"/>
            <w:tcBorders>
              <w:bottom w:val="single" w:sz="8" w:color="003B71"/>
            </w:tcBorders>
          </w:tcPr>
          <w:p>
            <w:pPr>
              <w:spacing w:after="0"/>
              <w:rPr>
                <w:sz w:val="6"/>
                <w:szCs w:val="6"/>
                <w:color w:val="auto"/>
              </w:rPr>
            </w:pPr>
          </w:p>
        </w:tc>
      </w:tr>
      <w:tr>
        <w:trPr>
          <w:trHeight w:val="216"/>
        </w:trPr>
        <w:tc>
          <w:tcPr>
            <w:tcW w:w="21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Dan H. Arnold</w:t>
            </w:r>
          </w:p>
        </w:tc>
        <w:tc>
          <w:tcPr>
            <w:tcW w:w="80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3F3F6"/>
            </w:tcBorders>
            <w:shd w:val="clear" w:color="auto" w:fill="E3F3F6"/>
          </w:tcPr>
          <w:p>
            <w:pPr>
              <w:jc w:val="right"/>
              <w:ind w:right="519"/>
              <w:spacing w:after="0"/>
              <w:rPr>
                <w:sz w:val="20"/>
                <w:szCs w:val="20"/>
                <w:color w:val="auto"/>
              </w:rPr>
            </w:pPr>
            <w:r>
              <w:rPr>
                <w:rFonts w:ascii="Arial" w:cs="Arial" w:eastAsia="Arial" w:hAnsi="Arial"/>
                <w:sz w:val="16"/>
                <w:szCs w:val="16"/>
                <w:color w:val="auto"/>
                <w:w w:val="98"/>
              </w:rPr>
              <w:t>1,912,500</w:t>
            </w:r>
          </w:p>
        </w:tc>
        <w:tc>
          <w:tcPr>
            <w:tcW w:w="21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225%</w:t>
            </w:r>
          </w:p>
        </w:tc>
        <w:tc>
          <w:tcPr>
            <w:tcW w:w="3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w w:val="98"/>
              </w:rPr>
              <w:t>2,486,250</w:t>
            </w:r>
          </w:p>
        </w:tc>
        <w:tc>
          <w:tcPr>
            <w:tcW w:w="178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293%</w:t>
            </w:r>
          </w:p>
        </w:tc>
        <w:tc>
          <w:tcPr>
            <w:tcW w:w="15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130%</w:t>
            </w:r>
          </w:p>
        </w:tc>
      </w:tr>
      <w:tr>
        <w:trPr>
          <w:trHeight w:val="196"/>
        </w:trPr>
        <w:tc>
          <w:tcPr>
            <w:tcW w:w="2100" w:type="dxa"/>
            <w:vAlign w:val="bottom"/>
          </w:tcPr>
          <w:p>
            <w:pPr>
              <w:spacing w:after="0"/>
              <w:rPr>
                <w:sz w:val="20"/>
                <w:szCs w:val="20"/>
                <w:color w:val="auto"/>
              </w:rPr>
            </w:pPr>
            <w:r>
              <w:rPr>
                <w:rFonts w:ascii="Arial" w:cs="Arial" w:eastAsia="Arial" w:hAnsi="Arial"/>
                <w:sz w:val="16"/>
                <w:szCs w:val="16"/>
                <w:color w:val="auto"/>
              </w:rPr>
              <w:t>Matthew J. Audette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w w:val="98"/>
              </w:rPr>
              <w:t>1,050,000</w:t>
            </w:r>
          </w:p>
        </w:tc>
        <w:tc>
          <w:tcPr>
            <w:tcW w:w="2100" w:type="dxa"/>
            <w:vAlign w:val="bottom"/>
          </w:tcPr>
          <w:p>
            <w:pPr>
              <w:jc w:val="right"/>
              <w:ind w:right="199"/>
              <w:spacing w:after="0"/>
              <w:rPr>
                <w:sz w:val="20"/>
                <w:szCs w:val="20"/>
                <w:color w:val="auto"/>
              </w:rPr>
            </w:pPr>
            <w:r>
              <w:rPr>
                <w:rFonts w:ascii="Arial" w:cs="Arial" w:eastAsia="Arial" w:hAnsi="Arial"/>
                <w:sz w:val="16"/>
                <w:szCs w:val="16"/>
                <w:color w:val="auto"/>
              </w:rPr>
              <w:t>175%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w w:val="98"/>
              </w:rPr>
              <w:t>1,400,000</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233%</w:t>
            </w:r>
          </w:p>
        </w:tc>
        <w:tc>
          <w:tcPr>
            <w:tcW w:w="15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47"/>
        </w:trPr>
        <w:tc>
          <w:tcPr>
            <w:tcW w:w="2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23"/>
        </w:trPr>
        <w:tc>
          <w:tcPr>
            <w:tcW w:w="21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Scott Seese</w:t>
            </w:r>
          </w:p>
        </w:tc>
        <w:tc>
          <w:tcPr>
            <w:tcW w:w="80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3F3F6"/>
            </w:tcBorders>
            <w:shd w:val="clear" w:color="auto" w:fill="E3F3F6"/>
          </w:tcPr>
          <w:p>
            <w:pPr>
              <w:jc w:val="right"/>
              <w:ind w:right="519"/>
              <w:spacing w:after="0"/>
              <w:rPr>
                <w:sz w:val="20"/>
                <w:szCs w:val="20"/>
                <w:color w:val="auto"/>
              </w:rPr>
            </w:pPr>
            <w:r>
              <w:rPr>
                <w:rFonts w:ascii="Arial" w:cs="Arial" w:eastAsia="Arial" w:hAnsi="Arial"/>
                <w:sz w:val="16"/>
                <w:szCs w:val="16"/>
                <w:color w:val="auto"/>
              </w:rPr>
              <w:t>800,000</w:t>
            </w:r>
          </w:p>
        </w:tc>
        <w:tc>
          <w:tcPr>
            <w:tcW w:w="21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160%</w:t>
            </w:r>
          </w:p>
        </w:tc>
        <w:tc>
          <w:tcPr>
            <w:tcW w:w="3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w w:val="98"/>
              </w:rPr>
              <w:t>1,024,000</w:t>
            </w:r>
          </w:p>
        </w:tc>
        <w:tc>
          <w:tcPr>
            <w:tcW w:w="178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205%</w:t>
            </w:r>
          </w:p>
        </w:tc>
        <w:tc>
          <w:tcPr>
            <w:tcW w:w="15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128%</w:t>
            </w:r>
          </w:p>
        </w:tc>
      </w:tr>
      <w:tr>
        <w:trPr>
          <w:trHeight w:val="197"/>
        </w:trPr>
        <w:tc>
          <w:tcPr>
            <w:tcW w:w="2100" w:type="dxa"/>
            <w:vAlign w:val="bottom"/>
          </w:tcPr>
          <w:p>
            <w:pPr>
              <w:spacing w:after="0"/>
              <w:rPr>
                <w:sz w:val="20"/>
                <w:szCs w:val="20"/>
                <w:color w:val="auto"/>
              </w:rPr>
            </w:pPr>
            <w:r>
              <w:rPr>
                <w:rFonts w:ascii="Arial" w:cs="Arial" w:eastAsia="Arial" w:hAnsi="Arial"/>
                <w:sz w:val="16"/>
                <w:szCs w:val="16"/>
                <w:color w:val="auto"/>
              </w:rPr>
              <w:t>Dayton Semerjian</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800,000</w:t>
            </w:r>
          </w:p>
        </w:tc>
        <w:tc>
          <w:tcPr>
            <w:tcW w:w="2100" w:type="dxa"/>
            <w:vAlign w:val="bottom"/>
          </w:tcPr>
          <w:p>
            <w:pPr>
              <w:jc w:val="right"/>
              <w:ind w:right="199"/>
              <w:spacing w:after="0"/>
              <w:rPr>
                <w:sz w:val="20"/>
                <w:szCs w:val="20"/>
                <w:color w:val="auto"/>
              </w:rPr>
            </w:pPr>
            <w:r>
              <w:rPr>
                <w:rFonts w:ascii="Arial" w:cs="Arial" w:eastAsia="Arial" w:hAnsi="Arial"/>
                <w:sz w:val="16"/>
                <w:szCs w:val="16"/>
                <w:color w:val="auto"/>
              </w:rPr>
              <w:t>160%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975,000</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195%</w:t>
            </w:r>
          </w:p>
        </w:tc>
        <w:tc>
          <w:tcPr>
            <w:tcW w:w="15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47"/>
        </w:trPr>
        <w:tc>
          <w:tcPr>
            <w:tcW w:w="2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23"/>
        </w:trPr>
        <w:tc>
          <w:tcPr>
            <w:tcW w:w="210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Richard Steinmeier</w:t>
            </w:r>
          </w:p>
        </w:tc>
        <w:tc>
          <w:tcPr>
            <w:tcW w:w="80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3F3F6"/>
            </w:tcBorders>
            <w:shd w:val="clear" w:color="auto" w:fill="E3F3F6"/>
          </w:tcPr>
          <w:p>
            <w:pPr>
              <w:jc w:val="right"/>
              <w:ind w:right="519"/>
              <w:spacing w:after="0"/>
              <w:rPr>
                <w:sz w:val="20"/>
                <w:szCs w:val="20"/>
                <w:color w:val="auto"/>
              </w:rPr>
            </w:pPr>
            <w:r>
              <w:rPr>
                <w:rFonts w:ascii="Arial" w:cs="Arial" w:eastAsia="Arial" w:hAnsi="Arial"/>
                <w:sz w:val="16"/>
                <w:szCs w:val="16"/>
                <w:color w:val="auto"/>
              </w:rPr>
              <w:t>549,000</w:t>
            </w:r>
          </w:p>
        </w:tc>
        <w:tc>
          <w:tcPr>
            <w:tcW w:w="21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122%</w:t>
            </w:r>
          </w:p>
        </w:tc>
        <w:tc>
          <w:tcPr>
            <w:tcW w:w="3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780,000</w:t>
            </w:r>
          </w:p>
        </w:tc>
        <w:tc>
          <w:tcPr>
            <w:tcW w:w="1780" w:type="dxa"/>
            <w:vAlign w:val="bottom"/>
            <w:tcBorders>
              <w:bottom w:val="single" w:sz="8" w:color="E3F3F6"/>
            </w:tcBorders>
            <w:shd w:val="clear" w:color="auto" w:fill="E3F3F6"/>
          </w:tcPr>
          <w:p>
            <w:pPr>
              <w:jc w:val="right"/>
              <w:ind w:right="199"/>
              <w:spacing w:after="0"/>
              <w:rPr>
                <w:sz w:val="20"/>
                <w:szCs w:val="20"/>
                <w:color w:val="auto"/>
              </w:rPr>
            </w:pPr>
            <w:r>
              <w:rPr>
                <w:rFonts w:ascii="Arial" w:cs="Arial" w:eastAsia="Arial" w:hAnsi="Arial"/>
                <w:sz w:val="16"/>
                <w:szCs w:val="16"/>
                <w:color w:val="auto"/>
              </w:rPr>
              <w:t>173%</w:t>
            </w:r>
          </w:p>
        </w:tc>
        <w:tc>
          <w:tcPr>
            <w:tcW w:w="15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142%</w:t>
            </w:r>
          </w:p>
        </w:tc>
      </w:tr>
      <w:tr>
        <w:trPr>
          <w:trHeight w:val="20"/>
        </w:trPr>
        <w:tc>
          <w:tcPr>
            <w:tcW w:w="2100" w:type="dxa"/>
            <w:vAlign w:val="bottom"/>
            <w:shd w:val="clear" w:color="auto" w:fill="003B71"/>
          </w:tcPr>
          <w:p>
            <w:pPr>
              <w:spacing w:after="0" w:line="20" w:lineRule="exact"/>
              <w:rPr>
                <w:sz w:val="1"/>
                <w:szCs w:val="1"/>
                <w:color w:val="auto"/>
              </w:rPr>
            </w:pPr>
          </w:p>
        </w:tc>
        <w:tc>
          <w:tcPr>
            <w:tcW w:w="800" w:type="dxa"/>
            <w:vAlign w:val="bottom"/>
            <w:shd w:val="clear" w:color="auto" w:fill="003B71"/>
          </w:tcPr>
          <w:p>
            <w:pPr>
              <w:spacing w:after="0" w:line="20" w:lineRule="exact"/>
              <w:rPr>
                <w:sz w:val="1"/>
                <w:szCs w:val="1"/>
                <w:color w:val="auto"/>
              </w:rPr>
            </w:pPr>
          </w:p>
        </w:tc>
        <w:tc>
          <w:tcPr>
            <w:tcW w:w="1320" w:type="dxa"/>
            <w:vAlign w:val="bottom"/>
            <w:shd w:val="clear" w:color="auto" w:fill="003B71"/>
          </w:tcPr>
          <w:p>
            <w:pPr>
              <w:spacing w:after="0" w:line="20" w:lineRule="exact"/>
              <w:rPr>
                <w:sz w:val="1"/>
                <w:szCs w:val="1"/>
                <w:color w:val="auto"/>
              </w:rPr>
            </w:pPr>
          </w:p>
        </w:tc>
        <w:tc>
          <w:tcPr>
            <w:tcW w:w="2100" w:type="dxa"/>
            <w:vAlign w:val="bottom"/>
            <w:shd w:val="clear" w:color="auto" w:fill="003B71"/>
          </w:tcPr>
          <w:p>
            <w:pPr>
              <w:spacing w:after="0" w:line="20" w:lineRule="exact"/>
              <w:rPr>
                <w:sz w:val="1"/>
                <w:szCs w:val="1"/>
                <w:color w:val="auto"/>
              </w:rPr>
            </w:pPr>
          </w:p>
        </w:tc>
        <w:tc>
          <w:tcPr>
            <w:tcW w:w="360" w:type="dxa"/>
            <w:vAlign w:val="bottom"/>
            <w:shd w:val="clear" w:color="auto" w:fill="003B71"/>
          </w:tcPr>
          <w:p>
            <w:pPr>
              <w:spacing w:after="0" w:line="20" w:lineRule="exact"/>
              <w:rPr>
                <w:sz w:val="1"/>
                <w:szCs w:val="1"/>
                <w:color w:val="auto"/>
              </w:rPr>
            </w:pPr>
          </w:p>
        </w:tc>
        <w:tc>
          <w:tcPr>
            <w:tcW w:w="1000" w:type="dxa"/>
            <w:vAlign w:val="bottom"/>
            <w:shd w:val="clear" w:color="auto" w:fill="003B71"/>
          </w:tcPr>
          <w:p>
            <w:pPr>
              <w:spacing w:after="0" w:line="20" w:lineRule="exact"/>
              <w:rPr>
                <w:sz w:val="1"/>
                <w:szCs w:val="1"/>
                <w:color w:val="auto"/>
              </w:rPr>
            </w:pPr>
          </w:p>
        </w:tc>
        <w:tc>
          <w:tcPr>
            <w:tcW w:w="1780" w:type="dxa"/>
            <w:vAlign w:val="bottom"/>
            <w:shd w:val="clear" w:color="auto" w:fill="003B71"/>
          </w:tcPr>
          <w:p>
            <w:pPr>
              <w:spacing w:after="0" w:line="20" w:lineRule="exact"/>
              <w:rPr>
                <w:sz w:val="1"/>
                <w:szCs w:val="1"/>
                <w:color w:val="auto"/>
              </w:rPr>
            </w:pPr>
          </w:p>
        </w:tc>
        <w:tc>
          <w:tcPr>
            <w:tcW w:w="1560" w:type="dxa"/>
            <w:vAlign w:val="bottom"/>
            <w:shd w:val="clear" w:color="auto" w:fill="003B71"/>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2"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Annual Cash Bonus Awards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-1905</wp:posOffset>
            </wp:positionV>
            <wp:extent cx="5349240" cy="10204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10204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Long-Term Equity Incentive Awards</w:t>
      </w:r>
    </w:p>
    <w:p>
      <w:pPr>
        <w:spacing w:after="0" w:line="25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purposes of our long-term equity incentive program are to promote the achievement of corporate goals that drive long-term stockholder value, to align the interests of our executive officers and other key employees with our stakeholders and to retain key executives. Our long-term equity incentive program is critical to our efforts to hire and retain the best talent in the financial services industry.</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the beginning of each year, the Compensation Committee establishes annual LTI award targets for executive officers after reviewing the recommendations of our chief executive officer and additional information, including Benchmarking Data. Annual target award amounts are based on an executive’s position, including job scope, and base salary, after consideration of Benchmarking Data and prior years’ awards to the executive.</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After the conclusion of the year, the Compensation Committee determines the actual amounts of the LTI award to be granted to each of our NEOs. Because the value of the LTI awards depends on the Company’s longer-term performance, LTI awards are an element of our executive retention strategy. In determining the LTI awards, the Compensation Committee takes into account discussions with management and the Compensation Consultant, and an NEO’s actual LTI award may vary from the target amount previously established.</w:t>
      </w:r>
    </w:p>
    <w:p>
      <w:pPr>
        <w:spacing w:after="0" w:line="20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accordance with SEC rules, the equity awards shown in our Summary Compensation table and Grants of Plan-Based Awards table reflect LTI awards that were granted during calendar year 2019. The awards shown in such tables include the LTI awards granted in February 2019 described below but not the LTI awards granted in February 2020, which we also describe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LTI Awards in 2019</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2018, the Compensation Committee established annual LTI award targets for our NEOs that ranged from 122% to 350% of base salary.</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2019, the Compensation Committee approved equity grants to our NEOs. In the case of Messrs. Arnold, Audette, Seese and Steinmeier, these awards were based on 2018 LTI award targets as well as the NEO’s individual performance during 2018, leadership responsibilities and potential, as well as retention considerations. In the case of Mr. Semerjian, the LTI award reflected the results of negotiations in recruiting him to accept employment with the Company.</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equity grant to Mr. Arnold consisted of 50% performance share units (“PSUs”) and 50% stock options (by grant date value), and equity grants to Messrs. Audette, Seese and Steinmeier consisted of 40% PSUs, 30% stock options and 30% time-based restricted stock units (“RSUs”). We believe that this blended approach provided appropriate incentives for long-term stockholder value creation while also serving as a retention tool for the Company. We also believe that the use of PSUs aligned with our pay-for-performance principles and put appropriate focus on long-term alignment and pay relative both to market peers and stockholder returns.</w:t>
      </w:r>
    </w:p>
    <w:p>
      <w:pPr>
        <w:spacing w:after="0" w:line="20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Pursuant to the terms of his offer letter, the Compensation Committee granted Mr. Semerjian a sign-on award on February 28, 2019 of 10,772 RSUs, which vest in equal annual installments over two years.</w:t>
      </w:r>
    </w:p>
    <w:p>
      <w:pPr>
        <w:spacing w:after="0" w:line="187"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i w:val="1"/>
          <w:iCs w:val="1"/>
          <w:color w:val="003B71"/>
        </w:rPr>
        <w:t xml:space="preserve">2019 Performance Share Unit Awards. </w:t>
      </w:r>
      <w:r>
        <w:rPr>
          <w:rFonts w:ascii="Arial" w:cs="Arial" w:eastAsia="Arial" w:hAnsi="Arial"/>
          <w:sz w:val="18"/>
          <w:szCs w:val="18"/>
          <w:color w:val="000000"/>
        </w:rPr>
        <w:t>The PSUs granted in 2019</w:t>
      </w:r>
      <w:r>
        <w:rPr>
          <w:rFonts w:ascii="Arial" w:cs="Arial" w:eastAsia="Arial" w:hAnsi="Arial"/>
          <w:sz w:val="18"/>
          <w:szCs w:val="18"/>
          <w:i w:val="1"/>
          <w:iCs w:val="1"/>
          <w:color w:val="003B71"/>
        </w:rPr>
        <w:t xml:space="preserve"> </w:t>
      </w:r>
      <w:r>
        <w:rPr>
          <w:rFonts w:ascii="Arial" w:cs="Arial" w:eastAsia="Arial" w:hAnsi="Arial"/>
          <w:sz w:val="18"/>
          <w:szCs w:val="18"/>
          <w:color w:val="000000"/>
        </w:rPr>
        <w:t>are eligible to become earned PSUs based on the Company’s total stockholder return (“TSR”) relative to the TSR of a predetermined comparator group over a three-year performance period (the “Performance Period”). The comparator</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003B71"/>
        </w:rPr>
        <w:t>39</w:t>
      </w:r>
    </w:p>
    <w:p>
      <w:pPr>
        <w:sectPr>
          <w:pgSz w:w="11900" w:h="16838" w:orient="portrait"/>
          <w:cols w:equalWidth="0" w:num="2">
            <w:col w:w="10400" w:space="540"/>
            <w:col w:w="200"/>
          </w:cols>
          <w:pgMar w:left="32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6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group consists of the Standard &amp; Poor’s 1500 Capital Markets Companies (the “Comparator Group”), and the number of earned PSUs is based on the Company’s relative ranking between the 25th and 80th percentile of the Comparator Group’s TSR results. Based on the Company’s relative performance, the number of earned PSUs can range between 50% (threshold) and 200% (maximum) of the target award as shown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880" w:type="dxa"/>
            <w:vAlign w:val="bottom"/>
          </w:tcPr>
          <w:p>
            <w:pPr>
              <w:jc w:val="center"/>
              <w:ind w:left="204"/>
              <w:spacing w:after="0"/>
              <w:rPr>
                <w:sz w:val="20"/>
                <w:szCs w:val="20"/>
                <w:color w:val="auto"/>
              </w:rPr>
            </w:pPr>
            <w:r>
              <w:rPr>
                <w:rFonts w:ascii="Arial" w:cs="Arial" w:eastAsia="Arial" w:hAnsi="Arial"/>
                <w:sz w:val="14"/>
                <w:szCs w:val="14"/>
                <w:b w:val="1"/>
                <w:bCs w:val="1"/>
                <w:color w:val="003B71"/>
              </w:rPr>
              <w:t>Relative TSR</w:t>
            </w:r>
          </w:p>
        </w:tc>
        <w:tc>
          <w:tcPr>
            <w:tcW w:w="11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880" w:type="dxa"/>
            <w:vAlign w:val="bottom"/>
          </w:tcPr>
          <w:p>
            <w:pPr>
              <w:jc w:val="center"/>
              <w:ind w:left="204"/>
              <w:spacing w:after="0"/>
              <w:rPr>
                <w:sz w:val="20"/>
                <w:szCs w:val="20"/>
                <w:color w:val="auto"/>
              </w:rPr>
            </w:pPr>
            <w:r>
              <w:rPr>
                <w:rFonts w:ascii="Arial" w:cs="Arial" w:eastAsia="Arial" w:hAnsi="Arial"/>
                <w:sz w:val="14"/>
                <w:szCs w:val="14"/>
                <w:b w:val="1"/>
                <w:bCs w:val="1"/>
                <w:color w:val="003B71"/>
              </w:rPr>
              <w:t>Percentile Rank</w:t>
            </w:r>
          </w:p>
        </w:tc>
        <w:tc>
          <w:tcPr>
            <w:tcW w:w="1140" w:type="dxa"/>
            <w:vAlign w:val="bottom"/>
          </w:tcPr>
          <w:p>
            <w:pPr>
              <w:jc w:val="center"/>
              <w:ind w:left="204"/>
              <w:spacing w:after="0"/>
              <w:rPr>
                <w:sz w:val="20"/>
                <w:szCs w:val="20"/>
                <w:color w:val="auto"/>
              </w:rPr>
            </w:pPr>
            <w:r>
              <w:rPr>
                <w:rFonts w:ascii="Arial" w:cs="Arial" w:eastAsia="Arial" w:hAnsi="Arial"/>
                <w:sz w:val="14"/>
                <w:szCs w:val="14"/>
                <w:b w:val="1"/>
                <w:bCs w:val="1"/>
                <w:color w:val="003B71"/>
              </w:rPr>
              <w:t>Common</w:t>
            </w:r>
          </w:p>
        </w:tc>
      </w:tr>
      <w:tr>
        <w:trPr>
          <w:trHeight w:val="162"/>
        </w:trPr>
        <w:tc>
          <w:tcPr>
            <w:tcW w:w="2260" w:type="dxa"/>
            <w:vAlign w:val="bottom"/>
          </w:tcPr>
          <w:p>
            <w:pPr>
              <w:spacing w:after="0"/>
              <w:rPr>
                <w:sz w:val="14"/>
                <w:szCs w:val="14"/>
                <w:color w:val="auto"/>
              </w:rPr>
            </w:pPr>
          </w:p>
        </w:tc>
        <w:tc>
          <w:tcPr>
            <w:tcW w:w="1880" w:type="dxa"/>
            <w:vAlign w:val="bottom"/>
          </w:tcPr>
          <w:p>
            <w:pPr>
              <w:jc w:val="center"/>
              <w:ind w:left="204"/>
              <w:spacing w:after="0"/>
              <w:rPr>
                <w:sz w:val="20"/>
                <w:szCs w:val="20"/>
                <w:color w:val="auto"/>
              </w:rPr>
            </w:pPr>
            <w:r>
              <w:rPr>
                <w:rFonts w:ascii="Arial" w:cs="Arial" w:eastAsia="Arial" w:hAnsi="Arial"/>
                <w:sz w:val="14"/>
                <w:szCs w:val="14"/>
                <w:b w:val="1"/>
                <w:bCs w:val="1"/>
                <w:color w:val="003B71"/>
              </w:rPr>
              <w:t>(based on</w:t>
            </w:r>
          </w:p>
        </w:tc>
        <w:tc>
          <w:tcPr>
            <w:tcW w:w="1140" w:type="dxa"/>
            <w:vAlign w:val="bottom"/>
          </w:tcPr>
          <w:p>
            <w:pPr>
              <w:jc w:val="center"/>
              <w:ind w:left="184"/>
              <w:spacing w:after="0"/>
              <w:rPr>
                <w:sz w:val="20"/>
                <w:szCs w:val="20"/>
                <w:color w:val="auto"/>
              </w:rPr>
            </w:pPr>
            <w:r>
              <w:rPr>
                <w:rFonts w:ascii="Arial" w:cs="Arial" w:eastAsia="Arial" w:hAnsi="Arial"/>
                <w:sz w:val="14"/>
                <w:szCs w:val="14"/>
                <w:b w:val="1"/>
                <w:bCs w:val="1"/>
                <w:color w:val="003B71"/>
              </w:rPr>
              <w:t>Shares</w:t>
            </w:r>
          </w:p>
        </w:tc>
      </w:tr>
      <w:tr>
        <w:trPr>
          <w:trHeight w:val="162"/>
        </w:trPr>
        <w:tc>
          <w:tcPr>
            <w:tcW w:w="2260" w:type="dxa"/>
            <w:vAlign w:val="bottom"/>
          </w:tcPr>
          <w:p>
            <w:pPr>
              <w:spacing w:after="0"/>
              <w:rPr>
                <w:sz w:val="14"/>
                <w:szCs w:val="14"/>
                <w:color w:val="auto"/>
              </w:rPr>
            </w:pPr>
          </w:p>
        </w:tc>
        <w:tc>
          <w:tcPr>
            <w:tcW w:w="1880" w:type="dxa"/>
            <w:vAlign w:val="bottom"/>
          </w:tcPr>
          <w:p>
            <w:pPr>
              <w:jc w:val="center"/>
              <w:ind w:left="184"/>
              <w:spacing w:after="0"/>
              <w:rPr>
                <w:sz w:val="20"/>
                <w:szCs w:val="20"/>
                <w:color w:val="auto"/>
              </w:rPr>
            </w:pPr>
            <w:r>
              <w:rPr>
                <w:rFonts w:ascii="Arial" w:cs="Arial" w:eastAsia="Arial" w:hAnsi="Arial"/>
                <w:sz w:val="14"/>
                <w:szCs w:val="14"/>
                <w:b w:val="1"/>
                <w:bCs w:val="1"/>
                <w:color w:val="003B71"/>
              </w:rPr>
              <w:t>Comparator</w:t>
            </w:r>
          </w:p>
        </w:tc>
        <w:tc>
          <w:tcPr>
            <w:tcW w:w="1140" w:type="dxa"/>
            <w:vAlign w:val="bottom"/>
          </w:tcPr>
          <w:p>
            <w:pPr>
              <w:jc w:val="center"/>
              <w:ind w:left="204"/>
              <w:spacing w:after="0"/>
              <w:rPr>
                <w:sz w:val="20"/>
                <w:szCs w:val="20"/>
                <w:color w:val="auto"/>
              </w:rPr>
            </w:pPr>
            <w:r>
              <w:rPr>
                <w:rFonts w:ascii="Arial" w:cs="Arial" w:eastAsia="Arial" w:hAnsi="Arial"/>
                <w:sz w:val="14"/>
                <w:szCs w:val="14"/>
                <w:b w:val="1"/>
                <w:bCs w:val="1"/>
                <w:color w:val="003B71"/>
              </w:rPr>
              <w:t>Earned (as a</w:t>
            </w:r>
          </w:p>
        </w:tc>
      </w:tr>
      <w:tr>
        <w:trPr>
          <w:trHeight w:val="175"/>
        </w:trPr>
        <w:tc>
          <w:tcPr>
            <w:tcW w:w="2260" w:type="dxa"/>
            <w:vAlign w:val="bottom"/>
            <w:tcBorders>
              <w:bottom w:val="single" w:sz="8" w:color="003B71"/>
            </w:tcBorders>
          </w:tcPr>
          <w:p>
            <w:pPr>
              <w:ind w:left="440"/>
              <w:spacing w:after="0"/>
              <w:rPr>
                <w:sz w:val="20"/>
                <w:szCs w:val="20"/>
                <w:color w:val="auto"/>
              </w:rPr>
            </w:pPr>
            <w:r>
              <w:rPr>
                <w:rFonts w:ascii="Arial" w:cs="Arial" w:eastAsia="Arial" w:hAnsi="Arial"/>
                <w:sz w:val="14"/>
                <w:szCs w:val="14"/>
                <w:b w:val="1"/>
                <w:bCs w:val="1"/>
                <w:color w:val="003B71"/>
              </w:rPr>
              <w:t>Performance Level</w:t>
            </w:r>
          </w:p>
        </w:tc>
        <w:tc>
          <w:tcPr>
            <w:tcW w:w="1880" w:type="dxa"/>
            <w:vAlign w:val="bottom"/>
            <w:tcBorders>
              <w:bottom w:val="single" w:sz="8" w:color="003B71"/>
            </w:tcBorders>
          </w:tcPr>
          <w:p>
            <w:pPr>
              <w:jc w:val="center"/>
              <w:ind w:left="204"/>
              <w:spacing w:after="0"/>
              <w:rPr>
                <w:sz w:val="20"/>
                <w:szCs w:val="20"/>
                <w:color w:val="auto"/>
              </w:rPr>
            </w:pPr>
            <w:r>
              <w:rPr>
                <w:rFonts w:ascii="Arial" w:cs="Arial" w:eastAsia="Arial" w:hAnsi="Arial"/>
                <w:sz w:val="14"/>
                <w:szCs w:val="14"/>
                <w:b w:val="1"/>
                <w:bCs w:val="1"/>
                <w:color w:val="003B71"/>
              </w:rPr>
              <w:t>Group)</w:t>
            </w:r>
          </w:p>
        </w:tc>
        <w:tc>
          <w:tcPr>
            <w:tcW w:w="1140" w:type="dxa"/>
            <w:vAlign w:val="bottom"/>
            <w:tcBorders>
              <w:bottom w:val="single" w:sz="8" w:color="003B71"/>
            </w:tcBorders>
          </w:tcPr>
          <w:p>
            <w:pPr>
              <w:jc w:val="center"/>
              <w:ind w:left="204"/>
              <w:spacing w:after="0"/>
              <w:rPr>
                <w:sz w:val="20"/>
                <w:szCs w:val="20"/>
                <w:color w:val="auto"/>
              </w:rPr>
            </w:pPr>
            <w:r>
              <w:rPr>
                <w:rFonts w:ascii="Arial" w:cs="Arial" w:eastAsia="Arial" w:hAnsi="Arial"/>
                <w:sz w:val="14"/>
                <w:szCs w:val="14"/>
                <w:b w:val="1"/>
                <w:bCs w:val="1"/>
                <w:color w:val="003B71"/>
              </w:rPr>
              <w:t>% of Target)</w:t>
            </w:r>
          </w:p>
        </w:tc>
      </w:tr>
      <w:tr>
        <w:trPr>
          <w:trHeight w:val="217"/>
        </w:trPr>
        <w:tc>
          <w:tcPr>
            <w:tcW w:w="226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6"/>
                <w:szCs w:val="16"/>
                <w:color w:val="auto"/>
              </w:rPr>
              <w:t>Maximum</w:t>
            </w:r>
          </w:p>
        </w:tc>
        <w:tc>
          <w:tcPr>
            <w:tcW w:w="1880" w:type="dxa"/>
            <w:vAlign w:val="bottom"/>
            <w:tcBorders>
              <w:bottom w:val="single" w:sz="8" w:color="E3F3F6"/>
            </w:tcBorders>
            <w:shd w:val="clear" w:color="auto" w:fill="E3F3F6"/>
          </w:tcPr>
          <w:p>
            <w:pPr>
              <w:jc w:val="center"/>
              <w:ind w:left="184"/>
              <w:spacing w:after="0"/>
              <w:rPr>
                <w:sz w:val="20"/>
                <w:szCs w:val="20"/>
                <w:color w:val="auto"/>
              </w:rPr>
            </w:pPr>
            <w:r>
              <w:rPr>
                <w:rFonts w:ascii="Arial" w:cs="Arial" w:eastAsia="Arial" w:hAnsi="Arial"/>
                <w:sz w:val="16"/>
                <w:szCs w:val="16"/>
                <w:color w:val="auto"/>
              </w:rPr>
              <w:t>80</w:t>
            </w:r>
            <w:r>
              <w:rPr>
                <w:rFonts w:ascii="Arial" w:cs="Arial" w:eastAsia="Arial" w:hAnsi="Arial"/>
                <w:sz w:val="13"/>
                <w:szCs w:val="13"/>
                <w:color w:val="auto"/>
              </w:rPr>
              <w:t>th</w:t>
            </w:r>
          </w:p>
        </w:tc>
        <w:tc>
          <w:tcPr>
            <w:tcW w:w="1140" w:type="dxa"/>
            <w:vAlign w:val="bottom"/>
            <w:tcBorders>
              <w:bottom w:val="single" w:sz="8" w:color="E3F3F6"/>
            </w:tcBorders>
            <w:shd w:val="clear" w:color="auto" w:fill="E3F3F6"/>
          </w:tcPr>
          <w:p>
            <w:pPr>
              <w:jc w:val="center"/>
              <w:ind w:left="204"/>
              <w:spacing w:after="0"/>
              <w:rPr>
                <w:sz w:val="20"/>
                <w:szCs w:val="20"/>
                <w:color w:val="auto"/>
              </w:rPr>
            </w:pPr>
            <w:r>
              <w:rPr>
                <w:rFonts w:ascii="Arial" w:cs="Arial" w:eastAsia="Arial" w:hAnsi="Arial"/>
                <w:sz w:val="16"/>
                <w:szCs w:val="16"/>
                <w:color w:val="auto"/>
              </w:rPr>
              <w:t>200%</w:t>
            </w:r>
          </w:p>
        </w:tc>
      </w:tr>
      <w:tr>
        <w:trPr>
          <w:trHeight w:val="243"/>
        </w:trPr>
        <w:tc>
          <w:tcPr>
            <w:tcW w:w="2260" w:type="dxa"/>
            <w:vAlign w:val="bottom"/>
          </w:tcPr>
          <w:p>
            <w:pPr>
              <w:ind w:left="40"/>
              <w:spacing w:after="0"/>
              <w:rPr>
                <w:sz w:val="20"/>
                <w:szCs w:val="20"/>
                <w:color w:val="auto"/>
              </w:rPr>
            </w:pPr>
            <w:r>
              <w:rPr>
                <w:rFonts w:ascii="Arial" w:cs="Arial" w:eastAsia="Arial" w:hAnsi="Arial"/>
                <w:sz w:val="16"/>
                <w:szCs w:val="16"/>
                <w:color w:val="auto"/>
              </w:rPr>
              <w:t>Target</w:t>
            </w:r>
          </w:p>
        </w:tc>
        <w:tc>
          <w:tcPr>
            <w:tcW w:w="1880" w:type="dxa"/>
            <w:vAlign w:val="bottom"/>
          </w:tcPr>
          <w:p>
            <w:pPr>
              <w:jc w:val="center"/>
              <w:ind w:left="184"/>
              <w:spacing w:after="0" w:line="242" w:lineRule="exact"/>
              <w:rPr>
                <w:sz w:val="20"/>
                <w:szCs w:val="20"/>
                <w:color w:val="auto"/>
              </w:rPr>
            </w:pPr>
            <w:r>
              <w:rPr>
                <w:rFonts w:ascii="Arial" w:cs="Arial" w:eastAsia="Arial" w:hAnsi="Arial"/>
                <w:sz w:val="16"/>
                <w:szCs w:val="16"/>
                <w:color w:val="auto"/>
                <w:w w:val="91"/>
              </w:rPr>
              <w:t>50</w:t>
            </w:r>
            <w:r>
              <w:rPr>
                <w:rFonts w:ascii="Arial" w:cs="Arial" w:eastAsia="Arial" w:hAnsi="Arial"/>
                <w:sz w:val="27"/>
                <w:szCs w:val="27"/>
                <w:color w:val="auto"/>
                <w:w w:val="91"/>
                <w:vertAlign w:val="superscript"/>
              </w:rPr>
              <w:t>th</w:t>
            </w:r>
          </w:p>
        </w:tc>
        <w:tc>
          <w:tcPr>
            <w:tcW w:w="1140" w:type="dxa"/>
            <w:vAlign w:val="bottom"/>
          </w:tcPr>
          <w:p>
            <w:pPr>
              <w:jc w:val="center"/>
              <w:ind w:left="204"/>
              <w:spacing w:after="0"/>
              <w:rPr>
                <w:sz w:val="20"/>
                <w:szCs w:val="20"/>
                <w:color w:val="auto"/>
              </w:rPr>
            </w:pPr>
            <w:r>
              <w:rPr>
                <w:rFonts w:ascii="Arial" w:cs="Arial" w:eastAsia="Arial" w:hAnsi="Arial"/>
                <w:sz w:val="16"/>
                <w:szCs w:val="16"/>
                <w:color w:val="auto"/>
              </w:rPr>
              <w:t>100%</w:t>
            </w:r>
          </w:p>
        </w:tc>
      </w:tr>
      <w:tr>
        <w:trPr>
          <w:trHeight w:val="243"/>
        </w:trPr>
        <w:tc>
          <w:tcPr>
            <w:tcW w:w="2260" w:type="dxa"/>
            <w:vAlign w:val="bottom"/>
            <w:shd w:val="clear" w:color="auto" w:fill="E3F3F6"/>
          </w:tcPr>
          <w:p>
            <w:pPr>
              <w:ind w:left="40"/>
              <w:spacing w:after="0"/>
              <w:rPr>
                <w:sz w:val="20"/>
                <w:szCs w:val="20"/>
                <w:color w:val="auto"/>
              </w:rPr>
            </w:pPr>
            <w:r>
              <w:rPr>
                <w:rFonts w:ascii="Arial" w:cs="Arial" w:eastAsia="Arial" w:hAnsi="Arial"/>
                <w:sz w:val="16"/>
                <w:szCs w:val="16"/>
                <w:color w:val="auto"/>
              </w:rPr>
              <w:t>Threshold</w:t>
            </w:r>
          </w:p>
        </w:tc>
        <w:tc>
          <w:tcPr>
            <w:tcW w:w="1880" w:type="dxa"/>
            <w:vAlign w:val="bottom"/>
            <w:shd w:val="clear" w:color="auto" w:fill="E3F3F6"/>
          </w:tcPr>
          <w:p>
            <w:pPr>
              <w:jc w:val="center"/>
              <w:ind w:left="184"/>
              <w:spacing w:after="0" w:line="242" w:lineRule="exact"/>
              <w:rPr>
                <w:sz w:val="20"/>
                <w:szCs w:val="20"/>
                <w:color w:val="auto"/>
              </w:rPr>
            </w:pPr>
            <w:r>
              <w:rPr>
                <w:rFonts w:ascii="Arial" w:cs="Arial" w:eastAsia="Arial" w:hAnsi="Arial"/>
                <w:sz w:val="16"/>
                <w:szCs w:val="16"/>
                <w:color w:val="auto"/>
                <w:w w:val="91"/>
              </w:rPr>
              <w:t>25</w:t>
            </w:r>
            <w:r>
              <w:rPr>
                <w:rFonts w:ascii="Arial" w:cs="Arial" w:eastAsia="Arial" w:hAnsi="Arial"/>
                <w:sz w:val="27"/>
                <w:szCs w:val="27"/>
                <w:color w:val="auto"/>
                <w:w w:val="91"/>
                <w:vertAlign w:val="superscript"/>
              </w:rPr>
              <w:t>th</w:t>
            </w:r>
          </w:p>
        </w:tc>
        <w:tc>
          <w:tcPr>
            <w:tcW w:w="1140" w:type="dxa"/>
            <w:vAlign w:val="bottom"/>
            <w:shd w:val="clear" w:color="auto" w:fill="E3F3F6"/>
          </w:tcPr>
          <w:p>
            <w:pPr>
              <w:jc w:val="center"/>
              <w:ind w:left="184"/>
              <w:spacing w:after="0"/>
              <w:rPr>
                <w:sz w:val="20"/>
                <w:szCs w:val="20"/>
                <w:color w:val="auto"/>
              </w:rPr>
            </w:pPr>
            <w:r>
              <w:rPr>
                <w:rFonts w:ascii="Arial" w:cs="Arial" w:eastAsia="Arial" w:hAnsi="Arial"/>
                <w:sz w:val="16"/>
                <w:szCs w:val="16"/>
                <w:color w:val="auto"/>
                <w:w w:val="99"/>
              </w:rPr>
              <w:t>50%</w:t>
            </w:r>
          </w:p>
        </w:tc>
      </w:tr>
      <w:tr>
        <w:trPr>
          <w:trHeight w:val="243"/>
        </w:trPr>
        <w:tc>
          <w:tcPr>
            <w:tcW w:w="2260" w:type="dxa"/>
            <w:vAlign w:val="bottom"/>
            <w:tcBorders>
              <w:bottom w:val="single" w:sz="8" w:color="003B71"/>
            </w:tcBorders>
          </w:tcPr>
          <w:p>
            <w:pPr>
              <w:ind w:left="40"/>
              <w:spacing w:after="0"/>
              <w:rPr>
                <w:sz w:val="20"/>
                <w:szCs w:val="20"/>
                <w:color w:val="auto"/>
              </w:rPr>
            </w:pPr>
            <w:r>
              <w:rPr>
                <w:rFonts w:ascii="Arial" w:cs="Arial" w:eastAsia="Arial" w:hAnsi="Arial"/>
                <w:sz w:val="16"/>
                <w:szCs w:val="16"/>
                <w:color w:val="auto"/>
              </w:rPr>
              <w:t>Below Threshold</w:t>
            </w:r>
          </w:p>
        </w:tc>
        <w:tc>
          <w:tcPr>
            <w:tcW w:w="1880" w:type="dxa"/>
            <w:vAlign w:val="bottom"/>
            <w:tcBorders>
              <w:bottom w:val="single" w:sz="8" w:color="003B71"/>
            </w:tcBorders>
          </w:tcPr>
          <w:p>
            <w:pPr>
              <w:jc w:val="center"/>
              <w:ind w:left="184"/>
              <w:spacing w:after="0" w:line="242" w:lineRule="exact"/>
              <w:rPr>
                <w:sz w:val="20"/>
                <w:szCs w:val="20"/>
                <w:color w:val="auto"/>
              </w:rPr>
            </w:pPr>
            <w:r>
              <w:rPr>
                <w:rFonts w:ascii="Arial" w:cs="Arial" w:eastAsia="Arial" w:hAnsi="Arial"/>
                <w:sz w:val="16"/>
                <w:szCs w:val="16"/>
                <w:color w:val="auto"/>
                <w:w w:val="96"/>
              </w:rPr>
              <w:t>Below 25</w:t>
            </w:r>
            <w:r>
              <w:rPr>
                <w:rFonts w:ascii="Arial" w:cs="Arial" w:eastAsia="Arial" w:hAnsi="Arial"/>
                <w:sz w:val="27"/>
                <w:szCs w:val="27"/>
                <w:color w:val="auto"/>
                <w:w w:val="96"/>
                <w:vertAlign w:val="superscript"/>
              </w:rPr>
              <w:t>th</w:t>
            </w:r>
          </w:p>
        </w:tc>
        <w:tc>
          <w:tcPr>
            <w:tcW w:w="1140" w:type="dxa"/>
            <w:vAlign w:val="bottom"/>
            <w:tcBorders>
              <w:bottom w:val="single" w:sz="8" w:color="003B71"/>
            </w:tcBorders>
          </w:tcPr>
          <w:p>
            <w:pPr>
              <w:jc w:val="center"/>
              <w:ind w:left="184"/>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“Black-Scholes Value”). For additional information about the assumptions we used, please see Note 16, “Share-Based Compensation” in the notes to the consolidated financial statements included in the Annual Report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003B71"/>
        </w:rPr>
        <w:t xml:space="preserve">2019 Restricted Stock Unit Awards. </w:t>
      </w:r>
      <w:r>
        <w:rPr>
          <w:rFonts w:ascii="Arial" w:cs="Arial" w:eastAsia="Arial" w:hAnsi="Arial"/>
          <w:sz w:val="18"/>
          <w:szCs w:val="18"/>
          <w:color w:val="000000"/>
        </w:rPr>
        <w:t>Upon vesting, each RSU</w:t>
      </w:r>
      <w:r>
        <w:rPr>
          <w:rFonts w:ascii="Arial" w:cs="Arial" w:eastAsia="Arial" w:hAnsi="Arial"/>
          <w:sz w:val="18"/>
          <w:szCs w:val="18"/>
          <w:i w:val="1"/>
          <w:iCs w:val="1"/>
          <w:color w:val="003B71"/>
        </w:rPr>
        <w:t xml:space="preserve"> </w:t>
      </w:r>
      <w:r>
        <w:rPr>
          <w:rFonts w:ascii="Arial" w:cs="Arial" w:eastAsia="Arial" w:hAnsi="Arial"/>
          <w:sz w:val="18"/>
          <w:szCs w:val="18"/>
          <w:color w:val="000000"/>
        </w:rPr>
        <w:t>granted in 2019 entitles the grantee to receive one share of our Common Stock. RSUs vest over time, in three equal annual installments in the case of grants to our NEOs other than Mr. Semerjian (whose sign-on RSU grant vests over two years, as described above). In granting RSUs in 2019, the Compensation Committee calculated the number of shares underlying each award using a price per share equal to the average closing price of our Common Stock for the trailing thirty consecutive trading days including the grant date, consistent with the approach to PSUs.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LTI Awards in 2020</w:t>
      </w:r>
    </w:p>
    <w:p>
      <w:pPr>
        <w:spacing w:after="0" w:line="218"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1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beginning and ending share price for TSR calculations will be based on the average closing price of our Common Stock for the trailing thirty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20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granting PSUs in 2019, the Compensation Committee calculated the number of shares underlying each award using a price per share equal to the average closing price of our Common Stock for the trailing thirty consecutive trading days including the grant date. This approach was intended to mitigate the effect of stock price volatility.</w:t>
      </w:r>
    </w:p>
    <w:p>
      <w:pPr>
        <w:spacing w:after="0" w:line="187"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i w:val="1"/>
          <w:iCs w:val="1"/>
          <w:color w:val="003B71"/>
        </w:rPr>
        <w:t xml:space="preserve">2019 Stock Option Awards. </w:t>
      </w:r>
      <w:r>
        <w:rPr>
          <w:rFonts w:ascii="Arial" w:cs="Arial" w:eastAsia="Arial" w:hAnsi="Arial"/>
          <w:sz w:val="18"/>
          <w:szCs w:val="18"/>
          <w:color w:val="000000"/>
        </w:rPr>
        <w:t>The stock options granted in 2019</w:t>
      </w:r>
      <w:r>
        <w:rPr>
          <w:rFonts w:ascii="Arial" w:cs="Arial" w:eastAsia="Arial" w:hAnsi="Arial"/>
          <w:sz w:val="18"/>
          <w:szCs w:val="18"/>
          <w:i w:val="1"/>
          <w:iCs w:val="1"/>
          <w:color w:val="003B71"/>
        </w:rPr>
        <w:t xml:space="preserve"> </w:t>
      </w:r>
      <w:r>
        <w:rPr>
          <w:rFonts w:ascii="Arial" w:cs="Arial" w:eastAsia="Arial" w:hAnsi="Arial"/>
          <w:sz w:val="18"/>
          <w:szCs w:val="18"/>
          <w:color w:val="000000"/>
        </w:rPr>
        <w:t>enable a grantee to purchase a specified number of shares of our Common Stock at a fixed purchase price over a fixed period of time. The exercise price is equal to the closing price per share of our Common Stock on the date of grant. These stock options will only have value if our share price exceeds the options’ exercise price, and the stock options vest in three equal annual installments.</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determining the size of stock option awards in 2019, the Compensation Committee used the value per option as of the grant date, calculated using the Black-Scholes model and related assumptions (the</w:t>
      </w:r>
    </w:p>
    <w:p>
      <w:pPr>
        <w:spacing w:after="0" w:line="264" w:lineRule="exact"/>
        <w:rPr>
          <w:sz w:val="20"/>
          <w:szCs w:val="20"/>
          <w:color w:val="auto"/>
        </w:rPr>
      </w:pPr>
    </w:p>
    <w:p>
      <w:pPr>
        <w:ind w:left="960" w:hanging="700"/>
        <w:spacing w:after="0"/>
        <w:tabs>
          <w:tab w:leader="none" w:pos="960" w:val="left"/>
        </w:tabs>
        <w:numPr>
          <w:ilvl w:val="0"/>
          <w:numId w:val="45"/>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For 2019, the Compensation Committee established annual LTI award targets for our NEOs that ranged from 133% to 471% of base salary.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2020, our chief executive officer and chief human capital officer met with the Compensation Committee and discussed the target award previously set by the Compensation Committee for each NEO, as well as each NEO’s individual performance both during 2019 and over time, leadership responsibilities and potential, and retention considerations. The Compensation Consultant participated in the meeting.</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Based on these considerations, including those listed under “</w:t>
      </w:r>
      <w:r>
        <w:rPr>
          <w:rFonts w:ascii="Arial" w:cs="Arial" w:eastAsia="Arial" w:hAnsi="Arial"/>
          <w:sz w:val="18"/>
          <w:szCs w:val="18"/>
          <w:i w:val="1"/>
          <w:iCs w:val="1"/>
          <w:color w:val="auto"/>
        </w:rPr>
        <w:t>Individual Cash Bonus Award Determinations</w:t>
      </w:r>
      <w:r>
        <w:rPr>
          <w:rFonts w:ascii="Arial" w:cs="Arial" w:eastAsia="Arial" w:hAnsi="Arial"/>
          <w:sz w:val="18"/>
          <w:szCs w:val="18"/>
          <w:color w:val="auto"/>
        </w:rPr>
        <w:t>,” the Compensation Committee exercised its discretion</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award LTI awards to our NEOs above each executive’s target award amount for 2019.</w:t>
      </w:r>
    </w:p>
    <w:p>
      <w:pPr>
        <w:sectPr>
          <w:pgSz w:w="11900" w:h="16838" w:orient="portrait"/>
          <w:cols w:equalWidth="0" w:num="2">
            <w:col w:w="5400" w:space="340"/>
            <w:col w:w="538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table and chart below show the target LTI award established for each of our NEOs for 2019, as well as the actual LTI award granted to our NEOs in February 2020 for 2019 performance, as determined by the Compensation Committee: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3B71"/>
                <w:w w:val="97"/>
              </w:rPr>
              <w:t>LTI Target %</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003B71"/>
              </w:rPr>
              <w:t>LTI $</w:t>
            </w: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3500" w:type="dxa"/>
            <w:vAlign w:val="bottom"/>
            <w:gridSpan w:val="2"/>
          </w:tcPr>
          <w:p>
            <w:pPr>
              <w:ind w:left="2320"/>
              <w:spacing w:after="0" w:line="175" w:lineRule="exact"/>
              <w:rPr>
                <w:sz w:val="20"/>
                <w:szCs w:val="20"/>
                <w:color w:val="auto"/>
              </w:rPr>
            </w:pPr>
            <w:r>
              <w:rPr>
                <w:rFonts w:ascii="Arial" w:cs="Arial" w:eastAsia="Arial" w:hAnsi="Arial"/>
                <w:sz w:val="16"/>
                <w:szCs w:val="16"/>
                <w:b w:val="1"/>
                <w:bCs w:val="1"/>
                <w:color w:val="003B71"/>
              </w:rPr>
              <w:t>2019 Annual</w:t>
            </w: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003B71"/>
              </w:rPr>
              <w:t>of Base</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740" w:type="dxa"/>
            <w:vAlign w:val="bottom"/>
            <w:tcBorders>
              <w:bottom w:val="single" w:sz="8" w:color="003B71"/>
            </w:tcBorders>
          </w:tcPr>
          <w:p>
            <w:pPr>
              <w:ind w:left="40"/>
              <w:spacing w:after="0"/>
              <w:rPr>
                <w:sz w:val="20"/>
                <w:szCs w:val="20"/>
                <w:color w:val="auto"/>
              </w:rPr>
            </w:pPr>
            <w:r>
              <w:rPr>
                <w:rFonts w:ascii="Arial" w:cs="Arial" w:eastAsia="Arial" w:hAnsi="Arial"/>
                <w:sz w:val="16"/>
                <w:szCs w:val="16"/>
                <w:b w:val="1"/>
                <w:bCs w:val="1"/>
                <w:color w:val="003B71"/>
              </w:rPr>
              <w:t>Executive</w:t>
            </w:r>
          </w:p>
        </w:tc>
        <w:tc>
          <w:tcPr>
            <w:tcW w:w="3500" w:type="dxa"/>
            <w:vAlign w:val="bottom"/>
            <w:tcBorders>
              <w:bottom w:val="single" w:sz="8" w:color="003B71"/>
            </w:tcBorders>
            <w:gridSpan w:val="2"/>
          </w:tcPr>
          <w:p>
            <w:pPr>
              <w:ind w:left="2340"/>
              <w:spacing w:after="0"/>
              <w:rPr>
                <w:sz w:val="20"/>
                <w:szCs w:val="20"/>
                <w:color w:val="auto"/>
              </w:rPr>
            </w:pPr>
            <w:r>
              <w:rPr>
                <w:rFonts w:ascii="Arial" w:cs="Arial" w:eastAsia="Arial" w:hAnsi="Arial"/>
                <w:sz w:val="16"/>
                <w:szCs w:val="16"/>
                <w:b w:val="1"/>
                <w:bCs w:val="1"/>
                <w:color w:val="003B71"/>
              </w:rPr>
              <w:t>Base Salary</w:t>
            </w:r>
          </w:p>
        </w:tc>
        <w:tc>
          <w:tcPr>
            <w:tcW w:w="1360" w:type="dxa"/>
            <w:vAlign w:val="bottom"/>
            <w:tcBorders>
              <w:bottom w:val="single" w:sz="8" w:color="003B71"/>
            </w:tcBorders>
          </w:tcPr>
          <w:p>
            <w:pPr>
              <w:jc w:val="center"/>
              <w:spacing w:after="0"/>
              <w:rPr>
                <w:sz w:val="20"/>
                <w:szCs w:val="20"/>
                <w:color w:val="auto"/>
              </w:rPr>
            </w:pPr>
            <w:r>
              <w:rPr>
                <w:rFonts w:ascii="Arial" w:cs="Arial" w:eastAsia="Arial" w:hAnsi="Arial"/>
                <w:sz w:val="16"/>
                <w:szCs w:val="16"/>
                <w:b w:val="1"/>
                <w:bCs w:val="1"/>
                <w:color w:val="003B71"/>
              </w:rPr>
              <w:t>Salary</w:t>
            </w:r>
          </w:p>
        </w:tc>
        <w:tc>
          <w:tcPr>
            <w:tcW w:w="1320" w:type="dxa"/>
            <w:vAlign w:val="bottom"/>
            <w:tcBorders>
              <w:bottom w:val="single" w:sz="8" w:color="003B71"/>
            </w:tcBorders>
            <w:gridSpan w:val="2"/>
          </w:tcPr>
          <w:p>
            <w:pPr>
              <w:ind w:left="180"/>
              <w:spacing w:after="0"/>
              <w:rPr>
                <w:sz w:val="20"/>
                <w:szCs w:val="20"/>
                <w:color w:val="auto"/>
              </w:rPr>
            </w:pPr>
            <w:r>
              <w:rPr>
                <w:rFonts w:ascii="Arial" w:cs="Arial" w:eastAsia="Arial" w:hAnsi="Arial"/>
                <w:sz w:val="16"/>
                <w:szCs w:val="16"/>
                <w:b w:val="1"/>
                <w:bCs w:val="1"/>
                <w:color w:val="003B71"/>
              </w:rPr>
              <w:t>LTI Target $</w:t>
            </w:r>
          </w:p>
        </w:tc>
        <w:tc>
          <w:tcPr>
            <w:tcW w:w="1100" w:type="dxa"/>
            <w:vAlign w:val="bottom"/>
            <w:tcBorders>
              <w:bottom w:val="single" w:sz="8" w:color="003B71"/>
            </w:tcBorders>
            <w:gridSpan w:val="2"/>
          </w:tcPr>
          <w:p>
            <w:pPr>
              <w:ind w:left="240"/>
              <w:spacing w:after="0" w:line="222" w:lineRule="exact"/>
              <w:rPr>
                <w:sz w:val="20"/>
                <w:szCs w:val="20"/>
                <w:color w:val="auto"/>
              </w:rPr>
            </w:pPr>
            <w:r>
              <w:rPr>
                <w:rFonts w:ascii="Arial" w:cs="Arial" w:eastAsia="Arial" w:hAnsi="Arial"/>
                <w:sz w:val="15"/>
                <w:szCs w:val="15"/>
                <w:b w:val="1"/>
                <w:bCs w:val="1"/>
                <w:color w:val="003B71"/>
              </w:rPr>
              <w:t>Granted</w:t>
            </w:r>
            <w:r>
              <w:rPr>
                <w:rFonts w:ascii="Arial" w:cs="Arial" w:eastAsia="Arial" w:hAnsi="Arial"/>
                <w:sz w:val="25"/>
                <w:szCs w:val="25"/>
                <w:b w:val="1"/>
                <w:bCs w:val="1"/>
                <w:color w:val="003B71"/>
                <w:vertAlign w:val="superscript"/>
              </w:rPr>
              <w:t>(1)</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6"/>
                <w:szCs w:val="16"/>
                <w:color w:val="auto"/>
              </w:rPr>
              <w:t>Dan H. Arnold</w:t>
            </w:r>
          </w:p>
        </w:tc>
        <w:tc>
          <w:tcPr>
            <w:tcW w:w="2540" w:type="dxa"/>
            <w:vAlign w:val="bottom"/>
            <w:tcBorders>
              <w:bottom w:val="single" w:sz="8" w:color="E3F3F6"/>
            </w:tcBorders>
            <w:shd w:val="clear" w:color="auto" w:fill="E3F3F6"/>
          </w:tcPr>
          <w:p>
            <w:pPr>
              <w:ind w:lef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3F3F6"/>
            </w:tcBorders>
            <w:shd w:val="clear" w:color="auto" w:fill="E3F3F6"/>
          </w:tcPr>
          <w:p>
            <w:pPr>
              <w:jc w:val="right"/>
              <w:ind w:right="139"/>
              <w:spacing w:after="0"/>
              <w:rPr>
                <w:sz w:val="20"/>
                <w:szCs w:val="20"/>
                <w:color w:val="auto"/>
              </w:rPr>
            </w:pPr>
            <w:r>
              <w:rPr>
                <w:rFonts w:ascii="Arial" w:cs="Arial" w:eastAsia="Arial" w:hAnsi="Arial"/>
                <w:sz w:val="16"/>
                <w:szCs w:val="16"/>
                <w:color w:val="auto"/>
              </w:rPr>
              <w:t>850,000</w:t>
            </w:r>
          </w:p>
        </w:tc>
        <w:tc>
          <w:tcPr>
            <w:tcW w:w="136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6"/>
                <w:szCs w:val="16"/>
                <w:color w:val="auto"/>
              </w:rPr>
              <w:t>471%</w:t>
            </w:r>
          </w:p>
        </w:tc>
        <w:tc>
          <w:tcPr>
            <w:tcW w:w="32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59"/>
              <w:spacing w:after="0"/>
              <w:rPr>
                <w:sz w:val="20"/>
                <w:szCs w:val="20"/>
                <w:color w:val="auto"/>
              </w:rPr>
            </w:pPr>
            <w:r>
              <w:rPr>
                <w:rFonts w:ascii="Arial" w:cs="Arial" w:eastAsia="Arial" w:hAnsi="Arial"/>
                <w:sz w:val="16"/>
                <w:szCs w:val="16"/>
                <w:color w:val="auto"/>
              </w:rPr>
              <w:t>4,000,000</w:t>
            </w:r>
          </w:p>
        </w:tc>
        <w:tc>
          <w:tcPr>
            <w:tcW w:w="1100" w:type="dxa"/>
            <w:vAlign w:val="bottom"/>
            <w:tcBorders>
              <w:bottom w:val="single" w:sz="8" w:color="E3F3F6"/>
            </w:tcBorders>
            <w:gridSpan w:val="2"/>
            <w:shd w:val="clear" w:color="auto" w:fill="E3F3F6"/>
          </w:tcPr>
          <w:p>
            <w:pPr>
              <w:jc w:val="right"/>
              <w:spacing w:after="0"/>
              <w:rPr>
                <w:sz w:val="20"/>
                <w:szCs w:val="20"/>
                <w:color w:val="auto"/>
              </w:rPr>
            </w:pPr>
            <w:r>
              <w:rPr>
                <w:rFonts w:ascii="Arial" w:cs="Arial" w:eastAsia="Arial" w:hAnsi="Arial"/>
                <w:sz w:val="16"/>
                <w:szCs w:val="16"/>
                <w:color w:val="auto"/>
              </w:rPr>
              <w:t>$4,600,000</w:t>
            </w:r>
          </w:p>
        </w:tc>
        <w:tc>
          <w:tcPr>
            <w:tcW w:w="0" w:type="dxa"/>
            <w:vAlign w:val="bottom"/>
          </w:tcPr>
          <w:p>
            <w:pPr>
              <w:spacing w:after="0"/>
              <w:rPr>
                <w:sz w:val="1"/>
                <w:szCs w:val="1"/>
                <w:color w:val="auto"/>
              </w:rPr>
            </w:pPr>
          </w:p>
        </w:tc>
      </w:tr>
      <w:tr>
        <w:trPr>
          <w:trHeight w:val="197"/>
        </w:trPr>
        <w:tc>
          <w:tcPr>
            <w:tcW w:w="3740" w:type="dxa"/>
            <w:vAlign w:val="bottom"/>
          </w:tcPr>
          <w:p>
            <w:pPr>
              <w:ind w:left="40"/>
              <w:spacing w:after="0"/>
              <w:rPr>
                <w:sz w:val="20"/>
                <w:szCs w:val="20"/>
                <w:color w:val="auto"/>
              </w:rPr>
            </w:pPr>
            <w:r>
              <w:rPr>
                <w:rFonts w:ascii="Arial" w:cs="Arial" w:eastAsia="Arial" w:hAnsi="Arial"/>
                <w:sz w:val="16"/>
                <w:szCs w:val="16"/>
                <w:color w:val="auto"/>
              </w:rPr>
              <w:t>Matthew J. Audette</w:t>
            </w:r>
          </w:p>
        </w:tc>
        <w:tc>
          <w:tcPr>
            <w:tcW w:w="2540" w:type="dxa"/>
            <w:vAlign w:val="bottom"/>
          </w:tcPr>
          <w:p>
            <w:pPr>
              <w:ind w:left="2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600,000</w:t>
            </w:r>
          </w:p>
        </w:tc>
        <w:tc>
          <w:tcPr>
            <w:tcW w:w="1360" w:type="dxa"/>
            <w:vAlign w:val="bottom"/>
          </w:tcPr>
          <w:p>
            <w:pPr>
              <w:jc w:val="center"/>
              <w:spacing w:after="0"/>
              <w:rPr>
                <w:sz w:val="20"/>
                <w:szCs w:val="20"/>
                <w:color w:val="auto"/>
              </w:rPr>
            </w:pPr>
            <w:r>
              <w:rPr>
                <w:rFonts w:ascii="Arial" w:cs="Arial" w:eastAsia="Arial" w:hAnsi="Arial"/>
                <w:sz w:val="16"/>
                <w:szCs w:val="16"/>
                <w:color w:val="auto"/>
              </w:rPr>
              <w:t>175%</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1,050,000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$1,115,000</w:t>
            </w:r>
          </w:p>
        </w:tc>
        <w:tc>
          <w:tcPr>
            <w:tcW w:w="0" w:type="dxa"/>
            <w:vAlign w:val="bottom"/>
          </w:tcPr>
          <w:p>
            <w:pPr>
              <w:spacing w:after="0"/>
              <w:rPr>
                <w:sz w:val="1"/>
                <w:szCs w:val="1"/>
                <w:color w:val="auto"/>
              </w:rPr>
            </w:pPr>
          </w:p>
        </w:tc>
      </w:tr>
      <w:tr>
        <w:trPr>
          <w:trHeight w:val="46"/>
        </w:trPr>
        <w:tc>
          <w:tcPr>
            <w:tcW w:w="37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6"/>
                <w:szCs w:val="16"/>
                <w:color w:val="auto"/>
              </w:rPr>
              <w:t>Scott Seese</w:t>
            </w:r>
          </w:p>
        </w:tc>
        <w:tc>
          <w:tcPr>
            <w:tcW w:w="2540" w:type="dxa"/>
            <w:vAlign w:val="bottom"/>
            <w:tcBorders>
              <w:bottom w:val="single" w:sz="8" w:color="E3F3F6"/>
            </w:tcBorders>
            <w:shd w:val="clear" w:color="auto" w:fill="E3F3F6"/>
          </w:tcPr>
          <w:p>
            <w:pPr>
              <w:ind w:lef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3F3F6"/>
            </w:tcBorders>
            <w:shd w:val="clear" w:color="auto" w:fill="E3F3F6"/>
          </w:tcPr>
          <w:p>
            <w:pPr>
              <w:jc w:val="right"/>
              <w:ind w:right="139"/>
              <w:spacing w:after="0"/>
              <w:rPr>
                <w:sz w:val="20"/>
                <w:szCs w:val="20"/>
                <w:color w:val="auto"/>
              </w:rPr>
            </w:pPr>
            <w:r>
              <w:rPr>
                <w:rFonts w:ascii="Arial" w:cs="Arial" w:eastAsia="Arial" w:hAnsi="Arial"/>
                <w:sz w:val="16"/>
                <w:szCs w:val="16"/>
                <w:color w:val="auto"/>
              </w:rPr>
              <w:t>500,000</w:t>
            </w:r>
          </w:p>
        </w:tc>
        <w:tc>
          <w:tcPr>
            <w:tcW w:w="136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6"/>
                <w:szCs w:val="16"/>
                <w:color w:val="auto"/>
              </w:rPr>
              <w:t>180%</w:t>
            </w:r>
          </w:p>
        </w:tc>
        <w:tc>
          <w:tcPr>
            <w:tcW w:w="32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59"/>
              <w:spacing w:after="0"/>
              <w:rPr>
                <w:sz w:val="20"/>
                <w:szCs w:val="20"/>
                <w:color w:val="auto"/>
              </w:rPr>
            </w:pPr>
            <w:r>
              <w:rPr>
                <w:rFonts w:ascii="Arial" w:cs="Arial" w:eastAsia="Arial" w:hAnsi="Arial"/>
                <w:sz w:val="16"/>
                <w:szCs w:val="16"/>
                <w:color w:val="auto"/>
              </w:rPr>
              <w:t>900,000</w:t>
            </w:r>
          </w:p>
        </w:tc>
        <w:tc>
          <w:tcPr>
            <w:tcW w:w="1100" w:type="dxa"/>
            <w:vAlign w:val="bottom"/>
            <w:tcBorders>
              <w:bottom w:val="single" w:sz="8" w:color="E3F3F6"/>
            </w:tcBorders>
            <w:gridSpan w:val="2"/>
            <w:shd w:val="clear" w:color="auto" w:fill="E3F3F6"/>
          </w:tcPr>
          <w:p>
            <w:pPr>
              <w:jc w:val="right"/>
              <w:spacing w:after="0"/>
              <w:rPr>
                <w:sz w:val="20"/>
                <w:szCs w:val="20"/>
                <w:color w:val="auto"/>
              </w:rPr>
            </w:pPr>
            <w:r>
              <w:rPr>
                <w:rFonts w:ascii="Arial" w:cs="Arial" w:eastAsia="Arial" w:hAnsi="Arial"/>
                <w:sz w:val="16"/>
                <w:szCs w:val="16"/>
                <w:color w:val="auto"/>
              </w:rPr>
              <w:t>$1,035,000</w:t>
            </w:r>
          </w:p>
        </w:tc>
        <w:tc>
          <w:tcPr>
            <w:tcW w:w="0" w:type="dxa"/>
            <w:vAlign w:val="bottom"/>
          </w:tcPr>
          <w:p>
            <w:pPr>
              <w:spacing w:after="0"/>
              <w:rPr>
                <w:sz w:val="1"/>
                <w:szCs w:val="1"/>
                <w:color w:val="auto"/>
              </w:rPr>
            </w:pPr>
          </w:p>
        </w:tc>
      </w:tr>
      <w:tr>
        <w:trPr>
          <w:trHeight w:val="197"/>
        </w:trPr>
        <w:tc>
          <w:tcPr>
            <w:tcW w:w="3740" w:type="dxa"/>
            <w:vAlign w:val="bottom"/>
          </w:tcPr>
          <w:p>
            <w:pPr>
              <w:ind w:left="40"/>
              <w:spacing w:after="0"/>
              <w:rPr>
                <w:sz w:val="20"/>
                <w:szCs w:val="20"/>
                <w:color w:val="auto"/>
              </w:rPr>
            </w:pPr>
            <w:r>
              <w:rPr>
                <w:rFonts w:ascii="Arial" w:cs="Arial" w:eastAsia="Arial" w:hAnsi="Arial"/>
                <w:sz w:val="16"/>
                <w:szCs w:val="16"/>
                <w:color w:val="auto"/>
              </w:rPr>
              <w:t>Dayton Semerjian</w:t>
            </w:r>
          </w:p>
        </w:tc>
        <w:tc>
          <w:tcPr>
            <w:tcW w:w="2540" w:type="dxa"/>
            <w:vAlign w:val="bottom"/>
          </w:tcPr>
          <w:p>
            <w:pPr>
              <w:ind w:left="2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500,000</w:t>
            </w:r>
          </w:p>
        </w:tc>
        <w:tc>
          <w:tcPr>
            <w:tcW w:w="1360" w:type="dxa"/>
            <w:vAlign w:val="bottom"/>
          </w:tcPr>
          <w:p>
            <w:pPr>
              <w:jc w:val="center"/>
              <w:spacing w:after="0"/>
              <w:rPr>
                <w:sz w:val="20"/>
                <w:szCs w:val="20"/>
                <w:color w:val="auto"/>
              </w:rPr>
            </w:pPr>
            <w:r>
              <w:rPr>
                <w:rFonts w:ascii="Arial" w:cs="Arial" w:eastAsia="Arial" w:hAnsi="Arial"/>
                <w:sz w:val="16"/>
                <w:szCs w:val="16"/>
                <w:color w:val="auto"/>
              </w:rPr>
              <w:t>160%</w:t>
            </w:r>
          </w:p>
        </w:tc>
        <w:tc>
          <w:tcPr>
            <w:tcW w:w="320" w:type="dxa"/>
            <w:vAlign w:val="bottom"/>
          </w:tcPr>
          <w:p>
            <w:pPr>
              <w:ind w:lef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800,000</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46"/>
        </w:trPr>
        <w:tc>
          <w:tcPr>
            <w:tcW w:w="37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E3F3F6"/>
            </w:tcBorders>
            <w:shd w:val="clear" w:color="auto" w:fill="E3F3F6"/>
          </w:tcPr>
          <w:p>
            <w:pPr>
              <w:ind w:left="40"/>
              <w:spacing w:after="0"/>
              <w:rPr>
                <w:sz w:val="20"/>
                <w:szCs w:val="20"/>
                <w:color w:val="auto"/>
              </w:rPr>
            </w:pPr>
            <w:r>
              <w:rPr>
                <w:rFonts w:ascii="Arial" w:cs="Arial" w:eastAsia="Arial" w:hAnsi="Arial"/>
                <w:sz w:val="16"/>
                <w:szCs w:val="16"/>
                <w:color w:val="auto"/>
              </w:rPr>
              <w:t>Richard Steinmeier</w:t>
            </w:r>
          </w:p>
        </w:tc>
        <w:tc>
          <w:tcPr>
            <w:tcW w:w="2540" w:type="dxa"/>
            <w:vAlign w:val="bottom"/>
            <w:tcBorders>
              <w:bottom w:val="single" w:sz="8" w:color="E3F3F6"/>
            </w:tcBorders>
            <w:shd w:val="clear" w:color="auto" w:fill="E3F3F6"/>
          </w:tcPr>
          <w:p>
            <w:pPr>
              <w:ind w:lef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3F3F6"/>
            </w:tcBorders>
            <w:shd w:val="clear" w:color="auto" w:fill="E3F3F6"/>
          </w:tcPr>
          <w:p>
            <w:pPr>
              <w:jc w:val="right"/>
              <w:ind w:right="139"/>
              <w:spacing w:after="0"/>
              <w:rPr>
                <w:sz w:val="20"/>
                <w:szCs w:val="20"/>
                <w:color w:val="auto"/>
              </w:rPr>
            </w:pPr>
            <w:r>
              <w:rPr>
                <w:rFonts w:ascii="Arial" w:cs="Arial" w:eastAsia="Arial" w:hAnsi="Arial"/>
                <w:sz w:val="16"/>
                <w:szCs w:val="16"/>
                <w:color w:val="auto"/>
              </w:rPr>
              <w:t>450,000</w:t>
            </w:r>
          </w:p>
        </w:tc>
        <w:tc>
          <w:tcPr>
            <w:tcW w:w="1360" w:type="dxa"/>
            <w:vAlign w:val="bottom"/>
            <w:tcBorders>
              <w:bottom w:val="single" w:sz="8" w:color="E3F3F6"/>
            </w:tcBorders>
            <w:shd w:val="clear" w:color="auto" w:fill="E3F3F6"/>
          </w:tcPr>
          <w:p>
            <w:pPr>
              <w:jc w:val="center"/>
              <w:spacing w:after="0"/>
              <w:rPr>
                <w:sz w:val="20"/>
                <w:szCs w:val="20"/>
                <w:color w:val="auto"/>
              </w:rPr>
            </w:pPr>
            <w:r>
              <w:rPr>
                <w:rFonts w:ascii="Arial" w:cs="Arial" w:eastAsia="Arial" w:hAnsi="Arial"/>
                <w:sz w:val="16"/>
                <w:szCs w:val="16"/>
                <w:color w:val="auto"/>
              </w:rPr>
              <w:t>133%</w:t>
            </w:r>
          </w:p>
        </w:tc>
        <w:tc>
          <w:tcPr>
            <w:tcW w:w="320" w:type="dxa"/>
            <w:vAlign w:val="bottom"/>
            <w:tcBorders>
              <w:bottom w:val="single" w:sz="8" w:color="E3F3F6"/>
            </w:tcBorders>
            <w:shd w:val="clear" w:color="auto" w:fill="E3F3F6"/>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3F3F6"/>
            </w:tcBorders>
            <w:shd w:val="clear" w:color="auto" w:fill="E3F3F6"/>
          </w:tcPr>
          <w:p>
            <w:pPr>
              <w:jc w:val="right"/>
              <w:ind w:right="159"/>
              <w:spacing w:after="0"/>
              <w:rPr>
                <w:sz w:val="20"/>
                <w:szCs w:val="20"/>
                <w:color w:val="auto"/>
              </w:rPr>
            </w:pPr>
            <w:r>
              <w:rPr>
                <w:rFonts w:ascii="Arial" w:cs="Arial" w:eastAsia="Arial" w:hAnsi="Arial"/>
                <w:sz w:val="16"/>
                <w:szCs w:val="16"/>
                <w:color w:val="auto"/>
              </w:rPr>
              <w:t>598,500</w:t>
            </w:r>
          </w:p>
        </w:tc>
        <w:tc>
          <w:tcPr>
            <w:tcW w:w="380" w:type="dxa"/>
            <w:vAlign w:val="bottom"/>
            <w:tcBorders>
              <w:bottom w:val="single" w:sz="8" w:color="E3F3F6"/>
            </w:tcBorders>
            <w:shd w:val="clear" w:color="auto" w:fill="E3F3F6"/>
          </w:tcPr>
          <w:p>
            <w:pPr>
              <w:ind w:lef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980,000</w:t>
            </w:r>
          </w:p>
        </w:tc>
        <w:tc>
          <w:tcPr>
            <w:tcW w:w="0" w:type="dxa"/>
            <w:vAlign w:val="bottom"/>
          </w:tcPr>
          <w:p>
            <w:pPr>
              <w:spacing w:after="0"/>
              <w:rPr>
                <w:sz w:val="1"/>
                <w:szCs w:val="1"/>
                <w:color w:val="auto"/>
              </w:rPr>
            </w:pPr>
          </w:p>
        </w:tc>
      </w:tr>
      <w:tr>
        <w:trPr>
          <w:trHeight w:val="20"/>
        </w:trPr>
        <w:tc>
          <w:tcPr>
            <w:tcW w:w="3740" w:type="dxa"/>
            <w:vAlign w:val="bottom"/>
            <w:shd w:val="clear" w:color="auto" w:fill="003B71"/>
          </w:tcPr>
          <w:p>
            <w:pPr>
              <w:spacing w:after="0" w:line="20" w:lineRule="exact"/>
              <w:rPr>
                <w:sz w:val="1"/>
                <w:szCs w:val="1"/>
                <w:color w:val="auto"/>
              </w:rPr>
            </w:pPr>
          </w:p>
        </w:tc>
        <w:tc>
          <w:tcPr>
            <w:tcW w:w="2540" w:type="dxa"/>
            <w:vAlign w:val="bottom"/>
            <w:shd w:val="clear" w:color="auto" w:fill="003B71"/>
          </w:tcPr>
          <w:p>
            <w:pPr>
              <w:spacing w:after="0" w:line="20" w:lineRule="exact"/>
              <w:rPr>
                <w:sz w:val="1"/>
                <w:szCs w:val="1"/>
                <w:color w:val="auto"/>
              </w:rPr>
            </w:pPr>
          </w:p>
        </w:tc>
        <w:tc>
          <w:tcPr>
            <w:tcW w:w="960" w:type="dxa"/>
            <w:vAlign w:val="bottom"/>
            <w:shd w:val="clear" w:color="auto" w:fill="003B71"/>
          </w:tcPr>
          <w:p>
            <w:pPr>
              <w:spacing w:after="0" w:line="20" w:lineRule="exact"/>
              <w:rPr>
                <w:sz w:val="1"/>
                <w:szCs w:val="1"/>
                <w:color w:val="auto"/>
              </w:rPr>
            </w:pPr>
          </w:p>
        </w:tc>
        <w:tc>
          <w:tcPr>
            <w:tcW w:w="1360" w:type="dxa"/>
            <w:vAlign w:val="bottom"/>
            <w:shd w:val="clear" w:color="auto" w:fill="003B71"/>
          </w:tcPr>
          <w:p>
            <w:pPr>
              <w:spacing w:after="0" w:line="20" w:lineRule="exact"/>
              <w:rPr>
                <w:sz w:val="1"/>
                <w:szCs w:val="1"/>
                <w:color w:val="auto"/>
              </w:rPr>
            </w:pPr>
          </w:p>
        </w:tc>
        <w:tc>
          <w:tcPr>
            <w:tcW w:w="320" w:type="dxa"/>
            <w:vAlign w:val="bottom"/>
            <w:shd w:val="clear" w:color="auto" w:fill="003B71"/>
          </w:tcPr>
          <w:p>
            <w:pPr>
              <w:spacing w:after="0" w:line="20" w:lineRule="exact"/>
              <w:rPr>
                <w:sz w:val="1"/>
                <w:szCs w:val="1"/>
                <w:color w:val="auto"/>
              </w:rPr>
            </w:pPr>
          </w:p>
        </w:tc>
        <w:tc>
          <w:tcPr>
            <w:tcW w:w="1000" w:type="dxa"/>
            <w:vAlign w:val="bottom"/>
            <w:shd w:val="clear" w:color="auto" w:fill="003B71"/>
          </w:tcPr>
          <w:p>
            <w:pPr>
              <w:spacing w:after="0" w:line="20" w:lineRule="exact"/>
              <w:rPr>
                <w:sz w:val="1"/>
                <w:szCs w:val="1"/>
                <w:color w:val="auto"/>
              </w:rPr>
            </w:pPr>
          </w:p>
        </w:tc>
        <w:tc>
          <w:tcPr>
            <w:tcW w:w="380" w:type="dxa"/>
            <w:vAlign w:val="bottom"/>
            <w:shd w:val="clear" w:color="auto" w:fill="003B71"/>
          </w:tcPr>
          <w:p>
            <w:pPr>
              <w:spacing w:after="0" w:line="20" w:lineRule="exact"/>
              <w:rPr>
                <w:sz w:val="1"/>
                <w:szCs w:val="1"/>
                <w:color w:val="auto"/>
              </w:rPr>
            </w:pPr>
          </w:p>
        </w:tc>
        <w:tc>
          <w:tcPr>
            <w:tcW w:w="720" w:type="dxa"/>
            <w:vAlign w:val="bottom"/>
            <w:shd w:val="clear" w:color="auto" w:fill="003B7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540" w:right="20" w:hanging="424"/>
        <w:spacing w:after="0" w:line="251"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LTI awards were granted on February 25, 2020 for services provided during fiscal year 2019. Mr. Arnold received 70% of his LTI award as PSUs and 30% as RSUs. The remaining NEOs received 60% of their awards as PSUs and 40% as RSUs. PSUs are eligible to become earned and vested based on the achievement of performance criteria over a three-year period, as described above. RSUs are scheduled to vest in equal annual installments over a three-year period.</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Long-Term Incentive Awards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11233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11233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Because the NEO LTI awards described in the table above were granted in 2020, they are not reflected in our Summary Compensation table or Grants of Plan-Based Awards 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Payout of 2017 PSUs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March 2017, the Compensation Committee granted PSUs with terms substantially similar to the 2019 PSUs described above. Each of Messrs. Arnold and Audette received an award of PSUs in 2017, the Performance Period for which ended on December 31, 2019. The Company’s TSR during such Performance Period ranked in the 97th percentile of the Comparator Group, which resulted in a number of earned PSUs of 200% of the target award for each of Messrs. Arnold and Audette. The earned PSUs vested on March 13,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003B71"/>
        </w:rPr>
        <w:t>Effect of Termination of Employment and Retirement on Equity Awards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Unvested stock options, RSUs and PSUs generally are forfeited if an NEO voluntarily leaves the Company other than upon retirement. In the event of retirement, stock options and RSUs will become fully vested, stock options will generally remain exercisable for a period of two years following termination and PSUs will generally remain outstanding and eligible to become earned PSUs in accordance with the terms of the award. “Retirement” means the termination of employment other than for cause following either:</w:t>
      </w:r>
    </w:p>
    <w:p>
      <w:pPr>
        <w:spacing w:after="0" w:line="189"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attainment of age 65 and completion of five years of continuous service with the Company; or</w:t>
      </w:r>
    </w:p>
    <w:p>
      <w:pPr>
        <w:spacing w:after="0" w:line="223"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attainment of age 55 and completion of ten years of continuous service with the Company.</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Arnold has attained the age of 55 and completed more than ten years of continuous service with the Company.</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5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003B71"/>
        </w:rPr>
        <w:t>41</w:t>
      </w:r>
    </w:p>
    <w:p>
      <w:pPr>
        <w:sectPr>
          <w:pgSz w:w="11900" w:h="16838" w:orient="portrait"/>
          <w:cols w:equalWidth="0" w:num="2">
            <w:col w:w="10400" w:space="540"/>
            <w:col w:w="20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Additional Compensation Elements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Severance and Change-in-Control Benefits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Executive Perquisites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Executive perquisites are not a core component of our executive compensation program, however, we offer an executive health and wellness program as well as an executive financial services policy, pursuant to which NEOs are eligible to receive annual reimbursement of up to $15,000 for qualifying personal financial planning services. We also provide for reimbursement of relocation expenses in connection with an executive’s work-related relocation.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Other Compensation Components</w:t>
      </w:r>
    </w:p>
    <w:p>
      <w:pPr>
        <w:spacing w:after="0" w:line="21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003B71"/>
        </w:rPr>
        <w:t xml:space="preserve">401(k) Plan. </w:t>
      </w:r>
      <w:r>
        <w:rPr>
          <w:rFonts w:ascii="Arial" w:cs="Arial" w:eastAsia="Arial" w:hAnsi="Arial"/>
          <w:sz w:val="18"/>
          <w:szCs w:val="18"/>
          <w:color w:val="000000"/>
        </w:rPr>
        <w:t>We maintain a retirement savings plan (the “401(k)</w:t>
      </w:r>
      <w:r>
        <w:rPr>
          <w:rFonts w:ascii="Arial" w:cs="Arial" w:eastAsia="Arial" w:hAnsi="Arial"/>
          <w:sz w:val="18"/>
          <w:szCs w:val="18"/>
          <w:i w:val="1"/>
          <w:iCs w:val="1"/>
          <w:color w:val="003B71"/>
        </w:rPr>
        <w:t xml:space="preserve"> </w:t>
      </w:r>
      <w:r>
        <w:rPr>
          <w:rFonts w:ascii="Arial" w:cs="Arial" w:eastAsia="Arial" w:hAnsi="Arial"/>
          <w:sz w:val="18"/>
          <w:szCs w:val="18"/>
          <w:color w:val="000000"/>
        </w:rPr>
        <w:t>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We provide this benefit to all of our eligible employees, and it is provided to our NEOs on the same basis as all other eligible employees.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003B71"/>
        </w:rPr>
        <w:t xml:space="preserve">Nonqualified Deferred Compensation. </w:t>
      </w:r>
      <w:r>
        <w:rPr>
          <w:rFonts w:ascii="Arial" w:cs="Arial" w:eastAsia="Arial" w:hAnsi="Arial"/>
          <w:sz w:val="18"/>
          <w:szCs w:val="18"/>
          <w:color w:val="000000"/>
        </w:rPr>
        <w:t>Mr. Arnold participates in our</w:t>
      </w:r>
      <w:r>
        <w:rPr>
          <w:rFonts w:ascii="Arial" w:cs="Arial" w:eastAsia="Arial" w:hAnsi="Arial"/>
          <w:sz w:val="18"/>
          <w:szCs w:val="18"/>
          <w:i w:val="1"/>
          <w:iCs w:val="1"/>
          <w:color w:val="003B71"/>
        </w:rPr>
        <w:t xml:space="preserve"> </w:t>
      </w:r>
      <w:r>
        <w:rPr>
          <w:rFonts w:ascii="Arial" w:cs="Arial" w:eastAsia="Arial" w:hAnsi="Arial"/>
          <w:sz w:val="18"/>
          <w:szCs w:val="18"/>
          <w:color w:val="000000"/>
        </w:rPr>
        <w:t>Executive Nonqualified Excess Plan (the “Deferred Compensation Plan”). The Deferred Compensation Plan allows certain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which, depending on the individual’s election, may be a separation from service, disability (as defined in the Deferred Compensation Plan), death, a change-in-control event (as defined in the Deferred Compensation Plan), an unforeseeable emergency, or a specified date, or may be the earliest of one or more of these events.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Deferred amounts are credited with an investment return determined as if the amounts were invested in one or more investment funds made available by the Deferred Compensation Plan and selected by a participant. The amounts of compensation Mr. Arnold elected to defer under the Deferred Compensation Plan in 2019 are described in the table titled “</w:t>
      </w:r>
      <w:r>
        <w:rPr>
          <w:rFonts w:ascii="Arial" w:cs="Arial" w:eastAsia="Arial" w:hAnsi="Arial"/>
          <w:sz w:val="18"/>
          <w:szCs w:val="18"/>
          <w:i w:val="1"/>
          <w:iCs w:val="1"/>
          <w:color w:val="000000"/>
        </w:rPr>
        <w:t>Nonqualified Deferred Compensation for the Year Ended</w:t>
      </w:r>
      <w:r>
        <w:rPr>
          <w:rFonts w:ascii="Arial" w:cs="Arial" w:eastAsia="Arial" w:hAnsi="Arial"/>
          <w:sz w:val="18"/>
          <w:szCs w:val="18"/>
          <w:color w:val="000000"/>
        </w:rPr>
        <w:t xml:space="preserve"> </w:t>
      </w:r>
      <w:r>
        <w:rPr>
          <w:rFonts w:ascii="Arial" w:cs="Arial" w:eastAsia="Arial" w:hAnsi="Arial"/>
          <w:sz w:val="18"/>
          <w:szCs w:val="18"/>
          <w:i w:val="1"/>
          <w:iCs w:val="1"/>
          <w:color w:val="000000"/>
        </w:rPr>
        <w:t>December 31, 2019.”</w:t>
      </w:r>
    </w:p>
    <w:p>
      <w:pPr>
        <w:spacing w:after="0" w:line="252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7"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 below shows the total 2019 compensation for our NEOs, by component.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NEO Compensation Mix</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151765</wp:posOffset>
            </wp:positionV>
            <wp:extent cx="5040630" cy="3214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40630" cy="32143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How Compensation Decisions Were Made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Role of Compensation Committee</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the Compensation Committee’s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CEO Assessment Process</w:t>
      </w:r>
    </w:p>
    <w:p>
      <w:pPr>
        <w:spacing w:after="0" w:line="23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At the beginning of each year, the chief executive officer sets and reviews with the Board his priorities based on the corporate goals approved by our Board and additional feedback from our non-employee directors. For 2019, Mr. Arnold’s priorities related to the Company’s strategic direction, cultural transformation and accountability for execution, as well as personal development goals related to his position as chief executive officer.</w:t>
      </w:r>
    </w:p>
    <w:p>
      <w:pPr>
        <w:spacing w:after="0" w:line="20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w:t>
      </w:r>
    </w:p>
    <w:p>
      <w:pPr>
        <w:spacing w:after="0" w:line="101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7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003B71"/>
        </w:rPr>
        <w:t>43</w:t>
      </w:r>
    </w:p>
    <w:p>
      <w:pPr>
        <w:sectPr>
          <w:pgSz w:w="11900" w:h="16838" w:orient="portrait"/>
          <w:cols w:equalWidth="0" w:num="2">
            <w:col w:w="10400" w:space="540"/>
            <w:col w:w="20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Role of Executive Officers</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Prior to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compensation-setting purposes. These objectives are derived largely from the Company’s annual financial and strategic planning sessions, and are prioritized and aligned with the Company’s long-term strategic plan. The objectives include both quantitative financial and operating metrics and operational deliverables and goals. The chief executive officer and the chief financial officer provide quarterly reports to the Compensation Committee assessing the Company’s performance against the corporate goals and objectives.</w:t>
      </w:r>
    </w:p>
    <w:p>
      <w:pPr>
        <w:spacing w:after="0" w:line="21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Both the chief executive officer and the chief human capital officer leave the meetings during discussions of compensation actions affecting them personally.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Role of Compensation Consultant</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has the authority to engage its own advisors to assist it in carrying out its responsibilities. The Compensation Committee has</w:t>
      </w:r>
    </w:p>
    <w:p>
      <w:pPr>
        <w:spacing w:after="0" w:line="262" w:lineRule="exact"/>
        <w:rPr>
          <w:sz w:val="20"/>
          <w:szCs w:val="20"/>
          <w:color w:val="auto"/>
        </w:rPr>
      </w:pPr>
    </w:p>
    <w:p>
      <w:pPr>
        <w:ind w:left="960" w:hanging="700"/>
        <w:spacing w:after="0"/>
        <w:tabs>
          <w:tab w:leader="none" w:pos="960" w:val="left"/>
        </w:tabs>
        <w:numPr>
          <w:ilvl w:val="0"/>
          <w:numId w:val="48"/>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engaged the Compensation Consultant to advise on compensation matters and provide experiential guidance on what is considered fair and competitive practice in our industry, primarily with respect to the compensation of our executive officers, and also with respect to director compensation.</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In 2019, the Compensation Consultant worked directly with the Compensation Committee to develop recommendations for compensation levels for our executive officers and non-employee directors. In addition, the Compensation Consultant provided competitive compensation program data and policy data as well as information concerning compensation plan design. Finally, the Compensation Consultant conducted a risk assessment of the Company’s executive compensation policies and practices.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Benchmarking</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2019, the Compensation Committee engaged the Compensation Consultant to prepare analyses to benchmark and assess our overall compensation program and practices against marketplace standards. The Compensation Committee’s purpose in requesting these analyses was to ensure that the Company’s executive compensation practices are competitive with our peers, as well as other companies, including technology companies, with which we increasingly compete for talent.</w:t>
      </w:r>
    </w:p>
    <w:p>
      <w:pPr>
        <w:spacing w:after="0" w:line="20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Working with the Compensation Consultant, the Compensation Committee reviewed each NEO’s total target compensation against the compensation levels of comparable positions within our peer group. In addition to peer group data, the Compensation Committee also reviewed pay data from Equilar’s Executive Compensation survey covering financial services and investment services companies, as well</w:t>
      </w:r>
    </w:p>
    <w:p>
      <w:pPr>
        <w:sectPr>
          <w:pgSz w:w="11900" w:h="16838" w:orient="portrait"/>
          <w:cols w:equalWidth="0" w:num="2">
            <w:col w:w="5400" w:space="340"/>
            <w:col w:w="5400"/>
          </w:cols>
          <w:pgMar w:left="32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as supplemental market data from asset management, data processing and investment firms.</w:t>
      </w:r>
    </w:p>
    <w:p>
      <w:pPr>
        <w:spacing w:after="0" w:line="197"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At the beginning of 2019, the companies within our peer group consisted of:</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Alliance Data Systems,</w:t>
            </w:r>
          </w:p>
        </w:tc>
        <w:tc>
          <w:tcPr>
            <w:tcW w:w="5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Fidelity National Information</w:t>
            </w:r>
          </w:p>
        </w:tc>
      </w:tr>
      <w:tr>
        <w:trPr>
          <w:trHeight w:val="195"/>
        </w:trPr>
        <w:tc>
          <w:tcPr>
            <w:tcW w:w="28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Corp.</w:t>
            </w:r>
          </w:p>
        </w:tc>
        <w:tc>
          <w:tcPr>
            <w:tcW w:w="56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Systems</w:t>
            </w:r>
          </w:p>
        </w:tc>
      </w:tr>
      <w:tr>
        <w:trPr>
          <w:trHeight w:val="261"/>
        </w:trPr>
        <w:tc>
          <w:tcPr>
            <w:tcW w:w="280" w:type="dxa"/>
            <w:vAlign w:val="bottom"/>
          </w:tcPr>
          <w:p>
            <w:pPr>
              <w:spacing w:after="0"/>
              <w:rPr>
                <w:sz w:val="22"/>
                <w:szCs w:val="22"/>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Ameriprise Financial, Inc.</w:t>
            </w:r>
          </w:p>
        </w:tc>
        <w:tc>
          <w:tcPr>
            <w:tcW w:w="560" w:type="dxa"/>
            <w:vAlign w:val="bottom"/>
          </w:tcPr>
          <w:p>
            <w:pPr>
              <w:spacing w:after="0"/>
              <w:rPr>
                <w:sz w:val="22"/>
                <w:szCs w:val="22"/>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Fiserv, Inc.</w:t>
            </w:r>
          </w:p>
        </w:tc>
      </w:tr>
      <w:tr>
        <w:trPr>
          <w:trHeight w:val="233"/>
        </w:trPr>
        <w:tc>
          <w:tcPr>
            <w:tcW w:w="28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Broadridge Financial</w:t>
            </w:r>
          </w:p>
        </w:tc>
        <w:tc>
          <w:tcPr>
            <w:tcW w:w="56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Raymond James</w:t>
            </w:r>
          </w:p>
        </w:tc>
      </w:tr>
      <w:tr>
        <w:trPr>
          <w:trHeight w:val="195"/>
        </w:trPr>
        <w:tc>
          <w:tcPr>
            <w:tcW w:w="28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Solutions, Inc.</w:t>
            </w:r>
          </w:p>
        </w:tc>
        <w:tc>
          <w:tcPr>
            <w:tcW w:w="56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Financial, Inc.</w:t>
            </w:r>
          </w:p>
        </w:tc>
      </w:tr>
      <w:tr>
        <w:trPr>
          <w:trHeight w:val="237"/>
        </w:trPr>
        <w:tc>
          <w:tcPr>
            <w:tcW w:w="28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Charles Schwab &amp; Co.,</w:t>
            </w:r>
          </w:p>
        </w:tc>
        <w:tc>
          <w:tcPr>
            <w:tcW w:w="56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SEI Investments</w:t>
            </w:r>
          </w:p>
        </w:tc>
      </w:tr>
      <w:tr>
        <w:trPr>
          <w:trHeight w:val="195"/>
        </w:trPr>
        <w:tc>
          <w:tcPr>
            <w:tcW w:w="28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Inc.</w:t>
            </w:r>
          </w:p>
        </w:tc>
        <w:tc>
          <w:tcPr>
            <w:tcW w:w="56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Company</w:t>
            </w:r>
          </w:p>
        </w:tc>
      </w:tr>
      <w:tr>
        <w:trPr>
          <w:trHeight w:val="261"/>
        </w:trPr>
        <w:tc>
          <w:tcPr>
            <w:tcW w:w="280" w:type="dxa"/>
            <w:vAlign w:val="bottom"/>
          </w:tcPr>
          <w:p>
            <w:pPr>
              <w:spacing w:after="0"/>
              <w:rPr>
                <w:sz w:val="22"/>
                <w:szCs w:val="22"/>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DST Systems, Inc.</w:t>
            </w:r>
          </w:p>
        </w:tc>
        <w:tc>
          <w:tcPr>
            <w:tcW w:w="560" w:type="dxa"/>
            <w:vAlign w:val="bottom"/>
          </w:tcPr>
          <w:p>
            <w:pPr>
              <w:spacing w:after="0"/>
              <w:rPr>
                <w:sz w:val="22"/>
                <w:szCs w:val="22"/>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Stifel Financial Corp.</w:t>
            </w:r>
          </w:p>
        </w:tc>
      </w:tr>
      <w:tr>
        <w:trPr>
          <w:trHeight w:val="285"/>
        </w:trPr>
        <w:tc>
          <w:tcPr>
            <w:tcW w:w="280" w:type="dxa"/>
            <w:vAlign w:val="bottom"/>
          </w:tcPr>
          <w:p>
            <w:pPr>
              <w:spacing w:after="0"/>
              <w:rPr>
                <w:sz w:val="24"/>
                <w:szCs w:val="24"/>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E*Trade Financial Corp</w:t>
            </w:r>
          </w:p>
        </w:tc>
        <w:tc>
          <w:tcPr>
            <w:tcW w:w="56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TD Ameritrade Holding</w:t>
            </w:r>
          </w:p>
        </w:tc>
      </w:tr>
      <w:tr>
        <w:trPr>
          <w:trHeight w:val="149"/>
        </w:trPr>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tcPr>
          <w:p>
            <w:pPr>
              <w:ind w:left="60"/>
              <w:spacing w:after="0" w:line="149" w:lineRule="exact"/>
              <w:rPr>
                <w:sz w:val="20"/>
                <w:szCs w:val="20"/>
                <w:color w:val="auto"/>
              </w:rPr>
            </w:pPr>
            <w:r>
              <w:rPr>
                <w:rFonts w:ascii="Arial" w:cs="Arial" w:eastAsia="Arial" w:hAnsi="Arial"/>
                <w:sz w:val="16"/>
                <w:szCs w:val="16"/>
                <w:color w:val="auto"/>
              </w:rPr>
              <w:t>Corporation</w:t>
            </w:r>
          </w:p>
        </w:tc>
      </w:tr>
      <w:tr>
        <w:trPr>
          <w:trHeight w:val="231"/>
        </w:trPr>
        <w:tc>
          <w:tcPr>
            <w:tcW w:w="28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Eaton Vance Corp.</w:t>
            </w:r>
          </w:p>
        </w:tc>
        <w:tc>
          <w:tcPr>
            <w:tcW w:w="56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Waddell &amp; Reed Financial,</w:t>
            </w:r>
          </w:p>
        </w:tc>
      </w:tr>
      <w:tr>
        <w:trPr>
          <w:trHeight w:val="195"/>
        </w:trPr>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auto"/>
              </w:rPr>
              <w:t>Inc.</w:t>
            </w:r>
          </w:p>
        </w:tc>
      </w:tr>
    </w:tbl>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chart below compares the 2019 revenues and market capitalization as of December 31, 2019 of the Company and the median of the peer group above (in billions):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003B71"/>
              </w:rPr>
              <w:t>Market</w:t>
            </w:r>
          </w:p>
        </w:tc>
      </w:tr>
      <w:tr>
        <w:trPr>
          <w:trHeight w:val="207"/>
        </w:trPr>
        <w:tc>
          <w:tcPr>
            <w:tcW w:w="2380" w:type="dxa"/>
            <w:vAlign w:val="bottom"/>
            <w:tcBorders>
              <w:bottom w:val="single" w:sz="8" w:color="003B71"/>
            </w:tcBorders>
          </w:tcPr>
          <w:p>
            <w:pPr>
              <w:spacing w:after="0"/>
              <w:rPr>
                <w:sz w:val="18"/>
                <w:szCs w:val="18"/>
                <w:color w:val="auto"/>
              </w:rPr>
            </w:pPr>
          </w:p>
        </w:tc>
        <w:tc>
          <w:tcPr>
            <w:tcW w:w="1440" w:type="dxa"/>
            <w:vAlign w:val="bottom"/>
            <w:tcBorders>
              <w:bottom w:val="single" w:sz="8" w:color="003B71"/>
            </w:tcBorders>
            <w:gridSpan w:val="2"/>
          </w:tcPr>
          <w:p>
            <w:pPr>
              <w:ind w:left="440"/>
              <w:spacing w:after="0"/>
              <w:rPr>
                <w:sz w:val="20"/>
                <w:szCs w:val="20"/>
                <w:color w:val="auto"/>
              </w:rPr>
            </w:pPr>
            <w:r>
              <w:rPr>
                <w:rFonts w:ascii="Arial" w:cs="Arial" w:eastAsia="Arial" w:hAnsi="Arial"/>
                <w:sz w:val="16"/>
                <w:szCs w:val="16"/>
                <w:b w:val="1"/>
                <w:bCs w:val="1"/>
                <w:color w:val="003B71"/>
              </w:rPr>
              <w:t>Revenue</w:t>
            </w:r>
          </w:p>
        </w:tc>
        <w:tc>
          <w:tcPr>
            <w:tcW w:w="1460" w:type="dxa"/>
            <w:vAlign w:val="bottom"/>
            <w:tcBorders>
              <w:bottom w:val="single" w:sz="8" w:color="003B71"/>
            </w:tcBorders>
            <w:gridSpan w:val="2"/>
          </w:tcPr>
          <w:p>
            <w:pPr>
              <w:ind w:left="340"/>
              <w:spacing w:after="0"/>
              <w:rPr>
                <w:sz w:val="20"/>
                <w:szCs w:val="20"/>
                <w:color w:val="auto"/>
              </w:rPr>
            </w:pPr>
            <w:r>
              <w:rPr>
                <w:rFonts w:ascii="Arial" w:cs="Arial" w:eastAsia="Arial" w:hAnsi="Arial"/>
                <w:sz w:val="16"/>
                <w:szCs w:val="16"/>
                <w:b w:val="1"/>
                <w:bCs w:val="1"/>
                <w:color w:val="003B71"/>
              </w:rPr>
              <w:t>Capitalization</w:t>
            </w:r>
          </w:p>
        </w:tc>
      </w:tr>
      <w:tr>
        <w:trPr>
          <w:trHeight w:val="216"/>
        </w:trPr>
        <w:tc>
          <w:tcPr>
            <w:tcW w:w="238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Peer Group (Median)</w:t>
            </w:r>
          </w:p>
        </w:tc>
        <w:tc>
          <w:tcPr>
            <w:tcW w:w="700" w:type="dxa"/>
            <w:vAlign w:val="bottom"/>
            <w:tcBorders>
              <w:bottom w:val="single" w:sz="8" w:color="E3F3F6"/>
            </w:tcBorders>
            <w:shd w:val="clear" w:color="auto" w:fill="E3F3F6"/>
          </w:tcPr>
          <w:p>
            <w:pPr>
              <w:ind w:left="4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3F3F6"/>
            </w:tcBorders>
            <w:shd w:val="clear" w:color="auto" w:fill="E3F3F6"/>
          </w:tcPr>
          <w:p>
            <w:pPr>
              <w:jc w:val="right"/>
              <w:ind w:right="239"/>
              <w:spacing w:after="0"/>
              <w:rPr>
                <w:sz w:val="20"/>
                <w:szCs w:val="20"/>
                <w:color w:val="auto"/>
              </w:rPr>
            </w:pPr>
            <w:r>
              <w:rPr>
                <w:rFonts w:ascii="Arial" w:cs="Arial" w:eastAsia="Arial" w:hAnsi="Arial"/>
                <w:sz w:val="16"/>
                <w:szCs w:val="16"/>
                <w:color w:val="auto"/>
              </w:rPr>
              <w:t>5.6</w:t>
            </w:r>
          </w:p>
        </w:tc>
        <w:tc>
          <w:tcPr>
            <w:tcW w:w="520" w:type="dxa"/>
            <w:vAlign w:val="bottom"/>
            <w:tcBorders>
              <w:bottom w:val="single" w:sz="8" w:color="E3F3F6"/>
            </w:tcBorders>
            <w:shd w:val="clear" w:color="auto" w:fill="E3F3F6"/>
          </w:tcPr>
          <w:p>
            <w:pPr>
              <w:ind w:left="3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12.4</w:t>
            </w:r>
          </w:p>
        </w:tc>
      </w:tr>
      <w:tr>
        <w:trPr>
          <w:trHeight w:val="197"/>
        </w:trPr>
        <w:tc>
          <w:tcPr>
            <w:tcW w:w="2380" w:type="dxa"/>
            <w:vAlign w:val="bottom"/>
          </w:tcPr>
          <w:p>
            <w:pPr>
              <w:spacing w:after="0"/>
              <w:rPr>
                <w:sz w:val="20"/>
                <w:szCs w:val="20"/>
                <w:color w:val="auto"/>
              </w:rPr>
            </w:pPr>
            <w:r>
              <w:rPr>
                <w:rFonts w:ascii="Arial" w:cs="Arial" w:eastAsia="Arial" w:hAnsi="Arial"/>
                <w:sz w:val="16"/>
                <w:szCs w:val="16"/>
                <w:color w:val="auto"/>
              </w:rPr>
              <w:t>LPL Financial Holdings Inc.</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5.6</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47"/>
        </w:trPr>
        <w:tc>
          <w:tcPr>
            <w:tcW w:w="2380" w:type="dxa"/>
            <w:vAlign w:val="bottom"/>
            <w:tcBorders>
              <w:bottom w:val="single" w:sz="8" w:color="003B71"/>
            </w:tcBorders>
          </w:tcPr>
          <w:p>
            <w:pPr>
              <w:spacing w:after="0"/>
              <w:rPr>
                <w:sz w:val="4"/>
                <w:szCs w:val="4"/>
                <w:color w:val="auto"/>
              </w:rPr>
            </w:pPr>
          </w:p>
        </w:tc>
        <w:tc>
          <w:tcPr>
            <w:tcW w:w="700" w:type="dxa"/>
            <w:vAlign w:val="bottom"/>
            <w:tcBorders>
              <w:bottom w:val="single" w:sz="8" w:color="003B71"/>
            </w:tcBorders>
          </w:tcPr>
          <w:p>
            <w:pPr>
              <w:spacing w:after="0"/>
              <w:rPr>
                <w:sz w:val="4"/>
                <w:szCs w:val="4"/>
                <w:color w:val="auto"/>
              </w:rPr>
            </w:pPr>
          </w:p>
        </w:tc>
        <w:tc>
          <w:tcPr>
            <w:tcW w:w="740" w:type="dxa"/>
            <w:vAlign w:val="bottom"/>
            <w:tcBorders>
              <w:bottom w:val="single" w:sz="8" w:color="003B71"/>
            </w:tcBorders>
          </w:tcPr>
          <w:p>
            <w:pPr>
              <w:spacing w:after="0"/>
              <w:rPr>
                <w:sz w:val="4"/>
                <w:szCs w:val="4"/>
                <w:color w:val="auto"/>
              </w:rPr>
            </w:pPr>
          </w:p>
        </w:tc>
        <w:tc>
          <w:tcPr>
            <w:tcW w:w="520" w:type="dxa"/>
            <w:vAlign w:val="bottom"/>
            <w:tcBorders>
              <w:bottom w:val="single" w:sz="8" w:color="003B71"/>
            </w:tcBorders>
          </w:tcPr>
          <w:p>
            <w:pPr>
              <w:spacing w:after="0"/>
              <w:rPr>
                <w:sz w:val="4"/>
                <w:szCs w:val="4"/>
                <w:color w:val="auto"/>
              </w:rPr>
            </w:pPr>
          </w:p>
        </w:tc>
        <w:tc>
          <w:tcPr>
            <w:tcW w:w="940" w:type="dxa"/>
            <w:vAlign w:val="bottom"/>
            <w:tcBorders>
              <w:bottom w:val="single" w:sz="8" w:color="003B71"/>
            </w:tcBorders>
          </w:tcPr>
          <w:p>
            <w:pPr>
              <w:spacing w:after="0"/>
              <w:rPr>
                <w:sz w:val="4"/>
                <w:szCs w:val="4"/>
                <w:color w:val="auto"/>
              </w:rPr>
            </w:pPr>
          </w:p>
        </w:tc>
      </w:tr>
    </w:tbl>
    <w:p>
      <w:pPr>
        <w:spacing w:after="0" w:line="21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conducted a focused review of the composition of the Company’s peer group during 2019, including consideration of additional candidates for potential inclusion in the group. With the assistance of the Compensation Consultant, the Compensation Committee assessed these additional candidates in light of:</w:t>
      </w:r>
    </w:p>
    <w:p>
      <w:pPr>
        <w:spacing w:after="0" w:line="110" w:lineRule="exact"/>
        <w:rPr>
          <w:sz w:val="20"/>
          <w:szCs w:val="20"/>
          <w:color w:val="auto"/>
        </w:rPr>
      </w:pPr>
    </w:p>
    <w:p>
      <w:pPr>
        <w:jc w:val="both"/>
        <w:ind w:left="820" w:hanging="38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nature of the Company’s business model and its strategic plan, including its technology-driven capabilities strategy;</w:t>
      </w:r>
    </w:p>
    <w:p>
      <w:pPr>
        <w:spacing w:after="0" w:line="108"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companies and industries with which the Company competes for executive talent; and</w:t>
      </w:r>
    </w:p>
    <w:p>
      <w:pPr>
        <w:spacing w:after="0" w:line="102" w:lineRule="exact"/>
        <w:rPr>
          <w:rFonts w:ascii="Arial" w:cs="Arial" w:eastAsia="Arial" w:hAnsi="Arial"/>
          <w:sz w:val="18"/>
          <w:szCs w:val="18"/>
          <w:color w:val="auto"/>
        </w:rPr>
      </w:pPr>
    </w:p>
    <w:p>
      <w:pPr>
        <w:ind w:left="820" w:right="20" w:hanging="380"/>
        <w:spacing w:after="0" w:line="246"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considerations related to the candidates’ respective industry, size and business operations.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Following this assessment, the Compensation Committee determined to:</w:t>
      </w:r>
    </w:p>
    <w:p>
      <w:pPr>
        <w:spacing w:after="0" w:line="102" w:lineRule="exact"/>
        <w:rPr>
          <w:sz w:val="20"/>
          <w:szCs w:val="20"/>
          <w:color w:val="auto"/>
        </w:rPr>
      </w:pPr>
    </w:p>
    <w:p>
      <w:pPr>
        <w:jc w:val="both"/>
        <w:ind w:left="700" w:right="20" w:hanging="382"/>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remove DST Systems, Inc., Fidelity National Information Systems and Fiserv, Inc. from the peer group as a result of merger and acquisition activity; and</w:t>
      </w:r>
    </w:p>
    <w:p>
      <w:pPr>
        <w:spacing w:after="0" w:line="108" w:lineRule="exact"/>
        <w:rPr>
          <w:rFonts w:ascii="Arial" w:cs="Arial" w:eastAsia="Arial" w:hAnsi="Arial"/>
          <w:sz w:val="18"/>
          <w:szCs w:val="18"/>
          <w:color w:val="auto"/>
        </w:rPr>
      </w:pPr>
    </w:p>
    <w:p>
      <w:pPr>
        <w:ind w:left="700" w:right="20" w:hanging="382"/>
        <w:spacing w:after="0" w:line="246"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 Invesco Ltd., Legg Mason, Inc. and SS&amp;C Technologies Holdings Inc.</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chart below compares the 2019 revenues and market capitalization as of December 31, 2019 of the Company and the median of this amended peer group above (in billions):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003B71"/>
              </w:rPr>
              <w:t>Market</w:t>
            </w:r>
          </w:p>
        </w:tc>
      </w:tr>
      <w:tr>
        <w:trPr>
          <w:trHeight w:val="207"/>
        </w:trPr>
        <w:tc>
          <w:tcPr>
            <w:tcW w:w="2420" w:type="dxa"/>
            <w:vAlign w:val="bottom"/>
            <w:tcBorders>
              <w:bottom w:val="single" w:sz="8" w:color="003B71"/>
            </w:tcBorders>
          </w:tcPr>
          <w:p>
            <w:pPr>
              <w:spacing w:after="0"/>
              <w:rPr>
                <w:sz w:val="18"/>
                <w:szCs w:val="18"/>
                <w:color w:val="auto"/>
              </w:rPr>
            </w:pPr>
          </w:p>
        </w:tc>
        <w:tc>
          <w:tcPr>
            <w:tcW w:w="1500" w:type="dxa"/>
            <w:vAlign w:val="bottom"/>
            <w:tcBorders>
              <w:bottom w:val="single" w:sz="8" w:color="003B71"/>
            </w:tcBorders>
            <w:gridSpan w:val="2"/>
          </w:tcPr>
          <w:p>
            <w:pPr>
              <w:ind w:left="480"/>
              <w:spacing w:after="0"/>
              <w:rPr>
                <w:sz w:val="20"/>
                <w:szCs w:val="20"/>
                <w:color w:val="auto"/>
              </w:rPr>
            </w:pPr>
            <w:r>
              <w:rPr>
                <w:rFonts w:ascii="Arial" w:cs="Arial" w:eastAsia="Arial" w:hAnsi="Arial"/>
                <w:sz w:val="16"/>
                <w:szCs w:val="16"/>
                <w:b w:val="1"/>
                <w:bCs w:val="1"/>
                <w:color w:val="003B71"/>
              </w:rPr>
              <w:t>Revenue</w:t>
            </w:r>
          </w:p>
        </w:tc>
        <w:tc>
          <w:tcPr>
            <w:tcW w:w="1480" w:type="dxa"/>
            <w:vAlign w:val="bottom"/>
            <w:tcBorders>
              <w:bottom w:val="single" w:sz="8" w:color="003B71"/>
            </w:tcBorders>
            <w:gridSpan w:val="2"/>
          </w:tcPr>
          <w:p>
            <w:pPr>
              <w:ind w:left="360"/>
              <w:spacing w:after="0"/>
              <w:rPr>
                <w:sz w:val="20"/>
                <w:szCs w:val="20"/>
                <w:color w:val="auto"/>
              </w:rPr>
            </w:pPr>
            <w:r>
              <w:rPr>
                <w:rFonts w:ascii="Arial" w:cs="Arial" w:eastAsia="Arial" w:hAnsi="Arial"/>
                <w:sz w:val="16"/>
                <w:szCs w:val="16"/>
                <w:b w:val="1"/>
                <w:bCs w:val="1"/>
                <w:color w:val="003B71"/>
              </w:rPr>
              <w:t>Capitalization</w:t>
            </w:r>
          </w:p>
        </w:tc>
      </w:tr>
      <w:tr>
        <w:trPr>
          <w:trHeight w:val="217"/>
        </w:trPr>
        <w:tc>
          <w:tcPr>
            <w:tcW w:w="2420" w:type="dxa"/>
            <w:vAlign w:val="bottom"/>
            <w:tcBorders>
              <w:bottom w:val="single" w:sz="8" w:color="E3F3F6"/>
            </w:tcBorders>
            <w:shd w:val="clear" w:color="auto" w:fill="E3F3F6"/>
          </w:tcPr>
          <w:p>
            <w:pPr>
              <w:spacing w:after="0"/>
              <w:rPr>
                <w:sz w:val="20"/>
                <w:szCs w:val="20"/>
                <w:color w:val="auto"/>
              </w:rPr>
            </w:pPr>
            <w:r>
              <w:rPr>
                <w:rFonts w:ascii="Arial" w:cs="Arial" w:eastAsia="Arial" w:hAnsi="Arial"/>
                <w:sz w:val="16"/>
                <w:szCs w:val="16"/>
                <w:color w:val="auto"/>
              </w:rPr>
              <w:t>Peer Group (Median)</w:t>
            </w:r>
          </w:p>
        </w:tc>
        <w:tc>
          <w:tcPr>
            <w:tcW w:w="740" w:type="dxa"/>
            <w:vAlign w:val="bottom"/>
            <w:tcBorders>
              <w:bottom w:val="single" w:sz="8" w:color="E3F3F6"/>
            </w:tcBorders>
            <w:shd w:val="clear" w:color="auto" w:fill="E3F3F6"/>
          </w:tcPr>
          <w:p>
            <w:pPr>
              <w:ind w:left="4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3F3F6"/>
            </w:tcBorders>
            <w:shd w:val="clear" w:color="auto" w:fill="E3F3F6"/>
          </w:tcPr>
          <w:p>
            <w:pPr>
              <w:jc w:val="right"/>
              <w:ind w:right="259"/>
              <w:spacing w:after="0"/>
              <w:rPr>
                <w:sz w:val="20"/>
                <w:szCs w:val="20"/>
                <w:color w:val="auto"/>
              </w:rPr>
            </w:pPr>
            <w:r>
              <w:rPr>
                <w:rFonts w:ascii="Arial" w:cs="Arial" w:eastAsia="Arial" w:hAnsi="Arial"/>
                <w:sz w:val="16"/>
                <w:szCs w:val="16"/>
                <w:color w:val="auto"/>
              </w:rPr>
              <w:t>4.5</w:t>
            </w:r>
          </w:p>
        </w:tc>
        <w:tc>
          <w:tcPr>
            <w:tcW w:w="520" w:type="dxa"/>
            <w:vAlign w:val="bottom"/>
            <w:tcBorders>
              <w:bottom w:val="single" w:sz="8" w:color="E3F3F6"/>
            </w:tcBorders>
            <w:shd w:val="clear" w:color="auto" w:fill="E3F3F6"/>
          </w:tcPr>
          <w:p>
            <w:pPr>
              <w:ind w:left="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3F3F6"/>
            </w:tcBorders>
            <w:shd w:val="clear" w:color="auto" w:fill="E3F3F6"/>
          </w:tcPr>
          <w:p>
            <w:pPr>
              <w:jc w:val="right"/>
              <w:spacing w:after="0"/>
              <w:rPr>
                <w:sz w:val="20"/>
                <w:szCs w:val="20"/>
                <w:color w:val="auto"/>
              </w:rPr>
            </w:pPr>
            <w:r>
              <w:rPr>
                <w:rFonts w:ascii="Arial" w:cs="Arial" w:eastAsia="Arial" w:hAnsi="Arial"/>
                <w:sz w:val="16"/>
                <w:szCs w:val="16"/>
                <w:color w:val="auto"/>
              </w:rPr>
              <w:t>10.0</w:t>
            </w: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LPL Financial Holdings Inc.</w:t>
            </w:r>
          </w:p>
        </w:tc>
        <w:tc>
          <w:tcPr>
            <w:tcW w:w="74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59"/>
              <w:spacing w:after="0"/>
              <w:rPr>
                <w:sz w:val="20"/>
                <w:szCs w:val="20"/>
                <w:color w:val="auto"/>
              </w:rPr>
            </w:pPr>
            <w:r>
              <w:rPr>
                <w:rFonts w:ascii="Arial" w:cs="Arial" w:eastAsia="Arial" w:hAnsi="Arial"/>
                <w:sz w:val="16"/>
                <w:szCs w:val="16"/>
                <w:color w:val="auto"/>
              </w:rPr>
              <w:t>5.6</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47"/>
        </w:trPr>
        <w:tc>
          <w:tcPr>
            <w:tcW w:w="2420" w:type="dxa"/>
            <w:vAlign w:val="bottom"/>
            <w:tcBorders>
              <w:bottom w:val="single" w:sz="8" w:color="003B71"/>
            </w:tcBorders>
          </w:tcPr>
          <w:p>
            <w:pPr>
              <w:spacing w:after="0"/>
              <w:rPr>
                <w:sz w:val="4"/>
                <w:szCs w:val="4"/>
                <w:color w:val="auto"/>
              </w:rPr>
            </w:pPr>
          </w:p>
        </w:tc>
        <w:tc>
          <w:tcPr>
            <w:tcW w:w="740" w:type="dxa"/>
            <w:vAlign w:val="bottom"/>
            <w:tcBorders>
              <w:bottom w:val="single" w:sz="8" w:color="003B71"/>
            </w:tcBorders>
          </w:tcPr>
          <w:p>
            <w:pPr>
              <w:spacing w:after="0"/>
              <w:rPr>
                <w:sz w:val="4"/>
                <w:szCs w:val="4"/>
                <w:color w:val="auto"/>
              </w:rPr>
            </w:pPr>
          </w:p>
        </w:tc>
        <w:tc>
          <w:tcPr>
            <w:tcW w:w="760" w:type="dxa"/>
            <w:vAlign w:val="bottom"/>
            <w:tcBorders>
              <w:bottom w:val="single" w:sz="8" w:color="003B71"/>
            </w:tcBorders>
          </w:tcPr>
          <w:p>
            <w:pPr>
              <w:spacing w:after="0"/>
              <w:rPr>
                <w:sz w:val="4"/>
                <w:szCs w:val="4"/>
                <w:color w:val="auto"/>
              </w:rPr>
            </w:pPr>
          </w:p>
        </w:tc>
        <w:tc>
          <w:tcPr>
            <w:tcW w:w="520" w:type="dxa"/>
            <w:vAlign w:val="bottom"/>
            <w:tcBorders>
              <w:bottom w:val="single" w:sz="8" w:color="003B71"/>
            </w:tcBorders>
          </w:tcPr>
          <w:p>
            <w:pPr>
              <w:spacing w:after="0"/>
              <w:rPr>
                <w:sz w:val="4"/>
                <w:szCs w:val="4"/>
                <w:color w:val="auto"/>
              </w:rPr>
            </w:pPr>
          </w:p>
        </w:tc>
        <w:tc>
          <w:tcPr>
            <w:tcW w:w="960" w:type="dxa"/>
            <w:vAlign w:val="bottom"/>
            <w:tcBorders>
              <w:bottom w:val="single" w:sz="8" w:color="003B71"/>
            </w:tcBorders>
          </w:tcPr>
          <w:p>
            <w:pPr>
              <w:spacing w:after="0"/>
              <w:rPr>
                <w:sz w:val="4"/>
                <w:szCs w:val="4"/>
                <w:color w:val="auto"/>
              </w:rPr>
            </w:pP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companies comprising our peer group change due to merger or acquisition activity, market capitalization, or business model, the Compensation Committee will continue to consider appropriate changes to the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Compensation Policies and Practices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No Employment Agreements</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Our executives serve at the will of the Board, and their rights to severance benefits following a termination of employment, if any, are determined under our Executive Severance Plan, which applies uniformly to executives at the managing director level and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Executive Severance Plan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1"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3B71"/>
        </w:rPr>
        <w:t>45</w:t>
      </w:r>
    </w:p>
    <w:p>
      <w:pPr>
        <w:sectPr>
          <w:pgSz w:w="11900" w:h="16838" w:orient="portrait"/>
          <w:cols w:equalWidth="0" w:num="2">
            <w:col w:w="10400" w:space="540"/>
            <w:col w:w="20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Additional benefits, including possible accelerated vesting of time-based equity and equity-based awards, are described elsewhere in this proxy statement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Change-in-Control for the Year Ended December 31, 2019</w:t>
      </w:r>
      <w:r>
        <w:rPr>
          <w:rFonts w:ascii="Arial" w:cs="Arial" w:eastAsia="Arial" w:hAnsi="Arial"/>
          <w:sz w:val="18"/>
          <w:szCs w:val="18"/>
          <w:color w:val="auto"/>
        </w:rPr>
        <w: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Equity Ownership Guidelines</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We have adopted equity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The after-tax spread value of all vested stock options, as well as all outstanding shares, held by the executive count as shares for purposes of satisfying the minimum ownership requirement. Unvested stock options, unvested PSUs and unvested RSUs do not count. Our equity ownership guidelines may be found on our website at www.lpl.com.</w:t>
      </w:r>
    </w:p>
    <w:p>
      <w:pPr>
        <w:spacing w:after="0" w:line="21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of March 9, 2020, Messrs. Arnold and Audette had satisfied the minimum stock ownership requirement pursuant to our guidelines. Mr. Seese, who joined the Company in 2017, Mr. Steinmeier, who joined the Company in 2018 and Mr. Semerjian, who joined the Company within the last year, have not satisfied this requirement. Under the stock ownership guidelines, an NEO is not required to purchase additional shares to satisfy the ownership requirement in the event of a decline in the Company’s stock price, but the NEO is generally prohibited from selling or transferring shares until the minimum ownership requirement has been achieved.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Anti-Hedging and Anti-Pledging Policy</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Rule 10b5-1 Plan Policy</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Annual Compensation Risk Assessment</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Compensation Committee annually reviews our executive compensation policies and practices to ensure that they do not encourage unnecessary and excessive risks. The Compensation Consultant provided a “comfort letter” in connection with the 2019 review, the results of which are discussed elsewhere in this proxy statement under “</w:t>
      </w:r>
      <w:r>
        <w:rPr>
          <w:rFonts w:ascii="Arial" w:cs="Arial" w:eastAsia="Arial" w:hAnsi="Arial"/>
          <w:sz w:val="18"/>
          <w:szCs w:val="18"/>
          <w:i w:val="1"/>
          <w:iCs w:val="1"/>
          <w:color w:val="auto"/>
        </w:rPr>
        <w:t>Information Regarding Board and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Structure—Risk Management and Compensation Policies and Practices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Say-on-Pay Feedback from Stockholders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2017,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In 2019, we received support for our NEO compensation program at our 2019 annual meeting of stockholders, as 98% of the total votes cast on the advisory vote on say-on-pay voted to approve the proposal.</w:t>
      </w:r>
    </w:p>
    <w:p>
      <w:pPr>
        <w:spacing w:after="0" w:line="795"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4"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003B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Impact of Tax Treatment on Compensation</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Section 162(m) of the Internal Revenue Code generally limits the deductibility of compensation in excess of $1 million paid to certain executive officers, subject to certain grandfathering rules for compensation arrangements in effect on November 2, 2017 and not materially modified thereafter. The Compensation Committee believes that its primary responsibility is to provide a compensation program that attracts, motivates and retains highly qualified executive officers who are passionate about the mission of our Company. Accordingly, the Compensation Committee has authorized and will continue to authorize compensation that is not tax deductible or otherwise limited as to tax deductibility in order to provide competitive levels of total compensation to our executive officers in a manner designed to incentivize achievement of our strategic goals and objectives.</w:t>
      </w:r>
    </w:p>
    <w:p>
      <w:pPr>
        <w:sectPr>
          <w:pgSz w:w="11900" w:h="16838" w:orient="portrait"/>
          <w:cols w:equalWidth="0" w:num="1">
            <w:col w:w="11140"/>
          </w:cols>
          <w:pgMar w:left="320" w:top="459" w:right="439" w:bottom="1440" w:gutter="0" w:footer="0" w:header="0"/>
        </w:sectPr>
      </w:pPr>
    </w:p>
    <w:p>
      <w:pPr>
        <w:spacing w:after="0" w:line="11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3B71"/>
        </w:rPr>
        <w:t>47</w:t>
      </w:r>
    </w:p>
    <w:p>
      <w:pPr>
        <w:sectPr>
          <w:pgSz w:w="11900" w:h="16838" w:orient="portrait"/>
          <w:cols w:equalWidth="0" w:num="2">
            <w:col w:w="10400" w:space="540"/>
            <w:col w:w="200"/>
          </w:cols>
          <w:pgMar w:left="32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Report of the Compensation and Human Resources</w:t>
      </w:r>
    </w:p>
    <w:p>
      <w:pPr>
        <w:spacing w:after="0" w:line="10"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03B71"/>
        </w:rPr>
        <w:t>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Report of the Compensation and Human Resources Committee of the Board of Directors</w:t>
      </w:r>
    </w:p>
    <w:p>
      <w:pPr>
        <w:spacing w:after="0" w:line="23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independent directors, who constitute the Compensation Committee, have reviewed the Compensation Discussion and Analysis with our management and recommended that it be included in this proxy statement.</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left="-4539"/>
        <w:spacing w:after="0"/>
        <w:rPr>
          <w:sz w:val="20"/>
          <w:szCs w:val="20"/>
          <w:color w:val="auto"/>
        </w:rPr>
      </w:pPr>
      <w:r>
        <w:rPr>
          <w:rFonts w:ascii="Arial" w:cs="Arial" w:eastAsia="Arial" w:hAnsi="Arial"/>
          <w:sz w:val="17"/>
          <w:szCs w:val="17"/>
          <w:color w:val="auto"/>
        </w:rPr>
        <w:t>Anne M. Mulcahy, Chair</w:t>
      </w:r>
    </w:p>
    <w:p>
      <w:pPr>
        <w:spacing w:after="0" w:line="3" w:lineRule="exact"/>
        <w:rPr>
          <w:sz w:val="20"/>
          <w:szCs w:val="20"/>
          <w:color w:val="auto"/>
        </w:rPr>
      </w:pPr>
    </w:p>
    <w:p>
      <w:pPr>
        <w:jc w:val="center"/>
        <w:ind w:left="-4539"/>
        <w:spacing w:after="0"/>
        <w:rPr>
          <w:sz w:val="20"/>
          <w:szCs w:val="20"/>
          <w:color w:val="auto"/>
        </w:rPr>
      </w:pPr>
      <w:r>
        <w:rPr>
          <w:rFonts w:ascii="Arial" w:cs="Arial" w:eastAsia="Arial" w:hAnsi="Arial"/>
          <w:sz w:val="18"/>
          <w:szCs w:val="18"/>
          <w:color w:val="auto"/>
        </w:rPr>
        <w:t>H. Paulett Eberhart</w:t>
      </w:r>
    </w:p>
    <w:p>
      <w:pPr>
        <w:jc w:val="center"/>
        <w:ind w:left="-4539"/>
        <w:spacing w:after="0" w:line="234" w:lineRule="auto"/>
        <w:rPr>
          <w:sz w:val="20"/>
          <w:szCs w:val="20"/>
          <w:color w:val="auto"/>
        </w:rPr>
      </w:pPr>
      <w:r>
        <w:rPr>
          <w:rFonts w:ascii="Arial" w:cs="Arial" w:eastAsia="Arial" w:hAnsi="Arial"/>
          <w:sz w:val="18"/>
          <w:szCs w:val="18"/>
          <w:color w:val="auto"/>
        </w:rPr>
        <w:t>Allison H. Mnookin</w:t>
      </w:r>
    </w:p>
    <w:p>
      <w:pPr>
        <w:spacing w:after="0" w:line="1" w:lineRule="exact"/>
        <w:rPr>
          <w:sz w:val="20"/>
          <w:szCs w:val="20"/>
          <w:color w:val="auto"/>
        </w:rPr>
      </w:pPr>
    </w:p>
    <w:p>
      <w:pPr>
        <w:jc w:val="center"/>
        <w:ind w:left="-4539"/>
        <w:spacing w:after="0"/>
        <w:rPr>
          <w:sz w:val="20"/>
          <w:szCs w:val="20"/>
          <w:color w:val="auto"/>
        </w:rPr>
      </w:pPr>
      <w:r>
        <w:rPr>
          <w:rFonts w:ascii="Arial" w:cs="Arial" w:eastAsia="Arial" w:hAnsi="Arial"/>
          <w:sz w:val="18"/>
          <w:szCs w:val="18"/>
          <w:color w:val="auto"/>
        </w:rPr>
        <w:t>James S. Putnam</w:t>
      </w:r>
    </w:p>
    <w:p>
      <w:pPr>
        <w:spacing w:after="0" w:line="21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March 23,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60"/>
          </w:cols>
          <w:pgMar w:left="320" w:top="459" w:right="4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19"/>
          <w:szCs w:val="19"/>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Compensation of Named Executive Officers</w:t>
      </w:r>
    </w:p>
    <w:p>
      <w:pPr>
        <w:sectPr>
          <w:pgSz w:w="11900" w:h="16838" w:orient="portrait"/>
          <w:cols w:equalWidth="0" w:num="1">
            <w:col w:w="11140"/>
          </w:cols>
          <w:pgMar w:left="320" w:top="459" w:right="439" w:bottom="1440" w:gutter="0" w:footer="0" w:header="0"/>
        </w:sectPr>
      </w:pPr>
    </w:p>
    <w:p>
      <w:pPr>
        <w:spacing w:after="0" w:line="31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Except where otherwise noted, the equity awards shown in the Summary Compensation table and Grants of Plan-Based Awards table for the fiscal year 2019 were granted in February 2019 in respect of services performed in 2018. Please refer to the Compensation Discussion and Analysis included in last year’s proxy statement for a discussion of these awards. Equity awards in respect of services performed in 2019 that were granted in 2020 do not appear in the Summary Compensation Table or Grants of Plan-Based Awards table in accordance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with SEC rules. Please refer to the Compensation Discussion and Analysis in this proxy statement for a discussion of these awards.</w:t>
      </w:r>
    </w:p>
    <w:p>
      <w:pPr>
        <w:spacing w:after="0" w:line="19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384"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Summary Compensation Table</w:t>
      </w:r>
    </w:p>
    <w:p>
      <w:pPr>
        <w:spacing w:after="0" w:line="22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sets forth information concerning the total compensation for the years ended December 31, 2019, 2018 and 2017 for our NEOs: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003B71"/>
                <w:w w:val="98"/>
              </w:rPr>
              <w:t>Non-Equity</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5"/>
        </w:trPr>
        <w:tc>
          <w:tcPr>
            <w:tcW w:w="3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jc w:val="center"/>
              <w:ind w:left="377"/>
              <w:spacing w:after="0" w:line="135" w:lineRule="exact"/>
              <w:rPr>
                <w:sz w:val="20"/>
                <w:szCs w:val="20"/>
                <w:color w:val="auto"/>
              </w:rPr>
            </w:pPr>
            <w:r>
              <w:rPr>
                <w:rFonts w:ascii="Arial" w:cs="Arial" w:eastAsia="Arial" w:hAnsi="Arial"/>
                <w:sz w:val="13"/>
                <w:szCs w:val="13"/>
                <w:b w:val="1"/>
                <w:bCs w:val="1"/>
                <w:color w:val="003B71"/>
                <w:w w:val="95"/>
              </w:rPr>
              <w:t>Stock</w:t>
            </w:r>
          </w:p>
        </w:tc>
        <w:tc>
          <w:tcPr>
            <w:tcW w:w="3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rPr>
              <w:t>Option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6"/>
              </w:rPr>
              <w:t>Incentive Plan</w:t>
            </w:r>
          </w:p>
        </w:tc>
        <w:tc>
          <w:tcPr>
            <w:tcW w:w="3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4"/>
              </w:rPr>
              <w:t>All Other</w:t>
            </w:r>
          </w:p>
        </w:tc>
        <w:tc>
          <w:tcPr>
            <w:tcW w:w="700" w:type="dxa"/>
            <w:vAlign w:val="bottom"/>
          </w:tcPr>
          <w:p>
            <w:pPr>
              <w:spacing w:after="0"/>
              <w:rPr>
                <w:sz w:val="11"/>
                <w:szCs w:val="11"/>
                <w:color w:val="auto"/>
              </w:rPr>
            </w:pPr>
          </w:p>
        </w:tc>
      </w:tr>
      <w:tr>
        <w:trPr>
          <w:trHeight w:val="135"/>
        </w:trPr>
        <w:tc>
          <w:tcPr>
            <w:tcW w:w="3620" w:type="dxa"/>
            <w:vAlign w:val="bottom"/>
          </w:tcPr>
          <w:p>
            <w:pPr>
              <w:ind w:left="1520"/>
              <w:spacing w:after="0" w:line="135" w:lineRule="exact"/>
              <w:rPr>
                <w:sz w:val="20"/>
                <w:szCs w:val="20"/>
                <w:color w:val="auto"/>
              </w:rPr>
            </w:pPr>
            <w:r>
              <w:rPr>
                <w:rFonts w:ascii="Arial" w:cs="Arial" w:eastAsia="Arial" w:hAnsi="Arial"/>
                <w:sz w:val="13"/>
                <w:szCs w:val="13"/>
                <w:b w:val="1"/>
                <w:bCs w:val="1"/>
                <w:color w:val="003B71"/>
              </w:rPr>
              <w:t>Name and</w:t>
            </w:r>
          </w:p>
        </w:tc>
        <w:tc>
          <w:tcPr>
            <w:tcW w:w="54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b w:val="1"/>
                <w:bCs w:val="1"/>
                <w:color w:val="003B71"/>
              </w:rPr>
              <w:t>Salary</w:t>
            </w:r>
          </w:p>
        </w:tc>
        <w:tc>
          <w:tcPr>
            <w:tcW w:w="38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3B71"/>
              </w:rPr>
              <w:t>Bonus</w:t>
            </w:r>
          </w:p>
        </w:tc>
        <w:tc>
          <w:tcPr>
            <w:tcW w:w="1100" w:type="dxa"/>
            <w:vAlign w:val="bottom"/>
          </w:tcPr>
          <w:p>
            <w:pPr>
              <w:jc w:val="center"/>
              <w:ind w:left="377"/>
              <w:spacing w:after="0" w:line="135" w:lineRule="exact"/>
              <w:rPr>
                <w:sz w:val="20"/>
                <w:szCs w:val="20"/>
                <w:color w:val="auto"/>
              </w:rPr>
            </w:pPr>
            <w:r>
              <w:rPr>
                <w:rFonts w:ascii="Arial" w:cs="Arial" w:eastAsia="Arial" w:hAnsi="Arial"/>
                <w:sz w:val="13"/>
                <w:szCs w:val="13"/>
                <w:b w:val="1"/>
                <w:bCs w:val="1"/>
                <w:color w:val="003B71"/>
                <w:w w:val="97"/>
              </w:rPr>
              <w:t>Awards</w:t>
            </w:r>
          </w:p>
        </w:tc>
        <w:tc>
          <w:tcPr>
            <w:tcW w:w="3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Awards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Compensation</w:t>
            </w:r>
          </w:p>
        </w:tc>
        <w:tc>
          <w:tcPr>
            <w:tcW w:w="3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Compensation</w:t>
            </w: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3B71"/>
              </w:rPr>
              <w:t>Total</w:t>
            </w:r>
          </w:p>
        </w:tc>
      </w:tr>
      <w:tr>
        <w:trPr>
          <w:trHeight w:val="170"/>
        </w:trPr>
        <w:tc>
          <w:tcPr>
            <w:tcW w:w="3620" w:type="dxa"/>
            <w:vAlign w:val="bottom"/>
            <w:tcBorders>
              <w:bottom w:val="single" w:sz="8" w:color="003B71"/>
            </w:tcBorders>
          </w:tcPr>
          <w:p>
            <w:pPr>
              <w:ind w:left="1280"/>
              <w:spacing w:after="0"/>
              <w:rPr>
                <w:sz w:val="20"/>
                <w:szCs w:val="20"/>
                <w:color w:val="auto"/>
              </w:rPr>
            </w:pPr>
            <w:r>
              <w:rPr>
                <w:rFonts w:ascii="Arial" w:cs="Arial" w:eastAsia="Arial" w:hAnsi="Arial"/>
                <w:sz w:val="13"/>
                <w:szCs w:val="13"/>
                <w:b w:val="1"/>
                <w:bCs w:val="1"/>
                <w:color w:val="003B71"/>
              </w:rPr>
              <w:t>Principal Position</w:t>
            </w:r>
          </w:p>
        </w:tc>
        <w:tc>
          <w:tcPr>
            <w:tcW w:w="540" w:type="dxa"/>
            <w:vAlign w:val="bottom"/>
            <w:tcBorders>
              <w:bottom w:val="single" w:sz="8" w:color="003B71"/>
            </w:tcBorders>
          </w:tcPr>
          <w:p>
            <w:pPr>
              <w:ind w:left="140"/>
              <w:spacing w:after="0"/>
              <w:rPr>
                <w:sz w:val="20"/>
                <w:szCs w:val="20"/>
                <w:color w:val="auto"/>
              </w:rPr>
            </w:pPr>
            <w:r>
              <w:rPr>
                <w:rFonts w:ascii="Arial" w:cs="Arial" w:eastAsia="Arial" w:hAnsi="Arial"/>
                <w:sz w:val="13"/>
                <w:szCs w:val="13"/>
                <w:b w:val="1"/>
                <w:bCs w:val="1"/>
                <w:color w:val="003B71"/>
              </w:rPr>
              <w:t>Year</w:t>
            </w:r>
          </w:p>
        </w:tc>
        <w:tc>
          <w:tcPr>
            <w:tcW w:w="620" w:type="dxa"/>
            <w:vAlign w:val="bottom"/>
            <w:tcBorders>
              <w:bottom w:val="single" w:sz="8" w:color="003B71"/>
            </w:tcBorders>
          </w:tcPr>
          <w:p>
            <w:pPr>
              <w:ind w:left="220"/>
              <w:spacing w:after="0"/>
              <w:rPr>
                <w:sz w:val="20"/>
                <w:szCs w:val="20"/>
                <w:color w:val="auto"/>
              </w:rPr>
            </w:pPr>
            <w:r>
              <w:rPr>
                <w:rFonts w:ascii="Arial" w:cs="Arial" w:eastAsia="Arial" w:hAnsi="Arial"/>
                <w:sz w:val="13"/>
                <w:szCs w:val="13"/>
                <w:b w:val="1"/>
                <w:bCs w:val="1"/>
                <w:color w:val="003B71"/>
              </w:rPr>
              <w:t>($)</w:t>
            </w:r>
          </w:p>
        </w:tc>
        <w:tc>
          <w:tcPr>
            <w:tcW w:w="380" w:type="dxa"/>
            <w:vAlign w:val="bottom"/>
            <w:tcBorders>
              <w:bottom w:val="single" w:sz="8" w:color="003B71"/>
            </w:tcBorders>
          </w:tcPr>
          <w:p>
            <w:pPr>
              <w:spacing w:after="0"/>
              <w:rPr>
                <w:sz w:val="14"/>
                <w:szCs w:val="14"/>
                <w:color w:val="auto"/>
              </w:rPr>
            </w:pPr>
          </w:p>
        </w:tc>
        <w:tc>
          <w:tcPr>
            <w:tcW w:w="640" w:type="dxa"/>
            <w:vAlign w:val="bottom"/>
            <w:tcBorders>
              <w:bottom w:val="single" w:sz="8" w:color="003B71"/>
            </w:tcBorders>
          </w:tcPr>
          <w:p>
            <w:pPr>
              <w:jc w:val="right"/>
              <w:ind w:right="217"/>
              <w:spacing w:after="0"/>
              <w:rPr>
                <w:sz w:val="20"/>
                <w:szCs w:val="20"/>
                <w:color w:val="auto"/>
              </w:rPr>
            </w:pPr>
            <w:r>
              <w:rPr>
                <w:rFonts w:ascii="Arial" w:cs="Arial" w:eastAsia="Arial" w:hAnsi="Arial"/>
                <w:sz w:val="13"/>
                <w:szCs w:val="13"/>
                <w:b w:val="1"/>
                <w:bCs w:val="1"/>
                <w:color w:val="003B71"/>
              </w:rPr>
              <w:t>($)</w:t>
            </w:r>
          </w:p>
        </w:tc>
        <w:tc>
          <w:tcPr>
            <w:tcW w:w="1100" w:type="dxa"/>
            <w:vAlign w:val="bottom"/>
            <w:tcBorders>
              <w:bottom w:val="single" w:sz="8" w:color="003B71"/>
            </w:tcBorders>
          </w:tcPr>
          <w:p>
            <w:pPr>
              <w:jc w:val="center"/>
              <w:ind w:left="357"/>
              <w:spacing w:after="0"/>
              <w:rPr>
                <w:sz w:val="20"/>
                <w:szCs w:val="20"/>
                <w:color w:val="auto"/>
              </w:rPr>
            </w:pPr>
            <w:r>
              <w:rPr>
                <w:rFonts w:ascii="Arial" w:cs="Arial" w:eastAsia="Arial" w:hAnsi="Arial"/>
                <w:sz w:val="13"/>
                <w:szCs w:val="13"/>
                <w:b w:val="1"/>
                <w:bCs w:val="1"/>
                <w:color w:val="003B71"/>
              </w:rPr>
              <w:t>($)(1)</w:t>
            </w:r>
          </w:p>
        </w:tc>
        <w:tc>
          <w:tcPr>
            <w:tcW w:w="360" w:type="dxa"/>
            <w:vAlign w:val="bottom"/>
            <w:tcBorders>
              <w:bottom w:val="single" w:sz="8" w:color="003B71"/>
            </w:tcBorders>
          </w:tcPr>
          <w:p>
            <w:pPr>
              <w:spacing w:after="0"/>
              <w:rPr>
                <w:sz w:val="14"/>
                <w:szCs w:val="14"/>
                <w:color w:val="auto"/>
              </w:rPr>
            </w:pPr>
          </w:p>
        </w:tc>
        <w:tc>
          <w:tcPr>
            <w:tcW w:w="70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4"/>
              </w:rPr>
              <w:t>($)(1)</w:t>
            </w:r>
          </w:p>
        </w:tc>
        <w:tc>
          <w:tcPr>
            <w:tcW w:w="100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($)(2)</w:t>
            </w:r>
          </w:p>
        </w:tc>
        <w:tc>
          <w:tcPr>
            <w:tcW w:w="320" w:type="dxa"/>
            <w:vAlign w:val="bottom"/>
            <w:tcBorders>
              <w:bottom w:val="single" w:sz="8" w:color="003B71"/>
            </w:tcBorders>
          </w:tcPr>
          <w:p>
            <w:pPr>
              <w:spacing w:after="0"/>
              <w:rPr>
                <w:sz w:val="14"/>
                <w:szCs w:val="14"/>
                <w:color w:val="auto"/>
              </w:rPr>
            </w:pPr>
          </w:p>
        </w:tc>
        <w:tc>
          <w:tcPr>
            <w:tcW w:w="10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($)(3)</w:t>
            </w:r>
          </w:p>
        </w:tc>
        <w:tc>
          <w:tcPr>
            <w:tcW w:w="700" w:type="dxa"/>
            <w:vAlign w:val="bottom"/>
            <w:tcBorders>
              <w:bottom w:val="single" w:sz="8" w:color="003B71"/>
            </w:tcBorders>
          </w:tcPr>
          <w:p>
            <w:pPr>
              <w:jc w:val="right"/>
              <w:ind w:right="217"/>
              <w:spacing w:after="0"/>
              <w:rPr>
                <w:sz w:val="20"/>
                <w:szCs w:val="20"/>
                <w:color w:val="auto"/>
              </w:rPr>
            </w:pPr>
            <w:r>
              <w:rPr>
                <w:rFonts w:ascii="Arial" w:cs="Arial" w:eastAsia="Arial" w:hAnsi="Arial"/>
                <w:sz w:val="13"/>
                <w:szCs w:val="13"/>
                <w:b w:val="1"/>
                <w:bCs w:val="1"/>
                <w:color w:val="003B71"/>
              </w:rPr>
              <w:t>($)</w:t>
            </w:r>
          </w:p>
        </w:tc>
      </w:tr>
      <w:tr>
        <w:trPr>
          <w:trHeight w:val="128"/>
        </w:trPr>
        <w:tc>
          <w:tcPr>
            <w:tcW w:w="36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Dan H. Arnold</w:t>
            </w:r>
          </w:p>
        </w:tc>
        <w:tc>
          <w:tcPr>
            <w:tcW w:w="5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2019</w:t>
            </w:r>
          </w:p>
        </w:tc>
        <w:tc>
          <w:tcPr>
            <w:tcW w:w="6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842,308</w:t>
            </w:r>
          </w:p>
        </w:tc>
        <w:tc>
          <w:tcPr>
            <w:tcW w:w="38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(4)</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2,616,773</w:t>
            </w: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1,679,993</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2,486,250</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44,630</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7,699,954</w:t>
            </w:r>
          </w:p>
        </w:tc>
      </w:tr>
      <w:tr>
        <w:trPr>
          <w:trHeight w:val="135"/>
        </w:trPr>
        <w:tc>
          <w:tcPr>
            <w:tcW w:w="3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President and Chief Executive Officer</w:t>
            </w:r>
          </w:p>
        </w:tc>
        <w:tc>
          <w:tcPr>
            <w:tcW w:w="540" w:type="dxa"/>
            <w:vAlign w:val="bottom"/>
          </w:tcPr>
          <w:p>
            <w:pPr>
              <w:ind w:left="160"/>
              <w:spacing w:after="0" w:line="135" w:lineRule="exact"/>
              <w:rPr>
                <w:sz w:val="20"/>
                <w:szCs w:val="20"/>
                <w:color w:val="auto"/>
              </w:rPr>
            </w:pPr>
            <w:r>
              <w:rPr>
                <w:rFonts w:ascii="Arial" w:cs="Arial" w:eastAsia="Arial" w:hAnsi="Arial"/>
                <w:sz w:val="13"/>
                <w:szCs w:val="13"/>
                <w:color w:val="auto"/>
              </w:rPr>
              <w:t>2018</w:t>
            </w: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800,000</w:t>
            </w:r>
          </w:p>
        </w:tc>
        <w:tc>
          <w:tcPr>
            <w:tcW w:w="380" w:type="dxa"/>
            <w:vAlign w:val="bottom"/>
          </w:tcPr>
          <w:p>
            <w:pPr>
              <w:spacing w:after="0"/>
              <w:rPr>
                <w:sz w:val="11"/>
                <w:szCs w:val="11"/>
                <w:color w:val="auto"/>
              </w:rPr>
            </w:pP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2,328,641</w:t>
            </w:r>
          </w:p>
        </w:tc>
        <w:tc>
          <w:tcPr>
            <w:tcW w:w="3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1,539,982</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2,430,000</w:t>
            </w:r>
          </w:p>
        </w:tc>
        <w:tc>
          <w:tcPr>
            <w:tcW w:w="32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29,728</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7,128,351</w:t>
            </w:r>
          </w:p>
        </w:tc>
      </w:tr>
      <w:tr>
        <w:trPr>
          <w:trHeight w:val="135"/>
        </w:trPr>
        <w:tc>
          <w:tcPr>
            <w:tcW w:w="3620" w:type="dxa"/>
            <w:vAlign w:val="bottom"/>
            <w:shd w:val="clear" w:color="auto" w:fill="CCEEFF"/>
          </w:tcPr>
          <w:p>
            <w:pPr>
              <w:spacing w:after="0"/>
              <w:rPr>
                <w:sz w:val="11"/>
                <w:szCs w:val="11"/>
                <w:color w:val="auto"/>
              </w:rPr>
            </w:pPr>
          </w:p>
        </w:tc>
        <w:tc>
          <w:tcPr>
            <w:tcW w:w="5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2017</w:t>
            </w:r>
          </w:p>
        </w:tc>
        <w:tc>
          <w:tcPr>
            <w:tcW w:w="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799,315</w:t>
            </w:r>
          </w:p>
        </w:tc>
        <w:tc>
          <w:tcPr>
            <w:tcW w:w="3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(5)</w:t>
            </w:r>
          </w:p>
        </w:tc>
        <w:tc>
          <w:tcPr>
            <w:tcW w:w="6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3,136,842</w:t>
            </w:r>
          </w:p>
        </w:tc>
        <w:tc>
          <w:tcPr>
            <w:tcW w:w="3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(6)</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1,309,252</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2,160,000</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14,040</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7,419,449</w:t>
            </w:r>
          </w:p>
        </w:tc>
      </w:tr>
      <w:tr>
        <w:trPr>
          <w:trHeight w:val="129"/>
        </w:trPr>
        <w:tc>
          <w:tcPr>
            <w:tcW w:w="3620" w:type="dxa"/>
            <w:vAlign w:val="bottom"/>
          </w:tcPr>
          <w:p>
            <w:pPr>
              <w:ind w:left="60"/>
              <w:spacing w:after="0" w:line="129" w:lineRule="exact"/>
              <w:rPr>
                <w:sz w:val="20"/>
                <w:szCs w:val="20"/>
                <w:color w:val="auto"/>
              </w:rPr>
            </w:pPr>
            <w:r>
              <w:rPr>
                <w:rFonts w:ascii="Arial" w:cs="Arial" w:eastAsia="Arial" w:hAnsi="Arial"/>
                <w:sz w:val="13"/>
                <w:szCs w:val="13"/>
                <w:color w:val="auto"/>
              </w:rPr>
              <w:t>Matthew J. Audette</w:t>
            </w:r>
          </w:p>
        </w:tc>
        <w:tc>
          <w:tcPr>
            <w:tcW w:w="540" w:type="dxa"/>
            <w:vAlign w:val="bottom"/>
          </w:tcPr>
          <w:p>
            <w:pPr>
              <w:ind w:left="160"/>
              <w:spacing w:after="0" w:line="129" w:lineRule="exact"/>
              <w:rPr>
                <w:sz w:val="20"/>
                <w:szCs w:val="20"/>
                <w:color w:val="auto"/>
              </w:rPr>
            </w:pPr>
            <w:r>
              <w:rPr>
                <w:rFonts w:ascii="Arial" w:cs="Arial" w:eastAsia="Arial" w:hAnsi="Arial"/>
                <w:sz w:val="13"/>
                <w:szCs w:val="13"/>
                <w:color w:val="auto"/>
              </w:rPr>
              <w:t>2019</w:t>
            </w:r>
          </w:p>
        </w:tc>
        <w:tc>
          <w:tcPr>
            <w:tcW w:w="620" w:type="dxa"/>
            <w:vAlign w:val="bottom"/>
          </w:tcPr>
          <w:p>
            <w:pPr>
              <w:ind w:left="100"/>
              <w:spacing w:after="0" w:line="129" w:lineRule="exact"/>
              <w:rPr>
                <w:sz w:val="20"/>
                <w:szCs w:val="20"/>
                <w:color w:val="auto"/>
              </w:rPr>
            </w:pPr>
            <w:r>
              <w:rPr>
                <w:rFonts w:ascii="Arial" w:cs="Arial" w:eastAsia="Arial" w:hAnsi="Arial"/>
                <w:sz w:val="13"/>
                <w:szCs w:val="13"/>
                <w:color w:val="auto"/>
              </w:rPr>
              <w:t>600,000</w:t>
            </w:r>
          </w:p>
        </w:tc>
        <w:tc>
          <w:tcPr>
            <w:tcW w:w="38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29" w:lineRule="exact"/>
              <w:rPr>
                <w:sz w:val="20"/>
                <w:szCs w:val="20"/>
                <w:color w:val="auto"/>
              </w:rPr>
            </w:pPr>
            <w:r>
              <w:rPr>
                <w:rFonts w:ascii="Arial" w:cs="Arial" w:eastAsia="Arial" w:hAnsi="Arial"/>
                <w:sz w:val="13"/>
                <w:szCs w:val="13"/>
                <w:color w:val="auto"/>
              </w:rPr>
              <w:t>977,792</w:t>
            </w:r>
          </w:p>
        </w:tc>
        <w:tc>
          <w:tcPr>
            <w:tcW w:w="3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314,980</w:t>
            </w: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1,400,000</w:t>
            </w:r>
          </w:p>
        </w:tc>
        <w:tc>
          <w:tcPr>
            <w:tcW w:w="320" w:type="dxa"/>
            <w:vAlign w:val="bottom"/>
          </w:tcPr>
          <w:p>
            <w:pPr>
              <w:spacing w:after="0"/>
              <w:rPr>
                <w:sz w:val="11"/>
                <w:szCs w:val="11"/>
                <w:color w:val="auto"/>
              </w:rPr>
            </w:pPr>
          </w:p>
        </w:tc>
        <w:tc>
          <w:tcPr>
            <w:tcW w:w="10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32,155</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3,324,927</w:t>
            </w:r>
          </w:p>
        </w:tc>
      </w:tr>
      <w:tr>
        <w:trPr>
          <w:trHeight w:val="141"/>
        </w:trPr>
        <w:tc>
          <w:tcPr>
            <w:tcW w:w="3620" w:type="dxa"/>
            <w:vAlign w:val="bottom"/>
          </w:tcPr>
          <w:p>
            <w:pPr>
              <w:ind w:left="60"/>
              <w:spacing w:after="0" w:line="141" w:lineRule="exact"/>
              <w:rPr>
                <w:sz w:val="20"/>
                <w:szCs w:val="20"/>
                <w:color w:val="auto"/>
              </w:rPr>
            </w:pPr>
            <w:r>
              <w:rPr>
                <w:rFonts w:ascii="Arial" w:cs="Arial" w:eastAsia="Arial" w:hAnsi="Arial"/>
                <w:sz w:val="13"/>
                <w:szCs w:val="13"/>
                <w:color w:val="auto"/>
              </w:rPr>
              <w:t>Chief Financial Officer</w:t>
            </w:r>
          </w:p>
        </w:tc>
        <w:tc>
          <w:tcPr>
            <w:tcW w:w="540" w:type="dxa"/>
            <w:vAlign w:val="bottom"/>
            <w:shd w:val="clear" w:color="auto" w:fill="CCEEFF"/>
          </w:tcPr>
          <w:p>
            <w:pPr>
              <w:ind w:left="160"/>
              <w:spacing w:after="0" w:line="141" w:lineRule="exact"/>
              <w:rPr>
                <w:sz w:val="20"/>
                <w:szCs w:val="20"/>
                <w:color w:val="auto"/>
              </w:rPr>
            </w:pPr>
            <w:r>
              <w:rPr>
                <w:rFonts w:ascii="Arial" w:cs="Arial" w:eastAsia="Arial" w:hAnsi="Arial"/>
                <w:sz w:val="13"/>
                <w:szCs w:val="13"/>
                <w:color w:val="auto"/>
              </w:rPr>
              <w:t>2018</w:t>
            </w:r>
          </w:p>
        </w:tc>
        <w:tc>
          <w:tcPr>
            <w:tcW w:w="62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600,000</w:t>
            </w: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959,950</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314,997</w:t>
            </w:r>
          </w:p>
        </w:tc>
        <w:tc>
          <w:tcPr>
            <w:tcW w:w="10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1,420,000</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7"/>
              <w:spacing w:after="0" w:line="141" w:lineRule="exact"/>
              <w:rPr>
                <w:sz w:val="20"/>
                <w:szCs w:val="20"/>
                <w:color w:val="auto"/>
              </w:rPr>
            </w:pPr>
            <w:r>
              <w:rPr>
                <w:rFonts w:ascii="Arial" w:cs="Arial" w:eastAsia="Arial" w:hAnsi="Arial"/>
                <w:sz w:val="13"/>
                <w:szCs w:val="13"/>
                <w:color w:val="auto"/>
              </w:rPr>
              <w:t>26,207</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3,321,154</w:t>
            </w:r>
          </w:p>
        </w:tc>
      </w:tr>
      <w:tr>
        <w:trPr>
          <w:trHeight w:val="152"/>
        </w:trPr>
        <w:tc>
          <w:tcPr>
            <w:tcW w:w="36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3"/>
                <w:szCs w:val="13"/>
                <w:color w:val="auto"/>
              </w:rPr>
              <w:t>2017</w:t>
            </w:r>
          </w:p>
        </w:tc>
        <w:tc>
          <w:tcPr>
            <w:tcW w:w="620" w:type="dxa"/>
            <w:vAlign w:val="bottom"/>
          </w:tcPr>
          <w:p>
            <w:pPr>
              <w:ind w:left="100"/>
              <w:spacing w:after="0"/>
              <w:rPr>
                <w:sz w:val="20"/>
                <w:szCs w:val="20"/>
                <w:color w:val="auto"/>
              </w:rPr>
            </w:pPr>
            <w:r>
              <w:rPr>
                <w:rFonts w:ascii="Arial" w:cs="Arial" w:eastAsia="Arial" w:hAnsi="Arial"/>
                <w:sz w:val="13"/>
                <w:szCs w:val="13"/>
                <w:color w:val="auto"/>
              </w:rPr>
              <w:t>600,000</w:t>
            </w:r>
          </w:p>
        </w:tc>
        <w:tc>
          <w:tcPr>
            <w:tcW w:w="38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809,395</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294,577</w:t>
            </w:r>
          </w:p>
        </w:tc>
        <w:tc>
          <w:tcPr>
            <w:tcW w:w="1000" w:type="dxa"/>
            <w:vAlign w:val="bottom"/>
          </w:tcPr>
          <w:p>
            <w:pPr>
              <w:jc w:val="right"/>
              <w:spacing w:after="0"/>
              <w:rPr>
                <w:sz w:val="20"/>
                <w:szCs w:val="20"/>
                <w:color w:val="auto"/>
              </w:rPr>
            </w:pPr>
            <w:r>
              <w:rPr>
                <w:rFonts w:ascii="Arial" w:cs="Arial" w:eastAsia="Arial" w:hAnsi="Arial"/>
                <w:sz w:val="13"/>
                <w:szCs w:val="13"/>
                <w:color w:val="auto"/>
              </w:rPr>
              <w:t>1,420,000</w:t>
            </w:r>
          </w:p>
        </w:tc>
        <w:tc>
          <w:tcPr>
            <w:tcW w:w="320" w:type="dxa"/>
            <w:vAlign w:val="bottom"/>
          </w:tcPr>
          <w:p>
            <w:pPr>
              <w:spacing w:after="0"/>
              <w:rPr>
                <w:sz w:val="13"/>
                <w:szCs w:val="1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14,400</w:t>
            </w:r>
          </w:p>
        </w:tc>
        <w:tc>
          <w:tcPr>
            <w:tcW w:w="700" w:type="dxa"/>
            <w:vAlign w:val="bottom"/>
          </w:tcPr>
          <w:p>
            <w:pPr>
              <w:jc w:val="right"/>
              <w:spacing w:after="0"/>
              <w:rPr>
                <w:sz w:val="20"/>
                <w:szCs w:val="20"/>
                <w:color w:val="auto"/>
              </w:rPr>
            </w:pPr>
            <w:r>
              <w:rPr>
                <w:rFonts w:ascii="Arial" w:cs="Arial" w:eastAsia="Arial" w:hAnsi="Arial"/>
                <w:sz w:val="13"/>
                <w:szCs w:val="13"/>
                <w:color w:val="auto"/>
              </w:rPr>
              <w:t>3,138,372</w:t>
            </w:r>
          </w:p>
        </w:tc>
      </w:tr>
      <w:tr>
        <w:trPr>
          <w:trHeight w:val="37"/>
        </w:trPr>
        <w:tc>
          <w:tcPr>
            <w:tcW w:w="3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35"/>
        </w:trPr>
        <w:tc>
          <w:tcPr>
            <w:tcW w:w="36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Scott Seese (7)</w:t>
            </w:r>
          </w:p>
        </w:tc>
        <w:tc>
          <w:tcPr>
            <w:tcW w:w="5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auto"/>
              </w:rPr>
              <w:t>2019</w:t>
            </w:r>
          </w:p>
        </w:tc>
        <w:tc>
          <w:tcPr>
            <w:tcW w:w="6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500,000</w:t>
            </w: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931,203</w:t>
            </w: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299,992</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1,024,000</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22,748</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2,777,943</w:t>
            </w:r>
          </w:p>
        </w:tc>
      </w:tr>
      <w:tr>
        <w:trPr>
          <w:trHeight w:val="129"/>
        </w:trPr>
        <w:tc>
          <w:tcPr>
            <w:tcW w:w="36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Managing Director,</w:t>
            </w:r>
          </w:p>
        </w:tc>
        <w:tc>
          <w:tcPr>
            <w:tcW w:w="540" w:type="dxa"/>
            <w:vAlign w:val="bottom"/>
          </w:tcPr>
          <w:p>
            <w:pPr>
              <w:ind w:left="160"/>
              <w:spacing w:after="0" w:line="129" w:lineRule="exact"/>
              <w:rPr>
                <w:sz w:val="20"/>
                <w:szCs w:val="20"/>
                <w:color w:val="auto"/>
              </w:rPr>
            </w:pPr>
            <w:r>
              <w:rPr>
                <w:rFonts w:ascii="Arial" w:cs="Arial" w:eastAsia="Arial" w:hAnsi="Arial"/>
                <w:sz w:val="13"/>
                <w:szCs w:val="13"/>
                <w:color w:val="auto"/>
              </w:rPr>
              <w:t>2018</w:t>
            </w:r>
          </w:p>
        </w:tc>
        <w:tc>
          <w:tcPr>
            <w:tcW w:w="620" w:type="dxa"/>
            <w:vAlign w:val="bottom"/>
          </w:tcPr>
          <w:p>
            <w:pPr>
              <w:ind w:left="100"/>
              <w:spacing w:after="0" w:line="129" w:lineRule="exact"/>
              <w:rPr>
                <w:sz w:val="20"/>
                <w:szCs w:val="20"/>
                <w:color w:val="auto"/>
              </w:rPr>
            </w:pPr>
            <w:r>
              <w:rPr>
                <w:rFonts w:ascii="Arial" w:cs="Arial" w:eastAsia="Arial" w:hAnsi="Arial"/>
                <w:sz w:val="13"/>
                <w:szCs w:val="13"/>
                <w:color w:val="auto"/>
              </w:rPr>
              <w:t>500,000</w:t>
            </w:r>
          </w:p>
        </w:tc>
        <w:tc>
          <w:tcPr>
            <w:tcW w:w="38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29" w:lineRule="exact"/>
              <w:rPr>
                <w:sz w:val="20"/>
                <w:szCs w:val="20"/>
                <w:color w:val="auto"/>
              </w:rPr>
            </w:pPr>
            <w:r>
              <w:rPr>
                <w:rFonts w:ascii="Arial" w:cs="Arial" w:eastAsia="Arial" w:hAnsi="Arial"/>
                <w:sz w:val="13"/>
                <w:szCs w:val="13"/>
                <w:color w:val="auto"/>
              </w:rPr>
              <w:t>777,065</w:t>
            </w:r>
          </w:p>
        </w:tc>
        <w:tc>
          <w:tcPr>
            <w:tcW w:w="3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254,990</w:t>
            </w: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1,120,000</w:t>
            </w:r>
          </w:p>
        </w:tc>
        <w:tc>
          <w:tcPr>
            <w:tcW w:w="320" w:type="dxa"/>
            <w:vAlign w:val="bottom"/>
          </w:tcPr>
          <w:p>
            <w:pPr>
              <w:spacing w:after="0"/>
              <w:rPr>
                <w:sz w:val="11"/>
                <w:szCs w:val="11"/>
                <w:color w:val="auto"/>
              </w:rPr>
            </w:pPr>
          </w:p>
        </w:tc>
        <w:tc>
          <w:tcPr>
            <w:tcW w:w="10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250,676</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2,902,731</w:t>
            </w:r>
          </w:p>
        </w:tc>
      </w:tr>
      <w:tr>
        <w:trPr>
          <w:trHeight w:val="154"/>
        </w:trPr>
        <w:tc>
          <w:tcPr>
            <w:tcW w:w="3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Chief Information Officer</w:t>
            </w:r>
          </w:p>
        </w:tc>
        <w:tc>
          <w:tcPr>
            <w:tcW w:w="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2017</w:t>
            </w:r>
          </w:p>
        </w:tc>
        <w:tc>
          <w:tcPr>
            <w:tcW w:w="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239,726</w:t>
            </w:r>
          </w:p>
        </w:tc>
        <w:tc>
          <w:tcPr>
            <w:tcW w:w="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980,370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960,000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2,180,096</w:t>
            </w:r>
          </w:p>
        </w:tc>
      </w:tr>
      <w:tr>
        <w:trPr>
          <w:trHeight w:val="129"/>
        </w:trPr>
        <w:tc>
          <w:tcPr>
            <w:tcW w:w="3620" w:type="dxa"/>
            <w:vAlign w:val="bottom"/>
          </w:tcPr>
          <w:p>
            <w:pPr>
              <w:ind w:left="60"/>
              <w:spacing w:after="0" w:line="129" w:lineRule="exact"/>
              <w:rPr>
                <w:sz w:val="20"/>
                <w:szCs w:val="20"/>
                <w:color w:val="auto"/>
              </w:rPr>
            </w:pPr>
            <w:r>
              <w:rPr>
                <w:rFonts w:ascii="Arial" w:cs="Arial" w:eastAsia="Arial" w:hAnsi="Arial"/>
                <w:sz w:val="13"/>
                <w:szCs w:val="13"/>
                <w:color w:val="auto"/>
              </w:rPr>
              <w:t>Dayton Semerjian (11)</w:t>
            </w:r>
          </w:p>
        </w:tc>
        <w:tc>
          <w:tcPr>
            <w:tcW w:w="540" w:type="dxa"/>
            <w:vAlign w:val="bottom"/>
          </w:tcPr>
          <w:p>
            <w:pPr>
              <w:ind w:left="160"/>
              <w:spacing w:after="0" w:line="129" w:lineRule="exact"/>
              <w:rPr>
                <w:sz w:val="20"/>
                <w:szCs w:val="20"/>
                <w:color w:val="auto"/>
              </w:rPr>
            </w:pPr>
            <w:r>
              <w:rPr>
                <w:rFonts w:ascii="Arial" w:cs="Arial" w:eastAsia="Arial" w:hAnsi="Arial"/>
                <w:sz w:val="13"/>
                <w:szCs w:val="13"/>
                <w:color w:val="auto"/>
              </w:rPr>
              <w:t>2019</w:t>
            </w:r>
          </w:p>
        </w:tc>
        <w:tc>
          <w:tcPr>
            <w:tcW w:w="620" w:type="dxa"/>
            <w:vAlign w:val="bottom"/>
          </w:tcPr>
          <w:p>
            <w:pPr>
              <w:ind w:left="100"/>
              <w:spacing w:after="0" w:line="129" w:lineRule="exact"/>
              <w:rPr>
                <w:sz w:val="20"/>
                <w:szCs w:val="20"/>
                <w:color w:val="auto"/>
              </w:rPr>
            </w:pPr>
            <w:r>
              <w:rPr>
                <w:rFonts w:ascii="Arial" w:cs="Arial" w:eastAsia="Arial" w:hAnsi="Arial"/>
                <w:sz w:val="13"/>
                <w:szCs w:val="13"/>
                <w:color w:val="auto"/>
              </w:rPr>
              <w:t>407,692</w:t>
            </w:r>
          </w:p>
        </w:tc>
        <w:tc>
          <w:tcPr>
            <w:tcW w:w="380" w:type="dxa"/>
            <w:vAlign w:val="bottom"/>
          </w:tcPr>
          <w:p>
            <w:pPr>
              <w:ind w:left="80"/>
              <w:spacing w:after="0" w:line="129"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29" w:lineRule="exact"/>
              <w:rPr>
                <w:sz w:val="20"/>
                <w:szCs w:val="20"/>
                <w:color w:val="auto"/>
              </w:rPr>
            </w:pPr>
            <w:r>
              <w:rPr>
                <w:rFonts w:ascii="Arial" w:cs="Arial" w:eastAsia="Arial" w:hAnsi="Arial"/>
                <w:sz w:val="13"/>
                <w:szCs w:val="13"/>
                <w:color w:val="auto"/>
              </w:rPr>
              <w:t>794,714</w:t>
            </w:r>
          </w:p>
        </w:tc>
        <w:tc>
          <w:tcPr>
            <w:tcW w:w="360" w:type="dxa"/>
            <w:vAlign w:val="bottom"/>
          </w:tcPr>
          <w:p>
            <w:pPr>
              <w:ind w:left="40"/>
              <w:spacing w:after="0" w:line="129" w:lineRule="exact"/>
              <w:rPr>
                <w:sz w:val="20"/>
                <w:szCs w:val="20"/>
                <w:color w:val="auto"/>
              </w:rPr>
            </w:pPr>
            <w:r>
              <w:rPr>
                <w:rFonts w:ascii="Arial" w:cs="Arial" w:eastAsia="Arial" w:hAnsi="Arial"/>
                <w:sz w:val="13"/>
                <w:szCs w:val="13"/>
                <w:color w:val="auto"/>
              </w:rPr>
              <w:t>(13)</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29" w:lineRule="exact"/>
              <w:rPr>
                <w:sz w:val="20"/>
                <w:szCs w:val="20"/>
                <w:color w:val="auto"/>
              </w:rPr>
            </w:pPr>
            <w:r>
              <w:rPr>
                <w:rFonts w:ascii="Arial" w:cs="Arial" w:eastAsia="Arial" w:hAnsi="Arial"/>
                <w:sz w:val="13"/>
                <w:szCs w:val="13"/>
                <w:color w:val="auto"/>
              </w:rPr>
              <w:t>975,000</w:t>
            </w:r>
          </w:p>
        </w:tc>
        <w:tc>
          <w:tcPr>
            <w:tcW w:w="320" w:type="dxa"/>
            <w:vAlign w:val="bottom"/>
          </w:tcPr>
          <w:p>
            <w:pPr>
              <w:spacing w:after="0"/>
              <w:rPr>
                <w:sz w:val="11"/>
                <w:szCs w:val="11"/>
                <w:color w:val="auto"/>
              </w:rPr>
            </w:pPr>
          </w:p>
        </w:tc>
        <w:tc>
          <w:tcPr>
            <w:tcW w:w="1040" w:type="dxa"/>
            <w:vAlign w:val="bottom"/>
          </w:tcPr>
          <w:p>
            <w:pPr>
              <w:jc w:val="right"/>
              <w:ind w:right="37"/>
              <w:spacing w:after="0" w:line="129" w:lineRule="exact"/>
              <w:rPr>
                <w:sz w:val="20"/>
                <w:szCs w:val="20"/>
                <w:color w:val="auto"/>
              </w:rPr>
            </w:pPr>
            <w:r>
              <w:rPr>
                <w:rFonts w:ascii="Arial" w:cs="Arial" w:eastAsia="Arial" w:hAnsi="Arial"/>
                <w:sz w:val="13"/>
                <w:szCs w:val="13"/>
                <w:color w:val="auto"/>
              </w:rPr>
              <w:t>228,785</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2,406,191</w:t>
            </w:r>
          </w:p>
        </w:tc>
      </w:tr>
      <w:tr>
        <w:trPr>
          <w:trHeight w:val="153"/>
        </w:trPr>
        <w:tc>
          <w:tcPr>
            <w:tcW w:w="3620" w:type="dxa"/>
            <w:vAlign w:val="bottom"/>
          </w:tcPr>
          <w:p>
            <w:pPr>
              <w:ind w:left="60"/>
              <w:spacing w:after="0"/>
              <w:rPr>
                <w:sz w:val="20"/>
                <w:szCs w:val="20"/>
                <w:color w:val="auto"/>
              </w:rPr>
            </w:pPr>
            <w:r>
              <w:rPr>
                <w:rFonts w:ascii="Arial" w:cs="Arial" w:eastAsia="Arial" w:hAnsi="Arial"/>
                <w:sz w:val="13"/>
                <w:szCs w:val="13"/>
                <w:color w:val="auto"/>
              </w:rPr>
              <w:t>Managing Director, Chief Customer Care Officer</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6"/>
        </w:trPr>
        <w:tc>
          <w:tcPr>
            <w:tcW w:w="362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Richard Steinmeier (14)</w:t>
            </w:r>
          </w:p>
        </w:tc>
        <w:tc>
          <w:tcPr>
            <w:tcW w:w="540" w:type="dxa"/>
            <w:vAlign w:val="bottom"/>
            <w:shd w:val="clear" w:color="auto" w:fill="CCEEFF"/>
          </w:tcPr>
          <w:p>
            <w:pPr>
              <w:ind w:left="160"/>
              <w:spacing w:after="0" w:line="131" w:lineRule="exact"/>
              <w:rPr>
                <w:sz w:val="20"/>
                <w:szCs w:val="20"/>
                <w:color w:val="auto"/>
              </w:rPr>
            </w:pPr>
            <w:r>
              <w:rPr>
                <w:rFonts w:ascii="Arial" w:cs="Arial" w:eastAsia="Arial" w:hAnsi="Arial"/>
                <w:sz w:val="13"/>
                <w:szCs w:val="13"/>
                <w:color w:val="auto"/>
              </w:rPr>
              <w:t>2019</w:t>
            </w:r>
          </w:p>
        </w:tc>
        <w:tc>
          <w:tcPr>
            <w:tcW w:w="6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450,000</w:t>
            </w: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557,281</w:t>
            </w: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179,546</w:t>
            </w:r>
          </w:p>
        </w:tc>
        <w:tc>
          <w:tcPr>
            <w:tcW w:w="10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780,000</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7"/>
              <w:spacing w:after="0" w:line="131" w:lineRule="exact"/>
              <w:rPr>
                <w:sz w:val="20"/>
                <w:szCs w:val="20"/>
                <w:color w:val="auto"/>
              </w:rPr>
            </w:pPr>
            <w:r>
              <w:rPr>
                <w:rFonts w:ascii="Arial" w:cs="Arial" w:eastAsia="Arial" w:hAnsi="Arial"/>
                <w:sz w:val="13"/>
                <w:szCs w:val="13"/>
                <w:color w:val="auto"/>
              </w:rPr>
              <w:t>253,359</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2,220,186</w:t>
            </w:r>
          </w:p>
        </w:tc>
      </w:tr>
      <w:tr>
        <w:trPr>
          <w:trHeight w:val="148"/>
        </w:trPr>
        <w:tc>
          <w:tcPr>
            <w:tcW w:w="3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Managing Director, Divisional President</w:t>
            </w:r>
          </w:p>
        </w:tc>
        <w:tc>
          <w:tcPr>
            <w:tcW w:w="540" w:type="dxa"/>
            <w:vAlign w:val="bottom"/>
          </w:tcPr>
          <w:p>
            <w:pPr>
              <w:ind w:left="160"/>
              <w:spacing w:after="0"/>
              <w:rPr>
                <w:sz w:val="20"/>
                <w:szCs w:val="20"/>
                <w:color w:val="auto"/>
              </w:rPr>
            </w:pPr>
            <w:r>
              <w:rPr>
                <w:rFonts w:ascii="Arial" w:cs="Arial" w:eastAsia="Arial" w:hAnsi="Arial"/>
                <w:sz w:val="13"/>
                <w:szCs w:val="13"/>
                <w:color w:val="auto"/>
              </w:rPr>
              <w:t>2018</w:t>
            </w:r>
          </w:p>
        </w:tc>
        <w:tc>
          <w:tcPr>
            <w:tcW w:w="620" w:type="dxa"/>
            <w:vAlign w:val="bottom"/>
          </w:tcPr>
          <w:p>
            <w:pPr>
              <w:ind w:left="100"/>
              <w:spacing w:after="0"/>
              <w:rPr>
                <w:sz w:val="20"/>
                <w:szCs w:val="20"/>
                <w:color w:val="auto"/>
              </w:rPr>
            </w:pPr>
            <w:r>
              <w:rPr>
                <w:rFonts w:ascii="Arial" w:cs="Arial" w:eastAsia="Arial" w:hAnsi="Arial"/>
                <w:sz w:val="13"/>
                <w:szCs w:val="13"/>
                <w:color w:val="auto"/>
              </w:rPr>
              <w:t>173,836</w:t>
            </w:r>
          </w:p>
        </w:tc>
        <w:tc>
          <w:tcPr>
            <w:tcW w:w="380" w:type="dxa"/>
            <w:vAlign w:val="bottom"/>
          </w:tcPr>
          <w:p>
            <w:pPr>
              <w:ind w:left="80"/>
              <w:spacing w:after="0"/>
              <w:rPr>
                <w:sz w:val="20"/>
                <w:szCs w:val="20"/>
                <w:color w:val="auto"/>
              </w:rPr>
            </w:pPr>
            <w:r>
              <w:rPr>
                <w:rFonts w:ascii="Arial" w:cs="Arial" w:eastAsia="Arial" w:hAnsi="Arial"/>
                <w:sz w:val="13"/>
                <w:szCs w:val="13"/>
                <w:color w:val="auto"/>
              </w:rPr>
              <w:t>(15)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500,000</w:t>
            </w:r>
          </w:p>
        </w:tc>
        <w:tc>
          <w:tcPr>
            <w:tcW w:w="1100" w:type="dxa"/>
            <w:vAlign w:val="bottom"/>
          </w:tcPr>
          <w:p>
            <w:pPr>
              <w:jc w:val="right"/>
              <w:spacing w:after="0"/>
              <w:rPr>
                <w:sz w:val="20"/>
                <w:szCs w:val="20"/>
                <w:color w:val="auto"/>
              </w:rPr>
            </w:pPr>
            <w:r>
              <w:rPr>
                <w:rFonts w:ascii="Arial" w:cs="Arial" w:eastAsia="Arial" w:hAnsi="Arial"/>
                <w:sz w:val="13"/>
                <w:szCs w:val="13"/>
                <w:color w:val="auto"/>
              </w:rPr>
              <w:t>(16)   1,869,879</w:t>
            </w:r>
          </w:p>
        </w:tc>
        <w:tc>
          <w:tcPr>
            <w:tcW w:w="360" w:type="dxa"/>
            <w:vAlign w:val="bottom"/>
          </w:tcPr>
          <w:p>
            <w:pPr>
              <w:ind w:left="40"/>
              <w:spacing w:after="0"/>
              <w:rPr>
                <w:sz w:val="20"/>
                <w:szCs w:val="20"/>
                <w:color w:val="auto"/>
              </w:rPr>
            </w:pPr>
            <w:r>
              <w:rPr>
                <w:rFonts w:ascii="Arial" w:cs="Arial" w:eastAsia="Arial" w:hAnsi="Arial"/>
                <w:sz w:val="13"/>
                <w:szCs w:val="13"/>
                <w:color w:val="auto"/>
              </w:rPr>
              <w:t>(17)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265,000</w:t>
            </w:r>
          </w:p>
        </w:tc>
        <w:tc>
          <w:tcPr>
            <w:tcW w:w="320" w:type="dxa"/>
            <w:vAlign w:val="bottom"/>
          </w:tcPr>
          <w:p>
            <w:pPr>
              <w:jc w:val="right"/>
              <w:spacing w:after="0"/>
              <w:rPr>
                <w:sz w:val="20"/>
                <w:szCs w:val="20"/>
                <w:color w:val="auto"/>
              </w:rPr>
            </w:pPr>
            <w:r>
              <w:rPr>
                <w:rFonts w:ascii="Arial" w:cs="Arial" w:eastAsia="Arial" w:hAnsi="Arial"/>
                <w:sz w:val="13"/>
                <w:szCs w:val="13"/>
                <w:color w:val="auto"/>
              </w:rPr>
              <w:t>(18)</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234,643</w:t>
            </w:r>
          </w:p>
        </w:tc>
        <w:tc>
          <w:tcPr>
            <w:tcW w:w="700" w:type="dxa"/>
            <w:vAlign w:val="bottom"/>
          </w:tcPr>
          <w:p>
            <w:pPr>
              <w:jc w:val="right"/>
              <w:spacing w:after="0"/>
              <w:rPr>
                <w:sz w:val="20"/>
                <w:szCs w:val="20"/>
                <w:color w:val="auto"/>
              </w:rPr>
            </w:pPr>
            <w:r>
              <w:rPr>
                <w:rFonts w:ascii="Arial" w:cs="Arial" w:eastAsia="Arial" w:hAnsi="Arial"/>
                <w:sz w:val="13"/>
                <w:szCs w:val="13"/>
                <w:color w:val="auto"/>
              </w:rPr>
              <w:t>3,043,358</w:t>
            </w:r>
          </w:p>
        </w:tc>
      </w:tr>
      <w:tr>
        <w:trPr>
          <w:trHeight w:val="81"/>
        </w:trPr>
        <w:tc>
          <w:tcPr>
            <w:tcW w:w="3620" w:type="dxa"/>
            <w:vAlign w:val="bottom"/>
            <w:tcBorders>
              <w:bottom w:val="single" w:sz="8" w:color="003B71"/>
            </w:tcBorders>
          </w:tcPr>
          <w:p>
            <w:pPr>
              <w:spacing w:after="0"/>
              <w:rPr>
                <w:sz w:val="7"/>
                <w:szCs w:val="7"/>
                <w:color w:val="auto"/>
              </w:rPr>
            </w:pPr>
          </w:p>
        </w:tc>
        <w:tc>
          <w:tcPr>
            <w:tcW w:w="540" w:type="dxa"/>
            <w:vAlign w:val="bottom"/>
            <w:tcBorders>
              <w:bottom w:val="single" w:sz="8" w:color="003B71"/>
            </w:tcBorders>
          </w:tcPr>
          <w:p>
            <w:pPr>
              <w:spacing w:after="0"/>
              <w:rPr>
                <w:sz w:val="7"/>
                <w:szCs w:val="7"/>
                <w:color w:val="auto"/>
              </w:rPr>
            </w:pPr>
          </w:p>
        </w:tc>
        <w:tc>
          <w:tcPr>
            <w:tcW w:w="620" w:type="dxa"/>
            <w:vAlign w:val="bottom"/>
            <w:tcBorders>
              <w:bottom w:val="single" w:sz="8" w:color="003B71"/>
            </w:tcBorders>
          </w:tcPr>
          <w:p>
            <w:pPr>
              <w:spacing w:after="0"/>
              <w:rPr>
                <w:sz w:val="7"/>
                <w:szCs w:val="7"/>
                <w:color w:val="auto"/>
              </w:rPr>
            </w:pPr>
          </w:p>
        </w:tc>
        <w:tc>
          <w:tcPr>
            <w:tcW w:w="380" w:type="dxa"/>
            <w:vAlign w:val="bottom"/>
            <w:tcBorders>
              <w:bottom w:val="single" w:sz="8" w:color="003B71"/>
            </w:tcBorders>
          </w:tcPr>
          <w:p>
            <w:pPr>
              <w:spacing w:after="0"/>
              <w:rPr>
                <w:sz w:val="7"/>
                <w:szCs w:val="7"/>
                <w:color w:val="auto"/>
              </w:rPr>
            </w:pPr>
          </w:p>
        </w:tc>
        <w:tc>
          <w:tcPr>
            <w:tcW w:w="640" w:type="dxa"/>
            <w:vAlign w:val="bottom"/>
            <w:tcBorders>
              <w:bottom w:val="single" w:sz="8" w:color="003B71"/>
            </w:tcBorders>
          </w:tcPr>
          <w:p>
            <w:pPr>
              <w:spacing w:after="0"/>
              <w:rPr>
                <w:sz w:val="7"/>
                <w:szCs w:val="7"/>
                <w:color w:val="auto"/>
              </w:rPr>
            </w:pPr>
          </w:p>
        </w:tc>
        <w:tc>
          <w:tcPr>
            <w:tcW w:w="1100" w:type="dxa"/>
            <w:vAlign w:val="bottom"/>
            <w:tcBorders>
              <w:bottom w:val="single" w:sz="8" w:color="003B71"/>
            </w:tcBorders>
          </w:tcPr>
          <w:p>
            <w:pPr>
              <w:spacing w:after="0"/>
              <w:rPr>
                <w:sz w:val="7"/>
                <w:szCs w:val="7"/>
                <w:color w:val="auto"/>
              </w:rPr>
            </w:pPr>
          </w:p>
        </w:tc>
        <w:tc>
          <w:tcPr>
            <w:tcW w:w="360" w:type="dxa"/>
            <w:vAlign w:val="bottom"/>
            <w:tcBorders>
              <w:bottom w:val="single" w:sz="8" w:color="003B71"/>
            </w:tcBorders>
          </w:tcPr>
          <w:p>
            <w:pPr>
              <w:spacing w:after="0"/>
              <w:rPr>
                <w:sz w:val="7"/>
                <w:szCs w:val="7"/>
                <w:color w:val="auto"/>
              </w:rPr>
            </w:pPr>
          </w:p>
        </w:tc>
        <w:tc>
          <w:tcPr>
            <w:tcW w:w="700" w:type="dxa"/>
            <w:vAlign w:val="bottom"/>
            <w:tcBorders>
              <w:bottom w:val="single" w:sz="8" w:color="003B71"/>
            </w:tcBorders>
          </w:tcPr>
          <w:p>
            <w:pPr>
              <w:spacing w:after="0"/>
              <w:rPr>
                <w:sz w:val="7"/>
                <w:szCs w:val="7"/>
                <w:color w:val="auto"/>
              </w:rPr>
            </w:pPr>
          </w:p>
        </w:tc>
        <w:tc>
          <w:tcPr>
            <w:tcW w:w="1000" w:type="dxa"/>
            <w:vAlign w:val="bottom"/>
            <w:tcBorders>
              <w:bottom w:val="single" w:sz="8" w:color="003B71"/>
            </w:tcBorders>
          </w:tcPr>
          <w:p>
            <w:pPr>
              <w:spacing w:after="0"/>
              <w:rPr>
                <w:sz w:val="7"/>
                <w:szCs w:val="7"/>
                <w:color w:val="auto"/>
              </w:rPr>
            </w:pPr>
          </w:p>
        </w:tc>
        <w:tc>
          <w:tcPr>
            <w:tcW w:w="320" w:type="dxa"/>
            <w:vAlign w:val="bottom"/>
            <w:tcBorders>
              <w:bottom w:val="single" w:sz="8" w:color="003B71"/>
            </w:tcBorders>
          </w:tcPr>
          <w:p>
            <w:pPr>
              <w:spacing w:after="0"/>
              <w:rPr>
                <w:sz w:val="7"/>
                <w:szCs w:val="7"/>
                <w:color w:val="auto"/>
              </w:rPr>
            </w:pPr>
          </w:p>
        </w:tc>
        <w:tc>
          <w:tcPr>
            <w:tcW w:w="1040" w:type="dxa"/>
            <w:vAlign w:val="bottom"/>
            <w:tcBorders>
              <w:bottom w:val="single" w:sz="8" w:color="003B71"/>
            </w:tcBorders>
          </w:tcPr>
          <w:p>
            <w:pPr>
              <w:spacing w:after="0"/>
              <w:rPr>
                <w:sz w:val="7"/>
                <w:szCs w:val="7"/>
                <w:color w:val="auto"/>
              </w:rPr>
            </w:pPr>
          </w:p>
        </w:tc>
        <w:tc>
          <w:tcPr>
            <w:tcW w:w="700" w:type="dxa"/>
            <w:vAlign w:val="bottom"/>
            <w:tcBorders>
              <w:bottom w:val="single" w:sz="8" w:color="003B71"/>
            </w:tcBorders>
          </w:tcPr>
          <w:p>
            <w:pPr>
              <w:spacing w:after="0"/>
              <w:rPr>
                <w:sz w:val="7"/>
                <w:szCs w:val="7"/>
                <w:color w:val="auto"/>
              </w:rPr>
            </w:pPr>
          </w:p>
        </w:tc>
      </w:tr>
    </w:tbl>
    <w:p>
      <w:pPr>
        <w:spacing w:after="0" w:line="110" w:lineRule="exact"/>
        <w:rPr>
          <w:sz w:val="20"/>
          <w:szCs w:val="20"/>
          <w:color w:val="auto"/>
        </w:rPr>
      </w:pPr>
    </w:p>
    <w:p>
      <w:pPr>
        <w:jc w:val="both"/>
        <w:ind w:left="540" w:right="20" w:hanging="424"/>
        <w:spacing w:after="0" w:line="247"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Represents the aggregate grant date fair value of PSUs, RSUs and stock options, in each case computed in accordance with FASB ASC Topic 718 and, in the case of PSUs, based on the probable outcome of the performance conditions associated with such awards on the grant date. The aggregate grant date fair value of RSUs was determined using the closing price of our Common Stock on the grant date. The aggregate grant date fair value of stock option awards was determined using the Black-Scholes model. The underlying valuation assumptions for PSUs and stock option awards are further disclosed in Note 16,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to our consolidated financial statements filed with our annual report on Form 10-K for the year ended December 31, 2019, Note 15,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to our consolidated financial statements filed with our annual report on Form 10-K for the year ended December 31, 2018, and Note 14,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filed with our annual reports on Form 10-K for the year ended December 31, 2017. Pursuant to SEC rules, the amounts shown exclude the impact of estimated forfeitures related to service-based vesting conditions. The table below shows the grant date fair value of PSU awards granted in 2019, 2018 and 2017 assuming target and maximum levels of performance are achieved (amounts under the “Stock Awards” column represent the aggregate grant date fair value of PSUs based on the probable outcome of performance conditions, which for each of 2019, 2018 and 2017 assumed target level of performance was achieved).</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003B71"/>
              </w:rPr>
              <w:t>Name</w:t>
            </w:r>
          </w:p>
        </w:tc>
        <w:tc>
          <w:tcPr>
            <w:tcW w:w="980" w:type="dxa"/>
            <w:vAlign w:val="bottom"/>
            <w:tcBorders>
              <w:bottom w:val="single" w:sz="8" w:color="003B71"/>
            </w:tcBorders>
          </w:tcPr>
          <w:p>
            <w:pPr>
              <w:spacing w:after="0"/>
              <w:rPr>
                <w:sz w:val="15"/>
                <w:szCs w:val="15"/>
                <w:color w:val="auto"/>
              </w:rPr>
            </w:pPr>
          </w:p>
        </w:tc>
        <w:tc>
          <w:tcPr>
            <w:tcW w:w="1300" w:type="dxa"/>
            <w:vAlign w:val="bottom"/>
            <w:tcBorders>
              <w:bottom w:val="single" w:sz="8" w:color="003B71"/>
            </w:tcBorders>
          </w:tcPr>
          <w:p>
            <w:pPr>
              <w:jc w:val="right"/>
              <w:ind w:right="882"/>
              <w:spacing w:after="0"/>
              <w:rPr>
                <w:sz w:val="20"/>
                <w:szCs w:val="20"/>
                <w:color w:val="auto"/>
              </w:rPr>
            </w:pPr>
            <w:r>
              <w:rPr>
                <w:rFonts w:ascii="Arial" w:cs="Arial" w:eastAsia="Arial" w:hAnsi="Arial"/>
                <w:sz w:val="14"/>
                <w:szCs w:val="14"/>
                <w:b w:val="1"/>
                <w:bCs w:val="1"/>
                <w:color w:val="003B71"/>
              </w:rPr>
              <w:t>2019</w:t>
            </w:r>
          </w:p>
        </w:tc>
        <w:tc>
          <w:tcPr>
            <w:tcW w:w="900" w:type="dxa"/>
            <w:vAlign w:val="bottom"/>
            <w:tcBorders>
              <w:bottom w:val="single" w:sz="8" w:color="003B71"/>
            </w:tcBorders>
          </w:tcPr>
          <w:p>
            <w:pPr>
              <w:spacing w:after="0"/>
              <w:rPr>
                <w:sz w:val="15"/>
                <w:szCs w:val="15"/>
                <w:color w:val="auto"/>
              </w:rPr>
            </w:pPr>
          </w:p>
        </w:tc>
        <w:tc>
          <w:tcPr>
            <w:tcW w:w="1300" w:type="dxa"/>
            <w:vAlign w:val="bottom"/>
            <w:tcBorders>
              <w:bottom w:val="single" w:sz="8" w:color="003B71"/>
            </w:tcBorders>
          </w:tcPr>
          <w:p>
            <w:pPr>
              <w:jc w:val="right"/>
              <w:ind w:right="902"/>
              <w:spacing w:after="0"/>
              <w:rPr>
                <w:sz w:val="20"/>
                <w:szCs w:val="20"/>
                <w:color w:val="auto"/>
              </w:rPr>
            </w:pPr>
            <w:r>
              <w:rPr>
                <w:rFonts w:ascii="Arial" w:cs="Arial" w:eastAsia="Arial" w:hAnsi="Arial"/>
                <w:sz w:val="14"/>
                <w:szCs w:val="14"/>
                <w:b w:val="1"/>
                <w:bCs w:val="1"/>
                <w:color w:val="003B71"/>
                <w:w w:val="96"/>
              </w:rPr>
              <w:t>2018</w:t>
            </w:r>
          </w:p>
        </w:tc>
        <w:tc>
          <w:tcPr>
            <w:tcW w:w="880" w:type="dxa"/>
            <w:vAlign w:val="bottom"/>
            <w:tcBorders>
              <w:bottom w:val="single" w:sz="8" w:color="003B71"/>
            </w:tcBorders>
          </w:tcPr>
          <w:p>
            <w:pPr>
              <w:spacing w:after="0"/>
              <w:rPr>
                <w:sz w:val="15"/>
                <w:szCs w:val="15"/>
                <w:color w:val="auto"/>
              </w:rPr>
            </w:pPr>
          </w:p>
        </w:tc>
        <w:tc>
          <w:tcPr>
            <w:tcW w:w="1200" w:type="dxa"/>
            <w:vAlign w:val="bottom"/>
            <w:tcBorders>
              <w:bottom w:val="single" w:sz="8" w:color="003B71"/>
            </w:tcBorders>
          </w:tcPr>
          <w:p>
            <w:pPr>
              <w:jc w:val="right"/>
              <w:ind w:right="785"/>
              <w:spacing w:after="0"/>
              <w:rPr>
                <w:sz w:val="20"/>
                <w:szCs w:val="20"/>
                <w:color w:val="auto"/>
              </w:rPr>
            </w:pPr>
            <w:r>
              <w:rPr>
                <w:rFonts w:ascii="Arial" w:cs="Arial" w:eastAsia="Arial" w:hAnsi="Arial"/>
                <w:sz w:val="14"/>
                <w:szCs w:val="14"/>
                <w:b w:val="1"/>
                <w:bCs w:val="1"/>
                <w:color w:val="003B71"/>
              </w:rPr>
              <w:t>2017</w:t>
            </w:r>
          </w:p>
        </w:tc>
        <w:tc>
          <w:tcPr>
            <w:tcW w:w="0" w:type="dxa"/>
            <w:vAlign w:val="bottom"/>
          </w:tcPr>
          <w:p>
            <w:pPr>
              <w:spacing w:after="0"/>
              <w:rPr>
                <w:sz w:val="1"/>
                <w:szCs w:val="1"/>
                <w:color w:val="auto"/>
              </w:rPr>
            </w:pPr>
          </w:p>
        </w:tc>
      </w:tr>
      <w:tr>
        <w:trPr>
          <w:trHeight w:val="155"/>
        </w:trPr>
        <w:tc>
          <w:tcPr>
            <w:tcW w:w="4120" w:type="dxa"/>
            <w:vAlign w:val="bottom"/>
            <w:tcBorders>
              <w:bottom w:val="single" w:sz="8" w:color="003B71"/>
            </w:tcBorders>
            <w:vMerge w:val="continue"/>
          </w:tcPr>
          <w:p>
            <w:pPr>
              <w:spacing w:after="0"/>
              <w:rPr>
                <w:sz w:val="13"/>
                <w:szCs w:val="13"/>
                <w:color w:val="auto"/>
              </w:rPr>
            </w:pPr>
          </w:p>
        </w:tc>
        <w:tc>
          <w:tcPr>
            <w:tcW w:w="980" w:type="dxa"/>
            <w:vAlign w:val="bottom"/>
            <w:tcBorders>
              <w:bottom w:val="single" w:sz="8" w:color="003B71"/>
            </w:tcBorders>
          </w:tcPr>
          <w:p>
            <w:pPr>
              <w:jc w:val="right"/>
              <w:ind w:right="1"/>
              <w:spacing w:after="0" w:line="155" w:lineRule="exact"/>
              <w:rPr>
                <w:sz w:val="20"/>
                <w:szCs w:val="20"/>
                <w:color w:val="auto"/>
              </w:rPr>
            </w:pPr>
            <w:r>
              <w:rPr>
                <w:rFonts w:ascii="Arial" w:cs="Arial" w:eastAsia="Arial" w:hAnsi="Arial"/>
                <w:sz w:val="14"/>
                <w:szCs w:val="14"/>
                <w:b w:val="1"/>
                <w:bCs w:val="1"/>
                <w:color w:val="003B71"/>
              </w:rPr>
              <w:t>Target ($)</w:t>
            </w:r>
          </w:p>
        </w:tc>
        <w:tc>
          <w:tcPr>
            <w:tcW w:w="1300" w:type="dxa"/>
            <w:vAlign w:val="bottom"/>
            <w:tcBorders>
              <w:bottom w:val="single" w:sz="8" w:color="003B71"/>
            </w:tcBorders>
          </w:tcPr>
          <w:p>
            <w:pPr>
              <w:jc w:val="right"/>
              <w:ind w:right="82"/>
              <w:spacing w:after="0" w:line="155" w:lineRule="exact"/>
              <w:rPr>
                <w:sz w:val="20"/>
                <w:szCs w:val="20"/>
                <w:color w:val="auto"/>
              </w:rPr>
            </w:pPr>
            <w:r>
              <w:rPr>
                <w:rFonts w:ascii="Arial" w:cs="Arial" w:eastAsia="Arial" w:hAnsi="Arial"/>
                <w:sz w:val="14"/>
                <w:szCs w:val="14"/>
                <w:b w:val="1"/>
                <w:bCs w:val="1"/>
                <w:color w:val="003B71"/>
              </w:rPr>
              <w:t>Maximum ($)</w:t>
            </w:r>
          </w:p>
        </w:tc>
        <w:tc>
          <w:tcPr>
            <w:tcW w:w="900" w:type="dxa"/>
            <w:vAlign w:val="bottom"/>
            <w:tcBorders>
              <w:bottom w:val="single" w:sz="8" w:color="003B71"/>
            </w:tcBorders>
          </w:tcPr>
          <w:p>
            <w:pPr>
              <w:jc w:val="right"/>
              <w:ind w:right="1"/>
              <w:spacing w:after="0" w:line="155" w:lineRule="exact"/>
              <w:rPr>
                <w:sz w:val="20"/>
                <w:szCs w:val="20"/>
                <w:color w:val="auto"/>
              </w:rPr>
            </w:pPr>
            <w:r>
              <w:rPr>
                <w:rFonts w:ascii="Arial" w:cs="Arial" w:eastAsia="Arial" w:hAnsi="Arial"/>
                <w:sz w:val="14"/>
                <w:szCs w:val="14"/>
                <w:b w:val="1"/>
                <w:bCs w:val="1"/>
                <w:color w:val="003B71"/>
              </w:rPr>
              <w:t>Target ($)</w:t>
            </w:r>
          </w:p>
        </w:tc>
        <w:tc>
          <w:tcPr>
            <w:tcW w:w="1300" w:type="dxa"/>
            <w:vAlign w:val="bottom"/>
            <w:tcBorders>
              <w:bottom w:val="single" w:sz="8" w:color="003B71"/>
            </w:tcBorders>
          </w:tcPr>
          <w:p>
            <w:pPr>
              <w:jc w:val="right"/>
              <w:ind w:right="102"/>
              <w:spacing w:after="0" w:line="155" w:lineRule="exact"/>
              <w:rPr>
                <w:sz w:val="20"/>
                <w:szCs w:val="20"/>
                <w:color w:val="auto"/>
              </w:rPr>
            </w:pPr>
            <w:r>
              <w:rPr>
                <w:rFonts w:ascii="Arial" w:cs="Arial" w:eastAsia="Arial" w:hAnsi="Arial"/>
                <w:sz w:val="14"/>
                <w:szCs w:val="14"/>
                <w:b w:val="1"/>
                <w:bCs w:val="1"/>
                <w:color w:val="003B71"/>
              </w:rPr>
              <w:t>Maximum ($)</w:t>
            </w:r>
          </w:p>
        </w:tc>
        <w:tc>
          <w:tcPr>
            <w:tcW w:w="880" w:type="dxa"/>
            <w:vAlign w:val="bottom"/>
            <w:tcBorders>
              <w:bottom w:val="single" w:sz="8" w:color="003B71"/>
            </w:tcBorders>
          </w:tcPr>
          <w:p>
            <w:pPr>
              <w:jc w:val="right"/>
              <w:ind w:right="4"/>
              <w:spacing w:after="0" w:line="155" w:lineRule="exact"/>
              <w:rPr>
                <w:sz w:val="20"/>
                <w:szCs w:val="20"/>
                <w:color w:val="auto"/>
              </w:rPr>
            </w:pPr>
            <w:r>
              <w:rPr>
                <w:rFonts w:ascii="Arial" w:cs="Arial" w:eastAsia="Arial" w:hAnsi="Arial"/>
                <w:sz w:val="14"/>
                <w:szCs w:val="14"/>
                <w:b w:val="1"/>
                <w:bCs w:val="1"/>
                <w:color w:val="003B71"/>
              </w:rPr>
              <w:t>Target ($)</w:t>
            </w:r>
          </w:p>
        </w:tc>
        <w:tc>
          <w:tcPr>
            <w:tcW w:w="1200" w:type="dxa"/>
            <w:vAlign w:val="bottom"/>
            <w:tcBorders>
              <w:bottom w:val="single" w:sz="8" w:color="003B71"/>
            </w:tcBorders>
          </w:tcPr>
          <w:p>
            <w:pPr>
              <w:jc w:val="right"/>
              <w:spacing w:after="0" w:line="155" w:lineRule="exact"/>
              <w:rPr>
                <w:sz w:val="20"/>
                <w:szCs w:val="20"/>
                <w:color w:val="auto"/>
              </w:rPr>
            </w:pPr>
            <w:r>
              <w:rPr>
                <w:rFonts w:ascii="Arial" w:cs="Arial" w:eastAsia="Arial" w:hAnsi="Arial"/>
                <w:sz w:val="14"/>
                <w:szCs w:val="14"/>
                <w:b w:val="1"/>
                <w:bCs w:val="1"/>
                <w:color w:val="003B71"/>
              </w:rPr>
              <w:t>Maximum ($)</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20"/>
                <w:szCs w:val="20"/>
                <w:color w:val="auto"/>
              </w:rPr>
            </w:pPr>
            <w:r>
              <w:rPr>
                <w:rFonts w:ascii="Arial" w:cs="Arial" w:eastAsia="Arial" w:hAnsi="Arial"/>
                <w:sz w:val="16"/>
                <w:szCs w:val="16"/>
                <w:color w:val="auto"/>
              </w:rPr>
              <w:t>Dan H. Arnold</w:t>
            </w:r>
          </w:p>
        </w:tc>
        <w:tc>
          <w:tcPr>
            <w:tcW w:w="980" w:type="dxa"/>
            <w:vAlign w:val="bottom"/>
          </w:tcPr>
          <w:p>
            <w:pPr>
              <w:jc w:val="right"/>
              <w:spacing w:after="0"/>
              <w:rPr>
                <w:sz w:val="20"/>
                <w:szCs w:val="20"/>
                <w:color w:val="auto"/>
              </w:rPr>
            </w:pPr>
            <w:r>
              <w:rPr>
                <w:rFonts w:ascii="Arial" w:cs="Arial" w:eastAsia="Arial" w:hAnsi="Arial"/>
                <w:sz w:val="16"/>
                <w:szCs w:val="16"/>
                <w:color w:val="auto"/>
              </w:rPr>
              <w:t>2,616,773</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5,233,545</w:t>
            </w:r>
          </w:p>
        </w:tc>
        <w:tc>
          <w:tcPr>
            <w:tcW w:w="900" w:type="dxa"/>
            <w:vAlign w:val="bottom"/>
          </w:tcPr>
          <w:p>
            <w:pPr>
              <w:jc w:val="right"/>
              <w:spacing w:after="0"/>
              <w:rPr>
                <w:sz w:val="20"/>
                <w:szCs w:val="20"/>
                <w:color w:val="auto"/>
              </w:rPr>
            </w:pPr>
            <w:r>
              <w:rPr>
                <w:rFonts w:ascii="Arial" w:cs="Arial" w:eastAsia="Arial" w:hAnsi="Arial"/>
                <w:sz w:val="16"/>
                <w:szCs w:val="16"/>
                <w:color w:val="auto"/>
              </w:rPr>
              <w:t>2,328,641</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4,657,281</w:t>
            </w:r>
          </w:p>
        </w:tc>
        <w:tc>
          <w:tcPr>
            <w:tcW w:w="880" w:type="dxa"/>
            <w:vAlign w:val="bottom"/>
          </w:tcPr>
          <w:p>
            <w:pPr>
              <w:jc w:val="right"/>
              <w:spacing w:after="0"/>
              <w:rPr>
                <w:sz w:val="20"/>
                <w:szCs w:val="20"/>
                <w:color w:val="auto"/>
              </w:rPr>
            </w:pPr>
            <w:r>
              <w:rPr>
                <w:rFonts w:ascii="Arial" w:cs="Arial" w:eastAsia="Arial" w:hAnsi="Arial"/>
                <w:sz w:val="16"/>
                <w:szCs w:val="16"/>
                <w:color w:val="auto"/>
              </w:rPr>
              <w:t>1,708,535</w:t>
            </w:r>
          </w:p>
        </w:tc>
        <w:tc>
          <w:tcPr>
            <w:tcW w:w="1200" w:type="dxa"/>
            <w:vAlign w:val="bottom"/>
          </w:tcPr>
          <w:p>
            <w:pPr>
              <w:jc w:val="right"/>
              <w:spacing w:after="0"/>
              <w:rPr>
                <w:sz w:val="20"/>
                <w:szCs w:val="20"/>
                <w:color w:val="auto"/>
              </w:rPr>
            </w:pPr>
            <w:r>
              <w:rPr>
                <w:rFonts w:ascii="Arial" w:cs="Arial" w:eastAsia="Arial" w:hAnsi="Arial"/>
                <w:sz w:val="16"/>
                <w:szCs w:val="16"/>
                <w:color w:val="auto"/>
              </w:rPr>
              <w:t>3,417,070</w:t>
            </w: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Matthew J. Audette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654,193</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1,308,386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635,050</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1,270,100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512,551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1,025,102</w:t>
            </w:r>
          </w:p>
        </w:tc>
        <w:tc>
          <w:tcPr>
            <w:tcW w:w="0" w:type="dxa"/>
            <w:vAlign w:val="bottom"/>
          </w:tcPr>
          <w:p>
            <w:pPr>
              <w:spacing w:after="0"/>
              <w:rPr>
                <w:sz w:val="1"/>
                <w:szCs w:val="1"/>
                <w:color w:val="auto"/>
              </w:rPr>
            </w:pPr>
          </w:p>
        </w:tc>
      </w:tr>
      <w:tr>
        <w:trPr>
          <w:trHeight w:val="200"/>
        </w:trPr>
        <w:tc>
          <w:tcPr>
            <w:tcW w:w="4120" w:type="dxa"/>
            <w:vAlign w:val="bottom"/>
          </w:tcPr>
          <w:p>
            <w:pPr>
              <w:spacing w:after="0"/>
              <w:rPr>
                <w:sz w:val="20"/>
                <w:szCs w:val="20"/>
                <w:color w:val="auto"/>
              </w:rPr>
            </w:pPr>
            <w:r>
              <w:rPr>
                <w:rFonts w:ascii="Arial" w:cs="Arial" w:eastAsia="Arial" w:hAnsi="Arial"/>
                <w:sz w:val="16"/>
                <w:szCs w:val="16"/>
                <w:color w:val="auto"/>
              </w:rPr>
              <w:t>Scott Seese</w:t>
            </w:r>
          </w:p>
        </w:tc>
        <w:tc>
          <w:tcPr>
            <w:tcW w:w="980" w:type="dxa"/>
            <w:vAlign w:val="bottom"/>
          </w:tcPr>
          <w:p>
            <w:pPr>
              <w:jc w:val="right"/>
              <w:spacing w:after="0"/>
              <w:rPr>
                <w:sz w:val="20"/>
                <w:szCs w:val="20"/>
                <w:color w:val="auto"/>
              </w:rPr>
            </w:pPr>
            <w:r>
              <w:rPr>
                <w:rFonts w:ascii="Arial" w:cs="Arial" w:eastAsia="Arial" w:hAnsi="Arial"/>
                <w:sz w:val="16"/>
                <w:szCs w:val="16"/>
                <w:color w:val="auto"/>
              </w:rPr>
              <w:t>623,036</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1,246,071</w:t>
            </w:r>
          </w:p>
        </w:tc>
        <w:tc>
          <w:tcPr>
            <w:tcW w:w="900" w:type="dxa"/>
            <w:vAlign w:val="bottom"/>
          </w:tcPr>
          <w:p>
            <w:pPr>
              <w:jc w:val="right"/>
              <w:spacing w:after="0"/>
              <w:rPr>
                <w:sz w:val="20"/>
                <w:szCs w:val="20"/>
                <w:color w:val="auto"/>
              </w:rPr>
            </w:pPr>
            <w:r>
              <w:rPr>
                <w:rFonts w:ascii="Arial" w:cs="Arial" w:eastAsia="Arial" w:hAnsi="Arial"/>
                <w:sz w:val="16"/>
                <w:szCs w:val="16"/>
                <w:color w:val="auto"/>
              </w:rPr>
              <w:t>514,093</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1,028,185</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0"/>
        </w:trPr>
        <w:tc>
          <w:tcPr>
            <w:tcW w:w="4120" w:type="dxa"/>
            <w:vAlign w:val="bottom"/>
          </w:tcPr>
          <w:p>
            <w:pPr>
              <w:spacing w:after="0"/>
              <w:rPr>
                <w:sz w:val="20"/>
                <w:szCs w:val="20"/>
                <w:color w:val="auto"/>
              </w:rPr>
            </w:pPr>
            <w:r>
              <w:rPr>
                <w:rFonts w:ascii="Arial" w:cs="Arial" w:eastAsia="Arial" w:hAnsi="Arial"/>
                <w:sz w:val="16"/>
                <w:szCs w:val="16"/>
                <w:color w:val="auto"/>
              </w:rPr>
              <w:t>Richard Steinmeier</w:t>
            </w:r>
          </w:p>
        </w:tc>
        <w:tc>
          <w:tcPr>
            <w:tcW w:w="980" w:type="dxa"/>
            <w:vAlign w:val="bottom"/>
          </w:tcPr>
          <w:p>
            <w:pPr>
              <w:jc w:val="right"/>
              <w:spacing w:after="0"/>
              <w:rPr>
                <w:sz w:val="20"/>
                <w:szCs w:val="20"/>
                <w:color w:val="auto"/>
              </w:rPr>
            </w:pPr>
            <w:r>
              <w:rPr>
                <w:rFonts w:ascii="Arial" w:cs="Arial" w:eastAsia="Arial" w:hAnsi="Arial"/>
                <w:sz w:val="16"/>
                <w:szCs w:val="16"/>
                <w:color w:val="auto"/>
              </w:rPr>
              <w:t>372,863</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745,725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4120" w:type="dxa"/>
            <w:vAlign w:val="bottom"/>
            <w:tcBorders>
              <w:bottom w:val="single" w:sz="8" w:color="003B71"/>
            </w:tcBorders>
          </w:tcPr>
          <w:p>
            <w:pPr>
              <w:spacing w:after="0"/>
              <w:rPr>
                <w:sz w:val="4"/>
                <w:szCs w:val="4"/>
                <w:color w:val="auto"/>
              </w:rPr>
            </w:pPr>
          </w:p>
        </w:tc>
        <w:tc>
          <w:tcPr>
            <w:tcW w:w="980" w:type="dxa"/>
            <w:vAlign w:val="bottom"/>
            <w:tcBorders>
              <w:bottom w:val="single" w:sz="8" w:color="003B71"/>
            </w:tcBorders>
          </w:tcPr>
          <w:p>
            <w:pPr>
              <w:spacing w:after="0"/>
              <w:rPr>
                <w:sz w:val="4"/>
                <w:szCs w:val="4"/>
                <w:color w:val="auto"/>
              </w:rPr>
            </w:pPr>
          </w:p>
        </w:tc>
        <w:tc>
          <w:tcPr>
            <w:tcW w:w="1300" w:type="dxa"/>
            <w:vAlign w:val="bottom"/>
            <w:tcBorders>
              <w:bottom w:val="single" w:sz="8" w:color="003B71"/>
            </w:tcBorders>
          </w:tcPr>
          <w:p>
            <w:pPr>
              <w:spacing w:after="0"/>
              <w:rPr>
                <w:sz w:val="4"/>
                <w:szCs w:val="4"/>
                <w:color w:val="auto"/>
              </w:rPr>
            </w:pPr>
          </w:p>
        </w:tc>
        <w:tc>
          <w:tcPr>
            <w:tcW w:w="900" w:type="dxa"/>
            <w:vAlign w:val="bottom"/>
            <w:tcBorders>
              <w:bottom w:val="single" w:sz="8" w:color="003B71"/>
            </w:tcBorders>
          </w:tcPr>
          <w:p>
            <w:pPr>
              <w:spacing w:after="0"/>
              <w:rPr>
                <w:sz w:val="4"/>
                <w:szCs w:val="4"/>
                <w:color w:val="auto"/>
              </w:rPr>
            </w:pPr>
          </w:p>
        </w:tc>
        <w:tc>
          <w:tcPr>
            <w:tcW w:w="1300" w:type="dxa"/>
            <w:vAlign w:val="bottom"/>
            <w:tcBorders>
              <w:bottom w:val="single" w:sz="8" w:color="003B71"/>
            </w:tcBorders>
          </w:tcPr>
          <w:p>
            <w:pPr>
              <w:spacing w:after="0"/>
              <w:rPr>
                <w:sz w:val="4"/>
                <w:szCs w:val="4"/>
                <w:color w:val="auto"/>
              </w:rPr>
            </w:pPr>
          </w:p>
        </w:tc>
        <w:tc>
          <w:tcPr>
            <w:tcW w:w="880" w:type="dxa"/>
            <w:vAlign w:val="bottom"/>
            <w:tcBorders>
              <w:bottom w:val="single" w:sz="8" w:color="003B71"/>
            </w:tcBorders>
          </w:tcPr>
          <w:p>
            <w:pPr>
              <w:spacing w:after="0"/>
              <w:rPr>
                <w:sz w:val="4"/>
                <w:szCs w:val="4"/>
                <w:color w:val="auto"/>
              </w:rPr>
            </w:pPr>
          </w:p>
        </w:tc>
        <w:tc>
          <w:tcPr>
            <w:tcW w:w="1200" w:type="dxa"/>
            <w:vAlign w:val="bottom"/>
            <w:tcBorders>
              <w:bottom w:val="single" w:sz="8" w:color="003B7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003B71"/>
        </w:rPr>
        <w:t>49</w:t>
      </w:r>
    </w:p>
    <w:p>
      <w:pPr>
        <w:sectPr>
          <w:pgSz w:w="11900" w:h="16838" w:orient="portrait"/>
          <w:cols w:equalWidth="0" w:num="2">
            <w:col w:w="10400" w:space="540"/>
            <w:col w:w="200"/>
          </w:cols>
          <w:pgMar w:left="32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the dollar value of annual cash bonus awards earned by each NEO under our cash bonus plan for the relevant year (the “Bonus Plan”).</w:t>
      </w:r>
    </w:p>
    <w:p>
      <w:pPr>
        <w:spacing w:after="0" w:line="56"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table below for additional information.</w:t>
      </w:r>
    </w:p>
    <w:p>
      <w:pPr>
        <w:spacing w:after="0" w:line="88"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Arnold received an increase in base salary from $800,000 to $850,000 on February 17, 2019.</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Arnold received an increase in base salary from $675,000 to $800,000 on January 3, 2017 in connection with his appointment as chief executive officer.</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one-time grant of 38,809 RSUs on February 13, 2017 in connection with Mr. Arnold’s appointment as chief executive officer.</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Seese joined the Company on July 10, 2017.</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Seese’s base salary for 2017 of $500,000 was prorated based on commencement of his employment on July 10, 2017.</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sign-on grant of 11,074 RSUs in connection with Mr. Seese’s commencement of employment.</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Pursuant to the terms of his employment offer with the Company, Mr. Seese’s annual cash bonus for 2017 was not prorated.</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Semerjian joined the Company on February 28, 2019.</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Semerjian’s base salary for 2019 of $500,000 was prorated based on commencement of his employment on February 28, 2019.</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sign-on grant of 10,772 RSUs in connection with Mr. Semerjian’s commencement of employment.</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Steinmeier joined the Company on August 13, 2018.</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Steinmeier’s base salary for 2018 of $450,000 was prorated based on commencement of his employment on August 13, 2018.</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a signing bonus paid in connection with Mr. Steinmeier’s commencement of employment.</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sign-on grant of 30,143 RSUs in connection with Mr. Steinmeier’s commencement of employment.</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Steinmeier’s bonus for 2018 was prorated based on commencement of his employment on August 13, 2018.</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All Other Compensation</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concerning All Other Compensation in the table above for the years ended December 31, 2019, 2018 and 2017 for our NEOs: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w w:val="97"/>
              </w:rPr>
              <w:t>Taxable</w:t>
            </w:r>
          </w:p>
        </w:tc>
        <w:tc>
          <w:tcPr>
            <w:tcW w:w="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003B71"/>
              </w:rPr>
              <w:t>Taxable</w:t>
            </w: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w w:val="98"/>
              </w:rPr>
              <w:t>Executive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w w:val="97"/>
              </w:rPr>
              <w:t>Travel</w:t>
            </w:r>
          </w:p>
        </w:tc>
        <w:tc>
          <w:tcPr>
            <w:tcW w:w="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003B71"/>
              </w:rPr>
              <w:t>Relocation</w:t>
            </w: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Health</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and</w:t>
            </w:r>
          </w:p>
        </w:tc>
        <w:tc>
          <w:tcPr>
            <w:tcW w:w="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003B71"/>
                <w:w w:val="98"/>
              </w:rPr>
              <w:t>and</w:t>
            </w:r>
          </w:p>
        </w:tc>
        <w:tc>
          <w:tcPr>
            <w:tcW w:w="5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3B71"/>
              </w:rPr>
              <w:t>Reimbursement</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and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003B71"/>
                <w:w w:val="99"/>
              </w:rPr>
              <w:t>401(k)</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Related</w:t>
            </w:r>
          </w:p>
        </w:tc>
        <w:tc>
          <w:tcPr>
            <w:tcW w:w="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003B71"/>
              </w:rPr>
              <w:t>Related</w:t>
            </w:r>
          </w:p>
        </w:tc>
        <w:tc>
          <w:tcPr>
            <w:tcW w:w="5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3B71"/>
              </w:rPr>
              <w:t>for Financial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Wellness</w:t>
            </w:r>
          </w:p>
        </w:tc>
        <w:tc>
          <w:tcPr>
            <w:tcW w:w="980" w:type="dxa"/>
            <w:vAlign w:val="bottom"/>
          </w:tcPr>
          <w:p>
            <w:pPr>
              <w:jc w:val="right"/>
              <w:ind w:right="46"/>
              <w:spacing w:after="0"/>
              <w:rPr>
                <w:sz w:val="20"/>
                <w:szCs w:val="20"/>
                <w:color w:val="auto"/>
              </w:rPr>
            </w:pPr>
            <w:r>
              <w:rPr>
                <w:rFonts w:ascii="Arial" w:cs="Arial" w:eastAsia="Arial" w:hAnsi="Arial"/>
                <w:sz w:val="16"/>
                <w:szCs w:val="16"/>
                <w:b w:val="1"/>
                <w:bCs w:val="1"/>
                <w:color w:val="003B71"/>
              </w:rPr>
              <w:t>Employer</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Expenses</w:t>
            </w:r>
          </w:p>
        </w:tc>
        <w:tc>
          <w:tcPr>
            <w:tcW w:w="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003B71"/>
              </w:rPr>
              <w:t>Expenses</w:t>
            </w:r>
          </w:p>
        </w:tc>
        <w:tc>
          <w:tcPr>
            <w:tcW w:w="5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03B71"/>
              </w:rPr>
              <w:t>Planning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003B71"/>
              </w:rPr>
              <w:t>Program</w:t>
            </w:r>
          </w:p>
        </w:tc>
        <w:tc>
          <w:tcPr>
            <w:tcW w:w="980" w:type="dxa"/>
            <w:vAlign w:val="bottom"/>
          </w:tcPr>
          <w:p>
            <w:pPr>
              <w:jc w:val="right"/>
              <w:ind w:right="186"/>
              <w:spacing w:after="0"/>
              <w:rPr>
                <w:sz w:val="20"/>
                <w:szCs w:val="20"/>
                <w:color w:val="auto"/>
              </w:rPr>
            </w:pPr>
            <w:r>
              <w:rPr>
                <w:rFonts w:ascii="Arial" w:cs="Arial" w:eastAsia="Arial" w:hAnsi="Arial"/>
                <w:sz w:val="16"/>
                <w:szCs w:val="16"/>
                <w:b w:val="1"/>
                <w:bCs w:val="1"/>
                <w:color w:val="003B71"/>
              </w:rPr>
              <w:t>Match</w:t>
            </w:r>
          </w:p>
        </w:tc>
        <w:tc>
          <w:tcPr>
            <w:tcW w:w="680" w:type="dxa"/>
            <w:vAlign w:val="bottom"/>
          </w:tcPr>
          <w:p>
            <w:pPr>
              <w:jc w:val="right"/>
              <w:ind w:right="47"/>
              <w:spacing w:after="0"/>
              <w:rPr>
                <w:sz w:val="20"/>
                <w:szCs w:val="20"/>
                <w:color w:val="auto"/>
              </w:rPr>
            </w:pPr>
            <w:r>
              <w:rPr>
                <w:rFonts w:ascii="Arial" w:cs="Arial" w:eastAsia="Arial" w:hAnsi="Arial"/>
                <w:sz w:val="16"/>
                <w:szCs w:val="16"/>
                <w:b w:val="1"/>
                <w:bCs w:val="1"/>
                <w:color w:val="003B71"/>
              </w:rPr>
              <w:t>Other</w:t>
            </w:r>
          </w:p>
        </w:tc>
        <w:tc>
          <w:tcPr>
            <w:tcW w:w="720" w:type="dxa"/>
            <w:vAlign w:val="bottom"/>
          </w:tcPr>
          <w:p>
            <w:pPr>
              <w:jc w:val="right"/>
              <w:ind w:right="127"/>
              <w:spacing w:after="0"/>
              <w:rPr>
                <w:sz w:val="20"/>
                <w:szCs w:val="20"/>
                <w:color w:val="auto"/>
              </w:rPr>
            </w:pPr>
            <w:r>
              <w:rPr>
                <w:rFonts w:ascii="Arial" w:cs="Arial" w:eastAsia="Arial" w:hAnsi="Arial"/>
                <w:sz w:val="16"/>
                <w:szCs w:val="16"/>
                <w:b w:val="1"/>
                <w:bCs w:val="1"/>
                <w:color w:val="003B71"/>
              </w:rPr>
              <w:t>Total</w:t>
            </w:r>
          </w:p>
        </w:tc>
      </w:tr>
      <w:tr>
        <w:trPr>
          <w:trHeight w:val="221"/>
        </w:trPr>
        <w:tc>
          <w:tcPr>
            <w:tcW w:w="2020" w:type="dxa"/>
            <w:vAlign w:val="bottom"/>
            <w:tcBorders>
              <w:bottom w:val="single" w:sz="8" w:color="003B71"/>
            </w:tcBorders>
          </w:tcPr>
          <w:p>
            <w:pPr>
              <w:ind w:left="980"/>
              <w:spacing w:after="0"/>
              <w:rPr>
                <w:sz w:val="20"/>
                <w:szCs w:val="20"/>
                <w:color w:val="auto"/>
              </w:rPr>
            </w:pPr>
            <w:r>
              <w:rPr>
                <w:rFonts w:ascii="Arial" w:cs="Arial" w:eastAsia="Arial" w:hAnsi="Arial"/>
                <w:sz w:val="16"/>
                <w:szCs w:val="16"/>
                <w:b w:val="1"/>
                <w:bCs w:val="1"/>
                <w:color w:val="003B71"/>
              </w:rPr>
              <w:t>Name</w:t>
            </w:r>
          </w:p>
        </w:tc>
        <w:tc>
          <w:tcPr>
            <w:tcW w:w="1080" w:type="dxa"/>
            <w:vAlign w:val="bottom"/>
            <w:tcBorders>
              <w:bottom w:val="single" w:sz="8" w:color="003B71"/>
            </w:tcBorders>
          </w:tcPr>
          <w:p>
            <w:pPr>
              <w:jc w:val="center"/>
              <w:ind w:left="387"/>
              <w:spacing w:after="0"/>
              <w:rPr>
                <w:sz w:val="20"/>
                <w:szCs w:val="20"/>
                <w:color w:val="auto"/>
              </w:rPr>
            </w:pPr>
            <w:r>
              <w:rPr>
                <w:rFonts w:ascii="Arial" w:cs="Arial" w:eastAsia="Arial" w:hAnsi="Arial"/>
                <w:sz w:val="16"/>
                <w:szCs w:val="16"/>
                <w:b w:val="1"/>
                <w:bCs w:val="1"/>
                <w:color w:val="003B71"/>
                <w:w w:val="97"/>
              </w:rPr>
              <w:t>Year</w:t>
            </w:r>
          </w:p>
        </w:tc>
        <w:tc>
          <w:tcPr>
            <w:tcW w:w="1020" w:type="dxa"/>
            <w:vAlign w:val="bottom"/>
            <w:tcBorders>
              <w:bottom w:val="single" w:sz="8" w:color="003B71"/>
            </w:tcBorders>
          </w:tcPr>
          <w:p>
            <w:pPr>
              <w:jc w:val="center"/>
              <w:spacing w:after="0"/>
              <w:rPr>
                <w:sz w:val="20"/>
                <w:szCs w:val="20"/>
                <w:color w:val="auto"/>
              </w:rPr>
            </w:pPr>
            <w:r>
              <w:rPr>
                <w:rFonts w:ascii="Arial" w:cs="Arial" w:eastAsia="Arial" w:hAnsi="Arial"/>
                <w:sz w:val="16"/>
                <w:szCs w:val="16"/>
                <w:b w:val="1"/>
                <w:bCs w:val="1"/>
                <w:color w:val="003B71"/>
              </w:rPr>
              <w:t>($)</w:t>
            </w:r>
          </w:p>
        </w:tc>
        <w:tc>
          <w:tcPr>
            <w:tcW w:w="440" w:type="dxa"/>
            <w:vAlign w:val="bottom"/>
            <w:tcBorders>
              <w:bottom w:val="single" w:sz="8" w:color="003B71"/>
            </w:tcBorders>
          </w:tcPr>
          <w:p>
            <w:pPr>
              <w:spacing w:after="0"/>
              <w:rPr>
                <w:sz w:val="19"/>
                <w:szCs w:val="19"/>
                <w:color w:val="auto"/>
              </w:rPr>
            </w:pPr>
          </w:p>
        </w:tc>
        <w:tc>
          <w:tcPr>
            <w:tcW w:w="1080" w:type="dxa"/>
            <w:vAlign w:val="bottom"/>
            <w:tcBorders>
              <w:bottom w:val="single" w:sz="8" w:color="003B71"/>
            </w:tcBorders>
          </w:tcPr>
          <w:p>
            <w:pPr>
              <w:jc w:val="center"/>
              <w:spacing w:after="0"/>
              <w:rPr>
                <w:sz w:val="20"/>
                <w:szCs w:val="20"/>
                <w:color w:val="auto"/>
              </w:rPr>
            </w:pPr>
            <w:r>
              <w:rPr>
                <w:rFonts w:ascii="Arial" w:cs="Arial" w:eastAsia="Arial" w:hAnsi="Arial"/>
                <w:sz w:val="16"/>
                <w:szCs w:val="16"/>
                <w:b w:val="1"/>
                <w:bCs w:val="1"/>
                <w:color w:val="003B71"/>
              </w:rPr>
              <w:t>($)</w:t>
            </w:r>
          </w:p>
        </w:tc>
        <w:tc>
          <w:tcPr>
            <w:tcW w:w="520" w:type="dxa"/>
            <w:vAlign w:val="bottom"/>
            <w:tcBorders>
              <w:bottom w:val="single" w:sz="8" w:color="003B71"/>
            </w:tcBorders>
          </w:tcPr>
          <w:p>
            <w:pPr>
              <w:spacing w:after="0"/>
              <w:rPr>
                <w:sz w:val="19"/>
                <w:szCs w:val="19"/>
                <w:color w:val="auto"/>
              </w:rPr>
            </w:pPr>
          </w:p>
        </w:tc>
        <w:tc>
          <w:tcPr>
            <w:tcW w:w="1460" w:type="dxa"/>
            <w:vAlign w:val="bottom"/>
            <w:tcBorders>
              <w:bottom w:val="single" w:sz="8" w:color="003B71"/>
            </w:tcBorders>
          </w:tcPr>
          <w:p>
            <w:pPr>
              <w:jc w:val="center"/>
              <w:spacing w:after="0"/>
              <w:rPr>
                <w:sz w:val="20"/>
                <w:szCs w:val="20"/>
                <w:color w:val="auto"/>
              </w:rPr>
            </w:pPr>
            <w:r>
              <w:rPr>
                <w:rFonts w:ascii="Arial" w:cs="Arial" w:eastAsia="Arial" w:hAnsi="Arial"/>
                <w:sz w:val="16"/>
                <w:szCs w:val="16"/>
                <w:b w:val="1"/>
                <w:bCs w:val="1"/>
                <w:color w:val="003B71"/>
              </w:rPr>
              <w:t>Services($)(1)</w:t>
            </w:r>
          </w:p>
        </w:tc>
        <w:tc>
          <w:tcPr>
            <w:tcW w:w="1020" w:type="dxa"/>
            <w:vAlign w:val="bottom"/>
            <w:tcBorders>
              <w:bottom w:val="single" w:sz="8" w:color="003B71"/>
            </w:tcBorders>
          </w:tcPr>
          <w:p>
            <w:pPr>
              <w:jc w:val="center"/>
              <w:spacing w:after="0"/>
              <w:rPr>
                <w:sz w:val="20"/>
                <w:szCs w:val="20"/>
                <w:color w:val="auto"/>
              </w:rPr>
            </w:pPr>
            <w:r>
              <w:rPr>
                <w:rFonts w:ascii="Arial" w:cs="Arial" w:eastAsia="Arial" w:hAnsi="Arial"/>
                <w:sz w:val="16"/>
                <w:szCs w:val="16"/>
                <w:b w:val="1"/>
                <w:bCs w:val="1"/>
                <w:color w:val="003B71"/>
                <w:w w:val="97"/>
              </w:rPr>
              <w:t>($)(2)</w:t>
            </w:r>
          </w:p>
        </w:tc>
        <w:tc>
          <w:tcPr>
            <w:tcW w:w="980" w:type="dxa"/>
            <w:vAlign w:val="bottom"/>
            <w:tcBorders>
              <w:bottom w:val="single" w:sz="8" w:color="003B71"/>
            </w:tcBorders>
          </w:tcPr>
          <w:p>
            <w:pPr>
              <w:jc w:val="right"/>
              <w:ind w:right="326"/>
              <w:spacing w:after="0"/>
              <w:rPr>
                <w:sz w:val="20"/>
                <w:szCs w:val="20"/>
                <w:color w:val="auto"/>
              </w:rPr>
            </w:pPr>
            <w:r>
              <w:rPr>
                <w:rFonts w:ascii="Arial" w:cs="Arial" w:eastAsia="Arial" w:hAnsi="Arial"/>
                <w:sz w:val="16"/>
                <w:szCs w:val="16"/>
                <w:b w:val="1"/>
                <w:bCs w:val="1"/>
                <w:color w:val="003B71"/>
              </w:rPr>
              <w:t>($)</w:t>
            </w:r>
          </w:p>
        </w:tc>
        <w:tc>
          <w:tcPr>
            <w:tcW w:w="680" w:type="dxa"/>
            <w:vAlign w:val="bottom"/>
            <w:tcBorders>
              <w:bottom w:val="single" w:sz="8" w:color="003B71"/>
            </w:tcBorders>
          </w:tcPr>
          <w:p>
            <w:pPr>
              <w:jc w:val="right"/>
              <w:ind w:right="67"/>
              <w:spacing w:after="0"/>
              <w:rPr>
                <w:sz w:val="20"/>
                <w:szCs w:val="20"/>
                <w:color w:val="auto"/>
              </w:rPr>
            </w:pPr>
            <w:r>
              <w:rPr>
                <w:rFonts w:ascii="Arial" w:cs="Arial" w:eastAsia="Arial" w:hAnsi="Arial"/>
                <w:sz w:val="16"/>
                <w:szCs w:val="16"/>
                <w:b w:val="1"/>
                <w:bCs w:val="1"/>
                <w:color w:val="003B71"/>
              </w:rPr>
              <w:t>($)(3)</w:t>
            </w:r>
          </w:p>
        </w:tc>
        <w:tc>
          <w:tcPr>
            <w:tcW w:w="720" w:type="dxa"/>
            <w:vAlign w:val="bottom"/>
            <w:tcBorders>
              <w:bottom w:val="single" w:sz="8" w:color="003B71"/>
            </w:tcBorders>
          </w:tcPr>
          <w:p>
            <w:pPr>
              <w:jc w:val="right"/>
              <w:ind w:right="207"/>
              <w:spacing w:after="0"/>
              <w:rPr>
                <w:sz w:val="20"/>
                <w:szCs w:val="20"/>
                <w:color w:val="auto"/>
              </w:rPr>
            </w:pPr>
            <w:r>
              <w:rPr>
                <w:rFonts w:ascii="Arial" w:cs="Arial" w:eastAsia="Arial" w:hAnsi="Arial"/>
                <w:sz w:val="16"/>
                <w:szCs w:val="16"/>
                <w:b w:val="1"/>
                <w:bCs w:val="1"/>
                <w:color w:val="003B71"/>
              </w:rPr>
              <w:t>($)</w:t>
            </w:r>
          </w:p>
        </w:tc>
      </w:tr>
      <w:tr>
        <w:trPr>
          <w:trHeight w:val="170"/>
        </w:trPr>
        <w:tc>
          <w:tcPr>
            <w:tcW w:w="2020" w:type="dxa"/>
            <w:vAlign w:val="bottom"/>
          </w:tcPr>
          <w:p>
            <w:pPr>
              <w:ind w:left="60"/>
              <w:spacing w:after="0"/>
              <w:rPr>
                <w:sz w:val="20"/>
                <w:szCs w:val="20"/>
                <w:color w:val="auto"/>
              </w:rPr>
            </w:pPr>
            <w:r>
              <w:rPr>
                <w:rFonts w:ascii="Arial" w:cs="Arial" w:eastAsia="Arial" w:hAnsi="Arial"/>
                <w:sz w:val="14"/>
                <w:szCs w:val="14"/>
                <w:color w:val="auto"/>
              </w:rPr>
              <w:t>Dan H. Arnold</w:t>
            </w: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2019</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8,760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15,000</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4,070</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16,800</w:t>
            </w:r>
          </w:p>
        </w:tc>
        <w:tc>
          <w:tcPr>
            <w:tcW w:w="680" w:type="dxa"/>
            <w:vAlign w:val="bottom"/>
          </w:tcPr>
          <w:p>
            <w:pPr>
              <w:jc w:val="right"/>
              <w:ind w:right="4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44,630</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15,000</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14,300</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428</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29,728</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2017</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14,040</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14,040</w:t>
            </w:r>
          </w:p>
        </w:tc>
      </w:tr>
      <w:tr>
        <w:trPr>
          <w:trHeight w:val="39"/>
        </w:trPr>
        <w:tc>
          <w:tcPr>
            <w:tcW w:w="2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2"/>
        </w:trPr>
        <w:tc>
          <w:tcPr>
            <w:tcW w:w="202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Matthew J. Audette</w:t>
            </w:r>
          </w:p>
        </w:tc>
        <w:tc>
          <w:tcPr>
            <w:tcW w:w="1080" w:type="dxa"/>
            <w:vAlign w:val="bottom"/>
            <w:shd w:val="clear" w:color="auto" w:fill="CCEEFF"/>
          </w:tcPr>
          <w:p>
            <w:pPr>
              <w:jc w:val="center"/>
              <w:ind w:left="407"/>
              <w:spacing w:after="0"/>
              <w:rPr>
                <w:sz w:val="20"/>
                <w:szCs w:val="20"/>
                <w:color w:val="auto"/>
              </w:rPr>
            </w:pPr>
            <w:r>
              <w:rPr>
                <w:rFonts w:ascii="Arial" w:cs="Arial" w:eastAsia="Arial" w:hAnsi="Arial"/>
                <w:sz w:val="14"/>
                <w:szCs w:val="14"/>
                <w:color w:val="auto"/>
              </w:rPr>
              <w:t>2019</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13,400</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4,070</w:t>
            </w: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14,250</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434</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32,154</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13,325</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12,025</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857</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26,207</w:t>
            </w:r>
          </w:p>
        </w:tc>
      </w:tr>
      <w:tr>
        <w:trPr>
          <w:trHeight w:val="162"/>
        </w:trPr>
        <w:tc>
          <w:tcPr>
            <w:tcW w:w="202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left="407"/>
              <w:spacing w:after="0"/>
              <w:rPr>
                <w:sz w:val="20"/>
                <w:szCs w:val="20"/>
                <w:color w:val="auto"/>
              </w:rPr>
            </w:pPr>
            <w:r>
              <w:rPr>
                <w:rFonts w:ascii="Arial" w:cs="Arial" w:eastAsia="Arial" w:hAnsi="Arial"/>
                <w:sz w:val="14"/>
                <w:szCs w:val="14"/>
                <w:color w:val="auto"/>
              </w:rPr>
              <w:t>2017</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2,700</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11,700</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14,400</w:t>
            </w:r>
          </w:p>
        </w:tc>
      </w:tr>
      <w:tr>
        <w:trPr>
          <w:trHeight w:val="177"/>
        </w:trPr>
        <w:tc>
          <w:tcPr>
            <w:tcW w:w="2020" w:type="dxa"/>
            <w:vAlign w:val="bottom"/>
          </w:tcPr>
          <w:p>
            <w:pPr>
              <w:ind w:left="60"/>
              <w:spacing w:after="0"/>
              <w:rPr>
                <w:sz w:val="20"/>
                <w:szCs w:val="20"/>
                <w:color w:val="auto"/>
              </w:rPr>
            </w:pPr>
            <w:r>
              <w:rPr>
                <w:rFonts w:ascii="Arial" w:cs="Arial" w:eastAsia="Arial" w:hAnsi="Arial"/>
                <w:sz w:val="14"/>
                <w:szCs w:val="14"/>
                <w:color w:val="auto"/>
              </w:rPr>
              <w:t>Scott Seese</w:t>
            </w: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2019</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2,438</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3,075</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16,800</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434</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22,747</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249,814</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460" w:type="dxa"/>
            <w:vAlign w:val="bottom"/>
          </w:tcPr>
          <w:p>
            <w:pPr>
              <w:jc w:val="right"/>
              <w:ind w:right="4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862</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250,676</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2017</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39"/>
        </w:trPr>
        <w:tc>
          <w:tcPr>
            <w:tcW w:w="2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2"/>
        </w:trPr>
        <w:tc>
          <w:tcPr>
            <w:tcW w:w="20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Dayton Semerjian</w:t>
            </w:r>
          </w:p>
        </w:tc>
        <w:tc>
          <w:tcPr>
            <w:tcW w:w="1080" w:type="dxa"/>
            <w:vAlign w:val="bottom"/>
            <w:shd w:val="clear" w:color="auto" w:fill="CCEEFF"/>
          </w:tcPr>
          <w:p>
            <w:pPr>
              <w:jc w:val="center"/>
              <w:ind w:left="407"/>
              <w:spacing w:after="0"/>
              <w:rPr>
                <w:sz w:val="20"/>
                <w:szCs w:val="20"/>
                <w:color w:val="auto"/>
              </w:rPr>
            </w:pPr>
            <w:r>
              <w:rPr>
                <w:rFonts w:ascii="Arial" w:cs="Arial" w:eastAsia="Arial" w:hAnsi="Arial"/>
                <w:sz w:val="14"/>
                <w:szCs w:val="14"/>
                <w:color w:val="auto"/>
              </w:rPr>
              <w:t>2019</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6,511</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8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208,701</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4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3,186</w:t>
            </w: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9,952</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434</w:t>
            </w:r>
          </w:p>
        </w:tc>
        <w:tc>
          <w:tcPr>
            <w:tcW w:w="7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228,784</w:t>
            </w:r>
          </w:p>
        </w:tc>
      </w:tr>
      <w:tr>
        <w:trPr>
          <w:trHeight w:val="177"/>
        </w:trPr>
        <w:tc>
          <w:tcPr>
            <w:tcW w:w="2020" w:type="dxa"/>
            <w:vAlign w:val="bottom"/>
          </w:tcPr>
          <w:p>
            <w:pPr>
              <w:ind w:left="60"/>
              <w:spacing w:after="0"/>
              <w:rPr>
                <w:sz w:val="20"/>
                <w:szCs w:val="20"/>
                <w:color w:val="auto"/>
              </w:rPr>
            </w:pPr>
            <w:r>
              <w:rPr>
                <w:rFonts w:ascii="Arial" w:cs="Arial" w:eastAsia="Arial" w:hAnsi="Arial"/>
                <w:sz w:val="14"/>
                <w:szCs w:val="14"/>
                <w:color w:val="auto"/>
              </w:rPr>
              <w:t>Richard Steinmeier</w:t>
            </w: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2019</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3,345</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232,307</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4,070</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13,082</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555</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253,359</w:t>
            </w:r>
          </w:p>
        </w:tc>
      </w:tr>
      <w:tr>
        <w:trPr>
          <w:trHeight w:val="216"/>
        </w:trPr>
        <w:tc>
          <w:tcPr>
            <w:tcW w:w="2020" w:type="dxa"/>
            <w:vAlign w:val="bottom"/>
          </w:tcPr>
          <w:p>
            <w:pPr>
              <w:spacing w:after="0"/>
              <w:rPr>
                <w:sz w:val="18"/>
                <w:szCs w:val="18"/>
                <w:color w:val="auto"/>
              </w:rPr>
            </w:pPr>
          </w:p>
        </w:tc>
        <w:tc>
          <w:tcPr>
            <w:tcW w:w="1080" w:type="dxa"/>
            <w:vAlign w:val="bottom"/>
          </w:tcPr>
          <w:p>
            <w:pPr>
              <w:jc w:val="center"/>
              <w:ind w:left="407"/>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7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8"/>
                <w:szCs w:val="18"/>
                <w:color w:val="auto"/>
              </w:rPr>
            </w:pPr>
          </w:p>
        </w:tc>
        <w:tc>
          <w:tcPr>
            <w:tcW w:w="1080" w:type="dxa"/>
            <w:vAlign w:val="bottom"/>
          </w:tcPr>
          <w:p>
            <w:pPr>
              <w:jc w:val="right"/>
              <w:ind w:right="65"/>
              <w:spacing w:after="0"/>
              <w:rPr>
                <w:sz w:val="20"/>
                <w:szCs w:val="20"/>
                <w:color w:val="auto"/>
              </w:rPr>
            </w:pPr>
            <w:r>
              <w:rPr>
                <w:rFonts w:ascii="Arial" w:cs="Arial" w:eastAsia="Arial" w:hAnsi="Arial"/>
                <w:sz w:val="14"/>
                <w:szCs w:val="14"/>
                <w:color w:val="auto"/>
              </w:rPr>
              <w:t>233,786</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46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857</w:t>
            </w:r>
          </w:p>
        </w:tc>
        <w:tc>
          <w:tcPr>
            <w:tcW w:w="720" w:type="dxa"/>
            <w:vAlign w:val="bottom"/>
          </w:tcPr>
          <w:p>
            <w:pPr>
              <w:jc w:val="right"/>
              <w:ind w:right="27"/>
              <w:spacing w:after="0"/>
              <w:rPr>
                <w:sz w:val="20"/>
                <w:szCs w:val="20"/>
                <w:color w:val="auto"/>
              </w:rPr>
            </w:pPr>
            <w:r>
              <w:rPr>
                <w:rFonts w:ascii="Arial" w:cs="Arial" w:eastAsia="Arial" w:hAnsi="Arial"/>
                <w:sz w:val="14"/>
                <w:szCs w:val="14"/>
                <w:color w:val="auto"/>
              </w:rPr>
              <w:t>234,643</w:t>
            </w:r>
          </w:p>
        </w:tc>
      </w:tr>
    </w:tbl>
    <w:p>
      <w:pPr>
        <w:spacing w:after="0" w:line="108"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taxable reimbursements received under the Company’s executive financial services policy.</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membership expenses for a health and wellness program and related tax gross-up payments of $1,870 for each of Messrs. Arnold, Audette and Steinmeier, $1,425 for Mr. Seese and $986 for Mr. Semerjian.</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the value of a year-end gift received by the NEO at the Company’s expense and related tax gross-up payments in the amount of $134 for each of Messrs. Audette, Seese and Semerjian and $255 for Mr. Steinmeier.</w:t>
      </w:r>
    </w:p>
    <w:p>
      <w:pPr>
        <w:sectPr>
          <w:pgSz w:w="11900" w:h="16838" w:orient="portrait"/>
          <w:cols w:equalWidth="0" w:num="1">
            <w:col w:w="11140"/>
          </w:cols>
          <w:pgMar w:left="320" w:top="459" w:right="439" w:bottom="1440" w:gutter="0" w:footer="0" w:header="0"/>
        </w:sectPr>
      </w:pPr>
    </w:p>
    <w:p>
      <w:pPr>
        <w:spacing w:after="0" w:line="125"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0"/>
          <w:szCs w:val="20"/>
          <w:color w:val="auto"/>
        </w:rPr>
      </w:pPr>
    </w:p>
    <w:p>
      <w:pPr>
        <w:ind w:left="540" w:right="20" w:hanging="424"/>
        <w:spacing w:after="0" w:line="260"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$4,025 in tax gross-up payments for hotel, air travel, and conference expenses related to the attendance in 2019 of Mr. Arnold and his spouse at a conference hosted by the Company for its top-producing financial advisors.</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tax gross-up payments of $109,814 made to Mr. Seese in 2018 related to relocation expenses.</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$2,015 in tax gross-up payments for hotel, air travel, and conference expenses related to the attendance in 2019 of Mr. Semerjian and his spouse at a conference hosted by the Company for its top-producing financial advisors.</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tax gross-up payments of $65,457 made to Mr. Semerjian in 2019 related to relocation expenses.</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$1,537 in tax gross-up payments for hotel, air travel, and conference expenses related to the attendance in 2019 of Mr. Steinmeier and his spouse at a conference hosted by the Company for its top-producing financial advisors.</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tax gross-up payments of $82,307 made to Mr. Steinmeier in 2019 related to relocation expenses.</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tax gross-up payments of $72,356 made to Mr. Steinmeier in 2018 related to relocation expenses.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2019 Grants of Plan-Based Awards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additional information about non-equity and equity-based awards granted to our NEOs during the year ended</w:t>
      </w:r>
    </w:p>
    <w:p>
      <w:pPr>
        <w:ind w:left="120"/>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003B71"/>
                <w:w w:val="96"/>
              </w:rPr>
              <w:t>All</w:t>
            </w:r>
          </w:p>
        </w:tc>
        <w:tc>
          <w:tcPr>
            <w:tcW w:w="3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003B71"/>
                <w:w w:val="94"/>
              </w:rPr>
              <w:t>All Other</w:t>
            </w: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003B71"/>
              </w:rPr>
              <w:t>Exercise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B71"/>
                <w:w w:val="96"/>
              </w:rPr>
              <w:t>Estimated Future Payouts Under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Other</w:t>
            </w:r>
          </w:p>
        </w:tc>
        <w:tc>
          <w:tcPr>
            <w:tcW w:w="3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Option</w:t>
            </w:r>
          </w:p>
        </w:tc>
        <w:tc>
          <w:tcPr>
            <w:tcW w:w="280" w:type="dxa"/>
            <w:vAlign w:val="bottom"/>
          </w:tcPr>
          <w:p>
            <w:pPr>
              <w:spacing w:after="0"/>
              <w:rPr>
                <w:sz w:val="11"/>
                <w:szCs w:val="11"/>
                <w:color w:val="auto"/>
              </w:rPr>
            </w:pPr>
          </w:p>
        </w:tc>
        <w:tc>
          <w:tcPr>
            <w:tcW w:w="400" w:type="dxa"/>
            <w:vAlign w:val="bottom"/>
          </w:tcPr>
          <w:p>
            <w:pPr>
              <w:spacing w:after="0" w:line="135" w:lineRule="exact"/>
              <w:rPr>
                <w:sz w:val="20"/>
                <w:szCs w:val="20"/>
                <w:color w:val="auto"/>
              </w:rPr>
            </w:pPr>
            <w:r>
              <w:rPr>
                <w:rFonts w:ascii="Arial" w:cs="Arial" w:eastAsia="Arial" w:hAnsi="Arial"/>
                <w:sz w:val="13"/>
                <w:szCs w:val="13"/>
                <w:b w:val="1"/>
                <w:bCs w:val="1"/>
                <w:color w:val="003B71"/>
              </w:rPr>
              <w:t>or</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22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B71"/>
                <w:w w:val="96"/>
              </w:rPr>
              <w:t>Estimated Future Payouts Under</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5"/>
              </w:rPr>
              <w:t>Stock</w:t>
            </w:r>
          </w:p>
        </w:tc>
        <w:tc>
          <w:tcPr>
            <w:tcW w:w="360" w:type="dxa"/>
            <w:vAlign w:val="bottom"/>
          </w:tcPr>
          <w:p>
            <w:pPr>
              <w:spacing w:after="0"/>
              <w:rPr>
                <w:sz w:val="7"/>
                <w:szCs w:val="7"/>
                <w:color w:val="auto"/>
              </w:rPr>
            </w:pP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3"/>
              </w:rPr>
              <w:t>Awards:</w:t>
            </w:r>
          </w:p>
        </w:tc>
        <w:tc>
          <w:tcPr>
            <w:tcW w:w="68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6"/>
              </w:rPr>
              <w:t>Base</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6"/>
              </w:rPr>
              <w:t>Grant Date</w:t>
            </w: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0" w:type="dxa"/>
            <w:vAlign w:val="bottom"/>
            <w:gridSpan w:val="3"/>
            <w:vMerge w:val="restart"/>
          </w:tcPr>
          <w:p>
            <w:pPr>
              <w:jc w:val="center"/>
              <w:spacing w:after="0" w:line="130" w:lineRule="exact"/>
              <w:rPr>
                <w:sz w:val="20"/>
                <w:szCs w:val="20"/>
                <w:color w:val="auto"/>
              </w:rPr>
            </w:pPr>
            <w:r>
              <w:rPr>
                <w:rFonts w:ascii="Arial" w:cs="Arial" w:eastAsia="Arial" w:hAnsi="Arial"/>
                <w:sz w:val="13"/>
                <w:szCs w:val="13"/>
                <w:b w:val="1"/>
                <w:bCs w:val="1"/>
                <w:color w:val="003B71"/>
                <w:w w:val="96"/>
              </w:rPr>
              <w:t>Non-Equity Incentive Plan</w:t>
            </w:r>
          </w:p>
        </w:tc>
        <w:tc>
          <w:tcPr>
            <w:tcW w:w="22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7"/>
              </w:rPr>
              <w:t>Awards:</w:t>
            </w:r>
          </w:p>
        </w:tc>
        <w:tc>
          <w:tcPr>
            <w:tcW w:w="360" w:type="dxa"/>
            <w:vAlign w:val="bottom"/>
          </w:tcPr>
          <w:p>
            <w:pPr>
              <w:spacing w:after="0"/>
              <w:rPr>
                <w:sz w:val="6"/>
                <w:szCs w:val="6"/>
                <w:color w:val="auto"/>
              </w:rPr>
            </w:pP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8"/>
              </w:rPr>
              <w:t>Number of</w:t>
            </w:r>
          </w:p>
        </w:tc>
        <w:tc>
          <w:tcPr>
            <w:tcW w:w="68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4"/>
              </w:rPr>
              <w:t>Price</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003B71"/>
                <w:w w:val="94"/>
              </w:rPr>
              <w:t>Fair Value of</w:t>
            </w:r>
          </w:p>
        </w:tc>
        <w:tc>
          <w:tcPr>
            <w:tcW w:w="0" w:type="dxa"/>
            <w:vAlign w:val="bottom"/>
          </w:tcPr>
          <w:p>
            <w:pPr>
              <w:spacing w:after="0"/>
              <w:rPr>
                <w:sz w:val="1"/>
                <w:szCs w:val="1"/>
                <w:color w:val="auto"/>
              </w:rPr>
            </w:pPr>
          </w:p>
        </w:tc>
      </w:tr>
      <w:tr>
        <w:trPr>
          <w:trHeight w:val="59"/>
        </w:trPr>
        <w:tc>
          <w:tcPr>
            <w:tcW w:w="2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003B71"/>
                <w:w w:val="98"/>
              </w:rPr>
              <w:t>Awards(1)</w:t>
            </w:r>
          </w:p>
        </w:tc>
        <w:tc>
          <w:tcPr>
            <w:tcW w:w="780" w:type="dxa"/>
            <w:vAlign w:val="bottom"/>
          </w:tcPr>
          <w:p>
            <w:pPr>
              <w:spacing w:after="0"/>
              <w:rPr>
                <w:sz w:val="5"/>
                <w:szCs w:val="5"/>
                <w:color w:val="auto"/>
              </w:rPr>
            </w:pPr>
          </w:p>
        </w:tc>
        <w:tc>
          <w:tcPr>
            <w:tcW w:w="2260" w:type="dxa"/>
            <w:vAlign w:val="bottom"/>
            <w:gridSpan w:val="3"/>
            <w:vMerge w:val="restart"/>
          </w:tcPr>
          <w:p>
            <w:pPr>
              <w:jc w:val="center"/>
              <w:spacing w:after="0" w:line="142" w:lineRule="exact"/>
              <w:rPr>
                <w:sz w:val="20"/>
                <w:szCs w:val="20"/>
                <w:color w:val="auto"/>
              </w:rPr>
            </w:pPr>
            <w:r>
              <w:rPr>
                <w:rFonts w:ascii="Arial" w:cs="Arial" w:eastAsia="Arial" w:hAnsi="Arial"/>
                <w:sz w:val="13"/>
                <w:szCs w:val="13"/>
                <w:b w:val="1"/>
                <w:bCs w:val="1"/>
                <w:color w:val="003B71"/>
                <w:w w:val="96"/>
              </w:rPr>
              <w:t>Equity Incentive Plan Awards(2)</w:t>
            </w: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Borders>
              <w:bottom w:val="single" w:sz="8" w:color="003B71"/>
            </w:tcBorders>
          </w:tcPr>
          <w:p>
            <w:pPr>
              <w:spacing w:after="0"/>
              <w:rPr>
                <w:sz w:val="10"/>
                <w:szCs w:val="10"/>
                <w:color w:val="auto"/>
              </w:rPr>
            </w:pPr>
          </w:p>
        </w:tc>
        <w:tc>
          <w:tcPr>
            <w:tcW w:w="800" w:type="dxa"/>
            <w:vAlign w:val="bottom"/>
            <w:tcBorders>
              <w:bottom w:val="single" w:sz="8" w:color="003B71"/>
            </w:tcBorders>
            <w:vMerge w:val="continue"/>
          </w:tcPr>
          <w:p>
            <w:pPr>
              <w:spacing w:after="0"/>
              <w:rPr>
                <w:sz w:val="10"/>
                <w:szCs w:val="10"/>
                <w:color w:val="auto"/>
              </w:rPr>
            </w:pPr>
          </w:p>
        </w:tc>
        <w:tc>
          <w:tcPr>
            <w:tcW w:w="780" w:type="dxa"/>
            <w:vAlign w:val="bottom"/>
            <w:tcBorders>
              <w:bottom w:val="single" w:sz="8" w:color="003B71"/>
            </w:tcBorders>
          </w:tcPr>
          <w:p>
            <w:pPr>
              <w:spacing w:after="0"/>
              <w:rPr>
                <w:sz w:val="10"/>
                <w:szCs w:val="10"/>
                <w:color w:val="auto"/>
              </w:rPr>
            </w:pPr>
          </w:p>
        </w:tc>
        <w:tc>
          <w:tcPr>
            <w:tcW w:w="2260" w:type="dxa"/>
            <w:vAlign w:val="bottom"/>
            <w:tcBorders>
              <w:bottom w:val="single" w:sz="8" w:color="003B71"/>
            </w:tcBorders>
            <w:gridSpan w:val="3"/>
            <w:vMerge w:val="continue"/>
          </w:tcPr>
          <w:p>
            <w:pPr>
              <w:spacing w:after="0"/>
              <w:rPr>
                <w:sz w:val="10"/>
                <w:szCs w:val="10"/>
                <w:color w:val="auto"/>
              </w:rPr>
            </w:pPr>
          </w:p>
        </w:tc>
        <w:tc>
          <w:tcPr>
            <w:tcW w:w="74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6"/>
              </w:rPr>
              <w:t>Shares</w:t>
            </w:r>
          </w:p>
        </w:tc>
        <w:tc>
          <w:tcPr>
            <w:tcW w:w="360" w:type="dxa"/>
            <w:vAlign w:val="bottom"/>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6"/>
              </w:rPr>
              <w:t>Securities</w:t>
            </w:r>
          </w:p>
        </w:tc>
        <w:tc>
          <w:tcPr>
            <w:tcW w:w="280" w:type="dxa"/>
            <w:vAlign w:val="bottom"/>
          </w:tcPr>
          <w:p>
            <w:pPr>
              <w:spacing w:after="0"/>
              <w:rPr>
                <w:sz w:val="10"/>
                <w:szCs w:val="10"/>
                <w:color w:val="auto"/>
              </w:rPr>
            </w:pPr>
          </w:p>
        </w:tc>
        <w:tc>
          <w:tcPr>
            <w:tcW w:w="400" w:type="dxa"/>
            <w:vAlign w:val="bottom"/>
          </w:tcPr>
          <w:p>
            <w:pPr>
              <w:ind w:left="20"/>
              <w:spacing w:after="0" w:line="115" w:lineRule="exact"/>
              <w:rPr>
                <w:sz w:val="20"/>
                <w:szCs w:val="20"/>
                <w:color w:val="auto"/>
              </w:rPr>
            </w:pPr>
            <w:r>
              <w:rPr>
                <w:rFonts w:ascii="Arial" w:cs="Arial" w:eastAsia="Arial" w:hAnsi="Arial"/>
                <w:sz w:val="13"/>
                <w:szCs w:val="13"/>
                <w:b w:val="1"/>
                <w:bCs w:val="1"/>
                <w:color w:val="003B71"/>
              </w:rPr>
              <w:t>of</w:t>
            </w: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6"/>
              </w:rPr>
              <w:t>Stock and</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of Stock</w:t>
            </w:r>
          </w:p>
        </w:tc>
        <w:tc>
          <w:tcPr>
            <w:tcW w:w="3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4"/>
              </w:rPr>
              <w:t>Underlying</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rPr>
              <w:t>Option</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Option</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Threshold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Target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6"/>
              </w:rPr>
              <w:t>Maximum</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3B71"/>
              </w:rPr>
              <w:t>Threshold</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0"/>
              </w:rPr>
              <w:t>Target</w:t>
            </w: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3B71"/>
              </w:rPr>
              <w:t>Maximum</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or Units</w:t>
            </w:r>
          </w:p>
        </w:tc>
        <w:tc>
          <w:tcPr>
            <w:tcW w:w="3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Options</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7"/>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Awards</w:t>
            </w:r>
          </w:p>
        </w:tc>
        <w:tc>
          <w:tcPr>
            <w:tcW w:w="0" w:type="dxa"/>
            <w:vAlign w:val="bottom"/>
          </w:tcPr>
          <w:p>
            <w:pPr>
              <w:spacing w:after="0"/>
              <w:rPr>
                <w:sz w:val="1"/>
                <w:szCs w:val="1"/>
                <w:color w:val="auto"/>
              </w:rPr>
            </w:pPr>
          </w:p>
        </w:tc>
      </w:tr>
      <w:tr>
        <w:trPr>
          <w:trHeight w:val="170"/>
        </w:trPr>
        <w:tc>
          <w:tcPr>
            <w:tcW w:w="2020" w:type="dxa"/>
            <w:vAlign w:val="bottom"/>
            <w:tcBorders>
              <w:bottom w:val="single" w:sz="8" w:color="003B71"/>
            </w:tcBorders>
          </w:tcPr>
          <w:p>
            <w:pPr>
              <w:ind w:left="840"/>
              <w:spacing w:after="0"/>
              <w:rPr>
                <w:sz w:val="20"/>
                <w:szCs w:val="20"/>
                <w:color w:val="auto"/>
              </w:rPr>
            </w:pPr>
            <w:r>
              <w:rPr>
                <w:rFonts w:ascii="Arial" w:cs="Arial" w:eastAsia="Arial" w:hAnsi="Arial"/>
                <w:sz w:val="13"/>
                <w:szCs w:val="13"/>
                <w:b w:val="1"/>
                <w:bCs w:val="1"/>
                <w:color w:val="003B71"/>
              </w:rPr>
              <w:t>Name</w:t>
            </w:r>
          </w:p>
        </w:tc>
        <w:tc>
          <w:tcPr>
            <w:tcW w:w="820" w:type="dxa"/>
            <w:vAlign w:val="bottom"/>
            <w:tcBorders>
              <w:bottom w:val="single" w:sz="8" w:color="003B71"/>
            </w:tcBorders>
          </w:tcPr>
          <w:p>
            <w:pPr>
              <w:jc w:val="right"/>
              <w:ind w:right="37"/>
              <w:spacing w:after="0"/>
              <w:rPr>
                <w:sz w:val="20"/>
                <w:szCs w:val="20"/>
                <w:color w:val="auto"/>
              </w:rPr>
            </w:pPr>
            <w:r>
              <w:rPr>
                <w:rFonts w:ascii="Arial" w:cs="Arial" w:eastAsia="Arial" w:hAnsi="Arial"/>
                <w:sz w:val="13"/>
                <w:szCs w:val="13"/>
                <w:b w:val="1"/>
                <w:bCs w:val="1"/>
                <w:color w:val="003B71"/>
              </w:rPr>
              <w:t>Grant Date</w:t>
            </w:r>
          </w:p>
        </w:tc>
        <w:tc>
          <w:tcPr>
            <w:tcW w:w="820" w:type="dxa"/>
            <w:vAlign w:val="bottom"/>
            <w:tcBorders>
              <w:bottom w:val="single" w:sz="8" w:color="003B71"/>
            </w:tcBorders>
          </w:tcPr>
          <w:p>
            <w:pPr>
              <w:jc w:val="right"/>
              <w:ind w:right="237"/>
              <w:spacing w:after="0"/>
              <w:rPr>
                <w:sz w:val="20"/>
                <w:szCs w:val="20"/>
                <w:color w:val="auto"/>
              </w:rPr>
            </w:pPr>
            <w:r>
              <w:rPr>
                <w:rFonts w:ascii="Arial" w:cs="Arial" w:eastAsia="Arial" w:hAnsi="Arial"/>
                <w:sz w:val="13"/>
                <w:szCs w:val="13"/>
                <w:b w:val="1"/>
                <w:bCs w:val="1"/>
                <w:color w:val="003B71"/>
              </w:rPr>
              <w:t>($)</w:t>
            </w:r>
          </w:p>
        </w:tc>
        <w:tc>
          <w:tcPr>
            <w:tcW w:w="80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w:t>
            </w:r>
          </w:p>
        </w:tc>
        <w:tc>
          <w:tcPr>
            <w:tcW w:w="780" w:type="dxa"/>
            <w:vAlign w:val="bottom"/>
            <w:tcBorders>
              <w:bottom w:val="single" w:sz="8" w:color="003B71"/>
            </w:tcBorders>
          </w:tcPr>
          <w:p>
            <w:pPr>
              <w:jc w:val="right"/>
              <w:ind w:right="257"/>
              <w:spacing w:after="0"/>
              <w:rPr>
                <w:sz w:val="20"/>
                <w:szCs w:val="20"/>
                <w:color w:val="auto"/>
              </w:rPr>
            </w:pPr>
            <w:r>
              <w:rPr>
                <w:rFonts w:ascii="Arial" w:cs="Arial" w:eastAsia="Arial" w:hAnsi="Arial"/>
                <w:sz w:val="13"/>
                <w:szCs w:val="13"/>
                <w:b w:val="1"/>
                <w:bCs w:val="1"/>
                <w:color w:val="003B71"/>
              </w:rPr>
              <w:t>($)</w:t>
            </w:r>
          </w:p>
        </w:tc>
        <w:tc>
          <w:tcPr>
            <w:tcW w:w="840" w:type="dxa"/>
            <w:vAlign w:val="bottom"/>
            <w:tcBorders>
              <w:bottom w:val="single" w:sz="8" w:color="003B71"/>
            </w:tcBorders>
          </w:tcPr>
          <w:p>
            <w:pPr>
              <w:jc w:val="right"/>
              <w:ind w:right="297"/>
              <w:spacing w:after="0"/>
              <w:rPr>
                <w:sz w:val="20"/>
                <w:szCs w:val="20"/>
                <w:color w:val="auto"/>
              </w:rPr>
            </w:pPr>
            <w:r>
              <w:rPr>
                <w:rFonts w:ascii="Arial" w:cs="Arial" w:eastAsia="Arial" w:hAnsi="Arial"/>
                <w:sz w:val="13"/>
                <w:szCs w:val="13"/>
                <w:b w:val="1"/>
                <w:bCs w:val="1"/>
                <w:color w:val="003B71"/>
              </w:rPr>
              <w:t>(#)</w:t>
            </w:r>
          </w:p>
        </w:tc>
        <w:tc>
          <w:tcPr>
            <w:tcW w:w="6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w:t>
            </w:r>
          </w:p>
        </w:tc>
        <w:tc>
          <w:tcPr>
            <w:tcW w:w="780" w:type="dxa"/>
            <w:vAlign w:val="bottom"/>
            <w:tcBorders>
              <w:bottom w:val="single" w:sz="8" w:color="003B71"/>
            </w:tcBorders>
          </w:tcPr>
          <w:p>
            <w:pPr>
              <w:jc w:val="right"/>
              <w:ind w:right="237"/>
              <w:spacing w:after="0"/>
              <w:rPr>
                <w:sz w:val="20"/>
                <w:szCs w:val="20"/>
                <w:color w:val="auto"/>
              </w:rPr>
            </w:pPr>
            <w:r>
              <w:rPr>
                <w:rFonts w:ascii="Arial" w:cs="Arial" w:eastAsia="Arial" w:hAnsi="Arial"/>
                <w:sz w:val="13"/>
                <w:szCs w:val="13"/>
                <w:b w:val="1"/>
                <w:bCs w:val="1"/>
                <w:color w:val="003B71"/>
              </w:rPr>
              <w:t>(#)</w:t>
            </w:r>
          </w:p>
        </w:tc>
        <w:tc>
          <w:tcPr>
            <w:tcW w:w="7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4"/>
              </w:rPr>
              <w:t>(#)(3)</w:t>
            </w:r>
          </w:p>
        </w:tc>
        <w:tc>
          <w:tcPr>
            <w:tcW w:w="360" w:type="dxa"/>
            <w:vAlign w:val="bottom"/>
            <w:tcBorders>
              <w:bottom w:val="single" w:sz="8" w:color="003B71"/>
            </w:tcBorders>
          </w:tcPr>
          <w:p>
            <w:pPr>
              <w:spacing w:after="0"/>
              <w:rPr>
                <w:sz w:val="14"/>
                <w:szCs w:val="14"/>
                <w:color w:val="auto"/>
              </w:rPr>
            </w:pPr>
          </w:p>
        </w:tc>
        <w:tc>
          <w:tcPr>
            <w:tcW w:w="8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(#)(4)</w:t>
            </w:r>
          </w:p>
        </w:tc>
        <w:tc>
          <w:tcPr>
            <w:tcW w:w="280" w:type="dxa"/>
            <w:vAlign w:val="bottom"/>
            <w:tcBorders>
              <w:bottom w:val="single" w:sz="8" w:color="003B71"/>
            </w:tcBorders>
          </w:tcPr>
          <w:p>
            <w:pPr>
              <w:ind w:left="180"/>
              <w:spacing w:after="0"/>
              <w:rPr>
                <w:sz w:val="20"/>
                <w:szCs w:val="20"/>
                <w:color w:val="auto"/>
              </w:rPr>
            </w:pPr>
            <w:r>
              <w:rPr>
                <w:rFonts w:ascii="Arial" w:cs="Arial" w:eastAsia="Arial" w:hAnsi="Arial"/>
                <w:sz w:val="12"/>
                <w:szCs w:val="12"/>
                <w:b w:val="1"/>
                <w:bCs w:val="1"/>
                <w:color w:val="003B71"/>
                <w:w w:val="74"/>
              </w:rPr>
              <w:t>($</w:t>
            </w:r>
          </w:p>
        </w:tc>
        <w:tc>
          <w:tcPr>
            <w:tcW w:w="400" w:type="dxa"/>
            <w:vAlign w:val="bottom"/>
            <w:tcBorders>
              <w:bottom w:val="single" w:sz="8" w:color="003B71"/>
            </w:tcBorders>
          </w:tcPr>
          <w:p>
            <w:pPr>
              <w:spacing w:after="0"/>
              <w:rPr>
                <w:sz w:val="20"/>
                <w:szCs w:val="20"/>
                <w:color w:val="auto"/>
              </w:rPr>
            </w:pPr>
            <w:r>
              <w:rPr>
                <w:rFonts w:ascii="Arial" w:cs="Arial" w:eastAsia="Arial" w:hAnsi="Arial"/>
                <w:sz w:val="13"/>
                <w:szCs w:val="13"/>
                <w:b w:val="1"/>
                <w:bCs w:val="1"/>
                <w:color w:val="003B71"/>
              </w:rPr>
              <w:t>/Sh)</w:t>
            </w:r>
          </w:p>
        </w:tc>
        <w:tc>
          <w:tcPr>
            <w:tcW w:w="90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4"/>
              </w:rPr>
              <w:t>($)(5)</w:t>
            </w:r>
          </w:p>
        </w:tc>
        <w:tc>
          <w:tcPr>
            <w:tcW w:w="0" w:type="dxa"/>
            <w:vAlign w:val="bottom"/>
          </w:tcPr>
          <w:p>
            <w:pPr>
              <w:spacing w:after="0"/>
              <w:rPr>
                <w:sz w:val="1"/>
                <w:szCs w:val="1"/>
                <w:color w:val="auto"/>
              </w:rPr>
            </w:pPr>
          </w:p>
        </w:tc>
      </w:tr>
      <w:tr>
        <w:trPr>
          <w:trHeight w:val="129"/>
        </w:trPr>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Dan H. Arnold</w:t>
            </w: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1,912,500</w:t>
            </w: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11,464</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22,928</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45,856</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2,616,773</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68,820</w:t>
            </w:r>
          </w:p>
        </w:tc>
        <w:tc>
          <w:tcPr>
            <w:tcW w:w="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77.53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1,679,993</w:t>
            </w:r>
          </w:p>
        </w:tc>
        <w:tc>
          <w:tcPr>
            <w:tcW w:w="0" w:type="dxa"/>
            <w:vAlign w:val="bottom"/>
          </w:tcPr>
          <w:p>
            <w:pPr>
              <w:spacing w:after="0"/>
              <w:rPr>
                <w:sz w:val="1"/>
                <w:szCs w:val="1"/>
                <w:color w:val="auto"/>
              </w:rPr>
            </w:pPr>
          </w:p>
        </w:tc>
      </w:tr>
      <w:tr>
        <w:trPr>
          <w:trHeight w:val="129"/>
        </w:trPr>
        <w:tc>
          <w:tcPr>
            <w:tcW w:w="2020" w:type="dxa"/>
            <w:vAlign w:val="bottom"/>
          </w:tcPr>
          <w:p>
            <w:pPr>
              <w:ind w:left="60"/>
              <w:spacing w:after="0" w:line="129" w:lineRule="exact"/>
              <w:rPr>
                <w:sz w:val="20"/>
                <w:szCs w:val="20"/>
                <w:color w:val="auto"/>
              </w:rPr>
            </w:pPr>
            <w:r>
              <w:rPr>
                <w:rFonts w:ascii="Arial" w:cs="Arial" w:eastAsia="Arial" w:hAnsi="Arial"/>
                <w:sz w:val="13"/>
                <w:szCs w:val="13"/>
                <w:color w:val="auto"/>
              </w:rPr>
              <w:t>Matthew J.</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1,050,000</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60"/>
              <w:spacing w:after="0"/>
              <w:rPr>
                <w:sz w:val="20"/>
                <w:szCs w:val="20"/>
                <w:color w:val="auto"/>
              </w:rPr>
            </w:pPr>
            <w:r>
              <w:rPr>
                <w:rFonts w:ascii="Arial" w:cs="Arial" w:eastAsia="Arial" w:hAnsi="Arial"/>
                <w:sz w:val="13"/>
                <w:szCs w:val="13"/>
                <w:color w:val="auto"/>
              </w:rPr>
              <w:t>Audette</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4,299</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323,599</w:t>
            </w: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2,866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5,732</w:t>
            </w:r>
          </w:p>
        </w:tc>
        <w:tc>
          <w:tcPr>
            <w:tcW w:w="780" w:type="dxa"/>
            <w:vAlign w:val="bottom"/>
          </w:tcPr>
          <w:p>
            <w:pPr>
              <w:jc w:val="right"/>
              <w:spacing w:after="0"/>
              <w:rPr>
                <w:sz w:val="20"/>
                <w:szCs w:val="20"/>
                <w:color w:val="auto"/>
              </w:rPr>
            </w:pPr>
            <w:r>
              <w:rPr>
                <w:rFonts w:ascii="Arial" w:cs="Arial" w:eastAsia="Arial" w:hAnsi="Arial"/>
                <w:sz w:val="13"/>
                <w:szCs w:val="13"/>
                <w:color w:val="auto"/>
              </w:rPr>
              <w:t>11,464</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654,193</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12,903</w:t>
            </w:r>
          </w:p>
        </w:tc>
        <w:tc>
          <w:tcPr>
            <w:tcW w:w="280" w:type="dxa"/>
            <w:vAlign w:val="bottom"/>
          </w:tcPr>
          <w:p>
            <w:pPr>
              <w:ind w:left="80"/>
              <w:spacing w:after="0"/>
              <w:rPr>
                <w:sz w:val="20"/>
                <w:szCs w:val="20"/>
                <w:color w:val="auto"/>
              </w:rPr>
            </w:pPr>
            <w:r>
              <w:rPr>
                <w:rFonts w:ascii="Arial" w:cs="Arial" w:eastAsia="Arial" w:hAnsi="Arial"/>
                <w:sz w:val="13"/>
                <w:szCs w:val="13"/>
                <w:color w:val="auto"/>
              </w:rPr>
              <w:t>$</w:t>
            </w:r>
          </w:p>
        </w:tc>
        <w:tc>
          <w:tcPr>
            <w:tcW w:w="400" w:type="dxa"/>
            <w:vAlign w:val="bottom"/>
          </w:tcPr>
          <w:p>
            <w:pPr>
              <w:ind w:left="20"/>
              <w:spacing w:after="0"/>
              <w:rPr>
                <w:sz w:val="20"/>
                <w:szCs w:val="20"/>
                <w:color w:val="auto"/>
              </w:rPr>
            </w:pPr>
            <w:r>
              <w:rPr>
                <w:rFonts w:ascii="Arial" w:cs="Arial" w:eastAsia="Arial" w:hAnsi="Arial"/>
                <w:sz w:val="13"/>
                <w:szCs w:val="13"/>
                <w:color w:val="auto"/>
              </w:rPr>
              <w:t>77.53</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314,980</w:t>
            </w:r>
          </w:p>
        </w:tc>
        <w:tc>
          <w:tcPr>
            <w:tcW w:w="0" w:type="dxa"/>
            <w:vAlign w:val="bottom"/>
          </w:tcPr>
          <w:p>
            <w:pPr>
              <w:spacing w:after="0"/>
              <w:rPr>
                <w:sz w:val="1"/>
                <w:szCs w:val="1"/>
                <w:color w:val="auto"/>
              </w:rPr>
            </w:pPr>
          </w:p>
        </w:tc>
      </w:tr>
      <w:tr>
        <w:trPr>
          <w:trHeight w:val="43"/>
        </w:trPr>
        <w:tc>
          <w:tcPr>
            <w:tcW w:w="2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Scott Seese</w:t>
            </w: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800,000</w:t>
            </w: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4,094</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308,168</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2,729</w:t>
            </w:r>
          </w:p>
        </w:tc>
        <w:tc>
          <w:tcPr>
            <w:tcW w:w="6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5,459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10,918</w:t>
            </w: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623,036</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1"/>
                <w:szCs w:val="11"/>
                <w:color w:val="auto"/>
              </w:rPr>
            </w:pP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800,000</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12,289</w:t>
            </w: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ind w:left="20"/>
              <w:spacing w:after="0" w:line="135" w:lineRule="exact"/>
              <w:rPr>
                <w:sz w:val="20"/>
                <w:szCs w:val="20"/>
                <w:color w:val="auto"/>
              </w:rPr>
            </w:pPr>
            <w:r>
              <w:rPr>
                <w:rFonts w:ascii="Arial" w:cs="Arial" w:eastAsia="Arial" w:hAnsi="Arial"/>
                <w:sz w:val="13"/>
                <w:szCs w:val="13"/>
                <w:color w:val="auto"/>
              </w:rPr>
              <w:t>77.53</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299,992</w:t>
            </w:r>
          </w:p>
        </w:tc>
        <w:tc>
          <w:tcPr>
            <w:tcW w:w="0" w:type="dxa"/>
            <w:vAlign w:val="bottom"/>
          </w:tcPr>
          <w:p>
            <w:pPr>
              <w:spacing w:after="0"/>
              <w:rPr>
                <w:sz w:val="1"/>
                <w:szCs w:val="1"/>
                <w:color w:val="auto"/>
              </w:rPr>
            </w:pPr>
          </w:p>
        </w:tc>
      </w:tr>
      <w:tr>
        <w:trPr>
          <w:trHeight w:val="129"/>
        </w:trPr>
        <w:tc>
          <w:tcPr>
            <w:tcW w:w="2020" w:type="dxa"/>
            <w:vAlign w:val="bottom"/>
          </w:tcPr>
          <w:p>
            <w:pPr>
              <w:ind w:left="60"/>
              <w:spacing w:after="0" w:line="129" w:lineRule="exact"/>
              <w:rPr>
                <w:sz w:val="20"/>
                <w:szCs w:val="20"/>
                <w:color w:val="auto"/>
              </w:rPr>
            </w:pPr>
            <w:r>
              <w:rPr>
                <w:rFonts w:ascii="Arial" w:cs="Arial" w:eastAsia="Arial" w:hAnsi="Arial"/>
                <w:sz w:val="13"/>
                <w:szCs w:val="13"/>
                <w:color w:val="auto"/>
              </w:rPr>
              <w:t>Dayton</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60"/>
              <w:spacing w:after="0"/>
              <w:rPr>
                <w:sz w:val="20"/>
                <w:szCs w:val="20"/>
                <w:color w:val="auto"/>
              </w:rPr>
            </w:pPr>
            <w:r>
              <w:rPr>
                <w:rFonts w:ascii="Arial" w:cs="Arial" w:eastAsia="Arial" w:hAnsi="Arial"/>
                <w:sz w:val="13"/>
                <w:szCs w:val="13"/>
                <w:color w:val="auto"/>
              </w:rPr>
              <w:t>Semerjian</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2/28/2019</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10,772</w:t>
            </w: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(6)</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794,714</w:t>
            </w: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Richard</w:t>
            </w: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549,000</w:t>
            </w: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Steinmeier</w:t>
            </w: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2,450</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184,419</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1,633</w:t>
            </w:r>
          </w:p>
        </w:tc>
        <w:tc>
          <w:tcPr>
            <w:tcW w:w="6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3,267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6,534</w:t>
            </w: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372,863</w:t>
            </w: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2/25/2019</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7,355</w:t>
            </w: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ind w:left="20"/>
              <w:spacing w:after="0" w:line="135" w:lineRule="exact"/>
              <w:rPr>
                <w:sz w:val="20"/>
                <w:szCs w:val="20"/>
                <w:color w:val="auto"/>
              </w:rPr>
            </w:pPr>
            <w:r>
              <w:rPr>
                <w:rFonts w:ascii="Arial" w:cs="Arial" w:eastAsia="Arial" w:hAnsi="Arial"/>
                <w:sz w:val="13"/>
                <w:szCs w:val="13"/>
                <w:color w:val="auto"/>
              </w:rPr>
              <w:t>77.53</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179,546</w:t>
            </w:r>
          </w:p>
        </w:tc>
        <w:tc>
          <w:tcPr>
            <w:tcW w:w="0" w:type="dxa"/>
            <w:vAlign w:val="bottom"/>
          </w:tcPr>
          <w:p>
            <w:pPr>
              <w:spacing w:after="0"/>
              <w:rPr>
                <w:sz w:val="1"/>
                <w:szCs w:val="1"/>
                <w:color w:val="auto"/>
              </w:rPr>
            </w:pPr>
          </w:p>
        </w:tc>
      </w:tr>
      <w:tr>
        <w:trPr>
          <w:trHeight w:val="95"/>
        </w:trPr>
        <w:tc>
          <w:tcPr>
            <w:tcW w:w="2020" w:type="dxa"/>
            <w:vAlign w:val="bottom"/>
            <w:tcBorders>
              <w:bottom w:val="single" w:sz="8" w:color="003B71"/>
            </w:tcBorders>
          </w:tcPr>
          <w:p>
            <w:pPr>
              <w:spacing w:after="0"/>
              <w:rPr>
                <w:sz w:val="8"/>
                <w:szCs w:val="8"/>
                <w:color w:val="auto"/>
              </w:rPr>
            </w:pPr>
          </w:p>
        </w:tc>
        <w:tc>
          <w:tcPr>
            <w:tcW w:w="820" w:type="dxa"/>
            <w:vAlign w:val="bottom"/>
            <w:tcBorders>
              <w:bottom w:val="single" w:sz="8" w:color="003B71"/>
            </w:tcBorders>
          </w:tcPr>
          <w:p>
            <w:pPr>
              <w:spacing w:after="0"/>
              <w:rPr>
                <w:sz w:val="8"/>
                <w:szCs w:val="8"/>
                <w:color w:val="auto"/>
              </w:rPr>
            </w:pPr>
          </w:p>
        </w:tc>
        <w:tc>
          <w:tcPr>
            <w:tcW w:w="820" w:type="dxa"/>
            <w:vAlign w:val="bottom"/>
            <w:tcBorders>
              <w:bottom w:val="single" w:sz="8" w:color="003B71"/>
            </w:tcBorders>
          </w:tcPr>
          <w:p>
            <w:pPr>
              <w:spacing w:after="0"/>
              <w:rPr>
                <w:sz w:val="8"/>
                <w:szCs w:val="8"/>
                <w:color w:val="auto"/>
              </w:rPr>
            </w:pPr>
          </w:p>
        </w:tc>
        <w:tc>
          <w:tcPr>
            <w:tcW w:w="800" w:type="dxa"/>
            <w:vAlign w:val="bottom"/>
            <w:tcBorders>
              <w:bottom w:val="single" w:sz="8" w:color="003B71"/>
            </w:tcBorders>
          </w:tcPr>
          <w:p>
            <w:pPr>
              <w:spacing w:after="0"/>
              <w:rPr>
                <w:sz w:val="8"/>
                <w:szCs w:val="8"/>
                <w:color w:val="auto"/>
              </w:rPr>
            </w:pPr>
          </w:p>
        </w:tc>
        <w:tc>
          <w:tcPr>
            <w:tcW w:w="780" w:type="dxa"/>
            <w:vAlign w:val="bottom"/>
            <w:tcBorders>
              <w:bottom w:val="single" w:sz="8" w:color="003B71"/>
            </w:tcBorders>
          </w:tcPr>
          <w:p>
            <w:pPr>
              <w:spacing w:after="0"/>
              <w:rPr>
                <w:sz w:val="8"/>
                <w:szCs w:val="8"/>
                <w:color w:val="auto"/>
              </w:rPr>
            </w:pPr>
          </w:p>
        </w:tc>
        <w:tc>
          <w:tcPr>
            <w:tcW w:w="840" w:type="dxa"/>
            <w:vAlign w:val="bottom"/>
            <w:tcBorders>
              <w:bottom w:val="single" w:sz="8" w:color="003B71"/>
            </w:tcBorders>
          </w:tcPr>
          <w:p>
            <w:pPr>
              <w:spacing w:after="0"/>
              <w:rPr>
                <w:sz w:val="8"/>
                <w:szCs w:val="8"/>
                <w:color w:val="auto"/>
              </w:rPr>
            </w:pPr>
          </w:p>
        </w:tc>
        <w:tc>
          <w:tcPr>
            <w:tcW w:w="640" w:type="dxa"/>
            <w:vAlign w:val="bottom"/>
            <w:tcBorders>
              <w:bottom w:val="single" w:sz="8" w:color="003B71"/>
            </w:tcBorders>
          </w:tcPr>
          <w:p>
            <w:pPr>
              <w:spacing w:after="0"/>
              <w:rPr>
                <w:sz w:val="8"/>
                <w:szCs w:val="8"/>
                <w:color w:val="auto"/>
              </w:rPr>
            </w:pPr>
          </w:p>
        </w:tc>
        <w:tc>
          <w:tcPr>
            <w:tcW w:w="780" w:type="dxa"/>
            <w:vAlign w:val="bottom"/>
            <w:tcBorders>
              <w:bottom w:val="single" w:sz="8" w:color="003B71"/>
            </w:tcBorders>
          </w:tcPr>
          <w:p>
            <w:pPr>
              <w:spacing w:after="0"/>
              <w:rPr>
                <w:sz w:val="8"/>
                <w:szCs w:val="8"/>
                <w:color w:val="auto"/>
              </w:rPr>
            </w:pPr>
          </w:p>
        </w:tc>
        <w:tc>
          <w:tcPr>
            <w:tcW w:w="740" w:type="dxa"/>
            <w:vAlign w:val="bottom"/>
            <w:tcBorders>
              <w:bottom w:val="single" w:sz="8" w:color="003B71"/>
            </w:tcBorders>
          </w:tcPr>
          <w:p>
            <w:pPr>
              <w:spacing w:after="0"/>
              <w:rPr>
                <w:sz w:val="8"/>
                <w:szCs w:val="8"/>
                <w:color w:val="auto"/>
              </w:rPr>
            </w:pPr>
          </w:p>
        </w:tc>
        <w:tc>
          <w:tcPr>
            <w:tcW w:w="360" w:type="dxa"/>
            <w:vAlign w:val="bottom"/>
            <w:tcBorders>
              <w:bottom w:val="single" w:sz="8" w:color="003B71"/>
            </w:tcBorders>
          </w:tcPr>
          <w:p>
            <w:pPr>
              <w:spacing w:after="0"/>
              <w:rPr>
                <w:sz w:val="8"/>
                <w:szCs w:val="8"/>
                <w:color w:val="auto"/>
              </w:rPr>
            </w:pPr>
          </w:p>
        </w:tc>
        <w:tc>
          <w:tcPr>
            <w:tcW w:w="840" w:type="dxa"/>
            <w:vAlign w:val="bottom"/>
            <w:tcBorders>
              <w:bottom w:val="single" w:sz="8" w:color="003B71"/>
            </w:tcBorders>
          </w:tcPr>
          <w:p>
            <w:pPr>
              <w:spacing w:after="0"/>
              <w:rPr>
                <w:sz w:val="8"/>
                <w:szCs w:val="8"/>
                <w:color w:val="auto"/>
              </w:rPr>
            </w:pPr>
          </w:p>
        </w:tc>
        <w:tc>
          <w:tcPr>
            <w:tcW w:w="280" w:type="dxa"/>
            <w:vAlign w:val="bottom"/>
            <w:tcBorders>
              <w:bottom w:val="single" w:sz="8" w:color="003B71"/>
            </w:tcBorders>
          </w:tcPr>
          <w:p>
            <w:pPr>
              <w:spacing w:after="0"/>
              <w:rPr>
                <w:sz w:val="8"/>
                <w:szCs w:val="8"/>
                <w:color w:val="auto"/>
              </w:rPr>
            </w:pPr>
          </w:p>
        </w:tc>
        <w:tc>
          <w:tcPr>
            <w:tcW w:w="400" w:type="dxa"/>
            <w:vAlign w:val="bottom"/>
            <w:tcBorders>
              <w:bottom w:val="single" w:sz="8" w:color="003B71"/>
            </w:tcBorders>
          </w:tcPr>
          <w:p>
            <w:pPr>
              <w:spacing w:after="0"/>
              <w:rPr>
                <w:sz w:val="8"/>
                <w:szCs w:val="8"/>
                <w:color w:val="auto"/>
              </w:rPr>
            </w:pPr>
          </w:p>
        </w:tc>
        <w:tc>
          <w:tcPr>
            <w:tcW w:w="900" w:type="dxa"/>
            <w:vAlign w:val="bottom"/>
            <w:tcBorders>
              <w:bottom w:val="single" w:sz="8" w:color="003B71"/>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potential target payouts under awards pursuant to the Bonus Plan.</w:t>
      </w:r>
    </w:p>
    <w:p>
      <w:pPr>
        <w:spacing w:after="0" w:line="72" w:lineRule="exact"/>
        <w:rPr>
          <w:rFonts w:ascii="Arial" w:cs="Arial" w:eastAsia="Arial" w:hAnsi="Arial"/>
          <w:sz w:val="16"/>
          <w:szCs w:val="16"/>
          <w:color w:val="auto"/>
        </w:rPr>
      </w:pPr>
    </w:p>
    <w:p>
      <w:pPr>
        <w:jc w:val="both"/>
        <w:ind w:left="540" w:hanging="424"/>
        <w:spacing w:after="0" w:line="247"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the number of threshold, target and maximum potential future payouts under the PSUs awarded under our 2010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 of the Comparator Group’s TSR results. Amounts in the threshold column (50% of the target award) reflect the number of PSUs that would be earned if threshold performance were achieved (a TSR percentile rank at or above the 25% percentile); amounts in the target column (100% of the target award) reflect the number of PSUs that would be earned if target performance were achieved (a TSR percentile rank at or above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The number of earned PSUs is capped at 100% of the target award if the Company’s TSR is negative during the Performance Period. Earned PSUs become vested on the later of the third anniversary of the grant date and the date on which the Compensation Committee certifies achievement of the performance criteria associated with the award and determines the number of PSUs that have become earned under the award agreement.</w:t>
      </w:r>
    </w:p>
    <w:p>
      <w:pPr>
        <w:sectPr>
          <w:pgSz w:w="11900" w:h="16838" w:orient="portrait"/>
          <w:cols w:equalWidth="0" w:num="1">
            <w:col w:w="11140"/>
          </w:cols>
          <w:pgMar w:left="320" w:top="459" w:right="439" w:bottom="1440" w:gutter="0" w:footer="0" w:header="0"/>
        </w:sectPr>
      </w:pPr>
    </w:p>
    <w:p>
      <w:pPr>
        <w:spacing w:after="0" w:line="12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003B71"/>
        </w:rPr>
        <w:t>51</w:t>
      </w:r>
    </w:p>
    <w:p>
      <w:pPr>
        <w:sectPr>
          <w:pgSz w:w="11900" w:h="16838" w:orient="portrait"/>
          <w:cols w:equalWidth="0" w:num="2">
            <w:col w:w="10400" w:space="540"/>
            <w:col w:w="200"/>
          </w:cols>
          <w:pgMar w:left="32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0"/>
          <w:szCs w:val="20"/>
          <w:color w:val="auto"/>
        </w:rPr>
      </w:pPr>
    </w:p>
    <w:p>
      <w:pPr>
        <w:ind w:left="540" w:right="20" w:hanging="424"/>
        <w:spacing w:after="0" w:line="260"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Unless otherwise indicated, RSUs are scheduled to vest over a three-year period in equal tranches, with the first tranche scheduled to vest on the first anniversary of the grant date.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number of stock options awarded under our 2010 Plan. Stock options are scheduled to vest over a three-year period in equal tranches, with the first tranche scheduled to vest on the first anniversary of the grant date.</w:t>
      </w:r>
    </w:p>
    <w:p>
      <w:pPr>
        <w:spacing w:after="0" w:line="4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grant date fair value of PSUs, RSUs and stock options, in each case computed in accordance with FASB ASC Topic 718, and in the case of PSUs, based on the probable outcome of the performance conditions associated with such awards on the grant date. The aggregate grant date fair value of RSUs was determined using the closing price of the Common Stock on the grant date. The aggregate grant date fair value of stock option awards was determined using the Black-Scholes model, as further discussed in Note 1 to the Summary Compensation Table.</w:t>
      </w:r>
    </w:p>
    <w:p>
      <w:pPr>
        <w:spacing w:after="0" w:line="53"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These RSUs are scheduled to vest over a two-year period in equal tranches, with the first tranche scheduled to vest on the first anniversary of the grant date.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Outstanding Equity Awards at December 31, 2019</w:t>
      </w:r>
    </w:p>
    <w:p>
      <w:pPr>
        <w:spacing w:after="0" w:line="22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with respect to unexercised stock option awards, unvested RSUs and unearned PSUs as of December 31,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1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003B71"/>
              </w:rPr>
              <w:t>Option Awards</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397"/>
              <w:spacing w:after="0"/>
              <w:rPr>
                <w:sz w:val="20"/>
                <w:szCs w:val="20"/>
                <w:color w:val="auto"/>
              </w:rPr>
            </w:pPr>
            <w:r>
              <w:rPr>
                <w:rFonts w:ascii="Arial" w:cs="Arial" w:eastAsia="Arial" w:hAnsi="Arial"/>
                <w:sz w:val="13"/>
                <w:szCs w:val="13"/>
                <w:b w:val="1"/>
                <w:bCs w:val="1"/>
                <w:color w:val="003B71"/>
              </w:rPr>
              <w:t>Stock Awards</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jc w:val="center"/>
              <w:ind w:right="17"/>
              <w:spacing w:after="0" w:line="107" w:lineRule="exact"/>
              <w:rPr>
                <w:sz w:val="20"/>
                <w:szCs w:val="20"/>
                <w:color w:val="auto"/>
              </w:rPr>
            </w:pPr>
            <w:r>
              <w:rPr>
                <w:rFonts w:ascii="Arial" w:cs="Arial" w:eastAsia="Arial" w:hAnsi="Arial"/>
                <w:sz w:val="12"/>
                <w:szCs w:val="12"/>
                <w:b w:val="1"/>
                <w:bCs w:val="1"/>
                <w:color w:val="003B71"/>
              </w:rPr>
              <w:t>Equity</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9"/>
              </w:rPr>
              <w:t>Incentive</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Equity</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rPr>
              <w:t>Plan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Incentive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3"/>
              </w:rPr>
              <w:t>Awards: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4"/>
              </w:rPr>
              <w:t>Plan</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vMerge w:val="restart"/>
          </w:tcPr>
          <w:p>
            <w:pPr>
              <w:jc w:val="center"/>
              <w:ind w:left="277"/>
              <w:spacing w:after="0"/>
              <w:rPr>
                <w:sz w:val="20"/>
                <w:szCs w:val="20"/>
                <w:color w:val="auto"/>
              </w:rPr>
            </w:pPr>
            <w:r>
              <w:rPr>
                <w:rFonts w:ascii="Arial" w:cs="Arial" w:eastAsia="Arial" w:hAnsi="Arial"/>
                <w:sz w:val="13"/>
                <w:szCs w:val="13"/>
                <w:b w:val="1"/>
                <w:bCs w:val="1"/>
                <w:color w:val="003B71"/>
                <w:w w:val="98"/>
              </w:rPr>
              <w:t>Number of</w:t>
            </w: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3B71"/>
                <w:w w:val="98"/>
              </w:rPr>
              <w:t>Number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003B71"/>
                <w:w w:val="95"/>
              </w:rPr>
              <w:t>Number of</w:t>
            </w:r>
          </w:p>
        </w:tc>
        <w:tc>
          <w:tcPr>
            <w:tcW w:w="40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003B71"/>
              </w:rPr>
              <w:t>Market Value</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8"/>
              </w:rPr>
              <w:t>Number of</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7"/>
              </w:rPr>
              <w:t>Awards:</w:t>
            </w: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w w:val="96"/>
              </w:rPr>
              <w:t>Unearned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3"/>
                <w:szCs w:val="13"/>
                <w:b w:val="1"/>
                <w:bCs w:val="1"/>
                <w:color w:val="003B71"/>
                <w:w w:val="95"/>
              </w:rPr>
              <w:t>Market or</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003B71"/>
                <w:w w:val="96"/>
              </w:rPr>
              <w:t>Securities</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6"/>
              </w:rPr>
              <w:t>Securities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6"/>
              </w:rPr>
              <w:t>Shares or</w:t>
            </w:r>
          </w:p>
        </w:tc>
        <w:tc>
          <w:tcPr>
            <w:tcW w:w="40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003B71"/>
              </w:rPr>
              <w:t>of Shares or</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3"/>
              </w:rPr>
              <w:t>Shares,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6"/>
              </w:rPr>
              <w:t>Payout</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003B71"/>
                <w:w w:val="97"/>
              </w:rPr>
              <w:t>Underlying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4"/>
              </w:rPr>
              <w:t>Underlying</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4"/>
              </w:rPr>
              <w:t>Units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9"/>
              </w:rPr>
              <w:t>Units of</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7"/>
              </w:rPr>
              <w:t>Units 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003B71"/>
                <w:w w:val="94"/>
              </w:rPr>
              <w:t>Value of</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003B71"/>
                <w:w w:val="98"/>
              </w:rPr>
              <w:t>Unexercised</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8"/>
              </w:rPr>
              <w:t>Unexercised</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rPr>
              <w:t>Option</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6"/>
              </w:rPr>
              <w:t>Stock That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6"/>
              </w:rPr>
              <w:t>Stock That</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2"/>
              </w:rPr>
              <w:t>Other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6"/>
              </w:rPr>
              <w:t>Unearned</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003B71"/>
                <w:w w:val="97"/>
              </w:rPr>
              <w:t>Options</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7"/>
              </w:rPr>
              <w:t>Options</w:t>
            </w: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003B71"/>
              </w:rPr>
              <w:t>Exercise</w:t>
            </w:r>
          </w:p>
        </w:tc>
        <w:tc>
          <w:tcPr>
            <w:tcW w:w="11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003B71"/>
                <w:w w:val="95"/>
              </w:rPr>
              <w:t>Option</w:t>
            </w: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5"/>
              </w:rPr>
              <w:t>Have Not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9"/>
              </w:rPr>
              <w:t>Have Not</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5"/>
              </w:rPr>
              <w:t>Rights That</w:t>
            </w:r>
          </w:p>
        </w:tc>
        <w:tc>
          <w:tcPr>
            <w:tcW w:w="48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003B71"/>
              </w:rPr>
              <w:t>Shares That</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58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003B71"/>
              </w:rPr>
              <w:t>(#)</w:t>
            </w:r>
          </w:p>
        </w:tc>
        <w:tc>
          <w:tcPr>
            <w:tcW w:w="620" w:type="dxa"/>
            <w:vAlign w:val="bottom"/>
          </w:tcPr>
          <w:p>
            <w:pPr>
              <w:jc w:val="center"/>
              <w:ind w:left="317"/>
              <w:spacing w:after="0" w:line="135" w:lineRule="exact"/>
              <w:rPr>
                <w:sz w:val="20"/>
                <w:szCs w:val="20"/>
                <w:color w:val="auto"/>
              </w:rPr>
            </w:pPr>
            <w:r>
              <w:rPr>
                <w:rFonts w:ascii="Arial" w:cs="Arial" w:eastAsia="Arial" w:hAnsi="Arial"/>
                <w:sz w:val="13"/>
                <w:szCs w:val="13"/>
                <w:b w:val="1"/>
                <w:bCs w:val="1"/>
                <w:color w:val="003B71"/>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003B71"/>
                <w:w w:val="94"/>
              </w:rPr>
              <w:t>Price</w:t>
            </w:r>
          </w:p>
        </w:tc>
        <w:tc>
          <w:tcPr>
            <w:tcW w:w="11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003B71"/>
                <w:w w:val="97"/>
              </w:rPr>
              <w:t>Expiration</w:t>
            </w:r>
          </w:p>
        </w:tc>
        <w:tc>
          <w:tcPr>
            <w:tcW w:w="10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3"/>
              </w:rPr>
              <w:t>Vested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3"/>
              </w:rPr>
              <w:t>Vested</w:t>
            </w:r>
          </w:p>
        </w:tc>
        <w:tc>
          <w:tcPr>
            <w:tcW w:w="10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3B71"/>
                <w:w w:val="99"/>
              </w:rPr>
              <w:t>Have Not</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Have Not</w:t>
            </w:r>
          </w:p>
        </w:tc>
        <w:tc>
          <w:tcPr>
            <w:tcW w:w="0" w:type="dxa"/>
            <w:vAlign w:val="bottom"/>
          </w:tcPr>
          <w:p>
            <w:pPr>
              <w:spacing w:after="0"/>
              <w:rPr>
                <w:sz w:val="1"/>
                <w:szCs w:val="1"/>
                <w:color w:val="auto"/>
              </w:rPr>
            </w:pPr>
          </w:p>
        </w:tc>
      </w:tr>
      <w:tr>
        <w:trPr>
          <w:trHeight w:val="162"/>
        </w:trPr>
        <w:tc>
          <w:tcPr>
            <w:tcW w:w="1940" w:type="dxa"/>
            <w:vAlign w:val="bottom"/>
          </w:tcPr>
          <w:p>
            <w:pPr>
              <w:ind w:left="1040"/>
              <w:spacing w:after="0"/>
              <w:rPr>
                <w:sz w:val="20"/>
                <w:szCs w:val="20"/>
                <w:color w:val="auto"/>
              </w:rPr>
            </w:pPr>
            <w:r>
              <w:rPr>
                <w:rFonts w:ascii="Arial" w:cs="Arial" w:eastAsia="Arial" w:hAnsi="Arial"/>
                <w:sz w:val="13"/>
                <w:szCs w:val="13"/>
                <w:b w:val="1"/>
                <w:bCs w:val="1"/>
                <w:color w:val="003B71"/>
              </w:rPr>
              <w:t>Name</w:t>
            </w:r>
          </w:p>
        </w:tc>
        <w:tc>
          <w:tcPr>
            <w:tcW w:w="1580" w:type="dxa"/>
            <w:vAlign w:val="bottom"/>
          </w:tcPr>
          <w:p>
            <w:pPr>
              <w:jc w:val="center"/>
              <w:ind w:left="257"/>
              <w:spacing w:after="0"/>
              <w:rPr>
                <w:sz w:val="20"/>
                <w:szCs w:val="20"/>
                <w:color w:val="auto"/>
              </w:rPr>
            </w:pPr>
            <w:r>
              <w:rPr>
                <w:rFonts w:ascii="Arial" w:cs="Arial" w:eastAsia="Arial" w:hAnsi="Arial"/>
                <w:sz w:val="13"/>
                <w:szCs w:val="13"/>
                <w:b w:val="1"/>
                <w:bCs w:val="1"/>
                <w:color w:val="003B71"/>
                <w:w w:val="96"/>
              </w:rPr>
              <w:t>Exercisable</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003B71"/>
                <w:w w:val="95"/>
              </w:rPr>
              <w:t>Unexercisable</w:t>
            </w:r>
          </w:p>
        </w:tc>
        <w:tc>
          <w:tcPr>
            <w:tcW w:w="160" w:type="dxa"/>
            <w:vAlign w:val="bottom"/>
          </w:tcPr>
          <w:p>
            <w:pPr>
              <w:spacing w:after="0"/>
              <w:rPr>
                <w:sz w:val="14"/>
                <w:szCs w:val="14"/>
                <w:color w:val="auto"/>
              </w:rPr>
            </w:pPr>
          </w:p>
        </w:tc>
        <w:tc>
          <w:tcPr>
            <w:tcW w:w="560" w:type="dxa"/>
            <w:vAlign w:val="bottom"/>
          </w:tcPr>
          <w:p>
            <w:pPr>
              <w:jc w:val="center"/>
              <w:ind w:right="157"/>
              <w:spacing w:after="0"/>
              <w:rPr>
                <w:sz w:val="20"/>
                <w:szCs w:val="20"/>
                <w:color w:val="auto"/>
              </w:rPr>
            </w:pPr>
            <w:r>
              <w:rPr>
                <w:rFonts w:ascii="Arial" w:cs="Arial" w:eastAsia="Arial" w:hAnsi="Arial"/>
                <w:sz w:val="13"/>
                <w:szCs w:val="13"/>
                <w:b w:val="1"/>
                <w:bCs w:val="1"/>
                <w:color w:val="003B71"/>
                <w:w w:val="87"/>
              </w:rPr>
              <w:t>($)</w:t>
            </w:r>
          </w:p>
        </w:tc>
        <w:tc>
          <w:tcPr>
            <w:tcW w:w="11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003B71"/>
                <w:w w:val="99"/>
              </w:rPr>
              <w:t>Date</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003B71"/>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3"/>
                <w:szCs w:val="13"/>
                <w:b w:val="1"/>
                <w:bCs w:val="1"/>
                <w:color w:val="003B71"/>
              </w:rPr>
              <w:t>($)(1)</w:t>
            </w: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003B71"/>
                <w:w w:val="96"/>
              </w:rPr>
              <w:t>Vested (#)</w:t>
            </w:r>
          </w:p>
        </w:tc>
        <w:tc>
          <w:tcPr>
            <w:tcW w:w="4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003B71"/>
              </w:rPr>
              <w:t>Vested ($)(2)</w:t>
            </w:r>
          </w:p>
        </w:tc>
        <w:tc>
          <w:tcPr>
            <w:tcW w:w="0" w:type="dxa"/>
            <w:vAlign w:val="bottom"/>
          </w:tcPr>
          <w:p>
            <w:pPr>
              <w:spacing w:after="0"/>
              <w:rPr>
                <w:sz w:val="1"/>
                <w:szCs w:val="1"/>
                <w:color w:val="auto"/>
              </w:rPr>
            </w:pPr>
          </w:p>
        </w:tc>
      </w:tr>
      <w:tr>
        <w:trPr>
          <w:trHeight w:val="145"/>
        </w:trPr>
        <w:tc>
          <w:tcPr>
            <w:tcW w:w="1940" w:type="dxa"/>
            <w:vAlign w:val="bottom"/>
            <w:tcBorders>
              <w:top w:val="single" w:sz="8" w:color="003B71"/>
            </w:tcBorders>
          </w:tcPr>
          <w:p>
            <w:pPr>
              <w:ind w:left="60"/>
              <w:spacing w:after="0" w:line="146" w:lineRule="exact"/>
              <w:rPr>
                <w:sz w:val="20"/>
                <w:szCs w:val="20"/>
                <w:color w:val="auto"/>
              </w:rPr>
            </w:pPr>
            <w:r>
              <w:rPr>
                <w:rFonts w:ascii="Arial" w:cs="Arial" w:eastAsia="Arial" w:hAnsi="Arial"/>
                <w:sz w:val="13"/>
                <w:szCs w:val="13"/>
                <w:color w:val="auto"/>
              </w:rPr>
              <w:t>Dan H. Arnold</w:t>
            </w:r>
          </w:p>
        </w:tc>
        <w:tc>
          <w:tcPr>
            <w:tcW w:w="1580" w:type="dxa"/>
            <w:vAlign w:val="bottom"/>
            <w:tcBorders>
              <w:top w:val="single" w:sz="8" w:color="003B71"/>
            </w:tcBorders>
          </w:tcPr>
          <w:p>
            <w:pPr>
              <w:jc w:val="right"/>
              <w:ind w:right="177"/>
              <w:spacing w:after="0" w:line="146" w:lineRule="exact"/>
              <w:rPr>
                <w:sz w:val="20"/>
                <w:szCs w:val="20"/>
                <w:color w:val="auto"/>
              </w:rPr>
            </w:pPr>
            <w:r>
              <w:rPr>
                <w:rFonts w:ascii="Arial" w:cs="Arial" w:eastAsia="Arial" w:hAnsi="Arial"/>
                <w:sz w:val="13"/>
                <w:szCs w:val="13"/>
                <w:color w:val="auto"/>
              </w:rPr>
              <w:t>20,232</w:t>
            </w:r>
          </w:p>
        </w:tc>
        <w:tc>
          <w:tcPr>
            <w:tcW w:w="620" w:type="dxa"/>
            <w:vAlign w:val="bottom"/>
            <w:tcBorders>
              <w:top w:val="single" w:sz="8" w:color="003B71"/>
            </w:tcBorders>
          </w:tcPr>
          <w:p>
            <w:pPr>
              <w:jc w:val="right"/>
              <w:ind w:right="17"/>
              <w:spacing w:after="0" w:line="146"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003B71"/>
            </w:tcBorders>
          </w:tcPr>
          <w:p>
            <w:pPr>
              <w:ind w:left="60"/>
              <w:spacing w:after="0" w:line="146" w:lineRule="exact"/>
              <w:rPr>
                <w:sz w:val="20"/>
                <w:szCs w:val="20"/>
                <w:color w:val="auto"/>
              </w:rPr>
            </w:pPr>
            <w:r>
              <w:rPr>
                <w:rFonts w:ascii="Arial" w:cs="Arial" w:eastAsia="Arial" w:hAnsi="Arial"/>
                <w:sz w:val="13"/>
                <w:szCs w:val="13"/>
                <w:color w:val="auto"/>
              </w:rPr>
              <w:t>(3)</w:t>
            </w:r>
          </w:p>
        </w:tc>
        <w:tc>
          <w:tcPr>
            <w:tcW w:w="160" w:type="dxa"/>
            <w:vAlign w:val="bottom"/>
            <w:tcBorders>
              <w:top w:val="single" w:sz="8" w:color="003B71"/>
            </w:tcBorders>
          </w:tcPr>
          <w:p>
            <w:pPr>
              <w:ind w:left="60"/>
              <w:spacing w:after="0" w:line="146"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003B71"/>
            </w:tcBorders>
          </w:tcPr>
          <w:p>
            <w:pPr>
              <w:jc w:val="right"/>
              <w:ind w:right="57"/>
              <w:spacing w:after="0" w:line="146" w:lineRule="exact"/>
              <w:rPr>
                <w:sz w:val="20"/>
                <w:szCs w:val="20"/>
                <w:color w:val="auto"/>
              </w:rPr>
            </w:pPr>
            <w:r>
              <w:rPr>
                <w:rFonts w:ascii="Arial" w:cs="Arial" w:eastAsia="Arial" w:hAnsi="Arial"/>
                <w:sz w:val="13"/>
                <w:szCs w:val="13"/>
                <w:color w:val="auto"/>
              </w:rPr>
              <w:t>54.81</w:t>
            </w:r>
          </w:p>
        </w:tc>
        <w:tc>
          <w:tcPr>
            <w:tcW w:w="880" w:type="dxa"/>
            <w:vAlign w:val="bottom"/>
            <w:tcBorders>
              <w:top w:val="single" w:sz="8" w:color="003B71"/>
            </w:tcBorders>
            <w:gridSpan w:val="2"/>
          </w:tcPr>
          <w:p>
            <w:pPr>
              <w:jc w:val="right"/>
              <w:ind w:right="120"/>
              <w:spacing w:after="0" w:line="146" w:lineRule="exact"/>
              <w:rPr>
                <w:sz w:val="20"/>
                <w:szCs w:val="20"/>
                <w:color w:val="auto"/>
              </w:rPr>
            </w:pPr>
            <w:r>
              <w:rPr>
                <w:rFonts w:ascii="Arial" w:cs="Arial" w:eastAsia="Arial" w:hAnsi="Arial"/>
                <w:sz w:val="13"/>
                <w:szCs w:val="13"/>
                <w:color w:val="auto"/>
              </w:rPr>
              <w:t>2/24/2024</w:t>
            </w:r>
          </w:p>
        </w:tc>
        <w:tc>
          <w:tcPr>
            <w:tcW w:w="260" w:type="dxa"/>
            <w:vAlign w:val="bottom"/>
          </w:tcPr>
          <w:p>
            <w:pPr>
              <w:spacing w:after="0"/>
              <w:rPr>
                <w:sz w:val="12"/>
                <w:szCs w:val="12"/>
                <w:color w:val="auto"/>
              </w:rPr>
            </w:pPr>
          </w:p>
        </w:tc>
        <w:tc>
          <w:tcPr>
            <w:tcW w:w="100" w:type="dxa"/>
            <w:vAlign w:val="bottom"/>
            <w:tcBorders>
              <w:top w:val="single" w:sz="8" w:color="003B71"/>
            </w:tcBorders>
          </w:tcPr>
          <w:p>
            <w:pPr>
              <w:spacing w:after="0"/>
              <w:rPr>
                <w:sz w:val="12"/>
                <w:szCs w:val="12"/>
                <w:color w:val="auto"/>
              </w:rPr>
            </w:pPr>
          </w:p>
        </w:tc>
        <w:tc>
          <w:tcPr>
            <w:tcW w:w="760" w:type="dxa"/>
            <w:vAlign w:val="bottom"/>
            <w:tcBorders>
              <w:top w:val="single" w:sz="8" w:color="003B71"/>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003B71"/>
            </w:tcBorders>
          </w:tcPr>
          <w:p>
            <w:pPr>
              <w:spacing w:after="0"/>
              <w:rPr>
                <w:sz w:val="12"/>
                <w:szCs w:val="12"/>
                <w:color w:val="auto"/>
              </w:rPr>
            </w:pPr>
          </w:p>
        </w:tc>
        <w:tc>
          <w:tcPr>
            <w:tcW w:w="120" w:type="dxa"/>
            <w:vAlign w:val="bottom"/>
            <w:tcBorders>
              <w:top w:val="single" w:sz="8" w:color="003B71"/>
            </w:tcBorders>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3B71"/>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003B71"/>
            </w:tcBorders>
          </w:tcPr>
          <w:p>
            <w:pPr>
              <w:jc w:val="right"/>
              <w:ind w:right="117"/>
              <w:spacing w:after="0" w:line="146"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003B71"/>
            </w:tcBorders>
          </w:tcPr>
          <w:p>
            <w:pPr>
              <w:spacing w:after="0"/>
              <w:rPr>
                <w:sz w:val="12"/>
                <w:szCs w:val="12"/>
                <w:color w:val="auto"/>
              </w:rPr>
            </w:pPr>
          </w:p>
        </w:tc>
        <w:tc>
          <w:tcPr>
            <w:tcW w:w="160" w:type="dxa"/>
            <w:vAlign w:val="bottom"/>
            <w:tcBorders>
              <w:top w:val="single" w:sz="8" w:color="003B71"/>
            </w:tcBorders>
          </w:tcPr>
          <w:p>
            <w:pPr>
              <w:ind w:left="80"/>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003B71"/>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25,362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ind w:left="60"/>
              <w:spacing w:after="0"/>
              <w:rPr>
                <w:sz w:val="20"/>
                <w:szCs w:val="20"/>
                <w:color w:val="auto"/>
              </w:rPr>
            </w:pPr>
            <w:r>
              <w:rPr>
                <w:rFonts w:ascii="Arial" w:cs="Arial" w:eastAsia="Arial" w:hAnsi="Arial"/>
                <w:sz w:val="13"/>
                <w:szCs w:val="13"/>
                <w:color w:val="auto"/>
              </w:rPr>
              <w:t>(4)</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45.55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3/6/2025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98,031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ind w:left="60"/>
              <w:spacing w:after="0"/>
              <w:rPr>
                <w:sz w:val="20"/>
                <w:szCs w:val="20"/>
                <w:color w:val="auto"/>
              </w:rPr>
            </w:pPr>
            <w:r>
              <w:rPr>
                <w:rFonts w:ascii="Arial" w:cs="Arial" w:eastAsia="Arial" w:hAnsi="Arial"/>
                <w:sz w:val="13"/>
                <w:szCs w:val="13"/>
                <w:color w:val="auto"/>
              </w:rPr>
              <w:t>(5)</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19.85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2/25/2026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82,088</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41,043</w:t>
            </w:r>
          </w:p>
        </w:tc>
        <w:tc>
          <w:tcPr>
            <w:tcW w:w="380" w:type="dxa"/>
            <w:vAlign w:val="bottom"/>
          </w:tcPr>
          <w:p>
            <w:pPr>
              <w:ind w:left="60"/>
              <w:spacing w:after="0"/>
              <w:rPr>
                <w:sz w:val="20"/>
                <w:szCs w:val="20"/>
                <w:color w:val="auto"/>
              </w:rPr>
            </w:pPr>
            <w:r>
              <w:rPr>
                <w:rFonts w:ascii="Arial" w:cs="Arial" w:eastAsia="Arial" w:hAnsi="Arial"/>
                <w:sz w:val="13"/>
                <w:szCs w:val="13"/>
                <w:color w:val="auto"/>
              </w:rPr>
              <w:t>(6)</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39.48</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3/13/2027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25,869</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51,737</w:t>
            </w:r>
          </w:p>
        </w:tc>
        <w:tc>
          <w:tcPr>
            <w:tcW w:w="380" w:type="dxa"/>
            <w:vAlign w:val="bottom"/>
          </w:tcPr>
          <w:p>
            <w:pPr>
              <w:ind w:left="60"/>
              <w:spacing w:after="0"/>
              <w:rPr>
                <w:sz w:val="20"/>
                <w:szCs w:val="20"/>
                <w:color w:val="auto"/>
              </w:rPr>
            </w:pPr>
            <w:r>
              <w:rPr>
                <w:rFonts w:ascii="Arial" w:cs="Arial" w:eastAsia="Arial" w:hAnsi="Arial"/>
                <w:sz w:val="13"/>
                <w:szCs w:val="13"/>
                <w:color w:val="auto"/>
              </w:rPr>
              <w:t>(7)</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65.50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2/23/2028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68,820</w:t>
            </w:r>
          </w:p>
        </w:tc>
        <w:tc>
          <w:tcPr>
            <w:tcW w:w="380" w:type="dxa"/>
            <w:vAlign w:val="bottom"/>
          </w:tcPr>
          <w:p>
            <w:pPr>
              <w:ind w:left="60"/>
              <w:spacing w:after="0"/>
              <w:rPr>
                <w:sz w:val="20"/>
                <w:szCs w:val="20"/>
                <w:color w:val="auto"/>
              </w:rPr>
            </w:pPr>
            <w:r>
              <w:rPr>
                <w:rFonts w:ascii="Arial" w:cs="Arial" w:eastAsia="Arial" w:hAnsi="Arial"/>
                <w:sz w:val="13"/>
                <w:szCs w:val="13"/>
                <w:color w:val="auto"/>
              </w:rPr>
              <w:t>(8)</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77.53</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2/25/2029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38,809</w:t>
            </w:r>
          </w:p>
        </w:tc>
        <w:tc>
          <w:tcPr>
            <w:tcW w:w="400" w:type="dxa"/>
            <w:vAlign w:val="bottom"/>
          </w:tcPr>
          <w:p>
            <w:pPr>
              <w:ind w:left="120"/>
              <w:spacing w:after="0"/>
              <w:rPr>
                <w:sz w:val="20"/>
                <w:szCs w:val="20"/>
                <w:color w:val="auto"/>
              </w:rPr>
            </w:pPr>
            <w:r>
              <w:rPr>
                <w:rFonts w:ascii="Arial" w:cs="Arial" w:eastAsia="Arial" w:hAnsi="Arial"/>
                <w:sz w:val="13"/>
                <w:szCs w:val="13"/>
                <w:color w:val="auto"/>
              </w:rPr>
              <w:t>(9)</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3,580,130</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70,368</w:t>
            </w:r>
          </w:p>
        </w:tc>
        <w:tc>
          <w:tcPr>
            <w:tcW w:w="400" w:type="dxa"/>
            <w:vAlign w:val="bottom"/>
          </w:tcPr>
          <w:p>
            <w:pPr>
              <w:ind w:left="120"/>
              <w:spacing w:after="0"/>
              <w:rPr>
                <w:sz w:val="20"/>
                <w:szCs w:val="20"/>
                <w:color w:val="auto"/>
              </w:rPr>
            </w:pPr>
            <w:r>
              <w:rPr>
                <w:rFonts w:ascii="Arial" w:cs="Arial" w:eastAsia="Arial" w:hAnsi="Arial"/>
                <w:sz w:val="13"/>
                <w:szCs w:val="13"/>
                <w:color w:val="auto"/>
              </w:rPr>
              <w:t>(10)</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6,491,448</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50,170</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4,628,183</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45,856</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4,230,216</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Matthew J. Audette</w:t>
            </w: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17,605</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42.60</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10/30/2025</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94,110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ind w:left="60"/>
              <w:spacing w:after="0"/>
              <w:rPr>
                <w:sz w:val="20"/>
                <w:szCs w:val="20"/>
                <w:color w:val="auto"/>
              </w:rPr>
            </w:pPr>
            <w:r>
              <w:rPr>
                <w:rFonts w:ascii="Arial" w:cs="Arial" w:eastAsia="Arial" w:hAnsi="Arial"/>
                <w:sz w:val="13"/>
                <w:szCs w:val="13"/>
                <w:color w:val="auto"/>
              </w:rPr>
              <w:t>(5)</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19.85</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2/25/2026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18,470</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9,234</w:t>
            </w:r>
          </w:p>
        </w:tc>
        <w:tc>
          <w:tcPr>
            <w:tcW w:w="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39.48</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3/13/2027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5,292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10,582</w:t>
            </w:r>
          </w:p>
        </w:tc>
        <w:tc>
          <w:tcPr>
            <w:tcW w:w="380" w:type="dxa"/>
            <w:vAlign w:val="bottom"/>
          </w:tcPr>
          <w:p>
            <w:pPr>
              <w:ind w:left="60"/>
              <w:spacing w:after="0"/>
              <w:rPr>
                <w:sz w:val="20"/>
                <w:szCs w:val="20"/>
                <w:color w:val="auto"/>
              </w:rPr>
            </w:pPr>
            <w:r>
              <w:rPr>
                <w:rFonts w:ascii="Arial" w:cs="Arial" w:eastAsia="Arial" w:hAnsi="Arial"/>
                <w:sz w:val="13"/>
                <w:szCs w:val="13"/>
                <w:color w:val="auto"/>
              </w:rPr>
              <w:t>(7)</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65.50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2/23/2028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12,903</w:t>
            </w:r>
          </w:p>
        </w:tc>
        <w:tc>
          <w:tcPr>
            <w:tcW w:w="3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77.53</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2/25/2029</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2,638</w:t>
            </w:r>
          </w:p>
        </w:tc>
        <w:tc>
          <w:tcPr>
            <w:tcW w:w="400" w:type="dxa"/>
            <w:vAlign w:val="bottom"/>
          </w:tcPr>
          <w:p>
            <w:pPr>
              <w:ind w:left="120"/>
              <w:spacing w:after="0"/>
              <w:rPr>
                <w:sz w:val="20"/>
                <w:szCs w:val="20"/>
                <w:color w:val="auto"/>
              </w:rPr>
            </w:pPr>
            <w:r>
              <w:rPr>
                <w:rFonts w:ascii="Arial" w:cs="Arial" w:eastAsia="Arial" w:hAnsi="Arial"/>
                <w:sz w:val="13"/>
                <w:szCs w:val="13"/>
                <w:color w:val="auto"/>
              </w:rPr>
              <w:t>(6)</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243,356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3,420</w:t>
            </w:r>
          </w:p>
        </w:tc>
        <w:tc>
          <w:tcPr>
            <w:tcW w:w="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315,495</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4,299</w:t>
            </w:r>
          </w:p>
        </w:tc>
        <w:tc>
          <w:tcPr>
            <w:tcW w:w="400" w:type="dxa"/>
            <w:vAlign w:val="bottom"/>
          </w:tcPr>
          <w:p>
            <w:pPr>
              <w:ind w:left="120"/>
              <w:spacing w:after="0"/>
              <w:rPr>
                <w:sz w:val="20"/>
                <w:szCs w:val="20"/>
                <w:color w:val="auto"/>
              </w:rPr>
            </w:pPr>
            <w:r>
              <w:rPr>
                <w:rFonts w:ascii="Arial" w:cs="Arial" w:eastAsia="Arial" w:hAnsi="Arial"/>
                <w:sz w:val="13"/>
                <w:szCs w:val="13"/>
                <w:color w:val="auto"/>
              </w:rPr>
              <w:t>(8)</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396,583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21,110</w:t>
            </w:r>
          </w:p>
        </w:tc>
        <w:tc>
          <w:tcPr>
            <w:tcW w:w="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1,947,398</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5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13,682</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1,262,165</w:t>
            </w: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rPr>
                <w:sz w:val="11"/>
                <w:szCs w:val="11"/>
                <w:color w:val="auto"/>
              </w:rPr>
            </w:pPr>
          </w:p>
        </w:tc>
        <w:tc>
          <w:tcPr>
            <w:tcW w:w="15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11,464</w:t>
            </w:r>
          </w:p>
        </w:tc>
        <w:tc>
          <w:tcPr>
            <w:tcW w:w="4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1,057,554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-3531235</wp:posOffset>
            </wp:positionV>
            <wp:extent cx="254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48"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1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003B71"/>
              </w:rPr>
              <w:t>Option Awards</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3"/>
                <w:szCs w:val="13"/>
                <w:b w:val="1"/>
                <w:bCs w:val="1"/>
                <w:color w:val="003B71"/>
              </w:rPr>
              <w:t>Stock Awards</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right="197"/>
              <w:spacing w:after="0" w:line="107" w:lineRule="exact"/>
              <w:rPr>
                <w:sz w:val="20"/>
                <w:szCs w:val="20"/>
                <w:color w:val="auto"/>
              </w:rPr>
            </w:pPr>
            <w:r>
              <w:rPr>
                <w:rFonts w:ascii="Arial" w:cs="Arial" w:eastAsia="Arial" w:hAnsi="Arial"/>
                <w:sz w:val="12"/>
                <w:szCs w:val="12"/>
                <w:b w:val="1"/>
                <w:bCs w:val="1"/>
                <w:color w:val="003B71"/>
              </w:rPr>
              <w:t>Equity</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5"/>
              </w:rPr>
              <w:t>Incentive</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Equity</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4"/>
              </w:rPr>
              <w:t>Plan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Incentive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7"/>
              </w:rPr>
              <w:t>Awards: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4"/>
              </w:rPr>
              <w:t>Plan</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003B71"/>
                <w:w w:val="98"/>
              </w:rPr>
              <w:t>Number of</w:t>
            </w: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3B71"/>
                <w:w w:val="95"/>
              </w:rPr>
              <w:t>Number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003B71"/>
                <w:w w:val="95"/>
              </w:rPr>
              <w:t>Number of</w:t>
            </w:r>
          </w:p>
        </w:tc>
        <w:tc>
          <w:tcPr>
            <w:tcW w:w="3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003B71"/>
              </w:rPr>
              <w:t>Market Value</w:t>
            </w:r>
          </w:p>
        </w:tc>
        <w:tc>
          <w:tcPr>
            <w:tcW w:w="98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003B71"/>
                <w:w w:val="95"/>
              </w:rPr>
              <w:t>Number of</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7"/>
              </w:rPr>
              <w:t>Awards:</w:t>
            </w:r>
          </w:p>
        </w:tc>
        <w:tc>
          <w:tcPr>
            <w:tcW w:w="0" w:type="dxa"/>
            <w:vAlign w:val="bottom"/>
          </w:tcPr>
          <w:p>
            <w:pPr>
              <w:spacing w:after="0"/>
              <w:rPr>
                <w:sz w:val="1"/>
                <w:szCs w:val="1"/>
                <w:color w:val="auto"/>
              </w:rPr>
            </w:pPr>
          </w:p>
        </w:tc>
      </w:tr>
      <w:tr>
        <w:trPr>
          <w:trHeight w:val="130"/>
        </w:trPr>
        <w:tc>
          <w:tcPr>
            <w:tcW w:w="182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tcPr>
          <w:p>
            <w:pPr>
              <w:jc w:val="center"/>
              <w:ind w:right="17"/>
              <w:spacing w:after="0" w:line="130" w:lineRule="exact"/>
              <w:rPr>
                <w:sz w:val="20"/>
                <w:szCs w:val="20"/>
                <w:color w:val="auto"/>
              </w:rPr>
            </w:pPr>
            <w:r>
              <w:rPr>
                <w:rFonts w:ascii="Arial" w:cs="Arial" w:eastAsia="Arial" w:hAnsi="Arial"/>
                <w:sz w:val="13"/>
                <w:szCs w:val="13"/>
                <w:b w:val="1"/>
                <w:bCs w:val="1"/>
                <w:color w:val="003B71"/>
                <w:w w:val="96"/>
              </w:rPr>
              <w:t>Unearned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3"/>
                <w:szCs w:val="13"/>
                <w:b w:val="1"/>
                <w:bCs w:val="1"/>
                <w:color w:val="003B71"/>
                <w:w w:val="95"/>
              </w:rPr>
              <w:t>Market or</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w w:val="96"/>
              </w:rPr>
              <w:t>Securities</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6"/>
              </w:rPr>
              <w:t>Securities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6"/>
              </w:rPr>
              <w:t>Shares or</w:t>
            </w:r>
          </w:p>
        </w:tc>
        <w:tc>
          <w:tcPr>
            <w:tcW w:w="38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003B71"/>
              </w:rPr>
              <w:t>of Shares or</w:t>
            </w: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7"/>
              </w:rPr>
              <w:t>Shares,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6"/>
              </w:rPr>
              <w:t>Payout</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003B71"/>
                <w:w w:val="97"/>
              </w:rPr>
              <w:t>Underlying</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7"/>
              </w:rPr>
              <w:t>Underlying</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4"/>
              </w:rPr>
              <w:t>Units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9"/>
              </w:rPr>
              <w:t>Units of</w:t>
            </w:r>
          </w:p>
        </w:tc>
        <w:tc>
          <w:tcPr>
            <w:tcW w:w="180" w:type="dxa"/>
            <w:vAlign w:val="bottom"/>
          </w:tcPr>
          <w:p>
            <w:pPr>
              <w:spacing w:after="0"/>
              <w:rPr>
                <w:sz w:val="11"/>
                <w:szCs w:val="11"/>
                <w:color w:val="auto"/>
              </w:rPr>
            </w:pPr>
          </w:p>
        </w:tc>
        <w:tc>
          <w:tcPr>
            <w:tcW w:w="80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003B71"/>
                <w:w w:val="97"/>
              </w:rPr>
              <w:t>Units 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003B71"/>
                <w:w w:val="94"/>
              </w:rPr>
              <w:t>Value of</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w w:val="98"/>
              </w:rPr>
              <w:t>Unexercised</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5"/>
              </w:rPr>
              <w:t>Unexercised</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5"/>
              </w:rPr>
              <w:t>Option</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3B71"/>
                <w:w w:val="96"/>
              </w:rPr>
              <w:t>Stock That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6"/>
              </w:rPr>
              <w:t>Stock That</w:t>
            </w: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7"/>
              </w:rPr>
              <w:t>Other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6"/>
              </w:rPr>
              <w:t>Unearned</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w w:val="97"/>
              </w:rPr>
              <w:t>Options</w:t>
            </w:r>
          </w:p>
        </w:tc>
        <w:tc>
          <w:tcPr>
            <w:tcW w:w="74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003B71"/>
                <w:w w:val="93"/>
              </w:rPr>
              <w:t>Options</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003B71"/>
              </w:rPr>
              <w:t>Exercise</w:t>
            </w:r>
          </w:p>
        </w:tc>
        <w:tc>
          <w:tcPr>
            <w:tcW w:w="12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003B71"/>
                <w:w w:val="95"/>
              </w:rPr>
              <w:t>Option</w:t>
            </w: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5"/>
              </w:rPr>
              <w:t>Have Not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3B71"/>
                <w:w w:val="95"/>
              </w:rPr>
              <w:t>Have Not</w:t>
            </w:r>
          </w:p>
        </w:tc>
        <w:tc>
          <w:tcPr>
            <w:tcW w:w="98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003B71"/>
                <w:w w:val="97"/>
              </w:rPr>
              <w:t>Rights That</w:t>
            </w:r>
          </w:p>
        </w:tc>
        <w:tc>
          <w:tcPr>
            <w:tcW w:w="48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003B71"/>
              </w:rPr>
              <w:t>Shares That</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4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rPr>
              <w:t>(#)</w:t>
            </w: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003B71"/>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3B71"/>
              </w:rPr>
              <w:t>Price</w:t>
            </w:r>
          </w:p>
        </w:tc>
        <w:tc>
          <w:tcPr>
            <w:tcW w:w="12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003B71"/>
                <w:w w:val="94"/>
              </w:rPr>
              <w:t>Expiration</w:t>
            </w: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3B71"/>
                <w:w w:val="98"/>
              </w:rPr>
              <w:t>Vested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003B71"/>
                <w:w w:val="93"/>
              </w:rPr>
              <w:t>Vested</w:t>
            </w:r>
          </w:p>
        </w:tc>
        <w:tc>
          <w:tcPr>
            <w:tcW w:w="180" w:type="dxa"/>
            <w:vAlign w:val="bottom"/>
          </w:tcPr>
          <w:p>
            <w:pPr>
              <w:spacing w:after="0"/>
              <w:rPr>
                <w:sz w:val="11"/>
                <w:szCs w:val="11"/>
                <w:color w:val="auto"/>
              </w:rPr>
            </w:pPr>
          </w:p>
        </w:tc>
        <w:tc>
          <w:tcPr>
            <w:tcW w:w="80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003B71"/>
                <w:w w:val="95"/>
              </w:rPr>
              <w:t>Have Not</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3B71"/>
                <w:w w:val="95"/>
              </w:rPr>
              <w:t>Have Not</w:t>
            </w:r>
          </w:p>
        </w:tc>
        <w:tc>
          <w:tcPr>
            <w:tcW w:w="0" w:type="dxa"/>
            <w:vAlign w:val="bottom"/>
          </w:tcPr>
          <w:p>
            <w:pPr>
              <w:spacing w:after="0"/>
              <w:rPr>
                <w:sz w:val="1"/>
                <w:szCs w:val="1"/>
                <w:color w:val="auto"/>
              </w:rPr>
            </w:pPr>
          </w:p>
        </w:tc>
      </w:tr>
      <w:tr>
        <w:trPr>
          <w:trHeight w:val="162"/>
        </w:trPr>
        <w:tc>
          <w:tcPr>
            <w:tcW w:w="1820" w:type="dxa"/>
            <w:vAlign w:val="bottom"/>
          </w:tcPr>
          <w:p>
            <w:pPr>
              <w:ind w:left="960"/>
              <w:spacing w:after="0"/>
              <w:rPr>
                <w:sz w:val="20"/>
                <w:szCs w:val="20"/>
                <w:color w:val="auto"/>
              </w:rPr>
            </w:pPr>
            <w:r>
              <w:rPr>
                <w:rFonts w:ascii="Arial" w:cs="Arial" w:eastAsia="Arial" w:hAnsi="Arial"/>
                <w:sz w:val="13"/>
                <w:szCs w:val="13"/>
                <w:b w:val="1"/>
                <w:bCs w:val="1"/>
                <w:color w:val="003B71"/>
              </w:rPr>
              <w:t>Name</w:t>
            </w:r>
          </w:p>
        </w:tc>
        <w:tc>
          <w:tcPr>
            <w:tcW w:w="1640" w:type="dxa"/>
            <w:vAlign w:val="bottom"/>
          </w:tcPr>
          <w:p>
            <w:pPr>
              <w:jc w:val="center"/>
              <w:ind w:left="117"/>
              <w:spacing w:after="0"/>
              <w:rPr>
                <w:sz w:val="20"/>
                <w:szCs w:val="20"/>
                <w:color w:val="auto"/>
              </w:rPr>
            </w:pPr>
            <w:r>
              <w:rPr>
                <w:rFonts w:ascii="Arial" w:cs="Arial" w:eastAsia="Arial" w:hAnsi="Arial"/>
                <w:sz w:val="13"/>
                <w:szCs w:val="13"/>
                <w:b w:val="1"/>
                <w:bCs w:val="1"/>
                <w:color w:val="003B71"/>
                <w:w w:val="96"/>
              </w:rPr>
              <w:t>Exercisable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3B71"/>
                <w:w w:val="97"/>
              </w:rPr>
              <w:t>Unexercisable</w:t>
            </w:r>
          </w:p>
        </w:tc>
        <w:tc>
          <w:tcPr>
            <w:tcW w:w="160" w:type="dxa"/>
            <w:vAlign w:val="bottom"/>
          </w:tcPr>
          <w:p>
            <w:pPr>
              <w:spacing w:after="0"/>
              <w:rPr>
                <w:sz w:val="14"/>
                <w:szCs w:val="14"/>
                <w:color w:val="auto"/>
              </w:rPr>
            </w:pPr>
          </w:p>
        </w:tc>
        <w:tc>
          <w:tcPr>
            <w:tcW w:w="560" w:type="dxa"/>
            <w:vAlign w:val="bottom"/>
          </w:tcPr>
          <w:p>
            <w:pPr>
              <w:jc w:val="center"/>
              <w:ind w:right="137"/>
              <w:spacing w:after="0"/>
              <w:rPr>
                <w:sz w:val="20"/>
                <w:szCs w:val="20"/>
                <w:color w:val="auto"/>
              </w:rPr>
            </w:pPr>
            <w:r>
              <w:rPr>
                <w:rFonts w:ascii="Arial" w:cs="Arial" w:eastAsia="Arial" w:hAnsi="Arial"/>
                <w:sz w:val="13"/>
                <w:szCs w:val="13"/>
                <w:b w:val="1"/>
                <w:bCs w:val="1"/>
                <w:color w:val="003B71"/>
              </w:rPr>
              <w:t>($)</w:t>
            </w:r>
          </w:p>
        </w:tc>
        <w:tc>
          <w:tcPr>
            <w:tcW w:w="12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003B71"/>
                <w:w w:val="99"/>
              </w:rPr>
              <w:t>Date</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003B71"/>
                <w:w w:val="87"/>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37"/>
              <w:spacing w:after="0"/>
              <w:rPr>
                <w:sz w:val="20"/>
                <w:szCs w:val="20"/>
                <w:color w:val="auto"/>
              </w:rPr>
            </w:pPr>
            <w:r>
              <w:rPr>
                <w:rFonts w:ascii="Arial" w:cs="Arial" w:eastAsia="Arial" w:hAnsi="Arial"/>
                <w:sz w:val="13"/>
                <w:szCs w:val="13"/>
                <w:b w:val="1"/>
                <w:bCs w:val="1"/>
                <w:color w:val="003B71"/>
                <w:w w:val="94"/>
              </w:rPr>
              <w:t>($)(1)</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3B71"/>
                <w:w w:val="96"/>
              </w:rPr>
              <w:t>Vested (#)</w:t>
            </w:r>
          </w:p>
        </w:tc>
        <w:tc>
          <w:tcPr>
            <w:tcW w:w="4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3"/>
                <w:szCs w:val="13"/>
                <w:b w:val="1"/>
                <w:bCs w:val="1"/>
                <w:color w:val="003B71"/>
              </w:rPr>
              <w:t>Vested ($)(2)</w:t>
            </w:r>
          </w:p>
        </w:tc>
        <w:tc>
          <w:tcPr>
            <w:tcW w:w="0" w:type="dxa"/>
            <w:vAlign w:val="bottom"/>
          </w:tcPr>
          <w:p>
            <w:pPr>
              <w:spacing w:after="0"/>
              <w:rPr>
                <w:sz w:val="1"/>
                <w:szCs w:val="1"/>
                <w:color w:val="auto"/>
              </w:rPr>
            </w:pPr>
          </w:p>
        </w:tc>
      </w:tr>
      <w:tr>
        <w:trPr>
          <w:trHeight w:val="145"/>
        </w:trPr>
        <w:tc>
          <w:tcPr>
            <w:tcW w:w="1820" w:type="dxa"/>
            <w:vAlign w:val="bottom"/>
            <w:tcBorders>
              <w:top w:val="single" w:sz="8" w:color="003B71"/>
            </w:tcBorders>
          </w:tcPr>
          <w:p>
            <w:pPr>
              <w:ind w:left="60"/>
              <w:spacing w:after="0" w:line="146" w:lineRule="exact"/>
              <w:rPr>
                <w:sz w:val="20"/>
                <w:szCs w:val="20"/>
                <w:color w:val="auto"/>
              </w:rPr>
            </w:pPr>
            <w:r>
              <w:rPr>
                <w:rFonts w:ascii="Arial" w:cs="Arial" w:eastAsia="Arial" w:hAnsi="Arial"/>
                <w:sz w:val="13"/>
                <w:szCs w:val="13"/>
                <w:color w:val="auto"/>
              </w:rPr>
              <w:t>Scott Seese</w:t>
            </w:r>
          </w:p>
        </w:tc>
        <w:tc>
          <w:tcPr>
            <w:tcW w:w="1640" w:type="dxa"/>
            <w:vAlign w:val="bottom"/>
            <w:tcBorders>
              <w:top w:val="single" w:sz="8" w:color="003B71"/>
            </w:tcBorders>
          </w:tcPr>
          <w:p>
            <w:pPr>
              <w:jc w:val="right"/>
              <w:ind w:right="277"/>
              <w:spacing w:after="0" w:line="146" w:lineRule="exact"/>
              <w:rPr>
                <w:sz w:val="20"/>
                <w:szCs w:val="20"/>
                <w:color w:val="auto"/>
              </w:rPr>
            </w:pPr>
            <w:r>
              <w:rPr>
                <w:rFonts w:ascii="Arial" w:cs="Arial" w:eastAsia="Arial" w:hAnsi="Arial"/>
                <w:sz w:val="13"/>
                <w:szCs w:val="13"/>
                <w:color w:val="auto"/>
              </w:rPr>
              <w:t>4,284</w:t>
            </w:r>
          </w:p>
        </w:tc>
        <w:tc>
          <w:tcPr>
            <w:tcW w:w="740" w:type="dxa"/>
            <w:vAlign w:val="bottom"/>
            <w:tcBorders>
              <w:top w:val="single" w:sz="8" w:color="003B71"/>
            </w:tcBorders>
          </w:tcPr>
          <w:p>
            <w:pPr>
              <w:jc w:val="right"/>
              <w:ind w:right="97"/>
              <w:spacing w:after="0" w:line="146" w:lineRule="exact"/>
              <w:rPr>
                <w:sz w:val="20"/>
                <w:szCs w:val="20"/>
                <w:color w:val="auto"/>
              </w:rPr>
            </w:pPr>
            <w:r>
              <w:rPr>
                <w:rFonts w:ascii="Arial" w:cs="Arial" w:eastAsia="Arial" w:hAnsi="Arial"/>
                <w:sz w:val="13"/>
                <w:szCs w:val="13"/>
                <w:color w:val="auto"/>
              </w:rPr>
              <w:t>8,566</w:t>
            </w:r>
          </w:p>
        </w:tc>
        <w:tc>
          <w:tcPr>
            <w:tcW w:w="240" w:type="dxa"/>
            <w:vAlign w:val="bottom"/>
            <w:tcBorders>
              <w:top w:val="single" w:sz="8" w:color="003B71"/>
            </w:tcBorders>
          </w:tcPr>
          <w:p>
            <w:pPr>
              <w:jc w:val="right"/>
              <w:ind w:right="37"/>
              <w:spacing w:after="0" w:line="146" w:lineRule="exact"/>
              <w:rPr>
                <w:sz w:val="20"/>
                <w:szCs w:val="20"/>
                <w:color w:val="auto"/>
              </w:rPr>
            </w:pPr>
            <w:r>
              <w:rPr>
                <w:rFonts w:ascii="Arial" w:cs="Arial" w:eastAsia="Arial" w:hAnsi="Arial"/>
                <w:sz w:val="13"/>
                <w:szCs w:val="13"/>
                <w:color w:val="auto"/>
                <w:w w:val="75"/>
              </w:rPr>
              <w:t>(7)</w:t>
            </w:r>
          </w:p>
        </w:tc>
        <w:tc>
          <w:tcPr>
            <w:tcW w:w="160" w:type="dxa"/>
            <w:vAlign w:val="bottom"/>
            <w:tcBorders>
              <w:top w:val="single" w:sz="8" w:color="003B71"/>
            </w:tcBorders>
          </w:tcPr>
          <w:p>
            <w:pPr>
              <w:ind w:left="80"/>
              <w:spacing w:after="0" w:line="146"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003B71"/>
            </w:tcBorders>
          </w:tcPr>
          <w:p>
            <w:pPr>
              <w:jc w:val="right"/>
              <w:ind w:right="57"/>
              <w:spacing w:after="0" w:line="146" w:lineRule="exact"/>
              <w:rPr>
                <w:sz w:val="20"/>
                <w:szCs w:val="20"/>
                <w:color w:val="auto"/>
              </w:rPr>
            </w:pPr>
            <w:r>
              <w:rPr>
                <w:rFonts w:ascii="Arial" w:cs="Arial" w:eastAsia="Arial" w:hAnsi="Arial"/>
                <w:sz w:val="13"/>
                <w:szCs w:val="13"/>
                <w:color w:val="auto"/>
              </w:rPr>
              <w:t>65.50</w:t>
            </w:r>
          </w:p>
        </w:tc>
        <w:tc>
          <w:tcPr>
            <w:tcW w:w="960" w:type="dxa"/>
            <w:vAlign w:val="bottom"/>
            <w:tcBorders>
              <w:top w:val="single" w:sz="8" w:color="003B71"/>
            </w:tcBorders>
            <w:gridSpan w:val="2"/>
          </w:tcPr>
          <w:p>
            <w:pPr>
              <w:jc w:val="right"/>
              <w:ind w:right="180"/>
              <w:spacing w:after="0" w:line="146" w:lineRule="exact"/>
              <w:rPr>
                <w:sz w:val="20"/>
                <w:szCs w:val="20"/>
                <w:color w:val="auto"/>
              </w:rPr>
            </w:pPr>
            <w:r>
              <w:rPr>
                <w:rFonts w:ascii="Arial" w:cs="Arial" w:eastAsia="Arial" w:hAnsi="Arial"/>
                <w:sz w:val="13"/>
                <w:szCs w:val="13"/>
                <w:color w:val="auto"/>
              </w:rPr>
              <w:t>2/23/2028</w:t>
            </w:r>
          </w:p>
        </w:tc>
        <w:tc>
          <w:tcPr>
            <w:tcW w:w="280" w:type="dxa"/>
            <w:vAlign w:val="bottom"/>
          </w:tcPr>
          <w:p>
            <w:pPr>
              <w:spacing w:after="0"/>
              <w:rPr>
                <w:sz w:val="12"/>
                <w:szCs w:val="12"/>
                <w:color w:val="auto"/>
              </w:rPr>
            </w:pPr>
          </w:p>
        </w:tc>
        <w:tc>
          <w:tcPr>
            <w:tcW w:w="100" w:type="dxa"/>
            <w:vAlign w:val="bottom"/>
            <w:tcBorders>
              <w:top w:val="single" w:sz="8" w:color="003B71"/>
            </w:tcBorders>
          </w:tcPr>
          <w:p>
            <w:pPr>
              <w:spacing w:after="0"/>
              <w:rPr>
                <w:sz w:val="12"/>
                <w:szCs w:val="12"/>
                <w:color w:val="auto"/>
              </w:rPr>
            </w:pPr>
          </w:p>
        </w:tc>
        <w:tc>
          <w:tcPr>
            <w:tcW w:w="760" w:type="dxa"/>
            <w:vAlign w:val="bottom"/>
            <w:tcBorders>
              <w:top w:val="single" w:sz="8" w:color="003B71"/>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003B71"/>
            </w:tcBorders>
          </w:tcPr>
          <w:p>
            <w:pPr>
              <w:spacing w:after="0"/>
              <w:rPr>
                <w:sz w:val="12"/>
                <w:szCs w:val="12"/>
                <w:color w:val="auto"/>
              </w:rPr>
            </w:pPr>
          </w:p>
        </w:tc>
        <w:tc>
          <w:tcPr>
            <w:tcW w:w="140" w:type="dxa"/>
            <w:vAlign w:val="bottom"/>
            <w:tcBorders>
              <w:top w:val="single" w:sz="8" w:color="003B71"/>
            </w:tcBorders>
          </w:tcPr>
          <w:p>
            <w:pPr>
              <w:ind w:left="60"/>
              <w:spacing w:after="0" w:line="146"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003B71"/>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003B71"/>
            </w:tcBorders>
          </w:tcPr>
          <w:p>
            <w:pPr>
              <w:spacing w:after="0"/>
              <w:rPr>
                <w:sz w:val="12"/>
                <w:szCs w:val="12"/>
                <w:color w:val="auto"/>
              </w:rPr>
            </w:pPr>
          </w:p>
        </w:tc>
        <w:tc>
          <w:tcPr>
            <w:tcW w:w="800" w:type="dxa"/>
            <w:vAlign w:val="bottom"/>
            <w:tcBorders>
              <w:top w:val="single" w:sz="8" w:color="003B71"/>
            </w:tcBorders>
          </w:tcPr>
          <w:p>
            <w:pPr>
              <w:jc w:val="right"/>
              <w:ind w:right="117"/>
              <w:spacing w:after="0" w:line="146"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003B71"/>
            </w:tcBorders>
          </w:tcPr>
          <w:p>
            <w:pPr>
              <w:spacing w:after="0"/>
              <w:rPr>
                <w:sz w:val="12"/>
                <w:szCs w:val="12"/>
                <w:color w:val="auto"/>
              </w:rPr>
            </w:pPr>
          </w:p>
        </w:tc>
        <w:tc>
          <w:tcPr>
            <w:tcW w:w="160" w:type="dxa"/>
            <w:vAlign w:val="bottom"/>
            <w:tcBorders>
              <w:top w:val="single" w:sz="8" w:color="003B71"/>
            </w:tcBorders>
          </w:tcPr>
          <w:p>
            <w:pPr>
              <w:ind w:left="80"/>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003B71"/>
            </w:tcBorders>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12,289</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(8)</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77.53</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12/25/2029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2,768</w:t>
            </w:r>
          </w:p>
        </w:tc>
        <w:tc>
          <w:tcPr>
            <w:tcW w:w="380" w:type="dxa"/>
            <w:vAlign w:val="bottom"/>
          </w:tcPr>
          <w:p>
            <w:pPr>
              <w:ind w:left="100"/>
              <w:spacing w:after="0"/>
              <w:rPr>
                <w:sz w:val="20"/>
                <w:szCs w:val="20"/>
                <w:color w:val="auto"/>
              </w:rPr>
            </w:pPr>
            <w:r>
              <w:rPr>
                <w:rFonts w:ascii="Arial" w:cs="Arial" w:eastAsia="Arial" w:hAnsi="Arial"/>
                <w:sz w:val="13"/>
                <w:szCs w:val="13"/>
                <w:color w:val="auto"/>
              </w:rPr>
              <w:t>(7)</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255,348</w:t>
            </w:r>
          </w:p>
        </w:tc>
        <w:tc>
          <w:tcPr>
            <w:tcW w:w="180" w:type="dxa"/>
            <w:vAlign w:val="bottom"/>
          </w:tcPr>
          <w:p>
            <w:pPr>
              <w:spacing w:after="0"/>
              <w:rPr>
                <w:sz w:val="21"/>
                <w:szCs w:val="21"/>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4,094</w:t>
            </w:r>
          </w:p>
        </w:tc>
        <w:tc>
          <w:tcPr>
            <w:tcW w:w="380" w:type="dxa"/>
            <w:vAlign w:val="bottom"/>
          </w:tcPr>
          <w:p>
            <w:pPr>
              <w:ind w:left="100"/>
              <w:spacing w:after="0"/>
              <w:rPr>
                <w:sz w:val="20"/>
                <w:szCs w:val="20"/>
                <w:color w:val="auto"/>
              </w:rPr>
            </w:pPr>
            <w:r>
              <w:rPr>
                <w:rFonts w:ascii="Arial" w:cs="Arial" w:eastAsia="Arial" w:hAnsi="Arial"/>
                <w:sz w:val="13"/>
                <w:szCs w:val="13"/>
                <w:color w:val="auto"/>
              </w:rPr>
              <w:t>(8)</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377,672</w:t>
            </w:r>
          </w:p>
        </w:tc>
        <w:tc>
          <w:tcPr>
            <w:tcW w:w="180" w:type="dxa"/>
            <w:vAlign w:val="bottom"/>
          </w:tcPr>
          <w:p>
            <w:pPr>
              <w:spacing w:after="0"/>
              <w:rPr>
                <w:sz w:val="21"/>
                <w:szCs w:val="21"/>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11,076</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1,021,761</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10,918</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1,007,186</w:t>
            </w:r>
          </w:p>
        </w:tc>
        <w:tc>
          <w:tcPr>
            <w:tcW w:w="0" w:type="dxa"/>
            <w:vAlign w:val="bottom"/>
          </w:tcPr>
          <w:p>
            <w:pPr>
              <w:spacing w:after="0"/>
              <w:rPr>
                <w:sz w:val="1"/>
                <w:szCs w:val="1"/>
                <w:color w:val="auto"/>
              </w:rPr>
            </w:pPr>
          </w:p>
        </w:tc>
      </w:tr>
      <w:tr>
        <w:trPr>
          <w:trHeight w:val="43"/>
        </w:trPr>
        <w:tc>
          <w:tcPr>
            <w:tcW w:w="18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Dayton Semerjian</w:t>
            </w:r>
          </w:p>
        </w:tc>
        <w:tc>
          <w:tcPr>
            <w:tcW w:w="16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10,772</w:t>
            </w:r>
          </w:p>
        </w:tc>
        <w:tc>
          <w:tcPr>
            <w:tcW w:w="3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993,717</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820" w:type="dxa"/>
            <w:vAlign w:val="bottom"/>
          </w:tcPr>
          <w:p>
            <w:pPr>
              <w:ind w:left="60"/>
              <w:spacing w:after="0"/>
              <w:rPr>
                <w:sz w:val="20"/>
                <w:szCs w:val="20"/>
                <w:color w:val="auto"/>
              </w:rPr>
            </w:pPr>
            <w:r>
              <w:rPr>
                <w:rFonts w:ascii="Arial" w:cs="Arial" w:eastAsia="Arial" w:hAnsi="Arial"/>
                <w:sz w:val="13"/>
                <w:szCs w:val="13"/>
                <w:color w:val="auto"/>
              </w:rPr>
              <w:t>Richard Steinmeier</w:t>
            </w: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7,355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(8)</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77.53</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2/25/2029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22,608</w:t>
            </w:r>
          </w:p>
        </w:tc>
        <w:tc>
          <w:tcPr>
            <w:tcW w:w="380" w:type="dxa"/>
            <w:vAlign w:val="bottom"/>
          </w:tcPr>
          <w:p>
            <w:pPr>
              <w:ind w:left="100"/>
              <w:spacing w:after="0"/>
              <w:rPr>
                <w:sz w:val="20"/>
                <w:szCs w:val="20"/>
                <w:color w:val="auto"/>
              </w:rPr>
            </w:pPr>
            <w:r>
              <w:rPr>
                <w:rFonts w:ascii="Arial" w:cs="Arial" w:eastAsia="Arial" w:hAnsi="Arial"/>
                <w:sz w:val="13"/>
                <w:szCs w:val="13"/>
                <w:color w:val="auto"/>
              </w:rPr>
              <w:t>(14)</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2,085,588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color w:val="auto"/>
              </w:rPr>
              <w:t>2,450</w:t>
            </w:r>
          </w:p>
        </w:tc>
        <w:tc>
          <w:tcPr>
            <w:tcW w:w="380" w:type="dxa"/>
            <w:vAlign w:val="bottom"/>
          </w:tcPr>
          <w:p>
            <w:pPr>
              <w:ind w:left="100"/>
              <w:spacing w:after="0"/>
              <w:rPr>
                <w:sz w:val="20"/>
                <w:szCs w:val="20"/>
                <w:color w:val="auto"/>
              </w:rPr>
            </w:pPr>
            <w:r>
              <w:rPr>
                <w:rFonts w:ascii="Arial" w:cs="Arial" w:eastAsia="Arial" w:hAnsi="Arial"/>
                <w:sz w:val="13"/>
                <w:szCs w:val="13"/>
                <w:color w:val="auto"/>
              </w:rPr>
              <w:t>(8)</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226,013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6,534</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602,762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-2578100</wp:posOffset>
            </wp:positionV>
            <wp:extent cx="26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92" w:lineRule="exact"/>
        <w:rPr>
          <w:sz w:val="20"/>
          <w:szCs w:val="20"/>
          <w:color w:val="auto"/>
        </w:rPr>
      </w:pPr>
    </w:p>
    <w:p>
      <w:pPr>
        <w:ind w:left="540" w:right="20" w:hanging="424"/>
        <w:spacing w:after="0" w:line="260"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RSUs by a price per share of our Common Stock of $92.25, the closing price per share of our Common Stock on December 31, 2019, the last business day of 2019.</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PSUs that would be earned at maximum performance levels by a price per share of our Common Stock of $92.25 the closing price per share of our Common Stock on December 31, 2019, the last business day of 2019.</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24, 2017.</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March 6, 2018.</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25, 2019.</w:t>
      </w:r>
    </w:p>
    <w:p>
      <w:pPr>
        <w:spacing w:after="0" w:line="72"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vesting on the first anniversary of the grant date. One tranche of the award vested on the first anniversary of the grant date, one tranche of the award vested on the second anniversary of the grant date and the third tranche is scheduled to vest on the third anniversary of the grant date.</w:t>
      </w:r>
    </w:p>
    <w:p>
      <w:pPr>
        <w:spacing w:after="0" w:line="52"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vesting on the first anniversary of the grant date. One tranche of the award vested on the first anniversary of the grant date, and the second and third tranches are scheduled to vest on the second and third anniversaries of the grant date, respectively.</w:t>
      </w:r>
    </w:p>
    <w:p>
      <w:pPr>
        <w:spacing w:after="0" w:line="5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vesting on the first anniversary of the grant date and each subsequent tranche scheduled to vest on each subsequent anniversary of the grant date.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awards vest over a five-year period in three equal tranches, with the first tranche vesting on the third anniversary of the grant date and each subsequent tranche scheduled to vest on each subsequent anniversary of the grant date.</w:t>
      </w:r>
    </w:p>
    <w:p>
      <w:pPr>
        <w:spacing w:after="0" w:line="4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Amounts represent PSUs that were earned with respect to the Performance Period ended on December 31, 2019 and that vested on March 13, 2020, the third anniversary of the grant date. The number of earned PSUs was 200% of the target award, as discussed under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Long-Term Equity Incentive Awards — Payout of 2017 PSUs.”</w:t>
      </w:r>
    </w:p>
    <w:p>
      <w:pPr>
        <w:spacing w:after="0" w:line="52"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represent PSUs and assume achievement of performance at maximum levels. PSUs are eligible to become earned PSUs based on the Company’s TSR relative to the TSR of the Comparator Group over the Performance Period. The number of PSUs that is earned is determined based on the Company’s relative ranking between the 25th and 80th percentile of the Comparator Group’s TSR results, and can range from 50% of the target award (if the Company’s TSR is at or above the 25th percentile of the Comparator Group’s TSR results) to a maximum of 200% of the target award (if the Company’s TSR is at or greater than the 80th percentile of the Comparator Group’s TSR results). The number of PSUs earned between threshold and maximum performance levels is interpolated on a straight-line basis. The number of earned PSUs is capped at 100% of the target award if the Company’s TSR is negative during the Performance Period. Earned PSUs become vested</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003B71"/>
        </w:rPr>
        <w:t>53</w:t>
      </w:r>
    </w:p>
    <w:p>
      <w:pPr>
        <w:sectPr>
          <w:pgSz w:w="11900" w:h="16838" w:orient="portrait"/>
          <w:cols w:equalWidth="0" w:num="2">
            <w:col w:w="10400" w:space="540"/>
            <w:col w:w="200"/>
          </w:cols>
          <w:pgMar w:left="32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3"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auto"/>
        </w:rPr>
        <w:t>on the later of the third anniversary of the grant date and the date on which the Compensation Committee certifies achievement of the performance criteria associated with the award and determines the number of PSUs that have become earned under the award agreement.</w:t>
      </w:r>
    </w:p>
    <w:p>
      <w:pPr>
        <w:spacing w:after="0" w:line="47"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October 30, 2018.</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These awards vest over a two-year period in equal tranches, with the tranches scheduled to vest on the first and second anniversaries of the grant date, respectively.</w:t>
      </w:r>
    </w:p>
    <w:p>
      <w:pPr>
        <w:spacing w:after="0" w:line="4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These awards vest over a four-year period in equal tranches, with the first tranche vesting on the first anniversary of the grant date. One tranche of the award vested on the first anniversary of the grant date, and the second and third and fourth tranches are scheduled to vest on the second and third and fourth anniversaries of the grant date, respectively.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2019 Option Exercises and Stock Vested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options exercised and stock vested during the year ended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23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003B71"/>
              </w:rPr>
              <w:t>Option Awards</w:t>
            </w:r>
          </w:p>
        </w:tc>
        <w:tc>
          <w:tcPr>
            <w:tcW w:w="340" w:type="dxa"/>
            <w:vAlign w:val="bottom"/>
          </w:tcPr>
          <w:p>
            <w:pPr>
              <w:spacing w:after="0"/>
              <w:rPr>
                <w:sz w:val="15"/>
                <w:szCs w:val="15"/>
                <w:color w:val="auto"/>
              </w:rPr>
            </w:pPr>
          </w:p>
        </w:tc>
        <w:tc>
          <w:tcPr>
            <w:tcW w:w="226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003B71"/>
              </w:rPr>
              <w:t>Stock Awards</w:t>
            </w:r>
          </w:p>
        </w:tc>
        <w:tc>
          <w:tcPr>
            <w:tcW w:w="32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1260" w:type="dxa"/>
            <w:vAlign w:val="bottom"/>
            <w:tcBorders>
              <w:top w:val="single" w:sz="8" w:color="auto"/>
            </w:tcBorders>
          </w:tcPr>
          <w:p>
            <w:pPr>
              <w:jc w:val="center"/>
              <w:ind w:right="22"/>
              <w:spacing w:after="0" w:line="143" w:lineRule="exact"/>
              <w:rPr>
                <w:sz w:val="20"/>
                <w:szCs w:val="20"/>
                <w:color w:val="auto"/>
              </w:rPr>
            </w:pPr>
            <w:r>
              <w:rPr>
                <w:rFonts w:ascii="Arial" w:cs="Arial" w:eastAsia="Arial" w:hAnsi="Arial"/>
                <w:sz w:val="14"/>
                <w:szCs w:val="14"/>
                <w:b w:val="1"/>
                <w:bCs w:val="1"/>
                <w:color w:val="003B71"/>
              </w:rPr>
              <w:t>Number of</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1"/>
              <w:spacing w:after="0" w:line="143" w:lineRule="exact"/>
              <w:rPr>
                <w:sz w:val="20"/>
                <w:szCs w:val="20"/>
                <w:color w:val="auto"/>
              </w:rPr>
            </w:pPr>
            <w:r>
              <w:rPr>
                <w:rFonts w:ascii="Arial" w:cs="Arial" w:eastAsia="Arial" w:hAnsi="Arial"/>
                <w:sz w:val="14"/>
                <w:szCs w:val="14"/>
                <w:b w:val="1"/>
                <w:bCs w:val="1"/>
                <w:color w:val="003B71"/>
              </w:rPr>
              <w:t>Value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jc w:val="center"/>
              <w:ind w:right="42"/>
              <w:spacing w:after="0" w:line="143" w:lineRule="exact"/>
              <w:rPr>
                <w:sz w:val="20"/>
                <w:szCs w:val="20"/>
                <w:color w:val="auto"/>
              </w:rPr>
            </w:pPr>
            <w:r>
              <w:rPr>
                <w:rFonts w:ascii="Arial" w:cs="Arial" w:eastAsia="Arial" w:hAnsi="Arial"/>
                <w:sz w:val="14"/>
                <w:szCs w:val="14"/>
                <w:b w:val="1"/>
                <w:bCs w:val="1"/>
                <w:color w:val="003B71"/>
              </w:rPr>
              <w:t>Number of</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81"/>
              <w:spacing w:after="0" w:line="143" w:lineRule="exact"/>
              <w:rPr>
                <w:sz w:val="20"/>
                <w:szCs w:val="20"/>
                <w:color w:val="auto"/>
              </w:rPr>
            </w:pPr>
            <w:r>
              <w:rPr>
                <w:rFonts w:ascii="Arial" w:cs="Arial" w:eastAsia="Arial" w:hAnsi="Arial"/>
                <w:sz w:val="14"/>
                <w:szCs w:val="14"/>
                <w:b w:val="1"/>
                <w:bCs w:val="1"/>
                <w:color w:val="003B71"/>
              </w:rPr>
              <w:t>Value</w:t>
            </w:r>
          </w:p>
        </w:tc>
        <w:tc>
          <w:tcPr>
            <w:tcW w:w="320" w:type="dxa"/>
            <w:vAlign w:val="bottom"/>
            <w:tcBorders>
              <w:top w:val="single" w:sz="8" w:color="auto"/>
            </w:tcBorders>
          </w:tcPr>
          <w:p>
            <w:pPr>
              <w:spacing w:after="0"/>
              <w:rPr>
                <w:sz w:val="12"/>
                <w:szCs w:val="12"/>
                <w:color w:val="auto"/>
              </w:rPr>
            </w:pPr>
          </w:p>
        </w:tc>
      </w:tr>
      <w:tr>
        <w:trPr>
          <w:trHeight w:val="162"/>
        </w:trPr>
        <w:tc>
          <w:tcPr>
            <w:tcW w:w="5720" w:type="dxa"/>
            <w:vAlign w:val="bottom"/>
          </w:tcPr>
          <w:p>
            <w:pPr>
              <w:spacing w:after="0"/>
              <w:rPr>
                <w:sz w:val="14"/>
                <w:szCs w:val="14"/>
                <w:color w:val="auto"/>
              </w:rPr>
            </w:pPr>
          </w:p>
        </w:tc>
        <w:tc>
          <w:tcPr>
            <w:tcW w:w="1260" w:type="dxa"/>
            <w:vAlign w:val="bottom"/>
          </w:tcPr>
          <w:p>
            <w:pPr>
              <w:jc w:val="center"/>
              <w:ind w:right="22"/>
              <w:spacing w:after="0"/>
              <w:rPr>
                <w:sz w:val="20"/>
                <w:szCs w:val="20"/>
                <w:color w:val="auto"/>
              </w:rPr>
            </w:pPr>
            <w:r>
              <w:rPr>
                <w:rFonts w:ascii="Arial" w:cs="Arial" w:eastAsia="Arial" w:hAnsi="Arial"/>
                <w:sz w:val="14"/>
                <w:szCs w:val="14"/>
                <w:b w:val="1"/>
                <w:bCs w:val="1"/>
                <w:color w:val="003B71"/>
              </w:rPr>
              <w:t>Shares Acquired</w:t>
            </w:r>
          </w:p>
        </w:tc>
        <w:tc>
          <w:tcPr>
            <w:tcW w:w="2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003B71"/>
              </w:rPr>
              <w:t>Realized</w:t>
            </w:r>
          </w:p>
        </w:tc>
        <w:tc>
          <w:tcPr>
            <w:tcW w:w="34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003B71"/>
              </w:rPr>
              <w:t>Shares Acquired</w:t>
            </w:r>
          </w:p>
        </w:tc>
        <w:tc>
          <w:tcPr>
            <w:tcW w:w="200" w:type="dxa"/>
            <w:vAlign w:val="bottom"/>
          </w:tcPr>
          <w:p>
            <w:pPr>
              <w:spacing w:after="0"/>
              <w:rPr>
                <w:sz w:val="14"/>
                <w:szCs w:val="14"/>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003B71"/>
              </w:rPr>
              <w:t>Realized</w:t>
            </w:r>
          </w:p>
        </w:tc>
        <w:tc>
          <w:tcPr>
            <w:tcW w:w="32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1260" w:type="dxa"/>
            <w:vAlign w:val="bottom"/>
          </w:tcPr>
          <w:p>
            <w:pPr>
              <w:jc w:val="center"/>
              <w:ind w:right="22"/>
              <w:spacing w:after="0"/>
              <w:rPr>
                <w:sz w:val="20"/>
                <w:szCs w:val="20"/>
                <w:color w:val="auto"/>
              </w:rPr>
            </w:pPr>
            <w:r>
              <w:rPr>
                <w:rFonts w:ascii="Arial" w:cs="Arial" w:eastAsia="Arial" w:hAnsi="Arial"/>
                <w:sz w:val="14"/>
                <w:szCs w:val="14"/>
                <w:b w:val="1"/>
                <w:bCs w:val="1"/>
                <w:color w:val="003B71"/>
              </w:rPr>
              <w:t>on Exercise</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003B71"/>
              </w:rPr>
              <w:t>on Exercise</w:t>
            </w:r>
          </w:p>
        </w:tc>
        <w:tc>
          <w:tcPr>
            <w:tcW w:w="34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003B71"/>
              </w:rPr>
              <w:t>on Vesting</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3B71"/>
              </w:rPr>
              <w:t>on Vesting</w:t>
            </w:r>
          </w:p>
        </w:tc>
        <w:tc>
          <w:tcPr>
            <w:tcW w:w="320" w:type="dxa"/>
            <w:vAlign w:val="bottom"/>
          </w:tcPr>
          <w:p>
            <w:pPr>
              <w:spacing w:after="0"/>
              <w:rPr>
                <w:sz w:val="14"/>
                <w:szCs w:val="14"/>
                <w:color w:val="auto"/>
              </w:rPr>
            </w:pPr>
          </w:p>
        </w:tc>
      </w:tr>
      <w:tr>
        <w:trPr>
          <w:trHeight w:val="189"/>
        </w:trPr>
        <w:tc>
          <w:tcPr>
            <w:tcW w:w="572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Name</w:t>
            </w:r>
          </w:p>
        </w:tc>
        <w:tc>
          <w:tcPr>
            <w:tcW w:w="1260" w:type="dxa"/>
            <w:vAlign w:val="bottom"/>
            <w:tcBorders>
              <w:bottom w:val="single" w:sz="8" w:color="003B71"/>
            </w:tcBorders>
          </w:tcPr>
          <w:p>
            <w:pPr>
              <w:jc w:val="center"/>
              <w:ind w:right="22"/>
              <w:spacing w:after="0"/>
              <w:rPr>
                <w:sz w:val="20"/>
                <w:szCs w:val="20"/>
                <w:color w:val="auto"/>
              </w:rPr>
            </w:pPr>
            <w:r>
              <w:rPr>
                <w:rFonts w:ascii="Arial" w:cs="Arial" w:eastAsia="Arial" w:hAnsi="Arial"/>
                <w:sz w:val="14"/>
                <w:szCs w:val="14"/>
                <w:b w:val="1"/>
                <w:bCs w:val="1"/>
                <w:color w:val="003B71"/>
                <w:w w:val="93"/>
              </w:rPr>
              <w:t>(#)</w:t>
            </w:r>
          </w:p>
        </w:tc>
        <w:tc>
          <w:tcPr>
            <w:tcW w:w="240" w:type="dxa"/>
            <w:vAlign w:val="bottom"/>
            <w:tcBorders>
              <w:bottom w:val="single" w:sz="8" w:color="003B71"/>
            </w:tcBorders>
          </w:tcPr>
          <w:p>
            <w:pPr>
              <w:spacing w:after="0"/>
              <w:rPr>
                <w:sz w:val="16"/>
                <w:szCs w:val="16"/>
                <w:color w:val="auto"/>
              </w:rPr>
            </w:pPr>
          </w:p>
        </w:tc>
        <w:tc>
          <w:tcPr>
            <w:tcW w:w="800" w:type="dxa"/>
            <w:vAlign w:val="bottom"/>
            <w:tcBorders>
              <w:bottom w:val="single" w:sz="8" w:color="003B71"/>
            </w:tcBorders>
          </w:tcPr>
          <w:p>
            <w:pPr>
              <w:jc w:val="center"/>
              <w:ind w:right="41"/>
              <w:spacing w:after="0"/>
              <w:rPr>
                <w:sz w:val="20"/>
                <w:szCs w:val="20"/>
                <w:color w:val="auto"/>
              </w:rPr>
            </w:pPr>
            <w:r>
              <w:rPr>
                <w:rFonts w:ascii="Arial" w:cs="Arial" w:eastAsia="Arial" w:hAnsi="Arial"/>
                <w:sz w:val="14"/>
                <w:szCs w:val="14"/>
                <w:b w:val="1"/>
                <w:bCs w:val="1"/>
                <w:color w:val="003B71"/>
              </w:rPr>
              <w:t>($)(1)</w:t>
            </w:r>
          </w:p>
        </w:tc>
        <w:tc>
          <w:tcPr>
            <w:tcW w:w="80" w:type="dxa"/>
            <w:vAlign w:val="bottom"/>
            <w:tcBorders>
              <w:bottom w:val="single" w:sz="8" w:color="003B71"/>
            </w:tcBorders>
          </w:tcPr>
          <w:p>
            <w:pPr>
              <w:spacing w:after="0"/>
              <w:rPr>
                <w:sz w:val="16"/>
                <w:szCs w:val="16"/>
                <w:color w:val="auto"/>
              </w:rPr>
            </w:pPr>
          </w:p>
        </w:tc>
        <w:tc>
          <w:tcPr>
            <w:tcW w:w="340" w:type="dxa"/>
            <w:vAlign w:val="bottom"/>
            <w:tcBorders>
              <w:bottom w:val="single" w:sz="8" w:color="003B71"/>
            </w:tcBorders>
          </w:tcPr>
          <w:p>
            <w:pPr>
              <w:spacing w:after="0"/>
              <w:rPr>
                <w:sz w:val="16"/>
                <w:szCs w:val="16"/>
                <w:color w:val="auto"/>
              </w:rPr>
            </w:pPr>
          </w:p>
        </w:tc>
        <w:tc>
          <w:tcPr>
            <w:tcW w:w="1280" w:type="dxa"/>
            <w:vAlign w:val="bottom"/>
            <w:tcBorders>
              <w:bottom w:val="single" w:sz="8" w:color="003B71"/>
            </w:tcBorders>
          </w:tcPr>
          <w:p>
            <w:pPr>
              <w:jc w:val="center"/>
              <w:ind w:right="22"/>
              <w:spacing w:after="0"/>
              <w:rPr>
                <w:sz w:val="20"/>
                <w:szCs w:val="20"/>
                <w:color w:val="auto"/>
              </w:rPr>
            </w:pPr>
            <w:r>
              <w:rPr>
                <w:rFonts w:ascii="Arial" w:cs="Arial" w:eastAsia="Arial" w:hAnsi="Arial"/>
                <w:sz w:val="14"/>
                <w:szCs w:val="14"/>
                <w:b w:val="1"/>
                <w:bCs w:val="1"/>
                <w:color w:val="003B71"/>
              </w:rPr>
              <w:t>(#)</w:t>
            </w:r>
          </w:p>
        </w:tc>
        <w:tc>
          <w:tcPr>
            <w:tcW w:w="200" w:type="dxa"/>
            <w:vAlign w:val="bottom"/>
            <w:tcBorders>
              <w:bottom w:val="single" w:sz="8" w:color="003B71"/>
            </w:tcBorders>
          </w:tcPr>
          <w:p>
            <w:pPr>
              <w:spacing w:after="0"/>
              <w:rPr>
                <w:sz w:val="16"/>
                <w:szCs w:val="16"/>
                <w:color w:val="auto"/>
              </w:rPr>
            </w:pPr>
          </w:p>
        </w:tc>
        <w:tc>
          <w:tcPr>
            <w:tcW w:w="780" w:type="dxa"/>
            <w:vAlign w:val="bottom"/>
            <w:tcBorders>
              <w:bottom w:val="single" w:sz="8" w:color="003B71"/>
            </w:tcBorders>
          </w:tcPr>
          <w:p>
            <w:pPr>
              <w:jc w:val="center"/>
              <w:ind w:right="101"/>
              <w:spacing w:after="0"/>
              <w:rPr>
                <w:sz w:val="20"/>
                <w:szCs w:val="20"/>
                <w:color w:val="auto"/>
              </w:rPr>
            </w:pPr>
            <w:r>
              <w:rPr>
                <w:rFonts w:ascii="Arial" w:cs="Arial" w:eastAsia="Arial" w:hAnsi="Arial"/>
                <w:sz w:val="14"/>
                <w:szCs w:val="14"/>
                <w:b w:val="1"/>
                <w:bCs w:val="1"/>
                <w:color w:val="003B71"/>
              </w:rPr>
              <w:t>($)(2)</w:t>
            </w:r>
          </w:p>
        </w:tc>
        <w:tc>
          <w:tcPr>
            <w:tcW w:w="320" w:type="dxa"/>
            <w:vAlign w:val="bottom"/>
            <w:tcBorders>
              <w:bottom w:val="single" w:sz="8" w:color="003B71"/>
            </w:tcBorders>
          </w:tcPr>
          <w:p>
            <w:pPr>
              <w:spacing w:after="0"/>
              <w:rPr>
                <w:sz w:val="16"/>
                <w:szCs w:val="16"/>
                <w:color w:val="auto"/>
              </w:rPr>
            </w:pPr>
          </w:p>
        </w:tc>
      </w:tr>
      <w:tr>
        <w:trPr>
          <w:trHeight w:val="183"/>
        </w:trPr>
        <w:tc>
          <w:tcPr>
            <w:tcW w:w="5720" w:type="dxa"/>
            <w:vAlign w:val="bottom"/>
            <w:shd w:val="clear" w:color="auto" w:fill="CCEEFF"/>
          </w:tcPr>
          <w:p>
            <w:pPr>
              <w:ind w:left="60"/>
              <w:spacing w:after="0" w:line="183" w:lineRule="exact"/>
              <w:rPr>
                <w:sz w:val="20"/>
                <w:szCs w:val="20"/>
                <w:color w:val="auto"/>
              </w:rPr>
            </w:pPr>
            <w:r>
              <w:rPr>
                <w:rFonts w:ascii="Arial" w:cs="Arial" w:eastAsia="Arial" w:hAnsi="Arial"/>
                <w:sz w:val="16"/>
                <w:szCs w:val="16"/>
                <w:color w:val="auto"/>
              </w:rPr>
              <w:t>Dan H. Arnold</w:t>
            </w:r>
          </w:p>
        </w:tc>
        <w:tc>
          <w:tcPr>
            <w:tcW w:w="1260" w:type="dxa"/>
            <w:vAlign w:val="bottom"/>
            <w:shd w:val="clear" w:color="auto" w:fill="CCEEFF"/>
          </w:tcPr>
          <w:p>
            <w:pPr>
              <w:jc w:val="right"/>
              <w:ind w:right="22"/>
              <w:spacing w:after="0" w:line="183" w:lineRule="exact"/>
              <w:rPr>
                <w:sz w:val="20"/>
                <w:szCs w:val="20"/>
                <w:color w:val="auto"/>
              </w:rPr>
            </w:pPr>
            <w:r>
              <w:rPr>
                <w:rFonts w:ascii="Arial" w:cs="Arial" w:eastAsia="Arial" w:hAnsi="Arial"/>
                <w:sz w:val="16"/>
                <w:szCs w:val="16"/>
                <w:color w:val="auto"/>
              </w:rPr>
              <w:t>36,774</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1,301,432</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80" w:type="dxa"/>
            <w:vAlign w:val="bottom"/>
            <w:shd w:val="clear" w:color="auto" w:fill="CCEEFF"/>
          </w:tcPr>
          <w:p>
            <w:pPr>
              <w:jc w:val="right"/>
              <w:ind w:right="42"/>
              <w:spacing w:after="0" w:line="183" w:lineRule="exact"/>
              <w:rPr>
                <w:sz w:val="20"/>
                <w:szCs w:val="20"/>
                <w:color w:val="auto"/>
              </w:rPr>
            </w:pPr>
            <w:r>
              <w:rPr>
                <w:rFonts w:ascii="Arial" w:cs="Arial" w:eastAsia="Arial" w:hAnsi="Arial"/>
                <w:sz w:val="16"/>
                <w:szCs w:val="16"/>
                <w:color w:val="auto"/>
              </w:rPr>
              <w:t>7,113</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551,471</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(8)</w:t>
            </w:r>
          </w:p>
        </w:tc>
      </w:tr>
      <w:tr>
        <w:trPr>
          <w:trHeight w:val="254"/>
        </w:trPr>
        <w:tc>
          <w:tcPr>
            <w:tcW w:w="572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6,198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280,583</w:t>
            </w:r>
          </w:p>
        </w:tc>
        <w:tc>
          <w:tcPr>
            <w:tcW w:w="80" w:type="dxa"/>
            <w:vAlign w:val="bottom"/>
          </w:tcPr>
          <w:p>
            <w:pPr>
              <w:spacing w:after="0"/>
              <w:rPr>
                <w:sz w:val="22"/>
                <w:szCs w:val="22"/>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r>
      <w:tr>
        <w:trPr>
          <w:trHeight w:val="43"/>
        </w:trPr>
        <w:tc>
          <w:tcPr>
            <w:tcW w:w="57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189"/>
        </w:trPr>
        <w:tc>
          <w:tcPr>
            <w:tcW w:w="57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r>
      <w:tr>
        <w:trPr>
          <w:trHeight w:val="254"/>
        </w:trPr>
        <w:tc>
          <w:tcPr>
            <w:tcW w:w="572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19,747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849,688</w:t>
            </w:r>
          </w:p>
        </w:tc>
        <w:tc>
          <w:tcPr>
            <w:tcW w:w="80" w:type="dxa"/>
            <w:vAlign w:val="bottom"/>
          </w:tcPr>
          <w:p>
            <w:pPr>
              <w:spacing w:after="0"/>
              <w:rPr>
                <w:sz w:val="22"/>
                <w:szCs w:val="22"/>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r>
      <w:tr>
        <w:trPr>
          <w:trHeight w:val="43"/>
        </w:trPr>
        <w:tc>
          <w:tcPr>
            <w:tcW w:w="57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189"/>
        </w:trPr>
        <w:tc>
          <w:tcPr>
            <w:tcW w:w="57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48,159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2,330,896</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r>
      <w:tr>
        <w:trPr>
          <w:trHeight w:val="200"/>
        </w:trPr>
        <w:tc>
          <w:tcPr>
            <w:tcW w:w="572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1,711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131,815</w:t>
            </w:r>
          </w:p>
        </w:tc>
        <w:tc>
          <w:tcPr>
            <w:tcW w:w="320" w:type="dxa"/>
            <w:vAlign w:val="bottom"/>
          </w:tcPr>
          <w:p>
            <w:pPr>
              <w:ind w:left="60"/>
              <w:spacing w:after="0"/>
              <w:rPr>
                <w:sz w:val="20"/>
                <w:szCs w:val="20"/>
                <w:color w:val="auto"/>
              </w:rPr>
            </w:pPr>
            <w:r>
              <w:rPr>
                <w:rFonts w:ascii="Arial" w:cs="Arial" w:eastAsia="Arial" w:hAnsi="Arial"/>
                <w:sz w:val="13"/>
                <w:szCs w:val="13"/>
                <w:color w:val="auto"/>
              </w:rPr>
              <w:t>(9)</w:t>
            </w:r>
          </w:p>
        </w:tc>
      </w:tr>
      <w:tr>
        <w:trPr>
          <w:trHeight w:val="243"/>
        </w:trPr>
        <w:tc>
          <w:tcPr>
            <w:tcW w:w="572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6,953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539,066</w:t>
            </w:r>
          </w:p>
        </w:tc>
        <w:tc>
          <w:tcPr>
            <w:tcW w:w="320" w:type="dxa"/>
            <w:vAlign w:val="bottom"/>
          </w:tcPr>
          <w:p>
            <w:pPr>
              <w:ind w:left="60"/>
              <w:spacing w:after="0"/>
              <w:rPr>
                <w:sz w:val="20"/>
                <w:szCs w:val="20"/>
                <w:color w:val="auto"/>
              </w:rPr>
            </w:pPr>
            <w:r>
              <w:rPr>
                <w:rFonts w:ascii="Arial" w:cs="Arial" w:eastAsia="Arial" w:hAnsi="Arial"/>
                <w:sz w:val="13"/>
                <w:szCs w:val="13"/>
                <w:color w:val="auto"/>
              </w:rPr>
              <w:t>(8)</w:t>
            </w:r>
          </w:p>
        </w:tc>
      </w:tr>
      <w:tr>
        <w:trPr>
          <w:trHeight w:val="243"/>
        </w:trPr>
        <w:tc>
          <w:tcPr>
            <w:tcW w:w="572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2,639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195,867</w:t>
            </w:r>
          </w:p>
        </w:tc>
        <w:tc>
          <w:tcPr>
            <w:tcW w:w="320" w:type="dxa"/>
            <w:vAlign w:val="bottom"/>
          </w:tcPr>
          <w:p>
            <w:pPr>
              <w:ind w:left="60"/>
              <w:spacing w:after="0"/>
              <w:rPr>
                <w:sz w:val="20"/>
                <w:szCs w:val="20"/>
                <w:color w:val="auto"/>
              </w:rPr>
            </w:pPr>
            <w:r>
              <w:rPr>
                <w:rFonts w:ascii="Arial" w:cs="Arial" w:eastAsia="Arial" w:hAnsi="Arial"/>
                <w:sz w:val="13"/>
                <w:szCs w:val="13"/>
                <w:color w:val="auto"/>
              </w:rPr>
              <w:t>(10)</w:t>
            </w:r>
          </w:p>
        </w:tc>
      </w:tr>
      <w:tr>
        <w:trPr>
          <w:trHeight w:val="43"/>
        </w:trPr>
        <w:tc>
          <w:tcPr>
            <w:tcW w:w="57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189"/>
        </w:trPr>
        <w:tc>
          <w:tcPr>
            <w:tcW w:w="5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Scott Seese</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106,700</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(9)</w:t>
            </w:r>
          </w:p>
        </w:tc>
      </w:tr>
      <w:tr>
        <w:trPr>
          <w:trHeight w:val="245"/>
        </w:trPr>
        <w:tc>
          <w:tcPr>
            <w:tcW w:w="572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11,074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817,150</w:t>
            </w:r>
          </w:p>
        </w:tc>
        <w:tc>
          <w:tcPr>
            <w:tcW w:w="320" w:type="dxa"/>
            <w:vAlign w:val="bottom"/>
          </w:tcPr>
          <w:p>
            <w:pPr>
              <w:ind w:left="60"/>
              <w:spacing w:after="0"/>
              <w:rPr>
                <w:sz w:val="20"/>
                <w:szCs w:val="20"/>
                <w:color w:val="auto"/>
              </w:rPr>
            </w:pPr>
            <w:r>
              <w:rPr>
                <w:rFonts w:ascii="Arial" w:cs="Arial" w:eastAsia="Arial" w:hAnsi="Arial"/>
                <w:sz w:val="13"/>
                <w:szCs w:val="13"/>
                <w:color w:val="auto"/>
              </w:rPr>
              <w:t>(11)</w:t>
            </w:r>
          </w:p>
        </w:tc>
      </w:tr>
      <w:tr>
        <w:trPr>
          <w:trHeight w:val="195"/>
        </w:trPr>
        <w:tc>
          <w:tcPr>
            <w:tcW w:w="572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r>
      <w:tr>
        <w:trPr>
          <w:trHeight w:val="47"/>
        </w:trPr>
        <w:tc>
          <w:tcPr>
            <w:tcW w:w="57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89"/>
        </w:trPr>
        <w:tc>
          <w:tcPr>
            <w:tcW w:w="5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Richard Steinmeier</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7,535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579,442</w:t>
            </w:r>
          </w:p>
        </w:tc>
        <w:tc>
          <w:tcPr>
            <w:tcW w:w="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(12)</w:t>
            </w:r>
          </w:p>
        </w:tc>
      </w:tr>
    </w:tbl>
    <w:p>
      <w:pPr>
        <w:spacing w:after="0" w:line="69" w:lineRule="exact"/>
        <w:rPr>
          <w:sz w:val="20"/>
          <w:szCs w:val="20"/>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exercise of option awards, we use the market price of our Common Stock at the time the option was exercised.</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vesting of stock awards, we use the closing price of our Common Stock on the vesting date.</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were granted on December 22, 2010 with an exercise price of $34.61 per share and were exercised on January 16, 2019, on which date the closing price of our Common Stock was $70.00 per share.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were granted February 9, 2012 with an exercise price of $32.26 per share and were exercised on February 26, 2019, on which date the closing price of our Common Stock was $77.53 per share.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were granted on February 9, 2012 with an exercise price of $32.26 per share and were exercised on May 3, 2019, on which date the closing price of our Common Stock was $85.00 per share.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were granted on February 9, 2012 with an exercise price of $32.26 per share and were exercised on August 22, 2019, on which date the closing price of our Common Stock was $75.29 per share.</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were granted on February 22, 2013 with an exercise price of $31.60 per share and were exercised on September 10, 2019, on which date the closing price of our Common Stock was $80.00 per share.</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RSUs vested on February 25, 2019, on which date the closing price of our Common Stock was $77.53 per share.</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RSUs vested on February 23, 2019, on which date the closing price of our Common Stock was $77.04 per share.</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RSUs vested on March 13, 2019, on which date the closing price of our Common Stock was $74.22 per share.</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RSUs vested on August 21, 2019, on which date the closing price of our Common Stock was $73.79 per share.</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RSUs vested on September 7, 2019, on which date the closing price per share of our Common Stock was $76.90 per share.</w:t>
      </w:r>
    </w:p>
    <w:p>
      <w:pPr>
        <w:sectPr>
          <w:pgSz w:w="11900" w:h="16838" w:orient="portrait"/>
          <w:cols w:equalWidth="0" w:num="1">
            <w:col w:w="11140"/>
          </w:cols>
          <w:pgMar w:left="320" w:top="459" w:right="439" w:bottom="1440" w:gutter="0" w:footer="0" w:header="0"/>
        </w:sectPr>
      </w:pPr>
    </w:p>
    <w:p>
      <w:pPr>
        <w:spacing w:after="0" w:line="151"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Nonqualified Deferred Compensation for the Year Ended December 31, 2019</w:t>
      </w:r>
    </w:p>
    <w:p>
      <w:pPr>
        <w:spacing w:after="0" w:line="12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sets forth information relating to nonqualified deferred compensation for each NEO for the year ended December 31,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jc w:val="center"/>
              <w:ind w:right="243"/>
              <w:spacing w:after="0"/>
              <w:rPr>
                <w:sz w:val="20"/>
                <w:szCs w:val="20"/>
                <w:color w:val="auto"/>
              </w:rPr>
            </w:pPr>
            <w:r>
              <w:rPr>
                <w:rFonts w:ascii="Arial" w:cs="Arial" w:eastAsia="Arial" w:hAnsi="Arial"/>
                <w:sz w:val="14"/>
                <w:szCs w:val="14"/>
                <w:b w:val="1"/>
                <w:bCs w:val="1"/>
                <w:color w:val="003B71"/>
              </w:rPr>
              <w:t>Executive</w:t>
            </w:r>
          </w:p>
        </w:tc>
        <w:tc>
          <w:tcPr>
            <w:tcW w:w="320" w:type="dxa"/>
            <w:vAlign w:val="bottom"/>
          </w:tcPr>
          <w:p>
            <w:pPr>
              <w:spacing w:after="0"/>
              <w:rPr>
                <w:sz w:val="14"/>
                <w:szCs w:val="14"/>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003B71"/>
              </w:rPr>
              <w:t>Registrant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223"/>
              <w:spacing w:after="0"/>
              <w:rPr>
                <w:sz w:val="20"/>
                <w:szCs w:val="20"/>
                <w:color w:val="auto"/>
              </w:rPr>
            </w:pPr>
            <w:r>
              <w:rPr>
                <w:rFonts w:ascii="Arial" w:cs="Arial" w:eastAsia="Arial" w:hAnsi="Arial"/>
                <w:sz w:val="14"/>
                <w:szCs w:val="14"/>
                <w:b w:val="1"/>
                <w:bCs w:val="1"/>
                <w:color w:val="003B71"/>
              </w:rPr>
              <w:t>Aggregate</w:t>
            </w:r>
          </w:p>
        </w:tc>
      </w:tr>
      <w:tr>
        <w:trPr>
          <w:trHeight w:val="162"/>
        </w:trPr>
        <w:tc>
          <w:tcPr>
            <w:tcW w:w="2940" w:type="dxa"/>
            <w:vAlign w:val="bottom"/>
          </w:tcPr>
          <w:p>
            <w:pPr>
              <w:spacing w:after="0"/>
              <w:rPr>
                <w:sz w:val="14"/>
                <w:szCs w:val="14"/>
                <w:color w:val="auto"/>
              </w:rPr>
            </w:pPr>
          </w:p>
        </w:tc>
        <w:tc>
          <w:tcPr>
            <w:tcW w:w="2660" w:type="dxa"/>
            <w:vAlign w:val="bottom"/>
            <w:gridSpan w:val="2"/>
          </w:tcPr>
          <w:p>
            <w:pPr>
              <w:ind w:left="1500"/>
              <w:spacing w:after="0"/>
              <w:rPr>
                <w:sz w:val="20"/>
                <w:szCs w:val="20"/>
                <w:color w:val="auto"/>
              </w:rPr>
            </w:pPr>
            <w:r>
              <w:rPr>
                <w:rFonts w:ascii="Arial" w:cs="Arial" w:eastAsia="Arial" w:hAnsi="Arial"/>
                <w:sz w:val="14"/>
                <w:szCs w:val="14"/>
                <w:b w:val="1"/>
                <w:bCs w:val="1"/>
                <w:color w:val="003B71"/>
              </w:rPr>
              <w:t>Contributions</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003B71"/>
              </w:rPr>
              <w:t>Contributions</w:t>
            </w:r>
          </w:p>
        </w:tc>
        <w:tc>
          <w:tcPr>
            <w:tcW w:w="340" w:type="dxa"/>
            <w:vAlign w:val="bottom"/>
          </w:tcPr>
          <w:p>
            <w:pPr>
              <w:spacing w:after="0"/>
              <w:rPr>
                <w:sz w:val="14"/>
                <w:szCs w:val="14"/>
                <w:color w:val="auto"/>
              </w:rPr>
            </w:pPr>
          </w:p>
        </w:tc>
        <w:tc>
          <w:tcPr>
            <w:tcW w:w="1200" w:type="dxa"/>
            <w:vAlign w:val="bottom"/>
          </w:tcPr>
          <w:p>
            <w:pPr>
              <w:jc w:val="center"/>
              <w:ind w:right="262"/>
              <w:spacing w:after="0"/>
              <w:rPr>
                <w:sz w:val="20"/>
                <w:szCs w:val="20"/>
                <w:color w:val="auto"/>
              </w:rPr>
            </w:pPr>
            <w:r>
              <w:rPr>
                <w:rFonts w:ascii="Arial" w:cs="Arial" w:eastAsia="Arial" w:hAnsi="Arial"/>
                <w:sz w:val="14"/>
                <w:szCs w:val="14"/>
                <w:b w:val="1"/>
                <w:bCs w:val="1"/>
                <w:color w:val="003B71"/>
              </w:rPr>
              <w:t>Aggregate</w:t>
            </w:r>
          </w:p>
        </w:tc>
        <w:tc>
          <w:tcPr>
            <w:tcW w:w="3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003B71"/>
              </w:rPr>
              <w:t>Aggregate</w:t>
            </w:r>
          </w:p>
        </w:tc>
        <w:tc>
          <w:tcPr>
            <w:tcW w:w="220" w:type="dxa"/>
            <w:vAlign w:val="bottom"/>
          </w:tcPr>
          <w:p>
            <w:pPr>
              <w:spacing w:after="0"/>
              <w:rPr>
                <w:sz w:val="14"/>
                <w:szCs w:val="14"/>
                <w:color w:val="auto"/>
              </w:rPr>
            </w:pPr>
          </w:p>
        </w:tc>
        <w:tc>
          <w:tcPr>
            <w:tcW w:w="1040" w:type="dxa"/>
            <w:vAlign w:val="bottom"/>
          </w:tcPr>
          <w:p>
            <w:pPr>
              <w:jc w:val="center"/>
              <w:ind w:right="203"/>
              <w:spacing w:after="0"/>
              <w:rPr>
                <w:sz w:val="20"/>
                <w:szCs w:val="20"/>
                <w:color w:val="auto"/>
              </w:rPr>
            </w:pPr>
            <w:r>
              <w:rPr>
                <w:rFonts w:ascii="Arial" w:cs="Arial" w:eastAsia="Arial" w:hAnsi="Arial"/>
                <w:sz w:val="14"/>
                <w:szCs w:val="14"/>
                <w:b w:val="1"/>
                <w:bCs w:val="1"/>
                <w:color w:val="003B71"/>
              </w:rPr>
              <w:t>Balance at</w:t>
            </w:r>
          </w:p>
        </w:tc>
      </w:tr>
      <w:tr>
        <w:trPr>
          <w:trHeight w:val="162"/>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jc w:val="center"/>
              <w:ind w:right="243"/>
              <w:spacing w:after="0"/>
              <w:rPr>
                <w:sz w:val="20"/>
                <w:szCs w:val="20"/>
                <w:color w:val="auto"/>
              </w:rPr>
            </w:pPr>
            <w:r>
              <w:rPr>
                <w:rFonts w:ascii="Arial" w:cs="Arial" w:eastAsia="Arial" w:hAnsi="Arial"/>
                <w:sz w:val="14"/>
                <w:szCs w:val="14"/>
                <w:b w:val="1"/>
                <w:bCs w:val="1"/>
                <w:color w:val="003B71"/>
              </w:rPr>
              <w:t>in Last</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003B71"/>
              </w:rPr>
              <w:t>in Last Fiscal</w:t>
            </w: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003B71"/>
              </w:rPr>
              <w:t>Earnings in Last</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003B71"/>
              </w:rPr>
              <w:t>Withdrawals/</w:t>
            </w:r>
          </w:p>
        </w:tc>
        <w:tc>
          <w:tcPr>
            <w:tcW w:w="1260" w:type="dxa"/>
            <w:vAlign w:val="bottom"/>
            <w:gridSpan w:val="2"/>
          </w:tcPr>
          <w:p>
            <w:pPr>
              <w:jc w:val="center"/>
              <w:ind w:right="3"/>
              <w:spacing w:after="0"/>
              <w:rPr>
                <w:sz w:val="20"/>
                <w:szCs w:val="20"/>
                <w:color w:val="auto"/>
              </w:rPr>
            </w:pPr>
            <w:r>
              <w:rPr>
                <w:rFonts w:ascii="Arial" w:cs="Arial" w:eastAsia="Arial" w:hAnsi="Arial"/>
                <w:sz w:val="14"/>
                <w:szCs w:val="14"/>
                <w:b w:val="1"/>
                <w:bCs w:val="1"/>
                <w:color w:val="003B71"/>
              </w:rPr>
              <w:t>Last Fiscal</w:t>
            </w:r>
          </w:p>
        </w:tc>
      </w:tr>
      <w:tr>
        <w:trPr>
          <w:trHeight w:val="162"/>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jc w:val="center"/>
              <w:ind w:right="243"/>
              <w:spacing w:after="0"/>
              <w:rPr>
                <w:sz w:val="20"/>
                <w:szCs w:val="20"/>
                <w:color w:val="auto"/>
              </w:rPr>
            </w:pPr>
            <w:r>
              <w:rPr>
                <w:rFonts w:ascii="Arial" w:cs="Arial" w:eastAsia="Arial" w:hAnsi="Arial"/>
                <w:sz w:val="14"/>
                <w:szCs w:val="14"/>
                <w:b w:val="1"/>
                <w:bCs w:val="1"/>
                <w:color w:val="003B71"/>
              </w:rPr>
              <w:t>Fiscal Year</w:t>
            </w:r>
          </w:p>
        </w:tc>
        <w:tc>
          <w:tcPr>
            <w:tcW w:w="320" w:type="dxa"/>
            <w:vAlign w:val="bottom"/>
          </w:tcPr>
          <w:p>
            <w:pPr>
              <w:spacing w:after="0"/>
              <w:rPr>
                <w:sz w:val="14"/>
                <w:szCs w:val="14"/>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003B71"/>
                <w:w w:val="98"/>
              </w:rPr>
              <w:t>Year</w:t>
            </w:r>
          </w:p>
        </w:tc>
        <w:tc>
          <w:tcPr>
            <w:tcW w:w="340" w:type="dxa"/>
            <w:vAlign w:val="bottom"/>
          </w:tcPr>
          <w:p>
            <w:pPr>
              <w:spacing w:after="0"/>
              <w:rPr>
                <w:sz w:val="14"/>
                <w:szCs w:val="14"/>
                <w:color w:val="auto"/>
              </w:rPr>
            </w:pPr>
          </w:p>
        </w:tc>
        <w:tc>
          <w:tcPr>
            <w:tcW w:w="1200" w:type="dxa"/>
            <w:vAlign w:val="bottom"/>
          </w:tcPr>
          <w:p>
            <w:pPr>
              <w:jc w:val="center"/>
              <w:ind w:right="262"/>
              <w:spacing w:after="0"/>
              <w:rPr>
                <w:sz w:val="20"/>
                <w:szCs w:val="20"/>
                <w:color w:val="auto"/>
              </w:rPr>
            </w:pPr>
            <w:r>
              <w:rPr>
                <w:rFonts w:ascii="Arial" w:cs="Arial" w:eastAsia="Arial" w:hAnsi="Arial"/>
                <w:sz w:val="14"/>
                <w:szCs w:val="14"/>
                <w:b w:val="1"/>
                <w:bCs w:val="1"/>
                <w:color w:val="003B71"/>
              </w:rPr>
              <w:t>Fiscal Year</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003B71"/>
              </w:rPr>
              <w:t>Distributions</w:t>
            </w:r>
          </w:p>
        </w:tc>
        <w:tc>
          <w:tcPr>
            <w:tcW w:w="220" w:type="dxa"/>
            <w:vAlign w:val="bottom"/>
          </w:tcPr>
          <w:p>
            <w:pPr>
              <w:spacing w:after="0"/>
              <w:rPr>
                <w:sz w:val="14"/>
                <w:szCs w:val="14"/>
                <w:color w:val="auto"/>
              </w:rPr>
            </w:pPr>
          </w:p>
        </w:tc>
        <w:tc>
          <w:tcPr>
            <w:tcW w:w="1040" w:type="dxa"/>
            <w:vAlign w:val="bottom"/>
          </w:tcPr>
          <w:p>
            <w:pPr>
              <w:jc w:val="center"/>
              <w:ind w:right="223"/>
              <w:spacing w:after="0"/>
              <w:rPr>
                <w:sz w:val="20"/>
                <w:szCs w:val="20"/>
                <w:color w:val="auto"/>
              </w:rPr>
            </w:pPr>
            <w:r>
              <w:rPr>
                <w:rFonts w:ascii="Arial" w:cs="Arial" w:eastAsia="Arial" w:hAnsi="Arial"/>
                <w:sz w:val="14"/>
                <w:szCs w:val="14"/>
                <w:b w:val="1"/>
                <w:bCs w:val="1"/>
                <w:color w:val="003B71"/>
              </w:rPr>
              <w:t>Year End</w:t>
            </w:r>
          </w:p>
        </w:tc>
      </w:tr>
      <w:tr>
        <w:trPr>
          <w:trHeight w:val="189"/>
        </w:trPr>
        <w:tc>
          <w:tcPr>
            <w:tcW w:w="294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Name</w:t>
            </w:r>
          </w:p>
        </w:tc>
        <w:tc>
          <w:tcPr>
            <w:tcW w:w="1600" w:type="dxa"/>
            <w:vAlign w:val="bottom"/>
            <w:tcBorders>
              <w:bottom w:val="single" w:sz="8" w:color="003B71"/>
            </w:tcBorders>
          </w:tcPr>
          <w:p>
            <w:pPr>
              <w:spacing w:after="0"/>
              <w:rPr>
                <w:sz w:val="16"/>
                <w:szCs w:val="16"/>
                <w:color w:val="auto"/>
              </w:rPr>
            </w:pPr>
          </w:p>
        </w:tc>
        <w:tc>
          <w:tcPr>
            <w:tcW w:w="1060" w:type="dxa"/>
            <w:vAlign w:val="bottom"/>
            <w:tcBorders>
              <w:bottom w:val="single" w:sz="8" w:color="003B71"/>
            </w:tcBorders>
          </w:tcPr>
          <w:p>
            <w:pPr>
              <w:jc w:val="center"/>
              <w:ind w:right="243"/>
              <w:spacing w:after="0"/>
              <w:rPr>
                <w:sz w:val="20"/>
                <w:szCs w:val="20"/>
                <w:color w:val="auto"/>
              </w:rPr>
            </w:pPr>
            <w:r>
              <w:rPr>
                <w:rFonts w:ascii="Arial" w:cs="Arial" w:eastAsia="Arial" w:hAnsi="Arial"/>
                <w:sz w:val="14"/>
                <w:szCs w:val="14"/>
                <w:b w:val="1"/>
                <w:bCs w:val="1"/>
                <w:color w:val="003B71"/>
                <w:w w:val="99"/>
              </w:rPr>
              <w:t>($)(1)</w:t>
            </w:r>
          </w:p>
        </w:tc>
        <w:tc>
          <w:tcPr>
            <w:tcW w:w="320" w:type="dxa"/>
            <w:vAlign w:val="bottom"/>
            <w:tcBorders>
              <w:bottom w:val="single" w:sz="8" w:color="003B71"/>
            </w:tcBorders>
          </w:tcPr>
          <w:p>
            <w:pPr>
              <w:spacing w:after="0"/>
              <w:rPr>
                <w:sz w:val="16"/>
                <w:szCs w:val="16"/>
                <w:color w:val="auto"/>
              </w:rPr>
            </w:pPr>
          </w:p>
        </w:tc>
        <w:tc>
          <w:tcPr>
            <w:tcW w:w="1060" w:type="dxa"/>
            <w:vAlign w:val="bottom"/>
            <w:tcBorders>
              <w:bottom w:val="single" w:sz="8" w:color="003B71"/>
            </w:tcBorders>
          </w:tcPr>
          <w:p>
            <w:pPr>
              <w:jc w:val="center"/>
              <w:ind w:right="242"/>
              <w:spacing w:after="0"/>
              <w:rPr>
                <w:sz w:val="20"/>
                <w:szCs w:val="20"/>
                <w:color w:val="auto"/>
              </w:rPr>
            </w:pPr>
            <w:r>
              <w:rPr>
                <w:rFonts w:ascii="Arial" w:cs="Arial" w:eastAsia="Arial" w:hAnsi="Arial"/>
                <w:sz w:val="14"/>
                <w:szCs w:val="14"/>
                <w:b w:val="1"/>
                <w:bCs w:val="1"/>
                <w:color w:val="003B71"/>
              </w:rPr>
              <w:t>($)</w:t>
            </w:r>
          </w:p>
        </w:tc>
        <w:tc>
          <w:tcPr>
            <w:tcW w:w="340" w:type="dxa"/>
            <w:vAlign w:val="bottom"/>
            <w:tcBorders>
              <w:bottom w:val="single" w:sz="8" w:color="003B71"/>
            </w:tcBorders>
          </w:tcPr>
          <w:p>
            <w:pPr>
              <w:spacing w:after="0"/>
              <w:rPr>
                <w:sz w:val="16"/>
                <w:szCs w:val="16"/>
                <w:color w:val="auto"/>
              </w:rPr>
            </w:pPr>
          </w:p>
        </w:tc>
        <w:tc>
          <w:tcPr>
            <w:tcW w:w="1200" w:type="dxa"/>
            <w:vAlign w:val="bottom"/>
            <w:tcBorders>
              <w:bottom w:val="single" w:sz="8" w:color="003B71"/>
            </w:tcBorders>
          </w:tcPr>
          <w:p>
            <w:pPr>
              <w:jc w:val="center"/>
              <w:ind w:right="262"/>
              <w:spacing w:after="0"/>
              <w:rPr>
                <w:sz w:val="20"/>
                <w:szCs w:val="20"/>
                <w:color w:val="auto"/>
              </w:rPr>
            </w:pPr>
            <w:r>
              <w:rPr>
                <w:rFonts w:ascii="Arial" w:cs="Arial" w:eastAsia="Arial" w:hAnsi="Arial"/>
                <w:sz w:val="14"/>
                <w:szCs w:val="14"/>
                <w:b w:val="1"/>
                <w:bCs w:val="1"/>
                <w:color w:val="003B71"/>
                <w:w w:val="99"/>
              </w:rPr>
              <w:t>($)(2)</w:t>
            </w:r>
          </w:p>
        </w:tc>
        <w:tc>
          <w:tcPr>
            <w:tcW w:w="320" w:type="dxa"/>
            <w:vAlign w:val="bottom"/>
            <w:tcBorders>
              <w:bottom w:val="single" w:sz="8" w:color="003B71"/>
            </w:tcBorders>
          </w:tcPr>
          <w:p>
            <w:pPr>
              <w:spacing w:after="0"/>
              <w:rPr>
                <w:sz w:val="16"/>
                <w:szCs w:val="16"/>
                <w:color w:val="auto"/>
              </w:rPr>
            </w:pPr>
          </w:p>
        </w:tc>
        <w:tc>
          <w:tcPr>
            <w:tcW w:w="920" w:type="dxa"/>
            <w:vAlign w:val="bottom"/>
            <w:tcBorders>
              <w:bottom w:val="single" w:sz="8" w:color="003B71"/>
            </w:tcBorders>
          </w:tcPr>
          <w:p>
            <w:pPr>
              <w:ind w:left="260"/>
              <w:spacing w:after="0"/>
              <w:rPr>
                <w:sz w:val="20"/>
                <w:szCs w:val="20"/>
                <w:color w:val="auto"/>
              </w:rPr>
            </w:pPr>
            <w:r>
              <w:rPr>
                <w:rFonts w:ascii="Arial" w:cs="Arial" w:eastAsia="Arial" w:hAnsi="Arial"/>
                <w:sz w:val="14"/>
                <w:szCs w:val="14"/>
                <w:b w:val="1"/>
                <w:bCs w:val="1"/>
                <w:color w:val="003B71"/>
              </w:rPr>
              <w:t>($)</w:t>
            </w:r>
          </w:p>
        </w:tc>
        <w:tc>
          <w:tcPr>
            <w:tcW w:w="220" w:type="dxa"/>
            <w:vAlign w:val="bottom"/>
            <w:tcBorders>
              <w:bottom w:val="single" w:sz="8" w:color="003B71"/>
            </w:tcBorders>
          </w:tcPr>
          <w:p>
            <w:pPr>
              <w:spacing w:after="0"/>
              <w:rPr>
                <w:sz w:val="16"/>
                <w:szCs w:val="16"/>
                <w:color w:val="auto"/>
              </w:rPr>
            </w:pPr>
          </w:p>
        </w:tc>
        <w:tc>
          <w:tcPr>
            <w:tcW w:w="1040" w:type="dxa"/>
            <w:vAlign w:val="bottom"/>
            <w:tcBorders>
              <w:bottom w:val="single" w:sz="8" w:color="003B71"/>
            </w:tcBorders>
          </w:tcPr>
          <w:p>
            <w:pPr>
              <w:jc w:val="center"/>
              <w:ind w:right="223"/>
              <w:spacing w:after="0"/>
              <w:rPr>
                <w:sz w:val="20"/>
                <w:szCs w:val="20"/>
                <w:color w:val="auto"/>
              </w:rPr>
            </w:pPr>
            <w:r>
              <w:rPr>
                <w:rFonts w:ascii="Arial" w:cs="Arial" w:eastAsia="Arial" w:hAnsi="Arial"/>
                <w:sz w:val="14"/>
                <w:szCs w:val="14"/>
                <w:b w:val="1"/>
                <w:bCs w:val="1"/>
                <w:color w:val="003B71"/>
                <w:w w:val="99"/>
              </w:rPr>
              <w:t>($)(3)</w:t>
            </w:r>
          </w:p>
        </w:tc>
      </w:tr>
      <w:tr>
        <w:trPr>
          <w:trHeight w:val="236"/>
        </w:trPr>
        <w:tc>
          <w:tcPr>
            <w:tcW w:w="2940" w:type="dxa"/>
            <w:vAlign w:val="bottom"/>
          </w:tcPr>
          <w:p>
            <w:pPr>
              <w:ind w:left="60"/>
              <w:spacing w:after="0" w:line="236" w:lineRule="exact"/>
              <w:rPr>
                <w:sz w:val="20"/>
                <w:szCs w:val="20"/>
                <w:color w:val="auto"/>
              </w:rPr>
            </w:pPr>
            <w:r>
              <w:rPr>
                <w:rFonts w:ascii="Arial" w:cs="Arial" w:eastAsia="Arial" w:hAnsi="Arial"/>
                <w:sz w:val="16"/>
                <w:szCs w:val="16"/>
                <w:color w:val="auto"/>
              </w:rPr>
              <w:t>Dan H. Arnold</w:t>
            </w:r>
            <w:r>
              <w:rPr>
                <w:rFonts w:ascii="Arial" w:cs="Arial" w:eastAsia="Arial" w:hAnsi="Arial"/>
                <w:sz w:val="27"/>
                <w:szCs w:val="27"/>
                <w:color w:val="auto"/>
                <w:vertAlign w:val="superscript"/>
              </w:rPr>
              <w:t>(4)</w:t>
            </w:r>
          </w:p>
        </w:tc>
        <w:tc>
          <w:tcPr>
            <w:tcW w:w="1600" w:type="dxa"/>
            <w:vAlign w:val="bottom"/>
          </w:tcPr>
          <w:p>
            <w:pPr>
              <w:ind w:left="15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902,500</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582,591</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4,917,855</w:t>
            </w:r>
          </w:p>
        </w:tc>
      </w:tr>
      <w:tr>
        <w:trPr>
          <w:trHeight w:val="189"/>
        </w:trPr>
        <w:tc>
          <w:tcPr>
            <w:tcW w:w="294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Matthew J. Audette</w:t>
            </w:r>
          </w:p>
        </w:tc>
        <w:tc>
          <w:tcPr>
            <w:tcW w:w="160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r>
      <w:tr>
        <w:trPr>
          <w:trHeight w:val="197"/>
        </w:trPr>
        <w:tc>
          <w:tcPr>
            <w:tcW w:w="2940" w:type="dxa"/>
            <w:vAlign w:val="bottom"/>
          </w:tcPr>
          <w:p>
            <w:pPr>
              <w:ind w:left="60"/>
              <w:spacing w:after="0"/>
              <w:rPr>
                <w:sz w:val="20"/>
                <w:szCs w:val="20"/>
                <w:color w:val="auto"/>
              </w:rPr>
            </w:pPr>
            <w:r>
              <w:rPr>
                <w:rFonts w:ascii="Arial" w:cs="Arial" w:eastAsia="Arial" w:hAnsi="Arial"/>
                <w:sz w:val="16"/>
                <w:szCs w:val="16"/>
                <w:color w:val="auto"/>
              </w:rPr>
              <w:t>Scott Seese</w:t>
            </w:r>
          </w:p>
        </w:tc>
        <w:tc>
          <w:tcPr>
            <w:tcW w:w="1600" w:type="dxa"/>
            <w:vAlign w:val="bottom"/>
          </w:tcPr>
          <w:p>
            <w:pPr>
              <w:ind w:left="15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w:t>
            </w:r>
          </w:p>
        </w:tc>
      </w:tr>
      <w:tr>
        <w:trPr>
          <w:trHeight w:val="47"/>
        </w:trPr>
        <w:tc>
          <w:tcPr>
            <w:tcW w:w="29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29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Dayton Semerjian</w:t>
            </w:r>
          </w:p>
        </w:tc>
        <w:tc>
          <w:tcPr>
            <w:tcW w:w="1600" w:type="dxa"/>
            <w:vAlign w:val="bottom"/>
            <w:shd w:val="clear" w:color="auto" w:fill="CCEEFF"/>
          </w:tcPr>
          <w:p>
            <w:pPr>
              <w:ind w:left="15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r>
      <w:tr>
        <w:trPr>
          <w:trHeight w:val="197"/>
        </w:trPr>
        <w:tc>
          <w:tcPr>
            <w:tcW w:w="2940" w:type="dxa"/>
            <w:vAlign w:val="bottom"/>
          </w:tcPr>
          <w:p>
            <w:pPr>
              <w:ind w:left="60"/>
              <w:spacing w:after="0"/>
              <w:rPr>
                <w:sz w:val="20"/>
                <w:szCs w:val="20"/>
                <w:color w:val="auto"/>
              </w:rPr>
            </w:pPr>
            <w:r>
              <w:rPr>
                <w:rFonts w:ascii="Arial" w:cs="Arial" w:eastAsia="Arial" w:hAnsi="Arial"/>
                <w:sz w:val="16"/>
                <w:szCs w:val="16"/>
                <w:color w:val="auto"/>
              </w:rPr>
              <w:t>Richard Steinmeier</w:t>
            </w:r>
          </w:p>
        </w:tc>
        <w:tc>
          <w:tcPr>
            <w:tcW w:w="1600" w:type="dxa"/>
            <w:vAlign w:val="bottom"/>
          </w:tcPr>
          <w:p>
            <w:pPr>
              <w:ind w:left="15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w:t>
            </w:r>
          </w:p>
        </w:tc>
      </w:tr>
    </w:tbl>
    <w:p>
      <w:pPr>
        <w:spacing w:after="0" w:line="100"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Amounts in this column are also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 for 2019 under “Salary.”</w:t>
      </w:r>
    </w:p>
    <w:p>
      <w:pPr>
        <w:spacing w:after="0" w:line="72" w:lineRule="exact"/>
        <w:rPr>
          <w:rFonts w:ascii="Arial" w:cs="Arial" w:eastAsia="Arial" w:hAnsi="Arial"/>
          <w:sz w:val="16"/>
          <w:szCs w:val="16"/>
          <w:color w:val="auto"/>
        </w:rPr>
      </w:pPr>
    </w:p>
    <w:p>
      <w:pPr>
        <w:ind w:left="540" w:right="20" w:hanging="424"/>
        <w:spacing w:after="0" w:line="28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in this column do not constitute above-market or preferential earnings and therefore are not reported as compensation in the “</w:t>
      </w:r>
      <w:r>
        <w:rPr>
          <w:rFonts w:ascii="Arial" w:cs="Arial" w:eastAsia="Arial" w:hAnsi="Arial"/>
          <w:sz w:val="16"/>
          <w:szCs w:val="16"/>
          <w:i w:val="1"/>
          <w:iCs w:val="1"/>
          <w:color w:val="auto"/>
        </w:rPr>
        <w:t>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4"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Amounts in this column, excluding earnings, were previously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for the years in which Mr. Arnold was an NEO.</w:t>
      </w:r>
    </w:p>
    <w:p>
      <w:pPr>
        <w:spacing w:after="0" w:line="30"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in this column relate to Mr. Arnold’s participation in the Deferred Compensation Plan. For a description of the material terms of the Deferred Compensation Plan, please see the discussion in the Compensation Discussion and Analysis under “</w:t>
      </w:r>
      <w:r>
        <w:rPr>
          <w:rFonts w:ascii="Arial" w:cs="Arial" w:eastAsia="Arial" w:hAnsi="Arial"/>
          <w:sz w:val="16"/>
          <w:szCs w:val="16"/>
          <w:i w:val="1"/>
          <w:iCs w:val="1"/>
          <w:color w:val="auto"/>
        </w:rPr>
        <w:t>Additional Compensation Elements</w:t>
      </w:r>
      <w:r>
        <w:rPr>
          <w:rFonts w:ascii="Arial" w:cs="Arial" w:eastAsia="Arial" w:hAnsi="Arial"/>
          <w:sz w:val="16"/>
          <w:szCs w:val="16"/>
          <w:color w:val="auto"/>
        </w:rPr>
        <w:t xml:space="preserve"> </w:t>
      </w:r>
      <w:r>
        <w:rPr>
          <w:rFonts w:ascii="Arial" w:cs="Arial" w:eastAsia="Arial" w:hAnsi="Arial"/>
          <w:sz w:val="16"/>
          <w:szCs w:val="16"/>
          <w:i w:val="1"/>
          <w:iCs w:val="1"/>
          <w:color w:val="auto"/>
        </w:rPr>
        <w:t>—Nonqualified Deferred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Potential Payments upon Termination or Change-in-Control for the Year Ended December 31, 2019</w:t>
      </w:r>
    </w:p>
    <w:p>
      <w:pPr>
        <w:spacing w:after="0" w:line="22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Set forth below the table is a description of certain post-employment arrangements with our NEOs, including the severance benefits and change-in-control benefits to which they would have been entitled under the Executive Severance Plan as of December 31, 2019, if a termination of employment and/or a change-in-control had occurred on such date. Amounts reported for the accelerated vesting of stock options, RSUs and PSUs are based on a price per share of our Common Stock of $92.25, the closing price per share of our Common Stock on December 31, 2019, the last business day of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right="197"/>
              <w:spacing w:after="0"/>
              <w:rPr>
                <w:sz w:val="20"/>
                <w:szCs w:val="20"/>
                <w:color w:val="auto"/>
              </w:rPr>
            </w:pPr>
            <w:r>
              <w:rPr>
                <w:rFonts w:ascii="Arial" w:cs="Arial" w:eastAsia="Arial" w:hAnsi="Arial"/>
                <w:sz w:val="14"/>
                <w:szCs w:val="14"/>
                <w:b w:val="1"/>
                <w:bCs w:val="1"/>
                <w:color w:val="003B71"/>
              </w:rPr>
              <w:t>Double-Trigger</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137"/>
              <w:spacing w:after="0"/>
              <w:rPr>
                <w:sz w:val="20"/>
                <w:szCs w:val="20"/>
                <w:color w:val="auto"/>
              </w:rPr>
            </w:pPr>
            <w:r>
              <w:rPr>
                <w:rFonts w:ascii="Arial" w:cs="Arial" w:eastAsia="Arial" w:hAnsi="Arial"/>
                <w:sz w:val="14"/>
                <w:szCs w:val="14"/>
                <w:b w:val="1"/>
                <w:bCs w:val="1"/>
                <w:color w:val="003B71"/>
              </w:rPr>
              <w:t>Without Cause or</w:t>
            </w:r>
          </w:p>
        </w:tc>
        <w:tc>
          <w:tcPr>
            <w:tcW w:w="260" w:type="dxa"/>
            <w:vAlign w:val="bottom"/>
          </w:tcPr>
          <w:p>
            <w:pPr>
              <w:spacing w:after="0"/>
              <w:rPr>
                <w:sz w:val="14"/>
                <w:szCs w:val="14"/>
                <w:color w:val="auto"/>
              </w:rPr>
            </w:pPr>
          </w:p>
        </w:tc>
        <w:tc>
          <w:tcPr>
            <w:tcW w:w="920" w:type="dxa"/>
            <w:vAlign w:val="bottom"/>
          </w:tcPr>
          <w:p>
            <w:pPr>
              <w:jc w:val="center"/>
              <w:ind w:left="80"/>
              <w:spacing w:after="0"/>
              <w:rPr>
                <w:sz w:val="20"/>
                <w:szCs w:val="20"/>
                <w:color w:val="auto"/>
              </w:rPr>
            </w:pPr>
            <w:r>
              <w:rPr>
                <w:rFonts w:ascii="Arial" w:cs="Arial" w:eastAsia="Arial" w:hAnsi="Arial"/>
                <w:sz w:val="14"/>
                <w:szCs w:val="14"/>
                <w:b w:val="1"/>
                <w:bCs w:val="1"/>
                <w:color w:val="003B71"/>
              </w:rPr>
              <w:t>Disability,</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4"/>
                <w:szCs w:val="14"/>
                <w:b w:val="1"/>
                <w:bCs w:val="1"/>
                <w:color w:val="003B71"/>
              </w:rPr>
              <w:t>Change-in-</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jc w:val="center"/>
              <w:spacing w:after="0"/>
              <w:rPr>
                <w:sz w:val="20"/>
                <w:szCs w:val="20"/>
                <w:color w:val="auto"/>
              </w:rPr>
            </w:pPr>
            <w:r>
              <w:rPr>
                <w:rFonts w:ascii="Arial" w:cs="Arial" w:eastAsia="Arial" w:hAnsi="Arial"/>
                <w:sz w:val="14"/>
                <w:szCs w:val="14"/>
                <w:b w:val="1"/>
                <w:bCs w:val="1"/>
                <w:color w:val="003B71"/>
              </w:rPr>
              <w:t>Named</w:t>
            </w: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137"/>
              <w:spacing w:after="0"/>
              <w:rPr>
                <w:sz w:val="20"/>
                <w:szCs w:val="20"/>
                <w:color w:val="auto"/>
              </w:rPr>
            </w:pPr>
            <w:r>
              <w:rPr>
                <w:rFonts w:ascii="Arial" w:cs="Arial" w:eastAsia="Arial" w:hAnsi="Arial"/>
                <w:sz w:val="14"/>
                <w:szCs w:val="14"/>
                <w:b w:val="1"/>
                <w:bCs w:val="1"/>
                <w:color w:val="003B71"/>
              </w:rPr>
              <w:t>For Good Reason</w:t>
            </w: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003B71"/>
              </w:rPr>
              <w:t>Death, Retirement</w:t>
            </w:r>
          </w:p>
        </w:tc>
        <w:tc>
          <w:tcPr>
            <w:tcW w:w="260" w:type="dxa"/>
            <w:vAlign w:val="bottom"/>
          </w:tcPr>
          <w:p>
            <w:pPr>
              <w:spacing w:after="0"/>
              <w:rPr>
                <w:sz w:val="14"/>
                <w:szCs w:val="14"/>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4"/>
                <w:szCs w:val="14"/>
                <w:b w:val="1"/>
                <w:bCs w:val="1"/>
                <w:color w:val="003B71"/>
              </w:rPr>
              <w:t>Control</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Executive Officer</w:t>
            </w:r>
          </w:p>
        </w:tc>
        <w:tc>
          <w:tcPr>
            <w:tcW w:w="4500" w:type="dxa"/>
            <w:vAlign w:val="bottom"/>
            <w:tcBorders>
              <w:bottom w:val="single" w:sz="8" w:color="003B71"/>
            </w:tcBorders>
          </w:tcPr>
          <w:p>
            <w:pPr>
              <w:ind w:left="2100"/>
              <w:spacing w:after="0"/>
              <w:rPr>
                <w:sz w:val="20"/>
                <w:szCs w:val="20"/>
                <w:color w:val="auto"/>
              </w:rPr>
            </w:pPr>
            <w:r>
              <w:rPr>
                <w:rFonts w:ascii="Arial" w:cs="Arial" w:eastAsia="Arial" w:hAnsi="Arial"/>
                <w:sz w:val="14"/>
                <w:szCs w:val="14"/>
                <w:b w:val="1"/>
                <w:bCs w:val="1"/>
                <w:color w:val="003B71"/>
              </w:rPr>
              <w:t>Benefit</w:t>
            </w:r>
          </w:p>
        </w:tc>
        <w:tc>
          <w:tcPr>
            <w:tcW w:w="200" w:type="dxa"/>
            <w:vAlign w:val="bottom"/>
            <w:tcBorders>
              <w:bottom w:val="single" w:sz="8" w:color="003B71"/>
            </w:tcBorders>
          </w:tcPr>
          <w:p>
            <w:pPr>
              <w:spacing w:after="0"/>
              <w:rPr>
                <w:sz w:val="16"/>
                <w:szCs w:val="16"/>
                <w:color w:val="auto"/>
              </w:rPr>
            </w:pPr>
          </w:p>
        </w:tc>
        <w:tc>
          <w:tcPr>
            <w:tcW w:w="960" w:type="dxa"/>
            <w:vAlign w:val="bottom"/>
            <w:tcBorders>
              <w:bottom w:val="single" w:sz="8" w:color="003B71"/>
            </w:tcBorders>
          </w:tcPr>
          <w:p>
            <w:pPr>
              <w:jc w:val="center"/>
              <w:ind w:left="141"/>
              <w:spacing w:after="0"/>
              <w:rPr>
                <w:sz w:val="20"/>
                <w:szCs w:val="20"/>
                <w:color w:val="auto"/>
              </w:rPr>
            </w:pPr>
            <w:r>
              <w:rPr>
                <w:rFonts w:ascii="Arial" w:cs="Arial" w:eastAsia="Arial" w:hAnsi="Arial"/>
                <w:sz w:val="14"/>
                <w:szCs w:val="14"/>
                <w:b w:val="1"/>
                <w:bCs w:val="1"/>
                <w:color w:val="003B71"/>
              </w:rPr>
              <w:t>($)</w:t>
            </w:r>
          </w:p>
        </w:tc>
        <w:tc>
          <w:tcPr>
            <w:tcW w:w="440" w:type="dxa"/>
            <w:vAlign w:val="bottom"/>
            <w:tcBorders>
              <w:bottom w:val="single" w:sz="8" w:color="003B71"/>
            </w:tcBorders>
          </w:tcPr>
          <w:p>
            <w:pPr>
              <w:spacing w:after="0"/>
              <w:rPr>
                <w:sz w:val="16"/>
                <w:szCs w:val="16"/>
                <w:color w:val="auto"/>
              </w:rPr>
            </w:pPr>
          </w:p>
        </w:tc>
        <w:tc>
          <w:tcPr>
            <w:tcW w:w="260" w:type="dxa"/>
            <w:vAlign w:val="bottom"/>
            <w:tcBorders>
              <w:bottom w:val="single" w:sz="8" w:color="003B71"/>
            </w:tcBorders>
          </w:tcPr>
          <w:p>
            <w:pPr>
              <w:spacing w:after="0"/>
              <w:rPr>
                <w:sz w:val="16"/>
                <w:szCs w:val="16"/>
                <w:color w:val="auto"/>
              </w:rPr>
            </w:pPr>
          </w:p>
        </w:tc>
        <w:tc>
          <w:tcPr>
            <w:tcW w:w="920" w:type="dxa"/>
            <w:vAlign w:val="bottom"/>
            <w:tcBorders>
              <w:bottom w:val="single" w:sz="8" w:color="003B71"/>
            </w:tcBorders>
          </w:tcPr>
          <w:p>
            <w:pPr>
              <w:jc w:val="center"/>
              <w:ind w:left="80"/>
              <w:spacing w:after="0"/>
              <w:rPr>
                <w:sz w:val="20"/>
                <w:szCs w:val="20"/>
                <w:color w:val="auto"/>
              </w:rPr>
            </w:pPr>
            <w:r>
              <w:rPr>
                <w:rFonts w:ascii="Arial" w:cs="Arial" w:eastAsia="Arial" w:hAnsi="Arial"/>
                <w:sz w:val="14"/>
                <w:szCs w:val="14"/>
                <w:b w:val="1"/>
                <w:bCs w:val="1"/>
                <w:color w:val="003B71"/>
                <w:w w:val="93"/>
              </w:rPr>
              <w:t>($)</w:t>
            </w:r>
          </w:p>
        </w:tc>
        <w:tc>
          <w:tcPr>
            <w:tcW w:w="420" w:type="dxa"/>
            <w:vAlign w:val="bottom"/>
            <w:tcBorders>
              <w:bottom w:val="single" w:sz="8" w:color="003B71"/>
            </w:tcBorders>
          </w:tcPr>
          <w:p>
            <w:pPr>
              <w:spacing w:after="0"/>
              <w:rPr>
                <w:sz w:val="16"/>
                <w:szCs w:val="16"/>
                <w:color w:val="auto"/>
              </w:rPr>
            </w:pPr>
          </w:p>
        </w:tc>
        <w:tc>
          <w:tcPr>
            <w:tcW w:w="260" w:type="dxa"/>
            <w:vAlign w:val="bottom"/>
            <w:tcBorders>
              <w:bottom w:val="single" w:sz="8" w:color="003B71"/>
            </w:tcBorders>
          </w:tcPr>
          <w:p>
            <w:pPr>
              <w:spacing w:after="0"/>
              <w:rPr>
                <w:sz w:val="16"/>
                <w:szCs w:val="16"/>
                <w:color w:val="auto"/>
              </w:rPr>
            </w:pPr>
          </w:p>
        </w:tc>
        <w:tc>
          <w:tcPr>
            <w:tcW w:w="940" w:type="dxa"/>
            <w:vAlign w:val="bottom"/>
            <w:tcBorders>
              <w:bottom w:val="single" w:sz="8" w:color="003B71"/>
            </w:tcBorders>
          </w:tcPr>
          <w:p>
            <w:pPr>
              <w:jc w:val="center"/>
              <w:ind w:left="121"/>
              <w:spacing w:after="0"/>
              <w:rPr>
                <w:sz w:val="20"/>
                <w:szCs w:val="20"/>
                <w:color w:val="auto"/>
              </w:rPr>
            </w:pPr>
            <w:r>
              <w:rPr>
                <w:rFonts w:ascii="Arial" w:cs="Arial" w:eastAsia="Arial" w:hAnsi="Arial"/>
                <w:sz w:val="14"/>
                <w:szCs w:val="14"/>
                <w:b w:val="1"/>
                <w:bCs w:val="1"/>
                <w:color w:val="003B71"/>
                <w:w w:val="99"/>
              </w:rPr>
              <w:t>($)(1)</w:t>
            </w:r>
          </w:p>
        </w:tc>
        <w:tc>
          <w:tcPr>
            <w:tcW w:w="40" w:type="dxa"/>
            <w:vAlign w:val="bottom"/>
            <w:tcBorders>
              <w:bottom w:val="single" w:sz="8" w:color="003B71"/>
            </w:tcBorders>
          </w:tcPr>
          <w:p>
            <w:pPr>
              <w:spacing w:after="0"/>
              <w:rPr>
                <w:sz w:val="16"/>
                <w:szCs w:val="16"/>
                <w:color w:val="auto"/>
              </w:rPr>
            </w:pPr>
          </w:p>
        </w:tc>
        <w:tc>
          <w:tcPr>
            <w:tcW w:w="420" w:type="dxa"/>
            <w:vAlign w:val="bottom"/>
            <w:tcBorders>
              <w:bottom w:val="single" w:sz="8" w:color="003B71"/>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60"/>
              <w:spacing w:after="0"/>
              <w:rPr>
                <w:sz w:val="20"/>
                <w:szCs w:val="20"/>
                <w:color w:val="auto"/>
              </w:rPr>
            </w:pPr>
            <w:r>
              <w:rPr>
                <w:rFonts w:ascii="Arial" w:cs="Arial" w:eastAsia="Arial" w:hAnsi="Arial"/>
                <w:sz w:val="16"/>
                <w:szCs w:val="16"/>
                <w:color w:val="auto"/>
              </w:rPr>
              <w:t>Dan H. Arnold</w:t>
            </w:r>
          </w:p>
        </w:tc>
        <w:tc>
          <w:tcPr>
            <w:tcW w:w="4500" w:type="dxa"/>
            <w:vAlign w:val="bottom"/>
          </w:tcPr>
          <w:p>
            <w:pPr>
              <w:ind w:left="200"/>
              <w:spacing w:after="0"/>
              <w:rPr>
                <w:sz w:val="20"/>
                <w:szCs w:val="20"/>
                <w:color w:val="auto"/>
              </w:rPr>
            </w:pPr>
            <w:r>
              <w:rPr>
                <w:rFonts w:ascii="Arial" w:cs="Arial" w:eastAsia="Arial" w:hAnsi="Arial"/>
                <w:sz w:val="16"/>
                <w:szCs w:val="16"/>
                <w:color w:val="auto"/>
              </w:rPr>
              <w:t>Severance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850,000</w:t>
            </w:r>
          </w:p>
        </w:tc>
        <w:tc>
          <w:tcPr>
            <w:tcW w:w="440" w:type="dxa"/>
            <w:vAlign w:val="bottom"/>
          </w:tcPr>
          <w:p>
            <w:pPr>
              <w:ind w:left="100"/>
              <w:spacing w:after="0"/>
              <w:rPr>
                <w:sz w:val="20"/>
                <w:szCs w:val="20"/>
                <w:color w:val="auto"/>
              </w:rPr>
            </w:pPr>
            <w:r>
              <w:rPr>
                <w:rFonts w:ascii="Arial" w:cs="Arial" w:eastAsia="Arial" w:hAnsi="Arial"/>
                <w:sz w:val="13"/>
                <w:szCs w:val="13"/>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1,275,000</w:t>
            </w:r>
          </w:p>
        </w:tc>
        <w:tc>
          <w:tcPr>
            <w:tcW w:w="4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Bonus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2,486,250</w:t>
            </w:r>
          </w:p>
        </w:tc>
        <w:tc>
          <w:tcPr>
            <w:tcW w:w="440" w:type="dxa"/>
            <w:vAlign w:val="bottom"/>
          </w:tcPr>
          <w:p>
            <w:pPr>
              <w:ind w:left="100"/>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2,868,750</w:t>
            </w:r>
          </w:p>
        </w:tc>
        <w:tc>
          <w:tcPr>
            <w:tcW w:w="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4,562,834</w:t>
            </w:r>
          </w:p>
        </w:tc>
        <w:tc>
          <w:tcPr>
            <w:tcW w:w="440" w:type="dxa"/>
            <w:vAlign w:val="bottom"/>
          </w:tcPr>
          <w:p>
            <w:pPr>
              <w:ind w:left="100"/>
              <w:spacing w:after="0"/>
              <w:rPr>
                <w:sz w:val="20"/>
                <w:szCs w:val="20"/>
                <w:color w:val="auto"/>
              </w:rPr>
            </w:pPr>
            <w:r>
              <w:rPr>
                <w:rFonts w:ascii="Arial" w:cs="Arial" w:eastAsia="Arial" w:hAnsi="Arial"/>
                <w:sz w:val="13"/>
                <w:szCs w:val="13"/>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4,562,834</w:t>
            </w:r>
          </w:p>
        </w:tc>
        <w:tc>
          <w:tcPr>
            <w:tcW w:w="420" w:type="dxa"/>
            <w:vAlign w:val="bottom"/>
          </w:tcPr>
          <w:p>
            <w:pPr>
              <w:ind w:left="80"/>
              <w:spacing w:after="0"/>
              <w:rPr>
                <w:sz w:val="20"/>
                <w:szCs w:val="20"/>
                <w:color w:val="auto"/>
              </w:rPr>
            </w:pPr>
            <w:r>
              <w:rPr>
                <w:rFonts w:ascii="Arial" w:cs="Arial" w:eastAsia="Arial" w:hAnsi="Arial"/>
                <w:sz w:val="13"/>
                <w:szCs w:val="13"/>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4,562,834</w:t>
            </w:r>
          </w:p>
        </w:tc>
        <w:tc>
          <w:tcPr>
            <w:tcW w:w="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3,580,130</w:t>
            </w:r>
          </w:p>
        </w:tc>
        <w:tc>
          <w:tcPr>
            <w:tcW w:w="440" w:type="dxa"/>
            <w:vAlign w:val="bottom"/>
          </w:tcPr>
          <w:p>
            <w:pPr>
              <w:ind w:left="100"/>
              <w:spacing w:after="0"/>
              <w:rPr>
                <w:sz w:val="20"/>
                <w:szCs w:val="20"/>
                <w:color w:val="auto"/>
              </w:rPr>
            </w:pPr>
            <w:r>
              <w:rPr>
                <w:rFonts w:ascii="Arial" w:cs="Arial" w:eastAsia="Arial" w:hAnsi="Arial"/>
                <w:sz w:val="13"/>
                <w:szCs w:val="13"/>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3,580,130</w:t>
            </w:r>
          </w:p>
        </w:tc>
        <w:tc>
          <w:tcPr>
            <w:tcW w:w="420" w:type="dxa"/>
            <w:vAlign w:val="bottom"/>
          </w:tcPr>
          <w:p>
            <w:pPr>
              <w:ind w:left="80"/>
              <w:spacing w:after="0"/>
              <w:rPr>
                <w:sz w:val="20"/>
                <w:szCs w:val="20"/>
                <w:color w:val="auto"/>
              </w:rPr>
            </w:pPr>
            <w:r>
              <w:rPr>
                <w:rFonts w:ascii="Arial" w:cs="Arial" w:eastAsia="Arial" w:hAnsi="Arial"/>
                <w:sz w:val="13"/>
                <w:szCs w:val="13"/>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3,580,130</w:t>
            </w:r>
          </w:p>
        </w:tc>
        <w:tc>
          <w:tcPr>
            <w:tcW w:w="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Accelerated Vesting of PSUs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5,491,436</w:t>
            </w:r>
          </w:p>
        </w:tc>
        <w:tc>
          <w:tcPr>
            <w:tcW w:w="440" w:type="dxa"/>
            <w:vAlign w:val="bottom"/>
          </w:tcPr>
          <w:p>
            <w:pPr>
              <w:ind w:left="100"/>
              <w:spacing w:after="0"/>
              <w:rPr>
                <w:sz w:val="20"/>
                <w:szCs w:val="20"/>
                <w:color w:val="auto"/>
              </w:rPr>
            </w:pPr>
            <w:r>
              <w:rPr>
                <w:rFonts w:ascii="Arial" w:cs="Arial" w:eastAsia="Arial" w:hAnsi="Arial"/>
                <w:sz w:val="13"/>
                <w:szCs w:val="13"/>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5,491,436</w:t>
            </w:r>
          </w:p>
        </w:tc>
        <w:tc>
          <w:tcPr>
            <w:tcW w:w="420" w:type="dxa"/>
            <w:vAlign w:val="bottom"/>
          </w:tcPr>
          <w:p>
            <w:pPr>
              <w:ind w:left="80"/>
              <w:spacing w:after="0"/>
              <w:rPr>
                <w:sz w:val="20"/>
                <w:szCs w:val="20"/>
                <w:color w:val="auto"/>
              </w:rPr>
            </w:pPr>
            <w:r>
              <w:rPr>
                <w:rFonts w:ascii="Arial" w:cs="Arial" w:eastAsia="Arial" w:hAnsi="Arial"/>
                <w:sz w:val="13"/>
                <w:szCs w:val="13"/>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5,491,436</w:t>
            </w:r>
          </w:p>
        </w:tc>
        <w:tc>
          <w:tcPr>
            <w:tcW w:w="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Group Benefit Continuation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20,751</w:t>
            </w:r>
          </w:p>
        </w:tc>
        <w:tc>
          <w:tcPr>
            <w:tcW w:w="440" w:type="dxa"/>
            <w:vAlign w:val="bottom"/>
          </w:tcPr>
          <w:p>
            <w:pPr>
              <w:ind w:left="100"/>
              <w:spacing w:after="0"/>
              <w:rPr>
                <w:sz w:val="20"/>
                <w:szCs w:val="20"/>
                <w:color w:val="auto"/>
              </w:rPr>
            </w:pPr>
            <w:r>
              <w:rPr>
                <w:rFonts w:ascii="Arial" w:cs="Arial" w:eastAsia="Arial" w:hAnsi="Arial"/>
                <w:sz w:val="13"/>
                <w:szCs w:val="13"/>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31,127</w:t>
            </w:r>
          </w:p>
        </w:tc>
        <w:tc>
          <w:tcPr>
            <w:tcW w:w="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57"/>
        </w:trPr>
        <w:tc>
          <w:tcPr>
            <w:tcW w:w="1660" w:type="dxa"/>
            <w:vAlign w:val="bottom"/>
          </w:tcPr>
          <w:p>
            <w:pPr>
              <w:spacing w:after="0"/>
              <w:rPr>
                <w:sz w:val="4"/>
                <w:szCs w:val="4"/>
                <w:color w:val="auto"/>
              </w:rPr>
            </w:pPr>
          </w:p>
        </w:tc>
        <w:tc>
          <w:tcPr>
            <w:tcW w:w="4500" w:type="dxa"/>
            <w:vAlign w:val="bottom"/>
            <w:vMerge w:val="restart"/>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16,991,401</w:t>
            </w:r>
          </w:p>
        </w:tc>
        <w:tc>
          <w:tcPr>
            <w:tcW w:w="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13,634,400</w:t>
            </w:r>
          </w:p>
        </w:tc>
        <w:tc>
          <w:tcPr>
            <w:tcW w:w="4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17,809,277</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66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Matthew J. Audette</w:t>
            </w:r>
          </w:p>
        </w:tc>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35"/>
        </w:trPr>
        <w:tc>
          <w:tcPr>
            <w:tcW w:w="166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Bonus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1,400,000</w:t>
            </w:r>
          </w:p>
        </w:tc>
        <w:tc>
          <w:tcPr>
            <w:tcW w:w="440" w:type="dxa"/>
            <w:vAlign w:val="bottom"/>
          </w:tcPr>
          <w:p>
            <w:pPr>
              <w:ind w:left="100"/>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1,575,000</w:t>
            </w:r>
          </w:p>
        </w:tc>
        <w:tc>
          <w:tcPr>
            <w:tcW w:w="4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692,150</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960,279</w:t>
            </w:r>
          </w:p>
        </w:tc>
        <w:tc>
          <w:tcPr>
            <w:tcW w:w="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960,279</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35"/>
        </w:trPr>
        <w:tc>
          <w:tcPr>
            <w:tcW w:w="166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533,389</w:t>
            </w:r>
          </w:p>
        </w:tc>
        <w:tc>
          <w:tcPr>
            <w:tcW w:w="440" w:type="dxa"/>
            <w:vAlign w:val="bottom"/>
          </w:tcPr>
          <w:p>
            <w:pPr>
              <w:ind w:left="100"/>
              <w:spacing w:after="0"/>
              <w:rPr>
                <w:sz w:val="20"/>
                <w:szCs w:val="20"/>
                <w:color w:val="auto"/>
              </w:rPr>
            </w:pPr>
            <w:r>
              <w:rPr>
                <w:rFonts w:ascii="Arial" w:cs="Arial" w:eastAsia="Arial" w:hAnsi="Arial"/>
                <w:sz w:val="13"/>
                <w:szCs w:val="13"/>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955,433</w:t>
            </w:r>
          </w:p>
        </w:tc>
        <w:tc>
          <w:tcPr>
            <w:tcW w:w="420" w:type="dxa"/>
            <w:vAlign w:val="bottom"/>
          </w:tcPr>
          <w:p>
            <w:pPr>
              <w:ind w:left="80"/>
              <w:spacing w:after="0"/>
              <w:rPr>
                <w:sz w:val="20"/>
                <w:szCs w:val="20"/>
                <w:color w:val="auto"/>
              </w:rPr>
            </w:pPr>
            <w:r>
              <w:rPr>
                <w:rFonts w:ascii="Arial" w:cs="Arial" w:eastAsia="Arial" w:hAnsi="Arial"/>
                <w:sz w:val="13"/>
                <w:szCs w:val="13"/>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955,433</w:t>
            </w:r>
          </w:p>
        </w:tc>
        <w:tc>
          <w:tcPr>
            <w:tcW w:w="4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spacing w:after="0"/>
              <w:rPr>
                <w:sz w:val="17"/>
                <w:szCs w:val="17"/>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1,570,134</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1,570,134</w:t>
            </w:r>
          </w:p>
        </w:tc>
        <w:tc>
          <w:tcPr>
            <w:tcW w:w="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1,570,134</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28"/>
        </w:trPr>
        <w:tc>
          <w:tcPr>
            <w:tcW w:w="166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20,751</w:t>
            </w:r>
          </w:p>
        </w:tc>
        <w:tc>
          <w:tcPr>
            <w:tcW w:w="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31,127</w:t>
            </w: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5"/>
                <w:szCs w:val="15"/>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4,816,424</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3,485,846</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5,991,973</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140"/>
          </w:cols>
          <w:pgMar w:left="320" w:top="459" w:right="439" w:bottom="1440" w:gutter="0" w:footer="0" w:header="0"/>
        </w:sect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003B71"/>
        </w:rPr>
        <w:t>55</w:t>
      </w:r>
    </w:p>
    <w:p>
      <w:pPr>
        <w:sectPr>
          <w:pgSz w:w="11900" w:h="16838" w:orient="portrait"/>
          <w:cols w:equalWidth="0" w:num="2">
            <w:col w:w="10400" w:space="540"/>
            <w:col w:w="20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177"/>
              <w:spacing w:after="0"/>
              <w:rPr>
                <w:sz w:val="20"/>
                <w:szCs w:val="20"/>
                <w:color w:val="auto"/>
              </w:rPr>
            </w:pPr>
            <w:r>
              <w:rPr>
                <w:rFonts w:ascii="Arial" w:cs="Arial" w:eastAsia="Arial" w:hAnsi="Arial"/>
                <w:sz w:val="14"/>
                <w:szCs w:val="14"/>
                <w:b w:val="1"/>
                <w:bCs w:val="1"/>
                <w:color w:val="003B71"/>
              </w:rPr>
              <w:t>Double-Trigger</w:t>
            </w:r>
          </w:p>
        </w:tc>
      </w:tr>
      <w:tr>
        <w:trPr>
          <w:trHeight w:val="162"/>
        </w:trPr>
        <w:tc>
          <w:tcPr>
            <w:tcW w:w="16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003B71"/>
              </w:rPr>
              <w:t>Without Cause or</w:t>
            </w:r>
          </w:p>
        </w:tc>
        <w:tc>
          <w:tcPr>
            <w:tcW w:w="260" w:type="dxa"/>
            <w:vAlign w:val="bottom"/>
          </w:tcPr>
          <w:p>
            <w:pPr>
              <w:spacing w:after="0"/>
              <w:rPr>
                <w:sz w:val="14"/>
                <w:szCs w:val="14"/>
                <w:color w:val="auto"/>
              </w:rPr>
            </w:pPr>
          </w:p>
        </w:tc>
        <w:tc>
          <w:tcPr>
            <w:tcW w:w="840" w:type="dxa"/>
            <w:vAlign w:val="bottom"/>
          </w:tcPr>
          <w:p>
            <w:pPr>
              <w:jc w:val="center"/>
              <w:ind w:left="80"/>
              <w:spacing w:after="0"/>
              <w:rPr>
                <w:sz w:val="20"/>
                <w:szCs w:val="20"/>
                <w:color w:val="auto"/>
              </w:rPr>
            </w:pPr>
            <w:r>
              <w:rPr>
                <w:rFonts w:ascii="Arial" w:cs="Arial" w:eastAsia="Arial" w:hAnsi="Arial"/>
                <w:sz w:val="14"/>
                <w:szCs w:val="14"/>
                <w:b w:val="1"/>
                <w:bCs w:val="1"/>
                <w:color w:val="003B71"/>
              </w:rPr>
              <w:t>Disability,</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left="60"/>
              <w:spacing w:after="0"/>
              <w:rPr>
                <w:sz w:val="20"/>
                <w:szCs w:val="20"/>
                <w:color w:val="auto"/>
              </w:rPr>
            </w:pPr>
            <w:r>
              <w:rPr>
                <w:rFonts w:ascii="Arial" w:cs="Arial" w:eastAsia="Arial" w:hAnsi="Arial"/>
                <w:sz w:val="14"/>
                <w:szCs w:val="14"/>
                <w:b w:val="1"/>
                <w:bCs w:val="1"/>
                <w:color w:val="003B71"/>
              </w:rPr>
              <w:t>Change-in-</w:t>
            </w:r>
          </w:p>
        </w:tc>
        <w:tc>
          <w:tcPr>
            <w:tcW w:w="400" w:type="dxa"/>
            <w:vAlign w:val="bottom"/>
          </w:tcPr>
          <w:p>
            <w:pPr>
              <w:spacing w:after="0"/>
              <w:rPr>
                <w:sz w:val="14"/>
                <w:szCs w:val="14"/>
                <w:color w:val="auto"/>
              </w:rPr>
            </w:pPr>
          </w:p>
        </w:tc>
      </w:tr>
      <w:tr>
        <w:trPr>
          <w:trHeight w:val="162"/>
        </w:trPr>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Named</w:t>
            </w:r>
          </w:p>
        </w:tc>
        <w:tc>
          <w:tcPr>
            <w:tcW w:w="47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003B71"/>
              </w:rPr>
              <w:t>For Good Reason</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003B71"/>
              </w:rPr>
              <w:t>Death, Retirement</w:t>
            </w:r>
          </w:p>
        </w:tc>
        <w:tc>
          <w:tcPr>
            <w:tcW w:w="240" w:type="dxa"/>
            <w:vAlign w:val="bottom"/>
          </w:tcPr>
          <w:p>
            <w:pPr>
              <w:spacing w:after="0"/>
              <w:rPr>
                <w:sz w:val="14"/>
                <w:szCs w:val="14"/>
                <w:color w:val="auto"/>
              </w:rPr>
            </w:pPr>
          </w:p>
        </w:tc>
        <w:tc>
          <w:tcPr>
            <w:tcW w:w="940" w:type="dxa"/>
            <w:vAlign w:val="bottom"/>
            <w:gridSpan w:val="2"/>
          </w:tcPr>
          <w:p>
            <w:pPr>
              <w:jc w:val="center"/>
              <w:ind w:left="60"/>
              <w:spacing w:after="0"/>
              <w:rPr>
                <w:sz w:val="20"/>
                <w:szCs w:val="20"/>
                <w:color w:val="auto"/>
              </w:rPr>
            </w:pPr>
            <w:r>
              <w:rPr>
                <w:rFonts w:ascii="Arial" w:cs="Arial" w:eastAsia="Arial" w:hAnsi="Arial"/>
                <w:sz w:val="14"/>
                <w:szCs w:val="14"/>
                <w:b w:val="1"/>
                <w:bCs w:val="1"/>
                <w:color w:val="003B71"/>
              </w:rPr>
              <w:t>Control</w:t>
            </w:r>
          </w:p>
        </w:tc>
        <w:tc>
          <w:tcPr>
            <w:tcW w:w="400" w:type="dxa"/>
            <w:vAlign w:val="bottom"/>
          </w:tcPr>
          <w:p>
            <w:pPr>
              <w:spacing w:after="0"/>
              <w:rPr>
                <w:sz w:val="14"/>
                <w:szCs w:val="14"/>
                <w:color w:val="auto"/>
              </w:rPr>
            </w:pPr>
          </w:p>
        </w:tc>
      </w:tr>
      <w:tr>
        <w:trPr>
          <w:trHeight w:val="189"/>
        </w:trPr>
        <w:tc>
          <w:tcPr>
            <w:tcW w:w="16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Executive Officer</w:t>
            </w:r>
          </w:p>
        </w:tc>
        <w:tc>
          <w:tcPr>
            <w:tcW w:w="4760" w:type="dxa"/>
            <w:vAlign w:val="bottom"/>
            <w:tcBorders>
              <w:bottom w:val="single" w:sz="8" w:color="003B71"/>
            </w:tcBorders>
          </w:tcPr>
          <w:p>
            <w:pPr>
              <w:ind w:left="2220"/>
              <w:spacing w:after="0"/>
              <w:rPr>
                <w:sz w:val="20"/>
                <w:szCs w:val="20"/>
                <w:color w:val="auto"/>
              </w:rPr>
            </w:pPr>
            <w:r>
              <w:rPr>
                <w:rFonts w:ascii="Arial" w:cs="Arial" w:eastAsia="Arial" w:hAnsi="Arial"/>
                <w:sz w:val="14"/>
                <w:szCs w:val="14"/>
                <w:b w:val="1"/>
                <w:bCs w:val="1"/>
                <w:color w:val="003B71"/>
              </w:rPr>
              <w:t>Benefit</w:t>
            </w:r>
          </w:p>
        </w:tc>
        <w:tc>
          <w:tcPr>
            <w:tcW w:w="260" w:type="dxa"/>
            <w:vAlign w:val="bottom"/>
            <w:tcBorders>
              <w:bottom w:val="single" w:sz="8" w:color="003B71"/>
            </w:tcBorders>
          </w:tcPr>
          <w:p>
            <w:pPr>
              <w:spacing w:after="0"/>
              <w:rPr>
                <w:sz w:val="16"/>
                <w:szCs w:val="16"/>
                <w:color w:val="auto"/>
              </w:rPr>
            </w:pPr>
          </w:p>
        </w:tc>
        <w:tc>
          <w:tcPr>
            <w:tcW w:w="840" w:type="dxa"/>
            <w:vAlign w:val="bottom"/>
            <w:tcBorders>
              <w:bottom w:val="single" w:sz="8" w:color="003B71"/>
            </w:tcBorders>
          </w:tcPr>
          <w:p>
            <w:pPr>
              <w:jc w:val="center"/>
              <w:ind w:left="99"/>
              <w:spacing w:after="0"/>
              <w:rPr>
                <w:sz w:val="20"/>
                <w:szCs w:val="20"/>
                <w:color w:val="auto"/>
              </w:rPr>
            </w:pPr>
            <w:r>
              <w:rPr>
                <w:rFonts w:ascii="Arial" w:cs="Arial" w:eastAsia="Arial" w:hAnsi="Arial"/>
                <w:sz w:val="14"/>
                <w:szCs w:val="14"/>
                <w:b w:val="1"/>
                <w:bCs w:val="1"/>
                <w:color w:val="003B71"/>
              </w:rPr>
              <w:t>($)</w:t>
            </w:r>
          </w:p>
        </w:tc>
        <w:tc>
          <w:tcPr>
            <w:tcW w:w="440" w:type="dxa"/>
            <w:vAlign w:val="bottom"/>
            <w:tcBorders>
              <w:bottom w:val="single" w:sz="8" w:color="003B71"/>
            </w:tcBorders>
          </w:tcPr>
          <w:p>
            <w:pPr>
              <w:spacing w:after="0"/>
              <w:rPr>
                <w:sz w:val="16"/>
                <w:szCs w:val="16"/>
                <w:color w:val="auto"/>
              </w:rPr>
            </w:pPr>
          </w:p>
        </w:tc>
        <w:tc>
          <w:tcPr>
            <w:tcW w:w="260" w:type="dxa"/>
            <w:vAlign w:val="bottom"/>
            <w:tcBorders>
              <w:bottom w:val="single" w:sz="8" w:color="003B71"/>
            </w:tcBorders>
          </w:tcPr>
          <w:p>
            <w:pPr>
              <w:spacing w:after="0"/>
              <w:rPr>
                <w:sz w:val="16"/>
                <w:szCs w:val="16"/>
                <w:color w:val="auto"/>
              </w:rPr>
            </w:pPr>
          </w:p>
        </w:tc>
        <w:tc>
          <w:tcPr>
            <w:tcW w:w="840" w:type="dxa"/>
            <w:vAlign w:val="bottom"/>
            <w:tcBorders>
              <w:bottom w:val="single" w:sz="8" w:color="003B71"/>
            </w:tcBorders>
          </w:tcPr>
          <w:p>
            <w:pPr>
              <w:jc w:val="center"/>
              <w:ind w:left="100"/>
              <w:spacing w:after="0"/>
              <w:rPr>
                <w:sz w:val="20"/>
                <w:szCs w:val="20"/>
                <w:color w:val="auto"/>
              </w:rPr>
            </w:pPr>
            <w:r>
              <w:rPr>
                <w:rFonts w:ascii="Arial" w:cs="Arial" w:eastAsia="Arial" w:hAnsi="Arial"/>
                <w:sz w:val="14"/>
                <w:szCs w:val="14"/>
                <w:b w:val="1"/>
                <w:bCs w:val="1"/>
                <w:color w:val="003B71"/>
              </w:rPr>
              <w:t>($)</w:t>
            </w:r>
          </w:p>
        </w:tc>
        <w:tc>
          <w:tcPr>
            <w:tcW w:w="440" w:type="dxa"/>
            <w:vAlign w:val="bottom"/>
            <w:tcBorders>
              <w:bottom w:val="single" w:sz="8" w:color="003B71"/>
            </w:tcBorders>
          </w:tcPr>
          <w:p>
            <w:pPr>
              <w:spacing w:after="0"/>
              <w:rPr>
                <w:sz w:val="16"/>
                <w:szCs w:val="16"/>
                <w:color w:val="auto"/>
              </w:rPr>
            </w:pPr>
          </w:p>
        </w:tc>
        <w:tc>
          <w:tcPr>
            <w:tcW w:w="240" w:type="dxa"/>
            <w:vAlign w:val="bottom"/>
            <w:tcBorders>
              <w:bottom w:val="single" w:sz="8" w:color="003B71"/>
            </w:tcBorders>
          </w:tcPr>
          <w:p>
            <w:pPr>
              <w:spacing w:after="0"/>
              <w:rPr>
                <w:sz w:val="16"/>
                <w:szCs w:val="16"/>
                <w:color w:val="auto"/>
              </w:rPr>
            </w:pPr>
          </w:p>
        </w:tc>
        <w:tc>
          <w:tcPr>
            <w:tcW w:w="880" w:type="dxa"/>
            <w:vAlign w:val="bottom"/>
            <w:tcBorders>
              <w:bottom w:val="single" w:sz="8" w:color="003B71"/>
            </w:tcBorders>
          </w:tcPr>
          <w:p>
            <w:pPr>
              <w:jc w:val="center"/>
              <w:ind w:left="120"/>
              <w:spacing w:after="0"/>
              <w:rPr>
                <w:sz w:val="20"/>
                <w:szCs w:val="20"/>
                <w:color w:val="auto"/>
              </w:rPr>
            </w:pPr>
            <w:r>
              <w:rPr>
                <w:rFonts w:ascii="Arial" w:cs="Arial" w:eastAsia="Arial" w:hAnsi="Arial"/>
                <w:sz w:val="14"/>
                <w:szCs w:val="14"/>
                <w:b w:val="1"/>
                <w:bCs w:val="1"/>
                <w:color w:val="003B71"/>
              </w:rPr>
              <w:t>($)(1)</w:t>
            </w:r>
          </w:p>
        </w:tc>
        <w:tc>
          <w:tcPr>
            <w:tcW w:w="60" w:type="dxa"/>
            <w:vAlign w:val="bottom"/>
            <w:tcBorders>
              <w:bottom w:val="single" w:sz="8" w:color="003B71"/>
            </w:tcBorders>
          </w:tcPr>
          <w:p>
            <w:pPr>
              <w:spacing w:after="0"/>
              <w:rPr>
                <w:sz w:val="16"/>
                <w:szCs w:val="16"/>
                <w:color w:val="auto"/>
              </w:rPr>
            </w:pPr>
          </w:p>
        </w:tc>
        <w:tc>
          <w:tcPr>
            <w:tcW w:w="400" w:type="dxa"/>
            <w:vAlign w:val="bottom"/>
            <w:tcBorders>
              <w:bottom w:val="single" w:sz="8" w:color="003B71"/>
            </w:tcBorders>
          </w:tcPr>
          <w:p>
            <w:pPr>
              <w:spacing w:after="0"/>
              <w:rPr>
                <w:sz w:val="16"/>
                <w:szCs w:val="16"/>
                <w:color w:val="auto"/>
              </w:rPr>
            </w:pPr>
          </w:p>
        </w:tc>
      </w:tr>
      <w:tr>
        <w:trPr>
          <w:trHeight w:val="194"/>
        </w:trPr>
        <w:tc>
          <w:tcPr>
            <w:tcW w:w="1600" w:type="dxa"/>
            <w:vAlign w:val="bottom"/>
          </w:tcPr>
          <w:p>
            <w:pPr>
              <w:ind w:left="80"/>
              <w:spacing w:after="0"/>
              <w:rPr>
                <w:sz w:val="20"/>
                <w:szCs w:val="20"/>
                <w:color w:val="auto"/>
              </w:rPr>
            </w:pPr>
            <w:r>
              <w:rPr>
                <w:rFonts w:ascii="Arial" w:cs="Arial" w:eastAsia="Arial" w:hAnsi="Arial"/>
                <w:sz w:val="16"/>
                <w:szCs w:val="16"/>
                <w:color w:val="auto"/>
              </w:rPr>
              <w:t>Scott Seese</w:t>
            </w:r>
          </w:p>
        </w:tc>
        <w:tc>
          <w:tcPr>
            <w:tcW w:w="476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440" w:type="dxa"/>
            <w:vAlign w:val="bottom"/>
          </w:tcPr>
          <w:p>
            <w:pPr>
              <w:ind w:left="100"/>
              <w:spacing w:after="0"/>
              <w:rPr>
                <w:sz w:val="20"/>
                <w:szCs w:val="20"/>
                <w:color w:val="auto"/>
              </w:rPr>
            </w:pPr>
            <w:r>
              <w:rPr>
                <w:rFonts w:ascii="Arial" w:cs="Arial" w:eastAsia="Arial" w:hAnsi="Arial"/>
                <w:sz w:val="13"/>
                <w:szCs w:val="13"/>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750,000</w:t>
            </w:r>
          </w:p>
        </w:tc>
        <w:tc>
          <w:tcPr>
            <w:tcW w:w="6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Bonus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1,024,000</w:t>
            </w:r>
          </w:p>
        </w:tc>
        <w:tc>
          <w:tcPr>
            <w:tcW w:w="440" w:type="dxa"/>
            <w:vAlign w:val="bottom"/>
          </w:tcPr>
          <w:p>
            <w:pPr>
              <w:ind w:left="100"/>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1,200,000</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(5)</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Stock Options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174,905</w:t>
            </w:r>
          </w:p>
        </w:tc>
        <w:tc>
          <w:tcPr>
            <w:tcW w:w="440" w:type="dxa"/>
            <w:vAlign w:val="bottom"/>
          </w:tcPr>
          <w:p>
            <w:pPr>
              <w:ind w:left="100"/>
              <w:spacing w:after="0"/>
              <w:rPr>
                <w:sz w:val="20"/>
                <w:szCs w:val="20"/>
                <w:color w:val="auto"/>
              </w:rPr>
            </w:pPr>
            <w:r>
              <w:rPr>
                <w:rFonts w:ascii="Arial" w:cs="Arial" w:eastAsia="Arial" w:hAnsi="Arial"/>
                <w:sz w:val="13"/>
                <w:szCs w:val="13"/>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410,035</w:t>
            </w:r>
          </w:p>
        </w:tc>
        <w:tc>
          <w:tcPr>
            <w:tcW w:w="440" w:type="dxa"/>
            <w:vAlign w:val="bottom"/>
          </w:tcPr>
          <w:p>
            <w:pPr>
              <w:ind w:left="100"/>
              <w:spacing w:after="0"/>
              <w:rPr>
                <w:sz w:val="20"/>
                <w:szCs w:val="20"/>
                <w:color w:val="auto"/>
              </w:rPr>
            </w:pPr>
            <w:r>
              <w:rPr>
                <w:rFonts w:ascii="Arial" w:cs="Arial" w:eastAsia="Arial" w:hAnsi="Arial"/>
                <w:sz w:val="13"/>
                <w:szCs w:val="13"/>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410,035</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(8)</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RSUs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253,687</w:t>
            </w:r>
          </w:p>
        </w:tc>
        <w:tc>
          <w:tcPr>
            <w:tcW w:w="440" w:type="dxa"/>
            <w:vAlign w:val="bottom"/>
          </w:tcPr>
          <w:p>
            <w:pPr>
              <w:ind w:left="100"/>
              <w:spacing w:after="0"/>
              <w:rPr>
                <w:sz w:val="20"/>
                <w:szCs w:val="20"/>
                <w:color w:val="auto"/>
              </w:rPr>
            </w:pPr>
            <w:r>
              <w:rPr>
                <w:rFonts w:ascii="Arial" w:cs="Arial" w:eastAsia="Arial" w:hAnsi="Arial"/>
                <w:sz w:val="13"/>
                <w:szCs w:val="13"/>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633,020</w:t>
            </w:r>
          </w:p>
        </w:tc>
        <w:tc>
          <w:tcPr>
            <w:tcW w:w="440" w:type="dxa"/>
            <w:vAlign w:val="bottom"/>
          </w:tcPr>
          <w:p>
            <w:pPr>
              <w:ind w:left="100"/>
              <w:spacing w:after="0"/>
              <w:rPr>
                <w:sz w:val="20"/>
                <w:szCs w:val="20"/>
                <w:color w:val="auto"/>
              </w:rPr>
            </w:pPr>
            <w:r>
              <w:rPr>
                <w:rFonts w:ascii="Arial" w:cs="Arial" w:eastAsia="Arial" w:hAnsi="Arial"/>
                <w:sz w:val="13"/>
                <w:szCs w:val="13"/>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633,020</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PSUs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507,987</w:t>
            </w:r>
          </w:p>
        </w:tc>
        <w:tc>
          <w:tcPr>
            <w:tcW w:w="440" w:type="dxa"/>
            <w:vAlign w:val="bottom"/>
          </w:tcPr>
          <w:p>
            <w:pPr>
              <w:ind w:left="100"/>
              <w:spacing w:after="0"/>
              <w:rPr>
                <w:sz w:val="20"/>
                <w:szCs w:val="20"/>
                <w:color w:val="auto"/>
              </w:rPr>
            </w:pPr>
            <w:r>
              <w:rPr>
                <w:rFonts w:ascii="Arial" w:cs="Arial" w:eastAsia="Arial" w:hAnsi="Arial"/>
                <w:sz w:val="13"/>
                <w:szCs w:val="13"/>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507,987</w:t>
            </w:r>
          </w:p>
        </w:tc>
        <w:tc>
          <w:tcPr>
            <w:tcW w:w="440" w:type="dxa"/>
            <w:vAlign w:val="bottom"/>
          </w:tcPr>
          <w:p>
            <w:pPr>
              <w:ind w:left="100"/>
              <w:spacing w:after="0"/>
              <w:rPr>
                <w:sz w:val="20"/>
                <w:szCs w:val="20"/>
                <w:color w:val="auto"/>
              </w:rPr>
            </w:pPr>
            <w:r>
              <w:rPr>
                <w:rFonts w:ascii="Arial" w:cs="Arial" w:eastAsia="Arial" w:hAnsi="Arial"/>
                <w:sz w:val="13"/>
                <w:szCs w:val="13"/>
                <w:color w:val="auto"/>
              </w:rPr>
              <w:t>(13)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507,987</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(14)</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Group Benefit Continuation</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20,751</w:t>
            </w:r>
          </w:p>
        </w:tc>
        <w:tc>
          <w:tcPr>
            <w:tcW w:w="440" w:type="dxa"/>
            <w:vAlign w:val="bottom"/>
          </w:tcPr>
          <w:p>
            <w:pPr>
              <w:ind w:left="100"/>
              <w:spacing w:after="0"/>
              <w:rPr>
                <w:sz w:val="20"/>
                <w:szCs w:val="20"/>
                <w:color w:val="auto"/>
              </w:rPr>
            </w:pPr>
            <w:r>
              <w:rPr>
                <w:rFonts w:ascii="Arial" w:cs="Arial" w:eastAsia="Arial" w:hAnsi="Arial"/>
                <w:sz w:val="13"/>
                <w:szCs w:val="13"/>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31,127</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(16)</w:t>
            </w:r>
          </w:p>
        </w:tc>
      </w:tr>
      <w:tr>
        <w:trPr>
          <w:trHeight w:val="63"/>
        </w:trPr>
        <w:tc>
          <w:tcPr>
            <w:tcW w:w="160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r>
      <w:tr>
        <w:trPr>
          <w:trHeight w:val="183"/>
        </w:trPr>
        <w:tc>
          <w:tcPr>
            <w:tcW w:w="1600" w:type="dxa"/>
            <w:vAlign w:val="bottom"/>
          </w:tcPr>
          <w:p>
            <w:pPr>
              <w:spacing w:after="0"/>
              <w:rPr>
                <w:sz w:val="15"/>
                <w:szCs w:val="15"/>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2,481,330</w:t>
            </w:r>
          </w:p>
        </w:tc>
        <w:tc>
          <w:tcPr>
            <w:tcW w:w="440" w:type="dxa"/>
            <w:vAlign w:val="bottom"/>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1,551,042</w:t>
            </w:r>
          </w:p>
        </w:tc>
        <w:tc>
          <w:tcPr>
            <w:tcW w:w="440" w:type="dxa"/>
            <w:vAlign w:val="bottom"/>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3,532,169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47"/>
        </w:trPr>
        <w:tc>
          <w:tcPr>
            <w:tcW w:w="16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89"/>
        </w:trPr>
        <w:tc>
          <w:tcPr>
            <w:tcW w:w="1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Dayton Semerjian</w:t>
            </w: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Severance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w:t>
            </w:r>
          </w:p>
        </w:tc>
      </w:tr>
      <w:tr>
        <w:trPr>
          <w:trHeight w:val="189"/>
        </w:trPr>
        <w:tc>
          <w:tcPr>
            <w:tcW w:w="160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Bonus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975,000</w:t>
            </w:r>
          </w:p>
        </w:tc>
        <w:tc>
          <w:tcPr>
            <w:tcW w:w="440" w:type="dxa"/>
            <w:vAlign w:val="bottom"/>
          </w:tcPr>
          <w:p>
            <w:pPr>
              <w:ind w:left="100"/>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1,200,000</w:t>
            </w:r>
          </w:p>
        </w:tc>
        <w:tc>
          <w:tcPr>
            <w:tcW w:w="6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(5)</w:t>
            </w:r>
          </w:p>
        </w:tc>
      </w:tr>
      <w:tr>
        <w:trPr>
          <w:trHeight w:val="189"/>
        </w:trPr>
        <w:tc>
          <w:tcPr>
            <w:tcW w:w="1600" w:type="dxa"/>
            <w:vAlign w:val="bottom"/>
            <w:shd w:val="clear" w:color="auto" w:fill="CCEEFF"/>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Accelerated Vesting of Stock Options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r>
      <w:tr>
        <w:trPr>
          <w:trHeight w:val="189"/>
        </w:trPr>
        <w:tc>
          <w:tcPr>
            <w:tcW w:w="160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RSUs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496,858</w:t>
            </w:r>
          </w:p>
        </w:tc>
        <w:tc>
          <w:tcPr>
            <w:tcW w:w="440" w:type="dxa"/>
            <w:vAlign w:val="bottom"/>
          </w:tcPr>
          <w:p>
            <w:pPr>
              <w:ind w:left="100"/>
              <w:spacing w:after="0"/>
              <w:rPr>
                <w:sz w:val="20"/>
                <w:szCs w:val="20"/>
                <w:color w:val="auto"/>
              </w:rPr>
            </w:pPr>
            <w:r>
              <w:rPr>
                <w:rFonts w:ascii="Arial" w:cs="Arial" w:eastAsia="Arial" w:hAnsi="Arial"/>
                <w:sz w:val="13"/>
                <w:szCs w:val="13"/>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993,717</w:t>
            </w:r>
          </w:p>
        </w:tc>
        <w:tc>
          <w:tcPr>
            <w:tcW w:w="440" w:type="dxa"/>
            <w:vAlign w:val="bottom"/>
          </w:tcPr>
          <w:p>
            <w:pPr>
              <w:ind w:left="100"/>
              <w:spacing w:after="0"/>
              <w:rPr>
                <w:sz w:val="20"/>
                <w:szCs w:val="20"/>
                <w:color w:val="auto"/>
              </w:rPr>
            </w:pPr>
            <w:r>
              <w:rPr>
                <w:rFonts w:ascii="Arial" w:cs="Arial" w:eastAsia="Arial" w:hAnsi="Arial"/>
                <w:sz w:val="13"/>
                <w:szCs w:val="13"/>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993,717</w:t>
            </w:r>
          </w:p>
        </w:tc>
        <w:tc>
          <w:tcPr>
            <w:tcW w:w="6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r>
      <w:tr>
        <w:trPr>
          <w:trHeight w:val="189"/>
        </w:trPr>
        <w:tc>
          <w:tcPr>
            <w:tcW w:w="1600" w:type="dxa"/>
            <w:vAlign w:val="bottom"/>
            <w:shd w:val="clear" w:color="auto" w:fill="CCEEFF"/>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Accelerated Vesting of PSUs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w:t>
            </w:r>
          </w:p>
        </w:tc>
      </w:tr>
      <w:tr>
        <w:trPr>
          <w:trHeight w:val="209"/>
        </w:trPr>
        <w:tc>
          <w:tcPr>
            <w:tcW w:w="160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Group Benefit Continuation</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10,523</w:t>
            </w:r>
          </w:p>
        </w:tc>
        <w:tc>
          <w:tcPr>
            <w:tcW w:w="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(15)</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15,785</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(16)</w:t>
            </w:r>
          </w:p>
        </w:tc>
      </w:tr>
      <w:tr>
        <w:trPr>
          <w:trHeight w:val="178"/>
        </w:trPr>
        <w:tc>
          <w:tcPr>
            <w:tcW w:w="1600" w:type="dxa"/>
            <w:vAlign w:val="bottom"/>
          </w:tcPr>
          <w:p>
            <w:pPr>
              <w:spacing w:after="0"/>
              <w:rPr>
                <w:sz w:val="15"/>
                <w:szCs w:val="15"/>
                <w:color w:val="auto"/>
              </w:rPr>
            </w:pPr>
          </w:p>
        </w:tc>
        <w:tc>
          <w:tcPr>
            <w:tcW w:w="4760" w:type="dxa"/>
            <w:vAlign w:val="bottom"/>
          </w:tcPr>
          <w:p>
            <w:pPr>
              <w:ind w:left="160"/>
              <w:spacing w:after="0" w:line="178" w:lineRule="exact"/>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1,982,381</w:t>
            </w:r>
          </w:p>
        </w:tc>
        <w:tc>
          <w:tcPr>
            <w:tcW w:w="440" w:type="dxa"/>
            <w:vAlign w:val="bottom"/>
          </w:tcPr>
          <w:p>
            <w:pPr>
              <w:spacing w:after="0"/>
              <w:rPr>
                <w:sz w:val="15"/>
                <w:szCs w:val="15"/>
                <w:color w:val="auto"/>
              </w:rPr>
            </w:pPr>
          </w:p>
        </w:tc>
        <w:tc>
          <w:tcPr>
            <w:tcW w:w="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993,717</w:t>
            </w:r>
          </w:p>
        </w:tc>
        <w:tc>
          <w:tcPr>
            <w:tcW w:w="440" w:type="dxa"/>
            <w:vAlign w:val="bottom"/>
          </w:tcPr>
          <w:p>
            <w:pPr>
              <w:spacing w:after="0"/>
              <w:rPr>
                <w:sz w:val="15"/>
                <w:szCs w:val="15"/>
                <w:color w:val="auto"/>
              </w:rPr>
            </w:pPr>
          </w:p>
        </w:tc>
        <w:tc>
          <w:tcPr>
            <w:tcW w:w="2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2,959,502</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8"/>
        </w:trPr>
        <w:tc>
          <w:tcPr>
            <w:tcW w:w="1600" w:type="dxa"/>
            <w:vAlign w:val="bottom"/>
          </w:tcPr>
          <w:p>
            <w:pPr>
              <w:ind w:left="80"/>
              <w:spacing w:after="0"/>
              <w:rPr>
                <w:sz w:val="20"/>
                <w:szCs w:val="20"/>
                <w:color w:val="auto"/>
              </w:rPr>
            </w:pPr>
            <w:r>
              <w:rPr>
                <w:rFonts w:ascii="Arial" w:cs="Arial" w:eastAsia="Arial" w:hAnsi="Arial"/>
                <w:sz w:val="16"/>
                <w:szCs w:val="16"/>
                <w:color w:val="auto"/>
              </w:rPr>
              <w:t>Richard Steinmeier</w:t>
            </w:r>
          </w:p>
        </w:tc>
        <w:tc>
          <w:tcPr>
            <w:tcW w:w="476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450,000</w:t>
            </w:r>
          </w:p>
        </w:tc>
        <w:tc>
          <w:tcPr>
            <w:tcW w:w="440" w:type="dxa"/>
            <w:vAlign w:val="bottom"/>
          </w:tcPr>
          <w:p>
            <w:pPr>
              <w:ind w:left="100"/>
              <w:spacing w:after="0"/>
              <w:rPr>
                <w:sz w:val="20"/>
                <w:szCs w:val="20"/>
                <w:color w:val="auto"/>
              </w:rPr>
            </w:pPr>
            <w:r>
              <w:rPr>
                <w:rFonts w:ascii="Arial" w:cs="Arial" w:eastAsia="Arial" w:hAnsi="Arial"/>
                <w:sz w:val="13"/>
                <w:szCs w:val="13"/>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675,000</w:t>
            </w:r>
          </w:p>
        </w:tc>
        <w:tc>
          <w:tcPr>
            <w:tcW w:w="6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Bonus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780,000</w:t>
            </w:r>
          </w:p>
        </w:tc>
        <w:tc>
          <w:tcPr>
            <w:tcW w:w="440" w:type="dxa"/>
            <w:vAlign w:val="bottom"/>
          </w:tcPr>
          <w:p>
            <w:pPr>
              <w:ind w:left="100"/>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823,500</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(5)</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Stock Options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36,093</w:t>
            </w:r>
          </w:p>
        </w:tc>
        <w:tc>
          <w:tcPr>
            <w:tcW w:w="440" w:type="dxa"/>
            <w:vAlign w:val="bottom"/>
          </w:tcPr>
          <w:p>
            <w:pPr>
              <w:ind w:left="100"/>
              <w:spacing w:after="0"/>
              <w:rPr>
                <w:sz w:val="20"/>
                <w:szCs w:val="20"/>
                <w:color w:val="auto"/>
              </w:rPr>
            </w:pPr>
            <w:r>
              <w:rPr>
                <w:rFonts w:ascii="Arial" w:cs="Arial" w:eastAsia="Arial" w:hAnsi="Arial"/>
                <w:sz w:val="13"/>
                <w:szCs w:val="13"/>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108,266</w:t>
            </w:r>
          </w:p>
        </w:tc>
        <w:tc>
          <w:tcPr>
            <w:tcW w:w="440" w:type="dxa"/>
            <w:vAlign w:val="bottom"/>
          </w:tcPr>
          <w:p>
            <w:pPr>
              <w:ind w:left="100"/>
              <w:spacing w:after="0"/>
              <w:rPr>
                <w:sz w:val="20"/>
                <w:szCs w:val="20"/>
                <w:color w:val="auto"/>
              </w:rPr>
            </w:pPr>
            <w:r>
              <w:rPr>
                <w:rFonts w:ascii="Arial" w:cs="Arial" w:eastAsia="Arial" w:hAnsi="Arial"/>
                <w:sz w:val="13"/>
                <w:szCs w:val="13"/>
                <w:color w:val="auto"/>
              </w:rPr>
              <w:t>(7)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108,266</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(8)</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RSUs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770,564</w:t>
            </w:r>
          </w:p>
        </w:tc>
        <w:tc>
          <w:tcPr>
            <w:tcW w:w="440" w:type="dxa"/>
            <w:vAlign w:val="bottom"/>
          </w:tcPr>
          <w:p>
            <w:pPr>
              <w:ind w:left="100"/>
              <w:spacing w:after="0"/>
              <w:rPr>
                <w:sz w:val="20"/>
                <w:szCs w:val="20"/>
                <w:color w:val="auto"/>
              </w:rPr>
            </w:pPr>
            <w:r>
              <w:rPr>
                <w:rFonts w:ascii="Arial" w:cs="Arial" w:eastAsia="Arial" w:hAnsi="Arial"/>
                <w:sz w:val="13"/>
                <w:szCs w:val="13"/>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2,311,601</w:t>
            </w:r>
          </w:p>
        </w:tc>
        <w:tc>
          <w:tcPr>
            <w:tcW w:w="440" w:type="dxa"/>
            <w:vAlign w:val="bottom"/>
          </w:tcPr>
          <w:p>
            <w:pPr>
              <w:ind w:left="100"/>
              <w:spacing w:after="0"/>
              <w:rPr>
                <w:sz w:val="20"/>
                <w:szCs w:val="20"/>
                <w:color w:val="auto"/>
              </w:rPr>
            </w:pPr>
            <w:r>
              <w:rPr>
                <w:rFonts w:ascii="Arial" w:cs="Arial" w:eastAsia="Arial" w:hAnsi="Arial"/>
                <w:sz w:val="13"/>
                <w:szCs w:val="13"/>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2,311,601</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Accelerated Vesting of PSUs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100,368</w:t>
            </w:r>
          </w:p>
        </w:tc>
        <w:tc>
          <w:tcPr>
            <w:tcW w:w="440" w:type="dxa"/>
            <w:vAlign w:val="bottom"/>
          </w:tcPr>
          <w:p>
            <w:pPr>
              <w:ind w:left="100"/>
              <w:spacing w:after="0"/>
              <w:rPr>
                <w:sz w:val="20"/>
                <w:szCs w:val="20"/>
                <w:color w:val="auto"/>
              </w:rPr>
            </w:pPr>
            <w:r>
              <w:rPr>
                <w:rFonts w:ascii="Arial" w:cs="Arial" w:eastAsia="Arial" w:hAnsi="Arial"/>
                <w:sz w:val="13"/>
                <w:szCs w:val="13"/>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100,368</w:t>
            </w:r>
          </w:p>
        </w:tc>
        <w:tc>
          <w:tcPr>
            <w:tcW w:w="440" w:type="dxa"/>
            <w:vAlign w:val="bottom"/>
          </w:tcPr>
          <w:p>
            <w:pPr>
              <w:ind w:left="100"/>
              <w:spacing w:after="0"/>
              <w:rPr>
                <w:sz w:val="20"/>
                <w:szCs w:val="20"/>
                <w:color w:val="auto"/>
              </w:rPr>
            </w:pPr>
            <w:r>
              <w:rPr>
                <w:rFonts w:ascii="Arial" w:cs="Arial" w:eastAsia="Arial" w:hAnsi="Arial"/>
                <w:sz w:val="13"/>
                <w:szCs w:val="13"/>
                <w:color w:val="auto"/>
              </w:rPr>
              <w:t>(13)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100,368</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(14)</w:t>
            </w:r>
          </w:p>
        </w:tc>
      </w:tr>
      <w:tr>
        <w:trPr>
          <w:trHeight w:val="243"/>
        </w:trPr>
        <w:tc>
          <w:tcPr>
            <w:tcW w:w="160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Group Benefit Continuation</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10,538</w:t>
            </w:r>
          </w:p>
        </w:tc>
        <w:tc>
          <w:tcPr>
            <w:tcW w:w="440" w:type="dxa"/>
            <w:vAlign w:val="bottom"/>
          </w:tcPr>
          <w:p>
            <w:pPr>
              <w:ind w:left="100"/>
              <w:spacing w:after="0"/>
              <w:rPr>
                <w:sz w:val="20"/>
                <w:szCs w:val="20"/>
                <w:color w:val="auto"/>
              </w:rPr>
            </w:pPr>
            <w:r>
              <w:rPr>
                <w:rFonts w:ascii="Arial" w:cs="Arial" w:eastAsia="Arial" w:hAnsi="Arial"/>
                <w:sz w:val="13"/>
                <w:szCs w:val="13"/>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15,807</w:t>
            </w: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(16)</w:t>
            </w:r>
          </w:p>
        </w:tc>
      </w:tr>
      <w:tr>
        <w:trPr>
          <w:trHeight w:val="63"/>
        </w:trPr>
        <w:tc>
          <w:tcPr>
            <w:tcW w:w="1600" w:type="dxa"/>
            <w:vAlign w:val="bottom"/>
            <w:tcBorders>
              <w:bottom w:val="single" w:sz="8" w:color="CCEEFF"/>
            </w:tcBorders>
          </w:tcPr>
          <w:p>
            <w:pPr>
              <w:spacing w:after="0"/>
              <w:rPr>
                <w:sz w:val="5"/>
                <w:szCs w:val="5"/>
                <w:color w:val="auto"/>
              </w:rPr>
            </w:pPr>
          </w:p>
        </w:tc>
        <w:tc>
          <w:tcPr>
            <w:tcW w:w="476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r>
      <w:tr>
        <w:trPr>
          <w:trHeight w:val="183"/>
        </w:trPr>
        <w:tc>
          <w:tcPr>
            <w:tcW w:w="1600" w:type="dxa"/>
            <w:vAlign w:val="bottom"/>
          </w:tcPr>
          <w:p>
            <w:pPr>
              <w:spacing w:after="0"/>
              <w:rPr>
                <w:sz w:val="15"/>
                <w:szCs w:val="15"/>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2,147,563</w:t>
            </w:r>
          </w:p>
        </w:tc>
        <w:tc>
          <w:tcPr>
            <w:tcW w:w="440" w:type="dxa"/>
            <w:vAlign w:val="bottom"/>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2,520,511</w:t>
            </w:r>
          </w:p>
        </w:tc>
        <w:tc>
          <w:tcPr>
            <w:tcW w:w="440" w:type="dxa"/>
            <w:vAlign w:val="bottom"/>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4,083,193</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pacing w:after="0" w:line="116" w:lineRule="exact"/>
        <w:rPr>
          <w:sz w:val="20"/>
          <w:szCs w:val="20"/>
          <w:color w:val="auto"/>
        </w:rPr>
      </w:pPr>
    </w:p>
    <w:p>
      <w:pPr>
        <w:jc w:val="both"/>
        <w:ind w:left="540" w:right="20" w:hanging="424"/>
        <w:spacing w:after="0" w:line="251"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2019 and that the NEO’s employment was terminated by the Company without cause or by the executive for good reason on December 31, 2019.</w:t>
      </w:r>
    </w:p>
    <w:p>
      <w:pPr>
        <w:spacing w:after="0" w:line="53" w:lineRule="exact"/>
        <w:rPr>
          <w:rFonts w:ascii="Arial" w:cs="Arial" w:eastAsia="Arial" w:hAnsi="Arial"/>
          <w:sz w:val="16"/>
          <w:szCs w:val="16"/>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12 months.</w:t>
      </w:r>
    </w:p>
    <w:p>
      <w:pPr>
        <w:spacing w:after="0" w:line="72" w:lineRule="exact"/>
        <w:rPr>
          <w:rFonts w:ascii="Arial" w:cs="Arial" w:eastAsia="Arial" w:hAnsi="Arial"/>
          <w:sz w:val="16"/>
          <w:szCs w:val="16"/>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18 months.</w:t>
      </w:r>
    </w:p>
    <w:p>
      <w:pPr>
        <w:spacing w:after="0" w:line="7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the bonus paid (or payable) to the NEO for the most recently completed calendar year.</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150% of the target bonus amount for the calendar year in which the NEO’s employment is terminated.</w:t>
      </w:r>
    </w:p>
    <w:p>
      <w:pPr>
        <w:spacing w:after="0" w:line="4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the value of the unvested portion of any outstanding stock options scheduled to vest based solely on the passage of time within 12 months following separation, the vesting of which would have been accelerated under our Executive Severance Plan. In the case of retirement-eligible NEOs, this represents the value of all outstanding unvested stock options, the vesting of which would have been accelerated under the Executive Severance Plan.</w:t>
      </w:r>
    </w:p>
    <w:p>
      <w:pPr>
        <w:spacing w:after="0" w:line="53"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the value of the unvested portion all outstanding stock options, the vesting of which would have been accelerated upon termination of employment due to death (and, for stock options granted subsequent to February 23, 2017, upon a termination of employment due to death or disability) under the terms of the NEO’s stock option agreements.</w:t>
      </w:r>
    </w:p>
    <w:p>
      <w:pPr>
        <w:spacing w:after="0" w:line="5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the value of the unvested portion of all outstanding stock options, the vesting of which would have been accelerated under the Executive Severance Plan.</w:t>
      </w:r>
    </w:p>
    <w:p>
      <w:pPr>
        <w:spacing w:after="0" w:line="4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accelerated under the Executive Severance Plan.</w:t>
      </w:r>
    </w:p>
    <w:p>
      <w:pPr>
        <w:sectPr>
          <w:pgSz w:w="11900" w:h="16838" w:orient="portrait"/>
          <w:cols w:equalWidth="0" w:num="1">
            <w:col w:w="11140"/>
          </w:cols>
          <w:pgMar w:left="320" w:top="459" w:right="439" w:bottom="1440" w:gutter="0" w:footer="0" w:header="0"/>
        </w:sectPr>
      </w:pPr>
    </w:p>
    <w:p>
      <w:pPr>
        <w:spacing w:after="0" w:line="132"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3" w:lineRule="exact"/>
        <w:rPr>
          <w:sz w:val="20"/>
          <w:szCs w:val="20"/>
          <w:color w:val="auto"/>
        </w:rPr>
      </w:pPr>
    </w:p>
    <w:p>
      <w:pPr>
        <w:jc w:val="both"/>
        <w:ind w:left="540" w:right="20" w:hanging="424"/>
        <w:spacing w:after="0" w:line="253"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upon a termination of employment due to death (and, for RSUs granted subsequent to February 23, 2017, upon a termination of employment due to death or disability) under the terms of the NEO’s RSU agreement.</w:t>
      </w:r>
    </w:p>
    <w:p>
      <w:pPr>
        <w:spacing w:after="0" w:line="5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under our Executive Severance Plan.</w:t>
      </w:r>
    </w:p>
    <w:p>
      <w:pPr>
        <w:spacing w:after="0" w:line="46" w:lineRule="exact"/>
        <w:rPr>
          <w:rFonts w:ascii="Arial" w:cs="Arial" w:eastAsia="Arial" w:hAnsi="Arial"/>
          <w:sz w:val="16"/>
          <w:szCs w:val="16"/>
          <w:color w:val="auto"/>
        </w:rPr>
      </w:pPr>
    </w:p>
    <w:p>
      <w:pPr>
        <w:jc w:val="both"/>
        <w:ind w:left="540" w:right="20" w:hanging="424"/>
        <w:spacing w:after="0" w:line="249"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2019,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 on actual performance measured at the end of the Performance Period, prorated based on the number of days the NEO was employed during the Performance Period.</w:t>
      </w:r>
    </w:p>
    <w:p>
      <w:pPr>
        <w:spacing w:after="0" w:line="56"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2019, with such amount prorated based on the number of days that the executive was employed during the Performance Period. Under the NEO’s PSU agreement, upon termination of employment due to death, disability or retirement, the actual number of shares of Common Stock that will be earned and vested in respect of outstanding, unvested PSUs, if any, depend on actual performance measured at the end of the Performance Period, prorated based on the number of days that the NEO was employed during the Performance Period.</w:t>
      </w:r>
    </w:p>
    <w:p>
      <w:pPr>
        <w:spacing w:after="0" w:line="54"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2019, prorated based on the number of days that the NEO was employed during the Performance Period.</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amounts equal to 100% of the employer portion of premiums for continued health and dental plan participation under COBRA for the NEO and his qualified beneficiaries for a 12-month period.</w:t>
      </w:r>
    </w:p>
    <w:p>
      <w:pPr>
        <w:spacing w:after="0" w:line="4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qualified beneficiaries for an 18-month period.</w:t>
      </w:r>
    </w:p>
    <w:p>
      <w:pPr>
        <w:sectPr>
          <w:pgSz w:w="11900" w:h="16838" w:orient="portrait"/>
          <w:cols w:equalWidth="0" w:num="1">
            <w:col w:w="11140"/>
          </w:cols>
          <w:pgMar w:left="320" w:top="459" w:right="43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Executive Severance Plan</w:t>
      </w:r>
    </w:p>
    <w:p>
      <w:pPr>
        <w:spacing w:after="0" w:line="31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Restrictive Covenants</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a condition to benefits under the Executive Severance Plan, an executive is not permitted to engage in prohibited competitive conduct for a period of:</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12 months following termination of employment by the Company without cause or a termination by the executive for good reason; and</w:t>
      </w:r>
    </w:p>
    <w:p>
      <w:pPr>
        <w:spacing w:after="0" w:line="229"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18 months following termination of employment by the Company without cause or a termination by the executive for good reason, in each case, within 12 months following a change-in-control.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Prohibited competitive conduct is set forth in the Executive Severance Plan, which includes provisions related to non-competition, non-solicitation and the confidentiality of the Company’s proprietary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Severance and Change-in-Control Payments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become obligated to make severance payments under our Executive Severance Plan to an NEO upon such NEO’s qualifying termination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excise tax, to the extent such reduction would result in greater after-tax benefits to the executive.</w:t>
      </w:r>
    </w:p>
    <w:p>
      <w:pPr>
        <w:spacing w:after="0" w:line="1339"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1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003B71"/>
        </w:rPr>
        <w:t>57</w:t>
      </w:r>
    </w:p>
    <w:p>
      <w:pPr>
        <w:sectPr>
          <w:pgSz w:w="11900" w:h="16838" w:orient="portrait"/>
          <w:cols w:equalWidth="0" w:num="2">
            <w:col w:w="10400" w:space="540"/>
            <w:col w:w="200"/>
          </w:cols>
          <w:pgMar w:left="32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Termination Without Cause or For Good Reason</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Under the terms of our Executive Severance Plan, upon a termination of employment by the Company without cause or by the executive for good reason, a participant in the Executive Severance Plan (“Participant”) will be entitled to the following payments and benefits, subject to the execution of a release of claims and continued compliance with post-termination restrictive covenants:</w:t>
      </w:r>
    </w:p>
    <w:p>
      <w:pPr>
        <w:spacing w:after="0" w:line="184" w:lineRule="exact"/>
        <w:rPr>
          <w:sz w:val="20"/>
          <w:szCs w:val="20"/>
          <w:color w:val="auto"/>
        </w:rPr>
      </w:pPr>
    </w:p>
    <w:p>
      <w:pPr>
        <w:ind w:left="480" w:right="20"/>
        <w:spacing w:after="0"/>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29"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An amount equal to the bonus paid (or payable) to the Participant for the most recently completed calendar year;</w:t>
      </w:r>
    </w:p>
    <w:p>
      <w:pPr>
        <w:spacing w:after="0" w:line="223" w:lineRule="exact"/>
        <w:rPr>
          <w:sz w:val="20"/>
          <w:szCs w:val="20"/>
          <w:color w:val="auto"/>
        </w:rPr>
      </w:pPr>
    </w:p>
    <w:p>
      <w:pPr>
        <w:ind w:left="480"/>
        <w:spacing w:after="0" w:line="246" w:lineRule="auto"/>
        <w:rPr>
          <w:sz w:val="20"/>
          <w:szCs w:val="20"/>
          <w:color w:val="auto"/>
        </w:rPr>
      </w:pPr>
      <w:r>
        <w:rPr>
          <w:rFonts w:ascii="Arial" w:cs="Arial" w:eastAsia="Arial" w:hAnsi="Arial"/>
          <w:sz w:val="18"/>
          <w:szCs w:val="18"/>
          <w:color w:val="auto"/>
        </w:rPr>
        <w:t>Continued payment of base salary for 12 months after termination of employment;</w:t>
      </w:r>
    </w:p>
    <w:p>
      <w:pPr>
        <w:spacing w:after="0" w:line="223"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Accelerated vesting of the unvested portion of any outstanding equity and equity-based awards scheduled to vest based solely on the passage of time (such as outstanding stock options and RSUs) within 12 months of such Participant’s separation date; and</w:t>
      </w:r>
    </w:p>
    <w:p>
      <w:pPr>
        <w:spacing w:after="0" w:line="229" w:lineRule="exact"/>
        <w:rPr>
          <w:sz w:val="20"/>
          <w:szCs w:val="20"/>
          <w:color w:val="auto"/>
        </w:rPr>
      </w:pPr>
    </w:p>
    <w:p>
      <w:pPr>
        <w:ind w:left="480"/>
        <w:spacing w:after="0" w:line="236"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254" w:lineRule="exact"/>
        <w:rPr>
          <w:sz w:val="20"/>
          <w:szCs w:val="20"/>
          <w:color w:val="auto"/>
        </w:rPr>
      </w:pPr>
    </w:p>
    <w:p>
      <w:pPr>
        <w:jc w:val="both"/>
        <w:ind w:left="120"/>
        <w:spacing w:after="0" w:line="253" w:lineRule="auto"/>
        <w:rPr>
          <w:sz w:val="20"/>
          <w:szCs w:val="20"/>
          <w:color w:val="auto"/>
        </w:rPr>
      </w:pPr>
      <w:r>
        <w:rPr>
          <w:rFonts w:ascii="Arial" w:cs="Arial" w:eastAsia="Arial" w:hAnsi="Arial"/>
          <w:sz w:val="17"/>
          <w:szCs w:val="17"/>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the Participant was employed by the Company in the applicable Performance Period.</w:t>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Further, upon a termination of employment by the Company without cause or by the executive for good reason, in each case, within the 12-month period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w:t>
      </w:r>
    </w:p>
    <w:p>
      <w:pPr>
        <w:spacing w:after="0" w:line="183"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29"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An amount equal to 150% of the Participant’s target bonus for the calendar year in which employment is terminated;</w:t>
      </w:r>
    </w:p>
    <w:p>
      <w:pPr>
        <w:spacing w:after="0" w:line="223"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Continued payment of base salary for 18 months after termination of employment;</w:t>
      </w:r>
    </w:p>
    <w:p>
      <w:pPr>
        <w:spacing w:after="0" w:line="223"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Accelerated vesting in full of all outstanding time-based equity and equity-based awards (such as outstanding stock options and RSUs) and prorated vesting, as of the separation date, of any performance-based equity and equity-based awards (such as outstanding PSUs) assuming target levels of achievement; and</w:t>
      </w:r>
    </w:p>
    <w:p>
      <w:pPr>
        <w:spacing w:after="0" w:line="231"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231" w:lineRule="exact"/>
        <w:rPr>
          <w:sz w:val="20"/>
          <w:szCs w:val="20"/>
          <w:color w:val="auto"/>
        </w:rPr>
      </w:pPr>
    </w:p>
    <w:p>
      <w:pPr>
        <w:spacing w:after="0"/>
        <w:tabs>
          <w:tab w:leader="none" w:pos="780" w:val="left"/>
          <w:tab w:leader="none" w:pos="1420" w:val="left"/>
          <w:tab w:leader="none" w:pos="1860" w:val="left"/>
          <w:tab w:leader="none" w:pos="2820" w:val="left"/>
          <w:tab w:leader="none" w:pos="3860" w:val="left"/>
          <w:tab w:leader="none" w:pos="4400" w:val="left"/>
          <w:tab w:leader="none" w:pos="5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w:t>
        <w:tab/>
        <w:t>under</w:t>
        <w:tab/>
        <w:t>our</w:t>
        <w:tab/>
        <w:t>Executive</w:t>
        <w:tab/>
        <w:t>Severance</w:t>
        <w:tab/>
        <w:t>Plan</w:t>
        <w:tab/>
        <w:t>means</w:t>
      </w:r>
      <w:r>
        <w:rPr>
          <w:sz w:val="20"/>
          <w:szCs w:val="20"/>
          <w:color w:val="auto"/>
        </w:rPr>
        <w:tab/>
      </w:r>
      <w:r>
        <w:rPr>
          <w:rFonts w:ascii="Arial" w:cs="Arial" w:eastAsia="Arial" w:hAnsi="Arial"/>
          <w:sz w:val="17"/>
          <w:szCs w:val="17"/>
          <w:color w:val="auto"/>
        </w:rPr>
        <w:t>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Participant’s:</w:t>
      </w:r>
    </w:p>
    <w:p>
      <w:pPr>
        <w:spacing w:after="0" w:line="192"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such Participant by the Company;</w:t>
      </w:r>
    </w:p>
    <w:p>
      <w:pPr>
        <w:spacing w:after="0" w:line="231"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conviction of, or a plea of nolo contendere to, a crime constituting a felony under the laws of the United States or any state thereof;</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30"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committing or engaging in any act of fraud, embezzlement, theft, or other act of dishonesty that causes material injury, monetarily or otherwise, to the Company or an affiliate;</w:t>
      </w:r>
    </w:p>
    <w:p>
      <w:pPr>
        <w:spacing w:after="0" w:line="229" w:lineRule="exact"/>
        <w:rPr>
          <w:sz w:val="20"/>
          <w:szCs w:val="20"/>
          <w:color w:val="auto"/>
        </w:rPr>
      </w:pPr>
    </w:p>
    <w:p>
      <w:pPr>
        <w:ind w:left="480"/>
        <w:spacing w:after="0" w:line="246" w:lineRule="auto"/>
        <w:rPr>
          <w:sz w:val="20"/>
          <w:szCs w:val="20"/>
          <w:color w:val="auto"/>
        </w:rPr>
      </w:pPr>
      <w:r>
        <w:rPr>
          <w:rFonts w:ascii="Arial" w:cs="Arial" w:eastAsia="Arial" w:hAnsi="Arial"/>
          <w:sz w:val="18"/>
          <w:szCs w:val="18"/>
          <w:color w:val="auto"/>
        </w:rPr>
        <w:t>breach of the restrictive covenants in the Executive Severance Plan;</w:t>
      </w:r>
    </w:p>
    <w:p>
      <w:pPr>
        <w:spacing w:after="0" w:line="223"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violation of the code of conduct of the Company or its subsidiaries or any policy of the Company or its subsidiaries, or of any statutory or common law duty of loyalty to the Company or its subsidiaries; or</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conduct that could reasonably be expected to be harmful to the business, interests, or reputation of the Company.</w:t>
      </w:r>
    </w:p>
    <w:p>
      <w:pPr>
        <w:spacing w:after="0" w:line="231" w:lineRule="exact"/>
        <w:rPr>
          <w:sz w:val="20"/>
          <w:szCs w:val="20"/>
          <w:color w:val="auto"/>
        </w:rPr>
      </w:pPr>
    </w:p>
    <w:p>
      <w:pPr>
        <w:ind w:left="12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under our Executive Severance Plan means the occurrence, without the Participant’s written consent, of:</w:t>
      </w:r>
    </w:p>
    <w:p>
      <w:pPr>
        <w:spacing w:after="0" w:line="159"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a material reduction in base salary unless such reduction is consistent with reductions made in the applicable annual base salaries of other similarly situated employees of the Company or its affiliates;</w:t>
      </w:r>
    </w:p>
    <w:p>
      <w:pPr>
        <w:spacing w:after="0" w:line="231" w:lineRule="exact"/>
        <w:rPr>
          <w:sz w:val="20"/>
          <w:szCs w:val="20"/>
          <w:color w:val="auto"/>
        </w:rPr>
      </w:pPr>
    </w:p>
    <w:p>
      <w:pPr>
        <w:ind w:left="480" w:right="20"/>
        <w:spacing w:after="0"/>
        <w:rPr>
          <w:sz w:val="20"/>
          <w:szCs w:val="20"/>
          <w:color w:val="auto"/>
        </w:rPr>
      </w:pPr>
      <w:r>
        <w:rPr>
          <w:rFonts w:ascii="Arial" w:cs="Arial" w:eastAsia="Arial" w:hAnsi="Arial"/>
          <w:sz w:val="18"/>
          <w:szCs w:val="18"/>
          <w:color w:val="auto"/>
        </w:rPr>
        <w:t>a material adverse change in duties and responsibilities at the Company or its affiliates (but not changes in functional titles); or</w:t>
      </w:r>
    </w:p>
    <w:p>
      <w:pPr>
        <w:spacing w:after="0" w:line="229" w:lineRule="exact"/>
        <w:rPr>
          <w:sz w:val="20"/>
          <w:szCs w:val="20"/>
          <w:color w:val="auto"/>
        </w:rPr>
      </w:pPr>
    </w:p>
    <w:p>
      <w:pPr>
        <w:ind w:left="480"/>
        <w:spacing w:after="0" w:line="237" w:lineRule="auto"/>
        <w:rPr>
          <w:sz w:val="20"/>
          <w:szCs w:val="20"/>
          <w:color w:val="auto"/>
        </w:rPr>
      </w:pPr>
      <w:r>
        <w:rPr>
          <w:rFonts w:ascii="Arial" w:cs="Arial" w:eastAsia="Arial" w:hAnsi="Arial"/>
          <w:sz w:val="18"/>
          <w:szCs w:val="18"/>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24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Participant is required to provide notice within 90 days following the “</w:t>
      </w:r>
      <w:r>
        <w:rPr>
          <w:rFonts w:ascii="Arial" w:cs="Arial" w:eastAsia="Arial" w:hAnsi="Arial"/>
          <w:sz w:val="18"/>
          <w:szCs w:val="18"/>
          <w:i w:val="1"/>
          <w:iCs w:val="1"/>
          <w:color w:val="auto"/>
        </w:rPr>
        <w:t>Good Reason</w:t>
      </w:r>
      <w:r>
        <w:rPr>
          <w:rFonts w:ascii="Arial" w:cs="Arial" w:eastAsia="Arial" w:hAnsi="Arial"/>
          <w:sz w:val="18"/>
          <w:szCs w:val="18"/>
          <w:color w:val="auto"/>
        </w:rPr>
        <w:t>” event (and the Company will have 30 days following such notice to cure). “</w:t>
      </w:r>
      <w:r>
        <w:rPr>
          <w:rFonts w:ascii="Arial" w:cs="Arial" w:eastAsia="Arial" w:hAnsi="Arial"/>
          <w:sz w:val="18"/>
          <w:szCs w:val="18"/>
          <w:i w:val="1"/>
          <w:iCs w:val="1"/>
          <w:color w:val="auto"/>
        </w:rPr>
        <w:t>Good Reason</w:t>
      </w:r>
      <w:r>
        <w:rPr>
          <w:rFonts w:ascii="Arial" w:cs="Arial" w:eastAsia="Arial" w:hAnsi="Arial"/>
          <w:sz w:val="18"/>
          <w:szCs w:val="18"/>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190" w:lineRule="exact"/>
        <w:rPr>
          <w:sz w:val="20"/>
          <w:szCs w:val="20"/>
          <w:color w:val="auto"/>
        </w:rPr>
      </w:pPr>
    </w:p>
    <w:p>
      <w:pPr>
        <w:jc w:val="both"/>
        <w:ind w:left="12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Change-in-Control</w:t>
      </w:r>
      <w:r>
        <w:rPr>
          <w:rFonts w:ascii="Arial" w:cs="Arial" w:eastAsia="Arial" w:hAnsi="Arial"/>
          <w:sz w:val="18"/>
          <w:szCs w:val="18"/>
          <w:color w:val="auto"/>
        </w:rPr>
        <w:t>” under our Executive Severance Plan means the consummation of:</w:t>
      </w:r>
    </w:p>
    <w:p>
      <w:pPr>
        <w:spacing w:after="0" w:line="159"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any transaction or series of related transactions, whether or not the Company is a party thereto,</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left="360" w:right="20"/>
        <w:spacing w:after="0" w:line="237" w:lineRule="auto"/>
        <w:rPr>
          <w:sz w:val="20"/>
          <w:szCs w:val="20"/>
          <w:color w:val="auto"/>
        </w:rPr>
      </w:pPr>
      <w:r>
        <w:rPr>
          <w:rFonts w:ascii="Arial" w:cs="Arial" w:eastAsia="Arial" w:hAnsi="Arial"/>
          <w:sz w:val="18"/>
          <w:szCs w:val="18"/>
          <w:color w:val="auto"/>
        </w:rPr>
        <w:t>after giving effect to which in excess of 50 percent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184"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Termination Other than For Good Reason</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Death, Disability, and Retirement</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Executive Severance Plan does not provide for any separation benefits or payments upon a termination due to death, disability, or voluntary termination (regardless of age).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w:t>
      </w:r>
    </w:p>
    <w:p>
      <w:pPr>
        <w:spacing w:after="0" w:line="20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Please see the “Equity Award Agreements” below for the treatment of outstanding equity awards in connection with a termination of employment due to death, disability or retirement.</w:t>
      </w:r>
    </w:p>
    <w:p>
      <w:pPr>
        <w:spacing w:after="0" w:line="98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0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003B71"/>
        </w:rPr>
        <w:t>59</w:t>
      </w:r>
    </w:p>
    <w:p>
      <w:pPr>
        <w:sectPr>
          <w:pgSz w:w="11900" w:h="16838" w:orient="portrait"/>
          <w:cols w:equalWidth="0" w:num="2">
            <w:col w:w="10400" w:space="540"/>
            <w:col w:w="20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Equity Award Agreements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Stock Options</w:t>
      </w:r>
    </w:p>
    <w:p>
      <w:pPr>
        <w:spacing w:after="0" w:line="16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All stock options held by our NEOs as of December 31, 2019 were granted under our 2008 Stock Option Plan (the “2008 Plan”) or our 2010 Plan. All stock options held by our NEOs that are outstanding under the 2008 Plan were fully vested as of December 31, 2019.</w:t>
      </w:r>
    </w:p>
    <w:p>
      <w:pPr>
        <w:spacing w:after="0" w:line="202"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In accordance with our NEOs’ option agreements, unvested stock options are canceled upon termination of employment, unless</w:t>
      </w:r>
    </w:p>
    <w:p>
      <w:pPr>
        <w:spacing w:after="0" w:line="1" w:lineRule="exact"/>
        <w:rPr>
          <w:sz w:val="20"/>
          <w:szCs w:val="20"/>
          <w:color w:val="auto"/>
        </w:rPr>
      </w:pPr>
    </w:p>
    <w:p>
      <w:pPr>
        <w:jc w:val="both"/>
        <w:ind w:left="120" w:hanging="4"/>
        <w:spacing w:after="0" w:line="237" w:lineRule="auto"/>
        <w:tabs>
          <w:tab w:leader="none" w:pos="4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otherwise agreed by the Company, or (2) in the case of death or retirement, in which case any and all unvested portions of stock options shall become vested. The unvested portion of stock options granted subsequent to February 23, 2017 will also become vested in full in the event of disability (as defined in the stock option award agreement). Unless the NEO is terminated for cause, vested options will be exercisable for:</w:t>
      </w:r>
    </w:p>
    <w:p>
      <w:pPr>
        <w:spacing w:after="0" w:line="184"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two years following termination of employment by reason of retirement, but not later than the option expiration date;</w:t>
      </w:r>
    </w:p>
    <w:p>
      <w:pPr>
        <w:spacing w:after="0" w:line="223" w:lineRule="exact"/>
        <w:rPr>
          <w:sz w:val="20"/>
          <w:szCs w:val="20"/>
          <w:color w:val="auto"/>
        </w:rPr>
      </w:pPr>
    </w:p>
    <w:p>
      <w:pPr>
        <w:ind w:left="480"/>
        <w:spacing w:after="0" w:line="246" w:lineRule="auto"/>
        <w:rPr>
          <w:sz w:val="20"/>
          <w:szCs w:val="20"/>
          <w:color w:val="auto"/>
        </w:rPr>
      </w:pPr>
      <w:r>
        <w:rPr>
          <w:rFonts w:ascii="Arial" w:cs="Arial" w:eastAsia="Arial" w:hAnsi="Arial"/>
          <w:sz w:val="18"/>
          <w:szCs w:val="18"/>
          <w:color w:val="auto"/>
        </w:rPr>
        <w:t>one year following death or disability, in each case, not later than the option expiration date; and</w:t>
      </w:r>
    </w:p>
    <w:p>
      <w:pPr>
        <w:spacing w:after="0" w:line="223"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90 days following termination in other cases, but not later than the option expiration date.</w:t>
      </w:r>
    </w:p>
    <w:p>
      <w:pPr>
        <w:spacing w:after="0" w:line="225" w:lineRule="exact"/>
        <w:rPr>
          <w:sz w:val="20"/>
          <w:szCs w:val="20"/>
          <w:color w:val="auto"/>
        </w:rPr>
      </w:pPr>
    </w:p>
    <w:p>
      <w:pPr>
        <w:ind w:left="120"/>
        <w:spacing w:after="0" w:line="267"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2010 Plan means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agreed by the Company, or (2) in the case of death or retirement, in which case any and all unvested portions shall become vested. The unvested portion of RSUs granted subsequent to February 23, 2017 will become vested in full in the event of disability (as defined in the RSU award agreement). If the NEO is terminated for cause, the vested portion of the award will terminate. All RSUs held by our NEOs as of December 31, 2019 were granted under our 2010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Performance Share Units (PSUs)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All PSUs held by our NEOs as of December 31, 2019 were granted under our 2010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CEO Pay Ratio</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Arnold’s total annual compensation: $7,669,954</w:t>
      </w:r>
    </w:p>
    <w:p>
      <w:pPr>
        <w:spacing w:after="0" w:line="17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ind w:left="480"/>
        <w:spacing w:after="0" w:line="238" w:lineRule="auto"/>
        <w:rPr>
          <w:sz w:val="20"/>
          <w:szCs w:val="20"/>
          <w:color w:val="auto"/>
        </w:rPr>
      </w:pPr>
      <w:r>
        <w:rPr>
          <w:rFonts w:ascii="Arial" w:cs="Arial" w:eastAsia="Arial" w:hAnsi="Arial"/>
          <w:sz w:val="18"/>
          <w:szCs w:val="18"/>
          <w:color w:val="auto"/>
        </w:rPr>
        <w:t>any transaction or series of related transactions, whether or not the Company is party thereto, which results in over 50% of the Company’s voting power being owned directly or indirectly by any person and its “affiliates” or “associates” or any “group” other than the Company or an affiliate;</w:t>
      </w:r>
    </w:p>
    <w:p>
      <w:pPr>
        <w:spacing w:after="0" w:line="229" w:lineRule="exact"/>
        <w:rPr>
          <w:sz w:val="20"/>
          <w:szCs w:val="20"/>
          <w:color w:val="auto"/>
        </w:rPr>
      </w:pPr>
    </w:p>
    <w:p>
      <w:pPr>
        <w:ind w:left="480" w:right="80"/>
        <w:spacing w:after="0" w:line="530" w:lineRule="auto"/>
        <w:rPr>
          <w:sz w:val="20"/>
          <w:szCs w:val="20"/>
          <w:color w:val="auto"/>
        </w:rPr>
      </w:pPr>
      <w:r>
        <w:rPr>
          <w:rFonts w:ascii="Arial" w:cs="Arial" w:eastAsia="Arial" w:hAnsi="Arial"/>
          <w:sz w:val="18"/>
          <w:szCs w:val="18"/>
          <w:color w:val="auto"/>
        </w:rPr>
        <w:t>a sale or disposition of all or substantially all of our assets; or the dissolution or liquidation of the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Restricted Stock Units (RSUs)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 accordance with the NEOs’ RSU agreements, unvested portions of RSU awards are cancelled upon termination of employment, unless (1) otherwise</w:t>
      </w:r>
    </w:p>
    <w:p>
      <w:pPr>
        <w:spacing w:after="0" w:line="248" w:lineRule="exact"/>
        <w:rPr>
          <w:sz w:val="20"/>
          <w:szCs w:val="20"/>
          <w:color w:val="auto"/>
        </w:rPr>
      </w:pPr>
    </w:p>
    <w:p>
      <w:pPr>
        <w:ind w:left="960" w:hanging="700"/>
        <w:spacing w:after="0"/>
        <w:tabs>
          <w:tab w:leader="none" w:pos="960" w:val="left"/>
        </w:tabs>
        <w:numPr>
          <w:ilvl w:val="0"/>
          <w:numId w:val="75"/>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color w:val="auto"/>
        </w:rPr>
        <w:t>Median annual total compensation of all employees (other than CEO): $87,303</w:t>
      </w:r>
    </w:p>
    <w:p>
      <w:pPr>
        <w:spacing w:after="0" w:line="223" w:lineRule="exact"/>
        <w:rPr>
          <w:sz w:val="20"/>
          <w:szCs w:val="20"/>
          <w:color w:val="auto"/>
        </w:rPr>
      </w:pPr>
    </w:p>
    <w:p>
      <w:pPr>
        <w:ind w:left="360" w:right="40"/>
        <w:spacing w:after="0"/>
        <w:rPr>
          <w:sz w:val="20"/>
          <w:szCs w:val="20"/>
          <w:color w:val="auto"/>
        </w:rPr>
      </w:pPr>
      <w:r>
        <w:rPr>
          <w:rFonts w:ascii="Arial" w:cs="Arial" w:eastAsia="Arial" w:hAnsi="Arial"/>
          <w:sz w:val="18"/>
          <w:szCs w:val="18"/>
          <w:color w:val="auto"/>
        </w:rPr>
        <w:t>Ratio of the annual total compensation of the CEO to the median of the annual total compensation of all employees (other than CEO): 88:1</w:t>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used the following methodology to determine the foregoing ratio:</w:t>
      </w:r>
    </w:p>
    <w:p>
      <w:pPr>
        <w:spacing w:after="0" w:line="224" w:lineRule="exact"/>
        <w:rPr>
          <w:sz w:val="20"/>
          <w:szCs w:val="20"/>
          <w:color w:val="auto"/>
        </w:rPr>
      </w:pPr>
    </w:p>
    <w:p>
      <w:pPr>
        <w:jc w:val="both"/>
        <w:ind w:left="700" w:right="20" w:hanging="382"/>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 rules allow a company to use the same median employee for three consecutive fiscal years. We decided to use our 2017 median</w:t>
      </w:r>
    </w:p>
    <w:p>
      <w:pPr>
        <w:sectPr>
          <w:pgSz w:w="11900" w:h="16838" w:orient="portrait"/>
          <w:cols w:equalWidth="0" w:num="2">
            <w:col w:w="5400" w:space="340"/>
            <w:col w:w="5400"/>
          </w:cols>
          <w:pgMar w:left="32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4"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color w:val="auto"/>
        </w:rPr>
        <w:t>employee for purposes of determining our 2019 pay ratio. However, as discussed below, the 2019 pay ratio was determined based on the 2017 median employee’s 2019 compensation. We believe that it is appropriate to use the same median employee over three years because there has been no change in our employee population or employee compensation arrangements that we reasonably believe would significantly impact our pay ratio disclosure.</w:t>
      </w:r>
    </w:p>
    <w:p>
      <w:pPr>
        <w:spacing w:after="0" w:line="234" w:lineRule="exact"/>
        <w:rPr>
          <w:sz w:val="20"/>
          <w:szCs w:val="20"/>
          <w:color w:val="auto"/>
        </w:rPr>
      </w:pPr>
    </w:p>
    <w:p>
      <w:pPr>
        <w:ind w:left="820" w:hanging="380"/>
        <w:spacing w:after="0" w:line="246"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determined our 2017 median employee from our employee population on December 31, 2017.</w:t>
      </w:r>
    </w:p>
    <w:p>
      <w:pPr>
        <w:spacing w:after="0" w:line="223" w:lineRule="exact"/>
        <w:rPr>
          <w:rFonts w:ascii="Arial" w:cs="Arial" w:eastAsia="Arial" w:hAnsi="Arial"/>
          <w:sz w:val="18"/>
          <w:szCs w:val="18"/>
          <w:color w:val="auto"/>
        </w:rPr>
      </w:pPr>
    </w:p>
    <w:p>
      <w:pPr>
        <w:jc w:val="both"/>
        <w:ind w:left="820" w:hanging="380"/>
        <w:spacing w:after="0" w:line="238"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first determined each employee’s 2017 Box 1 W-2 wages (“Compensation Measure”) for the 2017 calendar year (“Measurement Period”), as reflected in our payroll records and systems.</w:t>
      </w:r>
    </w:p>
    <w:p>
      <w:pPr>
        <w:spacing w:after="0" w:line="229" w:lineRule="exact"/>
        <w:rPr>
          <w:rFonts w:ascii="Arial" w:cs="Arial" w:eastAsia="Arial" w:hAnsi="Arial"/>
          <w:sz w:val="18"/>
          <w:szCs w:val="18"/>
          <w:color w:val="auto"/>
        </w:rPr>
      </w:pPr>
    </w:p>
    <w:p>
      <w:pPr>
        <w:jc w:val="both"/>
        <w:ind w:left="820" w:hanging="380"/>
        <w:spacing w:after="0" w:line="238"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those employees who were employed on December 31, 2017 but who were not employed for the full Measurement Period, we annualized compensation paid to such employees during 2017.</w:t>
      </w:r>
    </w:p>
    <w:p>
      <w:pPr>
        <w:spacing w:after="0" w:line="231" w:lineRule="exact"/>
        <w:rPr>
          <w:rFonts w:ascii="Arial" w:cs="Arial" w:eastAsia="Arial" w:hAnsi="Arial"/>
          <w:sz w:val="18"/>
          <w:szCs w:val="18"/>
          <w:color w:val="auto"/>
        </w:rPr>
      </w:pPr>
    </w:p>
    <w:p>
      <w:pPr>
        <w:jc w:val="both"/>
        <w:ind w:left="820" w:hanging="380"/>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then identified our 2017 median employee from our employee population based on this Compensation Measure.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then determined the annual total compensation for 2019 of the median employee and our CEO in accordance with the following:</w:t>
      </w:r>
    </w:p>
    <w:p>
      <w:pPr>
        <w:spacing w:after="0" w:line="224" w:lineRule="exact"/>
        <w:rPr>
          <w:sz w:val="20"/>
          <w:szCs w:val="20"/>
          <w:color w:val="auto"/>
        </w:rPr>
      </w:pPr>
    </w:p>
    <w:p>
      <w:pPr>
        <w:jc w:val="both"/>
        <w:ind w:left="700" w:right="20" w:hanging="382"/>
        <w:spacing w:after="0" w:line="23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median employee’s annual total compensation represents the amount of such employee’s compensation for 2019 that would have been reported in the Summary Compensation Table in accordance with the requirements of Item 402(c)(2)(x) of Regulation S-K if the employee were a named executive officer for 2019.</w:t>
      </w:r>
    </w:p>
    <w:p>
      <w:pPr>
        <w:spacing w:after="0" w:line="231" w:lineRule="exact"/>
        <w:rPr>
          <w:rFonts w:ascii="Arial" w:cs="Arial" w:eastAsia="Arial" w:hAnsi="Arial"/>
          <w:sz w:val="18"/>
          <w:szCs w:val="18"/>
          <w:color w:val="auto"/>
        </w:rPr>
      </w:pPr>
    </w:p>
    <w:p>
      <w:pPr>
        <w:jc w:val="both"/>
        <w:ind w:left="700" w:right="20" w:hanging="382"/>
        <w:spacing w:after="0" w:line="238"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total compensation of the CEO represents the amount reported in the “Total” column of our Summary Compensation Table included on page 49 of this proxy statement.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879"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003B71"/>
        </w:rPr>
        <w:t>61</w:t>
      </w:r>
    </w:p>
    <w:p>
      <w:pPr>
        <w:sectPr>
          <w:pgSz w:w="11900" w:h="16838" w:orient="portrait"/>
          <w:cols w:equalWidth="0" w:num="2">
            <w:col w:w="10400" w:space="540"/>
            <w:col w:w="20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Security Ownership of Certain Beneficial Owners and</w:t>
      </w:r>
    </w:p>
    <w:p>
      <w:pPr>
        <w:spacing w:after="0" w:line="10"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Security Ownership of Certain Beneficial Owners and Management</w:t>
      </w:r>
    </w:p>
    <w:p>
      <w:pPr>
        <w:sectPr>
          <w:pgSz w:w="11900" w:h="16838" w:orient="portrait"/>
          <w:cols w:equalWidth="0" w:num="1">
            <w:col w:w="11140"/>
          </w:cols>
          <w:pgMar w:left="320" w:top="459" w:right="439" w:bottom="1440" w:gutter="0" w:footer="0" w:header="0"/>
        </w:sect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describes  the  beneficial  ownership  of  our</w:t>
      </w:r>
    </w:p>
    <w:p>
      <w:pPr>
        <w:ind w:left="120"/>
        <w:spacing w:after="0"/>
        <w:rPr>
          <w:sz w:val="20"/>
          <w:szCs w:val="20"/>
          <w:color w:val="auto"/>
        </w:rPr>
      </w:pPr>
      <w:r>
        <w:rPr>
          <w:rFonts w:ascii="Arial" w:cs="Arial" w:eastAsia="Arial" w:hAnsi="Arial"/>
          <w:sz w:val="18"/>
          <w:szCs w:val="18"/>
          <w:color w:val="auto"/>
        </w:rPr>
        <w:t>Common Stock as of March 9, 2020, by:</w:t>
      </w:r>
    </w:p>
    <w:p>
      <w:pPr>
        <w:spacing w:after="0" w:line="192" w:lineRule="exact"/>
        <w:rPr>
          <w:sz w:val="20"/>
          <w:szCs w:val="20"/>
          <w:color w:val="auto"/>
        </w:rPr>
      </w:pPr>
    </w:p>
    <w:p>
      <w:pPr>
        <w:ind w:left="480" w:right="20"/>
        <w:spacing w:after="0"/>
        <w:rPr>
          <w:sz w:val="20"/>
          <w:szCs w:val="20"/>
          <w:color w:val="auto"/>
        </w:rPr>
      </w:pPr>
      <w:r>
        <w:rPr>
          <w:rFonts w:ascii="Arial" w:cs="Arial" w:eastAsia="Arial" w:hAnsi="Arial"/>
          <w:sz w:val="18"/>
          <w:szCs w:val="18"/>
          <w:color w:val="auto"/>
        </w:rPr>
        <w:t>persons or “groups” (as that term is used in Section 13(d)(3) of the Exchange Act) known by us to be the beneficial owner of 5% or more of the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our NEOs, directors and director nominee; and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current directors and executive officers as a group.</w:t>
      </w:r>
    </w:p>
    <w:p>
      <w:pPr>
        <w:spacing w:after="0" w:line="27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Beneficial ownership is determined in accordance with the rules of the SEC. Unless otherwise indicated, we believe, based on information furnished by such</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persons, that each person listed below has sole voting and investment power with respect to the shares of Common Stock shown as beneficially owned. Securities that may be beneficially acquired within 60 days of March 9, 2020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79,099,422 shares of Common Stock outstanding as of March 9, 2020.</w:t>
      </w: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Unless otherwise indicated in the footnotes to the following table, the address of each of the individuals named below is: c/o LPL Financial Holdings Inc., 4707 Executive Drive, San Diego, CA 92121.</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w w:val="99"/>
              </w:rPr>
              <w:t>Total Amount</w:t>
            </w:r>
          </w:p>
        </w:tc>
        <w:tc>
          <w:tcPr>
            <w:tcW w:w="12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and Nature of</w:t>
            </w:r>
          </w:p>
        </w:tc>
        <w:tc>
          <w:tcPr>
            <w:tcW w:w="12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Beneficial</w:t>
            </w:r>
          </w:p>
        </w:tc>
        <w:tc>
          <w:tcPr>
            <w:tcW w:w="12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2580" w:type="dxa"/>
            <w:vAlign w:val="bottom"/>
          </w:tcPr>
          <w:p>
            <w:pPr>
              <w:jc w:val="center"/>
              <w:ind w:left="988"/>
              <w:spacing w:after="0"/>
              <w:rPr>
                <w:sz w:val="20"/>
                <w:szCs w:val="20"/>
                <w:color w:val="auto"/>
              </w:rPr>
            </w:pPr>
            <w:r>
              <w:rPr>
                <w:rFonts w:ascii="Arial" w:cs="Arial" w:eastAsia="Arial" w:hAnsi="Arial"/>
                <w:sz w:val="14"/>
                <w:szCs w:val="14"/>
                <w:b w:val="1"/>
                <w:bCs w:val="1"/>
                <w:color w:val="003B71"/>
              </w:rPr>
              <w:t>Directly 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B71"/>
              </w:rPr>
              <w:t>Right to</w:t>
            </w:r>
          </w:p>
        </w:tc>
        <w:tc>
          <w:tcPr>
            <w:tcW w:w="8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Ownership of</w:t>
            </w:r>
          </w:p>
        </w:tc>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003B71"/>
              </w:rPr>
              <w:t>Percentage of</w:t>
            </w:r>
          </w:p>
        </w:tc>
      </w:tr>
      <w:tr>
        <w:trPr>
          <w:trHeight w:val="162"/>
        </w:trPr>
        <w:tc>
          <w:tcPr>
            <w:tcW w:w="3120" w:type="dxa"/>
            <w:vAlign w:val="bottom"/>
          </w:tcPr>
          <w:p>
            <w:pPr>
              <w:spacing w:after="0"/>
              <w:rPr>
                <w:sz w:val="14"/>
                <w:szCs w:val="14"/>
                <w:color w:val="auto"/>
              </w:rPr>
            </w:pPr>
          </w:p>
        </w:tc>
        <w:tc>
          <w:tcPr>
            <w:tcW w:w="2580" w:type="dxa"/>
            <w:vAlign w:val="bottom"/>
          </w:tcPr>
          <w:p>
            <w:pPr>
              <w:jc w:val="center"/>
              <w:ind w:left="988"/>
              <w:spacing w:after="0"/>
              <w:rPr>
                <w:sz w:val="20"/>
                <w:szCs w:val="20"/>
                <w:color w:val="auto"/>
              </w:rPr>
            </w:pPr>
            <w:r>
              <w:rPr>
                <w:rFonts w:ascii="Arial" w:cs="Arial" w:eastAsia="Arial" w:hAnsi="Arial"/>
                <w:sz w:val="14"/>
                <w:szCs w:val="14"/>
                <w:b w:val="1"/>
                <w:bCs w:val="1"/>
                <w:color w:val="003B71"/>
              </w:rPr>
              <w:t>Indirectly Held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B71"/>
              </w:rPr>
              <w:t>Acquire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3B71"/>
              </w:rPr>
              <w:t>Other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Common Stock</w:t>
            </w:r>
          </w:p>
        </w:tc>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003B71"/>
              </w:rPr>
              <w:t>Common Stock</w:t>
            </w:r>
          </w:p>
        </w:tc>
      </w:tr>
      <w:tr>
        <w:trPr>
          <w:trHeight w:val="190"/>
        </w:trPr>
        <w:tc>
          <w:tcPr>
            <w:tcW w:w="3120" w:type="dxa"/>
            <w:vAlign w:val="bottom"/>
          </w:tcPr>
          <w:p>
            <w:pPr>
              <w:spacing w:after="0"/>
              <w:rPr>
                <w:sz w:val="20"/>
                <w:szCs w:val="20"/>
                <w:color w:val="auto"/>
              </w:rPr>
            </w:pPr>
            <w:r>
              <w:rPr>
                <w:rFonts w:ascii="Arial" w:cs="Arial" w:eastAsia="Arial" w:hAnsi="Arial"/>
                <w:sz w:val="14"/>
                <w:szCs w:val="14"/>
                <w:b w:val="1"/>
                <w:bCs w:val="1"/>
                <w:color w:val="003B71"/>
              </w:rPr>
              <w:t>Name of Beneficial Owner</w:t>
            </w:r>
          </w:p>
        </w:tc>
        <w:tc>
          <w:tcPr>
            <w:tcW w:w="2580" w:type="dxa"/>
            <w:vAlign w:val="bottom"/>
          </w:tcPr>
          <w:p>
            <w:pPr>
              <w:jc w:val="center"/>
              <w:ind w:left="1008"/>
              <w:spacing w:after="0"/>
              <w:rPr>
                <w:sz w:val="20"/>
                <w:szCs w:val="20"/>
                <w:color w:val="auto"/>
              </w:rPr>
            </w:pPr>
            <w:r>
              <w:rPr>
                <w:rFonts w:ascii="Arial" w:cs="Arial" w:eastAsia="Arial" w:hAnsi="Arial"/>
                <w:sz w:val="14"/>
                <w:szCs w:val="14"/>
                <w:b w:val="1"/>
                <w:bCs w:val="1"/>
                <w:color w:val="003B71"/>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B71"/>
                <w:w w:val="99"/>
              </w:rPr>
              <w:t>(#)(1)</w:t>
            </w: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003B71"/>
              </w:rPr>
              <w: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w:t>
            </w:r>
          </w:p>
        </w:tc>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003B7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196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5% Stockholders</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5720" w:type="dxa"/>
            <w:vAlign w:val="bottom"/>
          </w:tcPr>
          <w:p>
            <w:pPr>
              <w:ind w:left="360"/>
              <w:spacing w:after="0"/>
              <w:rPr>
                <w:sz w:val="20"/>
                <w:szCs w:val="20"/>
                <w:color w:val="auto"/>
              </w:rPr>
            </w:pPr>
            <w:r>
              <w:rPr>
                <w:rFonts w:ascii="Arial" w:cs="Arial" w:eastAsia="Arial" w:hAnsi="Arial"/>
                <w:sz w:val="16"/>
                <w:szCs w:val="16"/>
                <w:color w:val="auto"/>
              </w:rPr>
              <w:t>Janus Henderson Group PLC</w:t>
            </w:r>
            <w:r>
              <w:rPr>
                <w:rFonts w:ascii="Arial" w:cs="Arial" w:eastAsia="Arial" w:hAnsi="Arial"/>
                <w:sz w:val="27"/>
                <w:szCs w:val="27"/>
                <w:color w:val="auto"/>
                <w:vertAlign w:val="superscript"/>
              </w:rPr>
              <w:t>(2)</w:t>
            </w:r>
          </w:p>
        </w:tc>
        <w:tc>
          <w:tcPr>
            <w:tcW w:w="4120" w:type="dxa"/>
            <w:vAlign w:val="bottom"/>
          </w:tcPr>
          <w:p>
            <w:pPr>
              <w:jc w:val="right"/>
              <w:ind w:right="259"/>
              <w:spacing w:after="0"/>
              <w:rPr>
                <w:sz w:val="20"/>
                <w:szCs w:val="20"/>
                <w:color w:val="auto"/>
              </w:rPr>
            </w:pPr>
            <w:r>
              <w:rPr>
                <w:rFonts w:ascii="Arial" w:cs="Arial" w:eastAsia="Arial" w:hAnsi="Arial"/>
                <w:sz w:val="16"/>
                <w:szCs w:val="16"/>
                <w:color w:val="auto"/>
              </w:rPr>
              <w:t>9,641,807</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12.2%</w:t>
            </w:r>
          </w:p>
        </w:tc>
      </w:tr>
      <w:tr>
        <w:trPr>
          <w:trHeight w:val="310"/>
        </w:trPr>
        <w:tc>
          <w:tcPr>
            <w:tcW w:w="5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7"/>
                <w:szCs w:val="27"/>
                <w:color w:val="auto"/>
                <w:vertAlign w:val="superscript"/>
              </w:rPr>
              <w:t>(3)</w:t>
            </w:r>
          </w:p>
        </w:tc>
        <w:tc>
          <w:tcPr>
            <w:tcW w:w="4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9,408,350</w:t>
            </w: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11.9%</w:t>
            </w: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Officers and Directors</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Dan H. Arnold</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171,260</w:t>
            </w: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411,802</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583,062</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101"/>
        </w:trPr>
        <w:tc>
          <w:tcPr>
            <w:tcW w:w="46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6"/>
        </w:trPr>
        <w:tc>
          <w:tcPr>
            <w:tcW w:w="4640" w:type="dxa"/>
            <w:vAlign w:val="bottom"/>
          </w:tcPr>
          <w:p>
            <w:pPr>
              <w:ind w:left="360"/>
              <w:spacing w:after="0"/>
              <w:rPr>
                <w:sz w:val="20"/>
                <w:szCs w:val="20"/>
                <w:color w:val="auto"/>
              </w:rPr>
            </w:pPr>
            <w:r>
              <w:rPr>
                <w:rFonts w:ascii="Arial" w:cs="Arial" w:eastAsia="Arial" w:hAnsi="Arial"/>
                <w:sz w:val="16"/>
                <w:szCs w:val="16"/>
                <w:color w:val="auto"/>
              </w:rPr>
              <w:t>Matthew J. Audette</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8,086</w:t>
            </w:r>
          </w:p>
        </w:tc>
        <w:tc>
          <w:tcPr>
            <w:tcW w:w="520" w:type="dxa"/>
            <w:vAlign w:val="bottom"/>
          </w:tcPr>
          <w:p>
            <w:pPr>
              <w:spacing w:after="0"/>
              <w:rPr>
                <w:sz w:val="17"/>
                <w:szCs w:val="17"/>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178,052</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186,138</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74"/>
        </w:trPr>
        <w:tc>
          <w:tcPr>
            <w:tcW w:w="4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96"/>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Scott Seese</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14,660</w:t>
            </w: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12,665</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27,325</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101"/>
        </w:trPr>
        <w:tc>
          <w:tcPr>
            <w:tcW w:w="46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6"/>
        </w:trPr>
        <w:tc>
          <w:tcPr>
            <w:tcW w:w="4640" w:type="dxa"/>
            <w:vAlign w:val="bottom"/>
          </w:tcPr>
          <w:p>
            <w:pPr>
              <w:ind w:left="360"/>
              <w:spacing w:after="0"/>
              <w:rPr>
                <w:sz w:val="20"/>
                <w:szCs w:val="20"/>
                <w:color w:val="auto"/>
              </w:rPr>
            </w:pPr>
            <w:r>
              <w:rPr>
                <w:rFonts w:ascii="Arial" w:cs="Arial" w:eastAsia="Arial" w:hAnsi="Arial"/>
                <w:sz w:val="16"/>
                <w:szCs w:val="16"/>
                <w:color w:val="auto"/>
              </w:rPr>
              <w:t>Dayton Semerjian</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3,483</w:t>
            </w:r>
          </w:p>
        </w:tc>
        <w:tc>
          <w:tcPr>
            <w:tcW w:w="520" w:type="dxa"/>
            <w:vAlign w:val="bottom"/>
          </w:tcPr>
          <w:p>
            <w:pPr>
              <w:spacing w:after="0"/>
              <w:rPr>
                <w:sz w:val="17"/>
                <w:szCs w:val="17"/>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3,483</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73"/>
        </w:trPr>
        <w:tc>
          <w:tcPr>
            <w:tcW w:w="4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97"/>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Richard Steinmeier</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5,418</w:t>
            </w: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2,452</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7,870</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100"/>
        </w:trPr>
        <w:tc>
          <w:tcPr>
            <w:tcW w:w="46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7"/>
        </w:trPr>
        <w:tc>
          <w:tcPr>
            <w:tcW w:w="4640" w:type="dxa"/>
            <w:vAlign w:val="bottom"/>
          </w:tcPr>
          <w:p>
            <w:pPr>
              <w:ind w:left="360"/>
              <w:spacing w:after="0"/>
              <w:rPr>
                <w:sz w:val="20"/>
                <w:szCs w:val="20"/>
                <w:color w:val="auto"/>
              </w:rPr>
            </w:pPr>
            <w:r>
              <w:rPr>
                <w:rFonts w:ascii="Arial" w:cs="Arial" w:eastAsia="Arial" w:hAnsi="Arial"/>
                <w:sz w:val="16"/>
                <w:szCs w:val="16"/>
                <w:color w:val="auto"/>
              </w:rPr>
              <w:t>Edward C. Bernard</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5,000</w:t>
            </w:r>
          </w:p>
        </w:tc>
        <w:tc>
          <w:tcPr>
            <w:tcW w:w="520" w:type="dxa"/>
            <w:vAlign w:val="bottom"/>
          </w:tcPr>
          <w:p>
            <w:pPr>
              <w:spacing w:after="0"/>
              <w:rPr>
                <w:sz w:val="17"/>
                <w:szCs w:val="17"/>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5,000</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73"/>
        </w:trPr>
        <w:tc>
          <w:tcPr>
            <w:tcW w:w="4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97"/>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 Paulett Eberhart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15,854</w:t>
            </w: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15,854</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100"/>
        </w:trPr>
        <w:tc>
          <w:tcPr>
            <w:tcW w:w="46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6"/>
        </w:trPr>
        <w:tc>
          <w:tcPr>
            <w:tcW w:w="4640" w:type="dxa"/>
            <w:vAlign w:val="bottom"/>
          </w:tcPr>
          <w:p>
            <w:pPr>
              <w:ind w:left="360"/>
              <w:spacing w:after="0"/>
              <w:rPr>
                <w:sz w:val="20"/>
                <w:szCs w:val="20"/>
                <w:color w:val="auto"/>
              </w:rPr>
            </w:pPr>
            <w:r>
              <w:rPr>
                <w:rFonts w:ascii="Arial" w:cs="Arial" w:eastAsia="Arial" w:hAnsi="Arial"/>
                <w:sz w:val="16"/>
                <w:szCs w:val="16"/>
                <w:color w:val="auto"/>
              </w:rPr>
              <w:t>William F. Glavin, Jr.</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10,255</w:t>
            </w:r>
          </w:p>
        </w:tc>
        <w:tc>
          <w:tcPr>
            <w:tcW w:w="520" w:type="dxa"/>
            <w:vAlign w:val="bottom"/>
          </w:tcPr>
          <w:p>
            <w:pPr>
              <w:spacing w:after="0"/>
              <w:rPr>
                <w:sz w:val="17"/>
                <w:szCs w:val="17"/>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2,092</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12,347</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74"/>
        </w:trPr>
        <w:tc>
          <w:tcPr>
            <w:tcW w:w="4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96"/>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Allison H. Mnookin</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4,205</w:t>
            </w: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4,205</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101"/>
        </w:trPr>
        <w:tc>
          <w:tcPr>
            <w:tcW w:w="46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6"/>
        </w:trPr>
        <w:tc>
          <w:tcPr>
            <w:tcW w:w="4640" w:type="dxa"/>
            <w:vAlign w:val="bottom"/>
          </w:tcPr>
          <w:p>
            <w:pPr>
              <w:ind w:left="360"/>
              <w:spacing w:after="0"/>
              <w:rPr>
                <w:sz w:val="20"/>
                <w:szCs w:val="20"/>
                <w:color w:val="auto"/>
              </w:rPr>
            </w:pPr>
            <w:r>
              <w:rPr>
                <w:rFonts w:ascii="Arial" w:cs="Arial" w:eastAsia="Arial" w:hAnsi="Arial"/>
                <w:sz w:val="16"/>
                <w:szCs w:val="16"/>
                <w:color w:val="auto"/>
              </w:rPr>
              <w:t>Anne M. Mulcahy</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25,947</w:t>
            </w:r>
          </w:p>
        </w:tc>
        <w:tc>
          <w:tcPr>
            <w:tcW w:w="520" w:type="dxa"/>
            <w:vAlign w:val="bottom"/>
          </w:tcPr>
          <w:p>
            <w:pPr>
              <w:spacing w:after="0"/>
              <w:rPr>
                <w:sz w:val="17"/>
                <w:szCs w:val="17"/>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25,947</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74"/>
        </w:trPr>
        <w:tc>
          <w:tcPr>
            <w:tcW w:w="4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97"/>
        </w:trPr>
        <w:tc>
          <w:tcPr>
            <w:tcW w:w="4640" w:type="dxa"/>
            <w:vAlign w:val="bottom"/>
            <w:shd w:val="clear" w:color="auto" w:fill="CCEEFF"/>
          </w:tcPr>
          <w:p>
            <w:pPr>
              <w:ind w:left="360"/>
              <w:spacing w:after="0" w:line="297" w:lineRule="exact"/>
              <w:rPr>
                <w:sz w:val="20"/>
                <w:szCs w:val="20"/>
                <w:color w:val="auto"/>
              </w:rPr>
            </w:pPr>
            <w:r>
              <w:rPr>
                <w:rFonts w:ascii="Arial" w:cs="Arial" w:eastAsia="Arial" w:hAnsi="Arial"/>
                <w:sz w:val="16"/>
                <w:szCs w:val="16"/>
                <w:color w:val="auto"/>
              </w:rPr>
              <w:t>James S. Putnam</w:t>
            </w:r>
            <w:r>
              <w:rPr>
                <w:rFonts w:ascii="Arial" w:cs="Arial" w:eastAsia="Arial" w:hAnsi="Arial"/>
                <w:sz w:val="27"/>
                <w:szCs w:val="27"/>
                <w:color w:val="auto"/>
                <w:vertAlign w:val="superscript"/>
              </w:rPr>
              <w:t>(4)</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127,064</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(4 )</w:t>
            </w: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127,064</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324"/>
        </w:trPr>
        <w:tc>
          <w:tcPr>
            <w:tcW w:w="4640" w:type="dxa"/>
            <w:vAlign w:val="bottom"/>
          </w:tcPr>
          <w:p>
            <w:pPr>
              <w:ind w:left="360"/>
              <w:spacing w:after="0"/>
              <w:rPr>
                <w:sz w:val="20"/>
                <w:szCs w:val="20"/>
                <w:color w:val="auto"/>
              </w:rPr>
            </w:pPr>
            <w:r>
              <w:rPr>
                <w:rFonts w:ascii="Arial" w:cs="Arial" w:eastAsia="Arial" w:hAnsi="Arial"/>
                <w:sz w:val="16"/>
                <w:szCs w:val="16"/>
                <w:color w:val="auto"/>
              </w:rPr>
              <w:t>James Riepe</w:t>
            </w:r>
            <w:r>
              <w:rPr>
                <w:rFonts w:ascii="Arial" w:cs="Arial" w:eastAsia="Arial" w:hAnsi="Arial"/>
                <w:sz w:val="27"/>
                <w:szCs w:val="27"/>
                <w:color w:val="auto"/>
                <w:vertAlign w:val="superscript"/>
              </w:rPr>
              <w:t>(5)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129,084</w:t>
            </w:r>
          </w:p>
        </w:tc>
        <w:tc>
          <w:tcPr>
            <w:tcW w:w="520" w:type="dxa"/>
            <w:vAlign w:val="bottom"/>
          </w:tcPr>
          <w:p>
            <w:pPr>
              <w:jc w:val="right"/>
              <w:ind w:right="71"/>
              <w:spacing w:after="0"/>
              <w:rPr>
                <w:sz w:val="20"/>
                <w:szCs w:val="20"/>
                <w:color w:val="auto"/>
              </w:rPr>
            </w:pPr>
            <w:r>
              <w:rPr>
                <w:rFonts w:ascii="Arial" w:cs="Arial" w:eastAsia="Arial" w:hAnsi="Arial"/>
                <w:sz w:val="14"/>
                <w:szCs w:val="14"/>
                <w:color w:val="auto"/>
              </w:rPr>
              <w:t>(5 )</w:t>
            </w: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2,092</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131,176</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196"/>
        </w:trPr>
        <w:tc>
          <w:tcPr>
            <w:tcW w:w="4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Richard P. Schifter</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42,634</w:t>
            </w: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2,092</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44,726</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r>
      <w:tr>
        <w:trPr>
          <w:trHeight w:val="74"/>
        </w:trPr>
        <w:tc>
          <w:tcPr>
            <w:tcW w:w="46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6"/>
                <w:szCs w:val="16"/>
                <w:color w:val="auto"/>
              </w:rPr>
              <w:t>Corey E. Thomas</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1,078</w:t>
            </w:r>
          </w:p>
        </w:tc>
        <w:tc>
          <w:tcPr>
            <w:tcW w:w="520" w:type="dxa"/>
            <w:vAlign w:val="bottom"/>
          </w:tcPr>
          <w:p>
            <w:pPr>
              <w:spacing w:after="0"/>
              <w:rPr>
                <w:sz w:val="19"/>
                <w:szCs w:val="19"/>
                <w:color w:val="auto"/>
              </w:rPr>
            </w:pPr>
          </w:p>
        </w:tc>
        <w:tc>
          <w:tcPr>
            <w:tcW w:w="1620" w:type="dxa"/>
            <w:vAlign w:val="bottom"/>
          </w:tcPr>
          <w:p>
            <w:pPr>
              <w:jc w:val="right"/>
              <w:ind w:right="679"/>
              <w:spacing w:after="0"/>
              <w:rPr>
                <w:sz w:val="20"/>
                <w:szCs w:val="20"/>
                <w:color w:val="auto"/>
              </w:rPr>
            </w:pPr>
            <w:r>
              <w:rPr>
                <w:rFonts w:ascii="Arial" w:cs="Arial" w:eastAsia="Arial" w:hAnsi="Arial"/>
                <w:sz w:val="16"/>
                <w:szCs w:val="16"/>
                <w:color w:val="auto"/>
              </w:rPr>
              <w:t>2,092</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3,170</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101"/>
        </w:trPr>
        <w:tc>
          <w:tcPr>
            <w:tcW w:w="4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9"/>
        </w:trPr>
        <w:tc>
          <w:tcPr>
            <w:tcW w:w="4640" w:type="dxa"/>
            <w:vAlign w:val="bottom"/>
            <w:tcBorders>
              <w:bottom w:val="single" w:sz="8" w:color="003B71"/>
            </w:tcBorders>
            <w:shd w:val="clear" w:color="auto" w:fill="CCEEFF"/>
          </w:tcPr>
          <w:p>
            <w:pPr>
              <w:ind w:left="360"/>
              <w:spacing w:after="0"/>
              <w:rPr>
                <w:sz w:val="20"/>
                <w:szCs w:val="20"/>
                <w:color w:val="auto"/>
              </w:rPr>
            </w:pPr>
            <w:r>
              <w:rPr>
                <w:rFonts w:ascii="Arial" w:cs="Arial" w:eastAsia="Arial" w:hAnsi="Arial"/>
                <w:sz w:val="16"/>
                <w:szCs w:val="16"/>
                <w:color w:val="auto"/>
              </w:rPr>
              <w:t>All current directors and executive officers as a group</w:t>
            </w:r>
          </w:p>
        </w:tc>
        <w:tc>
          <w:tcPr>
            <w:tcW w:w="1240" w:type="dxa"/>
            <w:vAlign w:val="bottom"/>
            <w:tcBorders>
              <w:bottom w:val="single" w:sz="8" w:color="003B71"/>
            </w:tcBorders>
            <w:shd w:val="clear" w:color="auto" w:fill="CCEEFF"/>
          </w:tcPr>
          <w:p>
            <w:pPr>
              <w:jc w:val="right"/>
              <w:ind w:right="99"/>
              <w:spacing w:after="0"/>
              <w:rPr>
                <w:sz w:val="20"/>
                <w:szCs w:val="20"/>
                <w:color w:val="auto"/>
              </w:rPr>
            </w:pPr>
            <w:r>
              <w:rPr>
                <w:rFonts w:ascii="Arial" w:cs="Arial" w:eastAsia="Arial" w:hAnsi="Arial"/>
                <w:sz w:val="16"/>
                <w:szCs w:val="16"/>
                <w:color w:val="auto"/>
              </w:rPr>
              <w:t>630,367</w:t>
            </w:r>
          </w:p>
        </w:tc>
        <w:tc>
          <w:tcPr>
            <w:tcW w:w="520" w:type="dxa"/>
            <w:vAlign w:val="bottom"/>
            <w:tcBorders>
              <w:bottom w:val="single" w:sz="8" w:color="003B71"/>
            </w:tcBorders>
            <w:shd w:val="clear" w:color="auto" w:fill="CCEEFF"/>
          </w:tcPr>
          <w:p>
            <w:pPr>
              <w:spacing w:after="0"/>
              <w:rPr>
                <w:sz w:val="18"/>
                <w:szCs w:val="18"/>
                <w:color w:val="auto"/>
              </w:rPr>
            </w:pPr>
          </w:p>
        </w:tc>
        <w:tc>
          <w:tcPr>
            <w:tcW w:w="1620" w:type="dxa"/>
            <w:vAlign w:val="bottom"/>
            <w:tcBorders>
              <w:bottom w:val="single" w:sz="8" w:color="003B71"/>
            </w:tcBorders>
            <w:shd w:val="clear" w:color="auto" w:fill="CCEEFF"/>
          </w:tcPr>
          <w:p>
            <w:pPr>
              <w:jc w:val="right"/>
              <w:ind w:right="679"/>
              <w:spacing w:after="0"/>
              <w:rPr>
                <w:sz w:val="20"/>
                <w:szCs w:val="20"/>
                <w:color w:val="auto"/>
              </w:rPr>
            </w:pPr>
            <w:r>
              <w:rPr>
                <w:rFonts w:ascii="Arial" w:cs="Arial" w:eastAsia="Arial" w:hAnsi="Arial"/>
                <w:sz w:val="16"/>
                <w:szCs w:val="16"/>
                <w:color w:val="auto"/>
              </w:rPr>
              <w:t>1,211,186</w:t>
            </w:r>
          </w:p>
        </w:tc>
        <w:tc>
          <w:tcPr>
            <w:tcW w:w="1860" w:type="dxa"/>
            <w:vAlign w:val="bottom"/>
            <w:tcBorders>
              <w:bottom w:val="single" w:sz="8" w:color="003B71"/>
            </w:tcBorders>
            <w:shd w:val="clear" w:color="auto" w:fill="CCEEFF"/>
          </w:tcPr>
          <w:p>
            <w:pPr>
              <w:jc w:val="right"/>
              <w:ind w:right="299"/>
              <w:spacing w:after="0"/>
              <w:rPr>
                <w:sz w:val="20"/>
                <w:szCs w:val="20"/>
                <w:color w:val="auto"/>
              </w:rPr>
            </w:pPr>
            <w:r>
              <w:rPr>
                <w:rFonts w:ascii="Arial" w:cs="Arial" w:eastAsia="Arial" w:hAnsi="Arial"/>
                <w:sz w:val="16"/>
                <w:szCs w:val="16"/>
                <w:color w:val="auto"/>
              </w:rPr>
              <w:t>1,840,053</w:t>
            </w:r>
          </w:p>
        </w:tc>
        <w:tc>
          <w:tcPr>
            <w:tcW w:w="1140" w:type="dxa"/>
            <w:vAlign w:val="bottom"/>
            <w:tcBorders>
              <w:bottom w:val="single" w:sz="8" w:color="003B71"/>
            </w:tcBorders>
            <w:shd w:val="clear" w:color="auto" w:fill="CCEEFF"/>
          </w:tcPr>
          <w:p>
            <w:pPr>
              <w:jc w:val="right"/>
              <w:ind w:right="299"/>
              <w:spacing w:after="0"/>
              <w:rPr>
                <w:sz w:val="20"/>
                <w:szCs w:val="20"/>
                <w:color w:val="auto"/>
              </w:rPr>
            </w:pPr>
            <w:r>
              <w:rPr>
                <w:rFonts w:ascii="Arial" w:cs="Arial" w:eastAsia="Arial" w:hAnsi="Arial"/>
                <w:sz w:val="16"/>
                <w:szCs w:val="16"/>
                <w:color w:val="auto"/>
              </w:rPr>
              <w:t>2.3%</w:t>
            </w:r>
          </w:p>
        </w:tc>
      </w:tr>
    </w:tbl>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Less than 1%</w:t>
      </w:r>
    </w:p>
    <w:p>
      <w:pPr>
        <w:spacing w:after="0" w:line="73" w:lineRule="exact"/>
        <w:rPr>
          <w:sz w:val="20"/>
          <w:szCs w:val="20"/>
          <w:color w:val="auto"/>
        </w:rPr>
      </w:pPr>
    </w:p>
    <w:p>
      <w:pPr>
        <w:ind w:left="540" w:right="20" w:hanging="424"/>
        <w:spacing w:after="0" w:line="260"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Common Stock which the named individual or group has the right to acquire through (i) the exercise of vested stock options and (ii) the vesting of RSUs, the vesting of deferred stock units and/or the vesting and exercise of stock options within 60 days of March 9, 2020.</w:t>
      </w:r>
    </w:p>
    <w:p>
      <w:pPr>
        <w:sectPr>
          <w:pgSz w:w="11900" w:h="16838" w:orient="portrait"/>
          <w:cols w:equalWidth="0" w:num="1">
            <w:col w:w="11140"/>
          </w:cols>
          <w:pgMar w:left="320" w:top="459" w:right="439" w:bottom="1440" w:gutter="0" w:footer="0" w:header="0"/>
          <w:type w:val="continuous"/>
        </w:sectPr>
      </w:pPr>
    </w:p>
    <w:p>
      <w:pPr>
        <w:spacing w:after="0" w:line="125"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Security Ownership of Certain Beneficial Owners and</w:t>
      </w:r>
    </w:p>
    <w:p>
      <w:pPr>
        <w:spacing w:after="0" w:line="10"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p>
      <w:pPr>
        <w:jc w:val="both"/>
        <w:ind w:left="540" w:right="20" w:hanging="424"/>
        <w:spacing w:after="0" w:line="247"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shares of Common Stock held by Janus Henderson Group PLC (“Janus Henderson”). Janus Henderson has an indirect 97% ownership stake in Intech Investment Management LLC (“Intech”) and a 100% ownership stake in Janus Capital Management LLC (“JCM”), Perkins Investment Management LLC, Geneva Capital Management LLC, Henderson Global Investors Limited and Janus Henderson Investors Australia Institutional Funds Management Limited (each an “Asset Manager” and collectively as the “Asset Managers”). Due to the above ownership structure, holdings for the Asset Managers are aggregated. Each Asset Manager is an investment adviser registered or authorized in its relevant jurisdiction and each furnishes investment advice to various fund, individual and/or institutional clients (collectively, “Managed Portfolios”). As a result of its role as investment adviser or sub-adviser to the Managed Portfolios, JCM may be deemed to be the beneficial owner of 9,607,660 shares held by such Managed Portfolios. However, JCM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34,147 shares held by such Managed Portfolios. However, Intech does not have the right to receive any dividends from, or the proceeds from the sale of, the securities held in the Managed Portfolios and disclaims any ownership associated with such rights. The interest of Janus Henderson Enterprise Fund, an investment company registered under the Investment Company Act of 1940, amounted to 4,357,313 shares. This information is based on a Schedule 13G/A filed on February 13, 2020 with the SEC. The address of Janus Henderson is 201 Bishopsgate EC2M 3AE, United Kingdom.</w:t>
      </w:r>
    </w:p>
    <w:p>
      <w:pPr>
        <w:spacing w:after="0" w:line="62"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shares of Common Stock held by The Vanguard Group, Inc. Vanguard Fiduciary Trust Company, a wholly-owned subsidiary of The Vanguard Group, Inc., is the beneficial owner of 35,884 shares, and Vanguard Investments Australia, LTD., a wholly-owned subsidiary of The Vanguard Group, Inc., is the beneficial owner of 25,484 shares. This information is based on a Schedule 13G/A filed on February 10, 2020 with the SEC. The address of The Vanguard Group, Inc. is 100 Vanguard Blvd., Malvern, PA 19355.</w:t>
      </w:r>
    </w:p>
    <w:p>
      <w:pPr>
        <w:spacing w:after="0" w:line="53"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Mr. Putnam holds 114,160.5 shares of Common Stock through James S. Putnam TTEE for Putnam Family Trust Dated 1699 Separate Property Trust.</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95,205 shares of Common Stock held directly and (ii) 35,971 shares of Common Stock held through Stone Barn, LLC.</w:t>
      </w:r>
    </w:p>
    <w:p>
      <w:pPr>
        <w:sectPr>
          <w:pgSz w:w="11900" w:h="16838" w:orient="portrait"/>
          <w:cols w:equalWidth="0" w:num="1">
            <w:col w:w="11140"/>
          </w:cols>
          <w:pgMar w:left="320" w:top="459" w:right="439" w:bottom="1440" w:gutter="0" w:footer="0" w:header="0"/>
        </w:sectPr>
      </w:pPr>
    </w:p>
    <w:p>
      <w:pPr>
        <w:spacing w:after="0" w:line="129"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003B71"/>
        </w:rPr>
        <w:t>63</w:t>
      </w:r>
    </w:p>
    <w:p>
      <w:pPr>
        <w:sectPr>
          <w:pgSz w:w="11900" w:h="16838" w:orient="portrait"/>
          <w:cols w:equalWidth="0" w:num="2">
            <w:col w:w="10400" w:space="540"/>
            <w:col w:w="20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60"/>
        <w:spacing w:after="0"/>
        <w:rPr>
          <w:sz w:val="20"/>
          <w:szCs w:val="20"/>
          <w:color w:val="auto"/>
        </w:rPr>
      </w:pPr>
      <w:r>
        <w:rPr>
          <w:rFonts w:ascii="Arial" w:cs="Arial" w:eastAsia="Arial" w:hAnsi="Arial"/>
          <w:sz w:val="19"/>
          <w:szCs w:val="19"/>
          <w:b w:val="1"/>
          <w:bCs w:val="1"/>
          <w:color w:val="003B71"/>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Certain Relationships and Related Party Transactions</w:t>
      </w:r>
    </w:p>
    <w:p>
      <w:pPr>
        <w:sectPr>
          <w:pgSz w:w="11900" w:h="16838" w:orient="portrait"/>
          <w:cols w:equalWidth="0" w:num="1">
            <w:col w:w="11140"/>
          </w:cols>
          <w:pgMar w:left="320" w:top="459" w:right="439" w:bottom="1440" w:gutter="0" w:footer="0" w:header="0"/>
        </w:sectPr>
      </w:pPr>
    </w:p>
    <w:p>
      <w:pPr>
        <w:spacing w:after="0" w:line="292" w:lineRule="exact"/>
        <w:rPr>
          <w:sz w:val="20"/>
          <w:szCs w:val="20"/>
          <w:color w:val="auto"/>
        </w:rPr>
      </w:pPr>
    </w:p>
    <w:p>
      <w:pPr>
        <w:ind w:left="120" w:right="280"/>
        <w:spacing w:after="0" w:line="257" w:lineRule="auto"/>
        <w:rPr>
          <w:sz w:val="20"/>
          <w:szCs w:val="20"/>
          <w:color w:val="auto"/>
        </w:rPr>
      </w:pPr>
      <w:r>
        <w:rPr>
          <w:rFonts w:ascii="Arial" w:cs="Arial" w:eastAsia="Arial" w:hAnsi="Arial"/>
          <w:sz w:val="20"/>
          <w:szCs w:val="20"/>
          <w:b w:val="1"/>
          <w:bCs w:val="1"/>
          <w:color w:val="003B71"/>
        </w:rPr>
        <w:t>Review, Approval or Ratification of Transactions with Related Persons</w:t>
      </w:r>
    </w:p>
    <w:p>
      <w:pPr>
        <w:spacing w:after="0" w:line="7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accordance with the charter of the Audit Committee and our written policy, the Audit Committee is responsible for reviewing and approving related party transactions. If it is not feasible to approve related party transactions in advance, the Audit Committee is permitted to ratify such transactions after the Company has entered into them, subject to the procedures and considerations described below.</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64" w:lineRule="exact"/>
        <w:rPr>
          <w:sz w:val="20"/>
          <w:szCs w:val="20"/>
          <w:color w:val="auto"/>
        </w:rPr>
      </w:pPr>
    </w:p>
    <w:p>
      <w:pPr>
        <w:ind w:left="480"/>
        <w:spacing w:after="0" w:line="246" w:lineRule="auto"/>
        <w:rPr>
          <w:sz w:val="20"/>
          <w:szCs w:val="20"/>
          <w:color w:val="auto"/>
        </w:rPr>
      </w:pPr>
      <w:r>
        <w:rPr>
          <w:rFonts w:ascii="Arial" w:cs="Arial" w:eastAsia="Arial" w:hAnsi="Arial"/>
          <w:sz w:val="18"/>
          <w:szCs w:val="18"/>
          <w:color w:val="auto"/>
        </w:rPr>
        <w:t>the aggregate amount involved exceeds or is expected to exceed $120,000;</w:t>
      </w:r>
    </w:p>
    <w:p>
      <w:pPr>
        <w:spacing w:after="0" w:line="102" w:lineRule="exact"/>
        <w:rPr>
          <w:sz w:val="20"/>
          <w:szCs w:val="20"/>
          <w:color w:val="auto"/>
        </w:rPr>
      </w:pPr>
    </w:p>
    <w:p>
      <w:pPr>
        <w:ind w:left="120" w:right="160" w:firstLine="364"/>
        <w:spacing w:after="0" w:line="380" w:lineRule="auto"/>
        <w:rPr>
          <w:sz w:val="20"/>
          <w:szCs w:val="20"/>
          <w:color w:val="auto"/>
        </w:rPr>
      </w:pPr>
      <w:r>
        <w:rPr>
          <w:rFonts w:ascii="Arial" w:cs="Arial" w:eastAsia="Arial" w:hAnsi="Arial"/>
          <w:sz w:val="18"/>
          <w:szCs w:val="18"/>
          <w:color w:val="auto"/>
        </w:rPr>
        <w:t>the Company or any of its subsidiaries is a participant; and a related person has or will have a direct or indirect interest. A related person is:</w:t>
      </w:r>
    </w:p>
    <w:p>
      <w:pPr>
        <w:spacing w:after="0" w:line="2"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any person who is, or at any time since the beginning of our last fiscal year was, a director or executive officer of the Company, or a nominee for election as a director of the Company;</w:t>
      </w:r>
    </w:p>
    <w:p>
      <w:pPr>
        <w:spacing w:after="0" w:line="110"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any beneficial owner of more than five percent of our Common Stock; or</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immediate family member of the foregoing persons.</w:t>
      </w:r>
    </w:p>
    <w:p>
      <w:pPr>
        <w:spacing w:after="0" w:line="27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Audit Committee is provided with the material facts of all transactions that require the Audit Committee’s approval under the policy. In determining whether to approve or ratify a particular transaction, the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Under the policy, a director is not permitted to participate in any discussion or approval of a transaction for which he or she (or an immediate family member) is the related person, and such director must provide the Audit Committee with all material information concerning the transaction. If an</w:t>
      </w:r>
    </w:p>
    <w:p>
      <w:pPr>
        <w:spacing w:after="0" w:line="261" w:lineRule="exact"/>
        <w:rPr>
          <w:sz w:val="20"/>
          <w:szCs w:val="20"/>
          <w:color w:val="auto"/>
        </w:rPr>
      </w:pPr>
    </w:p>
    <w:p>
      <w:pPr>
        <w:ind w:left="960" w:hanging="700"/>
        <w:spacing w:after="0"/>
        <w:tabs>
          <w:tab w:leader="none" w:pos="960" w:val="left"/>
        </w:tabs>
        <w:numPr>
          <w:ilvl w:val="0"/>
          <w:numId w:val="84"/>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approved transaction is ongoing, the Audit Committee may establish guidelines for management to follow in its dealings with such person and will annually review and assess compliance with such guidelines, and whether the transaction remains appropriate for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3B71"/>
        </w:rPr>
        <w:t>Business Transactions with Certain Stockholders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Janus Henderson Group PLC (“Janus”) considered itself the direct or indirect beneficial owner of more than five percent of our Common Stock during 2019. The Company has entered into certain agreements in the ordinary course of business with affiliates of Janus and during the year ended December 31, 2019 received revenue of approximately $3.7 million under such agreements.</w:t>
      </w:r>
    </w:p>
    <w:p>
      <w:pPr>
        <w:sectPr>
          <w:pgSz w:w="11900" w:h="16838" w:orient="portrait"/>
          <w:cols w:equalWidth="0" w:num="2">
            <w:col w:w="5400" w:space="340"/>
            <w:col w:w="540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300"/>
        <w:spacing w:after="0"/>
        <w:rPr>
          <w:sz w:val="20"/>
          <w:szCs w:val="20"/>
          <w:color w:val="auto"/>
        </w:rPr>
      </w:pPr>
      <w:r>
        <w:rPr>
          <w:rFonts w:ascii="Arial" w:cs="Arial" w:eastAsia="Arial" w:hAnsi="Arial"/>
          <w:sz w:val="20"/>
          <w:szCs w:val="20"/>
          <w:b w:val="1"/>
          <w:bCs w:val="1"/>
          <w:color w:val="003B71"/>
        </w:rPr>
        <w:t>Proposal 2: Ratification of the Appointment of Deloitte &amp; Touche</w:t>
      </w:r>
    </w:p>
    <w:p>
      <w:pPr>
        <w:jc w:val="right"/>
        <w:ind w:right="240"/>
        <w:spacing w:after="0" w:line="235" w:lineRule="auto"/>
        <w:rPr>
          <w:sz w:val="20"/>
          <w:szCs w:val="20"/>
          <w:color w:val="auto"/>
        </w:rPr>
      </w:pPr>
      <w:r>
        <w:rPr>
          <w:rFonts w:ascii="Arial" w:cs="Arial" w:eastAsia="Arial" w:hAnsi="Arial"/>
          <w:sz w:val="20"/>
          <w:szCs w:val="20"/>
          <w:b w:val="1"/>
          <w:bCs w:val="1"/>
          <w:color w:val="003B71"/>
        </w:rPr>
        <w:t>LLP</w:t>
      </w:r>
    </w:p>
    <w:p>
      <w:pPr>
        <w:jc w:val="right"/>
        <w:ind w:right="240"/>
        <w:spacing w:after="0" w:line="226" w:lineRule="auto"/>
        <w:rPr>
          <w:sz w:val="20"/>
          <w:szCs w:val="20"/>
          <w:color w:val="auto"/>
        </w:rPr>
      </w:pPr>
      <w:r>
        <w:rPr>
          <w:rFonts w:ascii="Arial" w:cs="Arial" w:eastAsia="Arial" w:hAnsi="Arial"/>
          <w:sz w:val="20"/>
          <w:szCs w:val="20"/>
          <w:b w:val="1"/>
          <w:bCs w:val="1"/>
          <w:color w:val="003B71"/>
        </w:rPr>
        <w:t>by the Audit Committee of the Board of Directors as Our</w:t>
      </w:r>
    </w:p>
    <w:p>
      <w:pPr>
        <w:jc w:val="right"/>
        <w:ind w:right="240"/>
        <w:spacing w:after="0"/>
        <w:rPr>
          <w:sz w:val="20"/>
          <w:szCs w:val="20"/>
          <w:color w:val="auto"/>
        </w:rPr>
      </w:pPr>
      <w:r>
        <w:rPr>
          <w:rFonts w:ascii="Arial" w:cs="Arial" w:eastAsia="Arial" w:hAnsi="Arial"/>
          <w:sz w:val="20"/>
          <w:szCs w:val="20"/>
          <w:b w:val="1"/>
          <w:bCs w:val="1"/>
          <w:color w:val="003B71"/>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Proposal 2: Ratification of the Appointment of Deloitte &amp; Touche LLP</w:t>
      </w:r>
    </w:p>
    <w:p>
      <w:pPr>
        <w:spacing w:after="0" w:line="6"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003B71"/>
        </w:rPr>
        <w:t>by the Audit Committee of the Board of Directors as</w:t>
      </w:r>
    </w:p>
    <w:p>
      <w:pPr>
        <w:ind w:left="2920"/>
        <w:spacing w:after="0"/>
        <w:rPr>
          <w:sz w:val="20"/>
          <w:szCs w:val="20"/>
          <w:color w:val="auto"/>
        </w:rPr>
      </w:pPr>
      <w:r>
        <w:rPr>
          <w:rFonts w:ascii="Arial" w:cs="Arial" w:eastAsia="Arial" w:hAnsi="Arial"/>
          <w:sz w:val="22"/>
          <w:szCs w:val="22"/>
          <w:b w:val="1"/>
          <w:bCs w:val="1"/>
          <w:color w:val="003B71"/>
        </w:rPr>
        <w:t>Our Independent Registered Public Accounting Firm</w:t>
      </w:r>
    </w:p>
    <w:p>
      <w:pPr>
        <w:sectPr>
          <w:pgSz w:w="11900" w:h="16838" w:orient="portrait"/>
          <w:cols w:equalWidth="0" w:num="1">
            <w:col w:w="11140"/>
          </w:cols>
          <w:pgMar w:left="320" w:top="459" w:right="439" w:bottom="1440" w:gutter="0" w:footer="0" w:header="0"/>
        </w:sectPr>
      </w:pPr>
    </w:p>
    <w:p>
      <w:pPr>
        <w:spacing w:after="0" w:line="29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2020,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Although stockholder ratification of the selection of Deloitte is not required by our bylaws or otherwise, upon the recommendation of the Audit Committee, the Board is submitting the appointment of Deloitte to the stockholders for ratification as a matter of good corporate practice. The Board and the Audit Committee believe they have undertaken appropriate steps with respect to oversight of Deloitte’s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independence and that the continued retention of Deloitte to serve as our independent registered public accounting firm is in the best interests of the Company and its stockholders.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stockholders fail to ratify the appointment, the Audit Committee will reconsider the matter. Even if the appointment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Representatives of Deloitte are expected to be present at the Annual Meeting and will have the opportunity to make a statement and respond to appropriate questions from stockholders.</w:t>
      </w:r>
    </w:p>
    <w:p>
      <w:pPr>
        <w:spacing w:after="0" w:line="388"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3B71"/>
        </w:rPr>
        <w:t>THE BOARD OF DIRECTORS RECOMMENDS A VOTE “FOR” THIS PROPOSAL.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Fees Paid to Independent Registered Public Accounting Firm</w:t>
      </w:r>
    </w:p>
    <w:p>
      <w:pPr>
        <w:spacing w:after="0" w:line="202"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Aggregate fees for professional services rendered by Deloitte as of and for the years ended December 31, 2019 and 2018 were as follows: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8060" w:type="dxa"/>
            <w:vAlign w:val="bottom"/>
          </w:tcPr>
          <w:p>
            <w:pPr>
              <w:spacing w:after="0"/>
              <w:rPr>
                <w:sz w:val="20"/>
                <w:szCs w:val="20"/>
                <w:color w:val="auto"/>
              </w:rPr>
            </w:pPr>
            <w:r>
              <w:rPr>
                <w:rFonts w:ascii="Arial" w:cs="Arial" w:eastAsia="Arial" w:hAnsi="Arial"/>
                <w:sz w:val="16"/>
                <w:szCs w:val="16"/>
                <w:b w:val="1"/>
                <w:bCs w:val="1"/>
                <w:color w:val="003B71"/>
              </w:rPr>
              <w:t>Type of Services</w:t>
            </w:r>
          </w:p>
        </w:tc>
        <w:tc>
          <w:tcPr>
            <w:tcW w:w="360" w:type="dxa"/>
            <w:vAlign w:val="bottom"/>
          </w:tcPr>
          <w:p>
            <w:pPr>
              <w:spacing w:after="0"/>
              <w:rPr>
                <w:sz w:val="22"/>
                <w:szCs w:val="22"/>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003B71"/>
              </w:rPr>
              <w:t>2019</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003B71"/>
              </w:rPr>
              <w:t>2018</w:t>
            </w:r>
          </w:p>
        </w:tc>
      </w:tr>
      <w:tr>
        <w:trPr>
          <w:trHeight w:val="60"/>
        </w:trPr>
        <w:tc>
          <w:tcPr>
            <w:tcW w:w="8060" w:type="dxa"/>
            <w:vAlign w:val="bottom"/>
            <w:tcBorders>
              <w:bottom w:val="single" w:sz="8" w:color="003B71"/>
            </w:tcBorders>
          </w:tcPr>
          <w:p>
            <w:pPr>
              <w:spacing w:after="0"/>
              <w:rPr>
                <w:sz w:val="5"/>
                <w:szCs w:val="5"/>
                <w:color w:val="auto"/>
              </w:rPr>
            </w:pPr>
          </w:p>
        </w:tc>
        <w:tc>
          <w:tcPr>
            <w:tcW w:w="360" w:type="dxa"/>
            <w:vAlign w:val="bottom"/>
            <w:tcBorders>
              <w:bottom w:val="single" w:sz="8" w:color="003B71"/>
            </w:tcBorders>
          </w:tcPr>
          <w:p>
            <w:pPr>
              <w:spacing w:after="0"/>
              <w:rPr>
                <w:sz w:val="5"/>
                <w:szCs w:val="5"/>
                <w:color w:val="auto"/>
              </w:rPr>
            </w:pPr>
          </w:p>
        </w:tc>
        <w:tc>
          <w:tcPr>
            <w:tcW w:w="980" w:type="dxa"/>
            <w:vAlign w:val="bottom"/>
            <w:tcBorders>
              <w:bottom w:val="single" w:sz="8" w:color="003B71"/>
            </w:tcBorders>
          </w:tcPr>
          <w:p>
            <w:pPr>
              <w:spacing w:after="0"/>
              <w:rPr>
                <w:sz w:val="5"/>
                <w:szCs w:val="5"/>
                <w:color w:val="auto"/>
              </w:rPr>
            </w:pPr>
          </w:p>
        </w:tc>
        <w:tc>
          <w:tcPr>
            <w:tcW w:w="260" w:type="dxa"/>
            <w:vAlign w:val="bottom"/>
            <w:tcBorders>
              <w:bottom w:val="single" w:sz="8" w:color="003B71"/>
            </w:tcBorders>
          </w:tcPr>
          <w:p>
            <w:pPr>
              <w:spacing w:after="0"/>
              <w:rPr>
                <w:sz w:val="5"/>
                <w:szCs w:val="5"/>
                <w:color w:val="auto"/>
              </w:rPr>
            </w:pPr>
          </w:p>
        </w:tc>
        <w:tc>
          <w:tcPr>
            <w:tcW w:w="360" w:type="dxa"/>
            <w:vAlign w:val="bottom"/>
            <w:tcBorders>
              <w:bottom w:val="single" w:sz="8" w:color="003B71"/>
            </w:tcBorders>
          </w:tcPr>
          <w:p>
            <w:pPr>
              <w:spacing w:after="0"/>
              <w:rPr>
                <w:sz w:val="5"/>
                <w:szCs w:val="5"/>
                <w:color w:val="auto"/>
              </w:rPr>
            </w:pPr>
          </w:p>
        </w:tc>
        <w:tc>
          <w:tcPr>
            <w:tcW w:w="1000" w:type="dxa"/>
            <w:vAlign w:val="bottom"/>
            <w:tcBorders>
              <w:bottom w:val="single" w:sz="8" w:color="003B71"/>
            </w:tcBorders>
          </w:tcPr>
          <w:p>
            <w:pPr>
              <w:spacing w:after="0"/>
              <w:rPr>
                <w:sz w:val="5"/>
                <w:szCs w:val="5"/>
                <w:color w:val="auto"/>
              </w:rPr>
            </w:pPr>
          </w:p>
        </w:tc>
      </w:tr>
      <w:tr>
        <w:trPr>
          <w:trHeight w:val="237"/>
        </w:trPr>
        <w:tc>
          <w:tcPr>
            <w:tcW w:w="8060" w:type="dxa"/>
            <w:vAlign w:val="bottom"/>
            <w:shd w:val="clear" w:color="auto" w:fill="E3F3F6"/>
          </w:tcPr>
          <w:p>
            <w:pPr>
              <w:spacing w:after="0" w:line="236" w:lineRule="exact"/>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tc>
        <w:tc>
          <w:tcPr>
            <w:tcW w:w="360" w:type="dxa"/>
            <w:vAlign w:val="bottom"/>
            <w:shd w:val="clear" w:color="auto" w:fill="E3F3F6"/>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3F3F6"/>
          </w:tcPr>
          <w:p>
            <w:pPr>
              <w:jc w:val="right"/>
              <w:spacing w:after="0"/>
              <w:rPr>
                <w:sz w:val="20"/>
                <w:szCs w:val="20"/>
                <w:color w:val="auto"/>
              </w:rPr>
            </w:pPr>
            <w:r>
              <w:rPr>
                <w:rFonts w:ascii="Arial" w:cs="Arial" w:eastAsia="Arial" w:hAnsi="Arial"/>
                <w:sz w:val="16"/>
                <w:szCs w:val="16"/>
                <w:color w:val="auto"/>
              </w:rPr>
              <w:t>3,597,000</w:t>
            </w:r>
          </w:p>
        </w:tc>
        <w:tc>
          <w:tcPr>
            <w:tcW w:w="620" w:type="dxa"/>
            <w:vAlign w:val="bottom"/>
            <w:gridSpan w:val="2"/>
            <w:shd w:val="clear" w:color="auto" w:fill="E3F3F6"/>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F3F6"/>
          </w:tcPr>
          <w:p>
            <w:pPr>
              <w:jc w:val="right"/>
              <w:spacing w:after="0"/>
              <w:rPr>
                <w:sz w:val="20"/>
                <w:szCs w:val="20"/>
                <w:color w:val="auto"/>
              </w:rPr>
            </w:pPr>
            <w:r>
              <w:rPr>
                <w:rFonts w:ascii="Arial" w:cs="Arial" w:eastAsia="Arial" w:hAnsi="Arial"/>
                <w:sz w:val="16"/>
                <w:szCs w:val="16"/>
                <w:color w:val="auto"/>
              </w:rPr>
              <w:t>3,587,800</w:t>
            </w:r>
          </w:p>
        </w:tc>
      </w:tr>
      <w:tr>
        <w:trPr>
          <w:trHeight w:val="243"/>
        </w:trPr>
        <w:tc>
          <w:tcPr>
            <w:tcW w:w="8060" w:type="dxa"/>
            <w:vAlign w:val="bottom"/>
          </w:tcPr>
          <w:p>
            <w:pPr>
              <w:spacing w:after="0" w:line="242" w:lineRule="exact"/>
              <w:rPr>
                <w:sz w:val="20"/>
                <w:szCs w:val="20"/>
                <w:color w:val="auto"/>
              </w:rPr>
            </w:pPr>
            <w:r>
              <w:rPr>
                <w:rFonts w:ascii="Arial" w:cs="Arial" w:eastAsia="Arial" w:hAnsi="Arial"/>
                <w:sz w:val="16"/>
                <w:szCs w:val="16"/>
                <w:color w:val="auto"/>
              </w:rPr>
              <w:t>Audit Related Fees</w:t>
            </w:r>
            <w:r>
              <w:rPr>
                <w:rFonts w:ascii="Arial" w:cs="Arial" w:eastAsia="Arial" w:hAnsi="Arial"/>
                <w:sz w:val="27"/>
                <w:szCs w:val="27"/>
                <w:color w:val="auto"/>
                <w:vertAlign w:val="superscript"/>
              </w:rPr>
              <w:t>(2)</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295,000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328,000</w:t>
            </w:r>
          </w:p>
        </w:tc>
      </w:tr>
      <w:tr>
        <w:trPr>
          <w:trHeight w:val="243"/>
        </w:trPr>
        <w:tc>
          <w:tcPr>
            <w:tcW w:w="8060" w:type="dxa"/>
            <w:vAlign w:val="bottom"/>
            <w:shd w:val="clear" w:color="auto" w:fill="E3F3F6"/>
          </w:tcPr>
          <w:p>
            <w:pPr>
              <w:spacing w:after="0" w:line="242"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360" w:type="dxa"/>
            <w:vAlign w:val="bottom"/>
            <w:tcBorders>
              <w:bottom w:val="single" w:sz="8" w:color="7F7F7F"/>
            </w:tcBorders>
            <w:shd w:val="clear" w:color="auto" w:fill="E3F3F6"/>
          </w:tcPr>
          <w:p>
            <w:pPr>
              <w:spacing w:after="0"/>
              <w:rPr>
                <w:sz w:val="21"/>
                <w:szCs w:val="21"/>
                <w:color w:val="auto"/>
              </w:rPr>
            </w:pPr>
          </w:p>
        </w:tc>
        <w:tc>
          <w:tcPr>
            <w:tcW w:w="980" w:type="dxa"/>
            <w:vAlign w:val="bottom"/>
            <w:tcBorders>
              <w:bottom w:val="single" w:sz="8" w:color="7F7F7F"/>
            </w:tcBorders>
            <w:shd w:val="clear" w:color="auto" w:fill="E3F3F6"/>
          </w:tcPr>
          <w:p>
            <w:pPr>
              <w:jc w:val="right"/>
              <w:spacing w:after="0"/>
              <w:rPr>
                <w:sz w:val="20"/>
                <w:szCs w:val="20"/>
                <w:color w:val="auto"/>
              </w:rPr>
            </w:pPr>
            <w:r>
              <w:rPr>
                <w:rFonts w:ascii="Arial" w:cs="Arial" w:eastAsia="Arial" w:hAnsi="Arial"/>
                <w:sz w:val="16"/>
                <w:szCs w:val="16"/>
                <w:color w:val="auto"/>
              </w:rPr>
              <w:t>209,500</w:t>
            </w:r>
          </w:p>
        </w:tc>
        <w:tc>
          <w:tcPr>
            <w:tcW w:w="260" w:type="dxa"/>
            <w:vAlign w:val="bottom"/>
            <w:shd w:val="clear" w:color="auto" w:fill="E3F3F6"/>
          </w:tcPr>
          <w:p>
            <w:pPr>
              <w:spacing w:after="0"/>
              <w:rPr>
                <w:sz w:val="21"/>
                <w:szCs w:val="21"/>
                <w:color w:val="auto"/>
              </w:rPr>
            </w:pPr>
          </w:p>
        </w:tc>
        <w:tc>
          <w:tcPr>
            <w:tcW w:w="360" w:type="dxa"/>
            <w:vAlign w:val="bottom"/>
            <w:tcBorders>
              <w:bottom w:val="single" w:sz="8" w:color="7F7F7F"/>
            </w:tcBorders>
            <w:shd w:val="clear" w:color="auto" w:fill="E3F3F6"/>
          </w:tcPr>
          <w:p>
            <w:pPr>
              <w:spacing w:after="0"/>
              <w:rPr>
                <w:sz w:val="21"/>
                <w:szCs w:val="21"/>
                <w:color w:val="auto"/>
              </w:rPr>
            </w:pPr>
          </w:p>
        </w:tc>
        <w:tc>
          <w:tcPr>
            <w:tcW w:w="1000" w:type="dxa"/>
            <w:vAlign w:val="bottom"/>
            <w:tcBorders>
              <w:bottom w:val="single" w:sz="8" w:color="7F7F7F"/>
            </w:tcBorders>
            <w:shd w:val="clear" w:color="auto" w:fill="E3F3F6"/>
          </w:tcPr>
          <w:p>
            <w:pPr>
              <w:jc w:val="right"/>
              <w:spacing w:after="0"/>
              <w:rPr>
                <w:sz w:val="20"/>
                <w:szCs w:val="20"/>
                <w:color w:val="auto"/>
              </w:rPr>
            </w:pPr>
            <w:r>
              <w:rPr>
                <w:rFonts w:ascii="Arial" w:cs="Arial" w:eastAsia="Arial" w:hAnsi="Arial"/>
                <w:sz w:val="16"/>
                <w:szCs w:val="16"/>
                <w:color w:val="auto"/>
              </w:rPr>
              <w:t>592,500</w:t>
            </w:r>
          </w:p>
        </w:tc>
      </w:tr>
      <w:tr>
        <w:trPr>
          <w:trHeight w:val="190"/>
        </w:trPr>
        <w:tc>
          <w:tcPr>
            <w:tcW w:w="8060" w:type="dxa"/>
            <w:vAlign w:val="bottom"/>
          </w:tcPr>
          <w:p>
            <w:pPr>
              <w:spacing w:after="0" w:line="177" w:lineRule="exact"/>
              <w:rPr>
                <w:sz w:val="20"/>
                <w:szCs w:val="20"/>
                <w:color w:val="auto"/>
              </w:rPr>
            </w:pPr>
            <w:r>
              <w:rPr>
                <w:rFonts w:ascii="Arial" w:cs="Arial" w:eastAsia="Arial" w:hAnsi="Arial"/>
                <w:sz w:val="16"/>
                <w:szCs w:val="16"/>
                <w:color w:val="auto"/>
              </w:rPr>
              <w:t>Total</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4,101,500</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4,508,300</w:t>
            </w:r>
          </w:p>
        </w:tc>
      </w:tr>
      <w:tr>
        <w:trPr>
          <w:trHeight w:val="92"/>
        </w:trPr>
        <w:tc>
          <w:tcPr>
            <w:tcW w:w="8060" w:type="dxa"/>
            <w:vAlign w:val="bottom"/>
          </w:tcPr>
          <w:p>
            <w:pPr>
              <w:spacing w:after="0"/>
              <w:rPr>
                <w:sz w:val="7"/>
                <w:szCs w:val="7"/>
                <w:color w:val="auto"/>
              </w:rPr>
            </w:pPr>
          </w:p>
        </w:tc>
        <w:tc>
          <w:tcPr>
            <w:tcW w:w="360" w:type="dxa"/>
            <w:vAlign w:val="bottom"/>
            <w:tcBorders>
              <w:bottom w:val="single" w:sz="8" w:color="CCD7E2"/>
            </w:tcBorders>
          </w:tcPr>
          <w:p>
            <w:pPr>
              <w:spacing w:after="0"/>
              <w:rPr>
                <w:sz w:val="7"/>
                <w:szCs w:val="7"/>
                <w:color w:val="auto"/>
              </w:rPr>
            </w:pPr>
          </w:p>
        </w:tc>
        <w:tc>
          <w:tcPr>
            <w:tcW w:w="980" w:type="dxa"/>
            <w:vAlign w:val="bottom"/>
            <w:tcBorders>
              <w:bottom w:val="single" w:sz="8" w:color="CCD7E2"/>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CCD7E2"/>
            </w:tcBorders>
          </w:tcPr>
          <w:p>
            <w:pPr>
              <w:spacing w:after="0"/>
              <w:rPr>
                <w:sz w:val="7"/>
                <w:szCs w:val="7"/>
                <w:color w:val="auto"/>
              </w:rPr>
            </w:pPr>
          </w:p>
        </w:tc>
        <w:tc>
          <w:tcPr>
            <w:tcW w:w="1000" w:type="dxa"/>
            <w:vAlign w:val="bottom"/>
            <w:tcBorders>
              <w:bottom w:val="single" w:sz="8" w:color="CCD7E2"/>
            </w:tcBorders>
          </w:tcPr>
          <w:p>
            <w:pPr>
              <w:spacing w:after="0"/>
              <w:rPr>
                <w:sz w:val="7"/>
                <w:szCs w:val="7"/>
                <w:color w:val="auto"/>
              </w:rPr>
            </w:pPr>
          </w:p>
        </w:tc>
      </w:tr>
      <w:tr>
        <w:trPr>
          <w:trHeight w:val="20"/>
        </w:trPr>
        <w:tc>
          <w:tcPr>
            <w:tcW w:w="8060" w:type="dxa"/>
            <w:vAlign w:val="bottom"/>
            <w:tcBorders>
              <w:bottom w:val="single" w:sz="8" w:color="003B71"/>
            </w:tcBorders>
          </w:tcPr>
          <w:p>
            <w:pPr>
              <w:spacing w:after="0" w:line="20" w:lineRule="exact"/>
              <w:rPr>
                <w:sz w:val="1"/>
                <w:szCs w:val="1"/>
                <w:color w:val="auto"/>
              </w:rPr>
            </w:pPr>
          </w:p>
        </w:tc>
        <w:tc>
          <w:tcPr>
            <w:tcW w:w="360" w:type="dxa"/>
            <w:vAlign w:val="bottom"/>
            <w:tcBorders>
              <w:top w:val="single" w:sz="8" w:color="7F7F7F"/>
              <w:bottom w:val="single" w:sz="8" w:color="003B71"/>
            </w:tcBorders>
          </w:tcPr>
          <w:p>
            <w:pPr>
              <w:spacing w:after="0" w:line="20" w:lineRule="exact"/>
              <w:rPr>
                <w:sz w:val="1"/>
                <w:szCs w:val="1"/>
                <w:color w:val="auto"/>
              </w:rPr>
            </w:pPr>
          </w:p>
        </w:tc>
        <w:tc>
          <w:tcPr>
            <w:tcW w:w="980" w:type="dxa"/>
            <w:vAlign w:val="bottom"/>
            <w:tcBorders>
              <w:top w:val="single" w:sz="8" w:color="7F7F7F"/>
              <w:bottom w:val="single" w:sz="8" w:color="003B71"/>
            </w:tcBorders>
          </w:tcPr>
          <w:p>
            <w:pPr>
              <w:spacing w:after="0" w:line="20" w:lineRule="exact"/>
              <w:rPr>
                <w:sz w:val="1"/>
                <w:szCs w:val="1"/>
                <w:color w:val="auto"/>
              </w:rPr>
            </w:pPr>
          </w:p>
        </w:tc>
        <w:tc>
          <w:tcPr>
            <w:tcW w:w="260" w:type="dxa"/>
            <w:vAlign w:val="bottom"/>
            <w:tcBorders>
              <w:bottom w:val="single" w:sz="8" w:color="003B71"/>
            </w:tcBorders>
          </w:tcPr>
          <w:p>
            <w:pPr>
              <w:spacing w:after="0" w:line="20" w:lineRule="exact"/>
              <w:rPr>
                <w:sz w:val="1"/>
                <w:szCs w:val="1"/>
                <w:color w:val="auto"/>
              </w:rPr>
            </w:pPr>
          </w:p>
        </w:tc>
        <w:tc>
          <w:tcPr>
            <w:tcW w:w="360" w:type="dxa"/>
            <w:vAlign w:val="bottom"/>
            <w:tcBorders>
              <w:top w:val="single" w:sz="8" w:color="7F7F7F"/>
              <w:bottom w:val="single" w:sz="8" w:color="003B71"/>
            </w:tcBorders>
          </w:tcPr>
          <w:p>
            <w:pPr>
              <w:spacing w:after="0" w:line="20" w:lineRule="exact"/>
              <w:rPr>
                <w:sz w:val="1"/>
                <w:szCs w:val="1"/>
                <w:color w:val="auto"/>
              </w:rPr>
            </w:pPr>
          </w:p>
        </w:tc>
        <w:tc>
          <w:tcPr>
            <w:tcW w:w="1000" w:type="dxa"/>
            <w:vAlign w:val="bottom"/>
            <w:tcBorders>
              <w:top w:val="single" w:sz="8" w:color="7F7F7F"/>
              <w:bottom w:val="single" w:sz="8" w:color="003B71"/>
            </w:tcBorders>
          </w:tcPr>
          <w:p>
            <w:pPr>
              <w:spacing w:after="0" w:line="20" w:lineRule="exact"/>
              <w:rPr>
                <w:sz w:val="1"/>
                <w:szCs w:val="1"/>
                <w:color w:val="auto"/>
              </w:rPr>
            </w:pPr>
          </w:p>
        </w:tc>
      </w:tr>
    </w:tbl>
    <w:p>
      <w:pPr>
        <w:spacing w:after="0" w:line="137" w:lineRule="exact"/>
        <w:rPr>
          <w:sz w:val="20"/>
          <w:szCs w:val="20"/>
          <w:color w:val="auto"/>
        </w:rPr>
      </w:pPr>
    </w:p>
    <w:p>
      <w:pPr>
        <w:jc w:val="both"/>
        <w:ind w:left="540" w:hanging="424"/>
        <w:spacing w:after="0" w:line="251"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services that are normally provided by Deloitte in connection with statutory and regulatory filings or engagements. The 2019 and 2018 columns include amounts billed in 2020 and 2019, respectively, related to 2019 and 2018 audit fees, respectively.</w:t>
      </w:r>
    </w:p>
    <w:p>
      <w:pPr>
        <w:spacing w:after="0" w:line="53"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fees are for services provided such as accounting consultations and any other audit and attestation services. The fees include amounts incurred by the Company and paid to Deloitte for services in connection with our financial intermediary compliance and controls assessment and attest report.</w:t>
      </w:r>
    </w:p>
    <w:p>
      <w:pPr>
        <w:spacing w:after="0" w:line="52"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These fees include all services performed for non-audit related tax advice, planning, and compliance services. The fees include amounts incurred by the Company and paid to Deloitte for services, which in 2019 and 2018 consisted of tax compliance and advisory services.</w:t>
      </w:r>
    </w:p>
    <w:p>
      <w:pPr>
        <w:sectPr>
          <w:pgSz w:w="11900" w:h="16838" w:orient="portrait"/>
          <w:cols w:equalWidth="0" w:num="1">
            <w:col w:w="11140"/>
          </w:cols>
          <w:pgMar w:left="320" w:top="459" w:right="439" w:bottom="1440" w:gutter="0" w:footer="0" w:header="0"/>
          <w:type w:val="continuous"/>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Pre-Approval Policies and Procedures</w:t>
      </w:r>
    </w:p>
    <w:p>
      <w:pPr>
        <w:spacing w:after="0" w:line="310"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Audit Committee pre-approves all audit, audit-related, and permissible non-audit services provided by our independent registered public accounting firm. The Audit Committee has also adopted policies and procedures that permit it to delegate its approval of certain engagements to its chair and to pre-approve certain permissible audit, audit-related and non-audit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related services (which include tax and consulting services) (“Pre-approved Services”) for a particular year. On an annual basis, the Audit Committee reviews and pre-approves the scope and dollar limits associated with the various Pre-approved Services, as well as an overall pre-approved dollar limit for all engagements with the auditors, for the fiscal year.</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5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003B71"/>
        </w:rPr>
        <w:t>65</w:t>
      </w:r>
    </w:p>
    <w:p>
      <w:pPr>
        <w:sectPr>
          <w:pgSz w:w="11900" w:h="16838" w:orient="portrait"/>
          <w:cols w:equalWidth="0" w:num="2">
            <w:col w:w="10400" w:space="540"/>
            <w:col w:w="200"/>
          </w:cols>
          <w:pgMar w:left="32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ind w:right="300"/>
        <w:spacing w:after="0"/>
        <w:rPr>
          <w:sz w:val="20"/>
          <w:szCs w:val="20"/>
          <w:color w:val="auto"/>
        </w:rPr>
      </w:pPr>
      <w:r>
        <w:rPr>
          <w:rFonts w:ascii="Arial" w:cs="Arial" w:eastAsia="Arial" w:hAnsi="Arial"/>
          <w:sz w:val="20"/>
          <w:szCs w:val="20"/>
          <w:b w:val="1"/>
          <w:bCs w:val="1"/>
          <w:color w:val="003B71"/>
        </w:rPr>
        <w:t>Proposal 2: Ratification of the Appointment of Deloitte &amp; Touche</w:t>
      </w:r>
    </w:p>
    <w:p>
      <w:pPr>
        <w:jc w:val="right"/>
        <w:ind w:right="240"/>
        <w:spacing w:after="0" w:line="235" w:lineRule="auto"/>
        <w:rPr>
          <w:sz w:val="20"/>
          <w:szCs w:val="20"/>
          <w:color w:val="auto"/>
        </w:rPr>
      </w:pPr>
      <w:r>
        <w:rPr>
          <w:rFonts w:ascii="Arial" w:cs="Arial" w:eastAsia="Arial" w:hAnsi="Arial"/>
          <w:sz w:val="20"/>
          <w:szCs w:val="20"/>
          <w:b w:val="1"/>
          <w:bCs w:val="1"/>
          <w:color w:val="003B71"/>
        </w:rPr>
        <w:t>LLP</w:t>
      </w:r>
    </w:p>
    <w:p>
      <w:pPr>
        <w:jc w:val="right"/>
        <w:ind w:right="240"/>
        <w:spacing w:after="0" w:line="226" w:lineRule="auto"/>
        <w:rPr>
          <w:sz w:val="20"/>
          <w:szCs w:val="20"/>
          <w:color w:val="auto"/>
        </w:rPr>
      </w:pPr>
      <w:r>
        <w:rPr>
          <w:rFonts w:ascii="Arial" w:cs="Arial" w:eastAsia="Arial" w:hAnsi="Arial"/>
          <w:sz w:val="20"/>
          <w:szCs w:val="20"/>
          <w:b w:val="1"/>
          <w:bCs w:val="1"/>
          <w:color w:val="003B71"/>
        </w:rPr>
        <w:t>by the Audit Committee of the Board of Directors as Our</w:t>
      </w:r>
    </w:p>
    <w:p>
      <w:pPr>
        <w:jc w:val="right"/>
        <w:ind w:right="240"/>
        <w:spacing w:after="0"/>
        <w:rPr>
          <w:sz w:val="20"/>
          <w:szCs w:val="20"/>
          <w:color w:val="auto"/>
        </w:rPr>
      </w:pPr>
      <w:r>
        <w:rPr>
          <w:rFonts w:ascii="Arial" w:cs="Arial" w:eastAsia="Arial" w:hAnsi="Arial"/>
          <w:sz w:val="20"/>
          <w:szCs w:val="20"/>
          <w:b w:val="1"/>
          <w:bCs w:val="1"/>
          <w:color w:val="003B71"/>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Under its policy, the Audit Committee may not delegate its pre-approval authority to management, and its full approval is required (and cannot be delegated) for: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audit engagement;</w:t>
      </w:r>
    </w:p>
    <w:p>
      <w:pPr>
        <w:spacing w:after="0" w:line="252" w:lineRule="exact"/>
        <w:rPr>
          <w:sz w:val="20"/>
          <w:szCs w:val="20"/>
          <w:color w:val="auto"/>
        </w:rPr>
      </w:pPr>
    </w:p>
    <w:p>
      <w:pPr>
        <w:ind w:left="480" w:right="20"/>
        <w:spacing w:after="0" w:line="246" w:lineRule="auto"/>
        <w:rPr>
          <w:sz w:val="20"/>
          <w:szCs w:val="20"/>
          <w:color w:val="auto"/>
        </w:rPr>
      </w:pPr>
      <w:r>
        <w:rPr>
          <w:rFonts w:ascii="Arial" w:cs="Arial" w:eastAsia="Arial" w:hAnsi="Arial"/>
          <w:sz w:val="18"/>
          <w:szCs w:val="18"/>
          <w:color w:val="auto"/>
        </w:rPr>
        <w:t>any proposed engagement to assess the Company’s internal controls (regardless of expected cost); or</w:t>
      </w:r>
    </w:p>
    <w:p>
      <w:pPr>
        <w:spacing w:after="0" w:line="223" w:lineRule="exact"/>
        <w:rPr>
          <w:sz w:val="20"/>
          <w:szCs w:val="20"/>
          <w:color w:val="auto"/>
        </w:rPr>
      </w:pPr>
    </w:p>
    <w:p>
      <w:pPr>
        <w:ind w:left="480"/>
        <w:spacing w:after="0" w:line="238" w:lineRule="auto"/>
        <w:rPr>
          <w:sz w:val="20"/>
          <w:szCs w:val="20"/>
          <w:color w:val="auto"/>
        </w:rPr>
      </w:pPr>
      <w:r>
        <w:rPr>
          <w:rFonts w:ascii="Arial" w:cs="Arial" w:eastAsia="Arial" w:hAnsi="Arial"/>
          <w:sz w:val="18"/>
          <w:szCs w:val="18"/>
          <w:color w:val="auto"/>
        </w:rPr>
        <w:t>any proposed engagement for services that are outside the scope and dollar limits associated with the Pre-approved Services and with proposed fees expected to exceed $200,000.</w:t>
      </w:r>
    </w:p>
    <w:p>
      <w:pPr>
        <w:spacing w:after="0" w:line="25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Engagements for services outside the scope and dollar limits associated with Pre-approved Services and with fees up to $200,000 may be approved by the chair of the Audit Committee, to whom authority has been expressly delegated.</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Engagements for Pre-approved Services that are within the applicable scope and pre-approved dollar limit for a particular year may be undertaken by management without further authorization by the Audit Committee.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739"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6"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003B71"/>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Report of the Audit Committee of the Board of Directors</w:t>
      </w:r>
    </w:p>
    <w:p>
      <w:pPr>
        <w:spacing w:after="0" w:line="23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Audit Committee of the Board of Directors (the “Audit Committee”) is comprised of the four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20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controls over financial reporting. The Audit Committee has discussed with the Company’s independent registered public accounting firm, which was Deloitte &amp; Touche LLP and the member firms of Deloitte Touche Tohmatsu (collectively referred to as “Deloitte”) for 2019 and 2018, the matters that are required to be discussed by applicable standards of the Public Company Accounting Oversight Board (“PCAOB”), including Auditing Standard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PCAOB, as well as Rule 2-07 of Regulation S-X of the SEC--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Deloitte has also provided to the Audit Committee their communication required by PCAOB Ethics and Independence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the Audit Committee discussed with Deloitte the firm’s independence. The Audit Committee also considered and determined the provision by Deloitte of non-audit related services in 2019, which consisted of tax advisory services, is compatible with the independence standard. Based on the foregoing review and discussions, the Audit Committee recommended to the Board of Directors that the consolidated financial statements audited by Deloitte for 2019 and 2018 be included in the Company’s Annual Report on Form 10-K for 2019, and the Committee has appointed Deloitte as the Company’s independent registered public accounting firm for 2020.</w:t>
      </w:r>
    </w:p>
    <w:p>
      <w:pPr>
        <w:sectPr>
          <w:pgSz w:w="11900" w:h="16838" w:orient="portrait"/>
          <w:cols w:equalWidth="0" w:num="1">
            <w:col w:w="11140"/>
          </w:cols>
          <w:pgMar w:left="320" w:top="459" w:right="439" w:bottom="1440" w:gutter="0" w:footer="0" w:header="0"/>
        </w:sectPr>
      </w:pPr>
    </w:p>
    <w:p>
      <w:pPr>
        <w:spacing w:after="0" w:line="240" w:lineRule="exact"/>
        <w:rPr>
          <w:sz w:val="20"/>
          <w:szCs w:val="20"/>
          <w:color w:val="auto"/>
        </w:rPr>
      </w:pPr>
    </w:p>
    <w:p>
      <w:pPr>
        <w:jc w:val="center"/>
        <w:ind w:left="860"/>
        <w:spacing w:after="0"/>
        <w:rPr>
          <w:sz w:val="20"/>
          <w:szCs w:val="20"/>
          <w:color w:val="auto"/>
        </w:rPr>
      </w:pPr>
      <w:r>
        <w:rPr>
          <w:rFonts w:ascii="Arial" w:cs="Arial" w:eastAsia="Arial" w:hAnsi="Arial"/>
          <w:sz w:val="17"/>
          <w:szCs w:val="17"/>
          <w:color w:val="auto"/>
        </w:rPr>
        <w:t>H. Paulett Eberhart, Chair</w:t>
      </w:r>
    </w:p>
    <w:p>
      <w:pPr>
        <w:spacing w:after="0" w:line="3"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William F. Glavin, Jr.</w:t>
      </w:r>
    </w:p>
    <w:p>
      <w:pPr>
        <w:jc w:val="center"/>
        <w:ind w:left="860"/>
        <w:spacing w:after="0" w:line="234" w:lineRule="auto"/>
        <w:rPr>
          <w:sz w:val="20"/>
          <w:szCs w:val="20"/>
          <w:color w:val="auto"/>
        </w:rPr>
      </w:pPr>
      <w:r>
        <w:rPr>
          <w:rFonts w:ascii="Arial" w:cs="Arial" w:eastAsia="Arial" w:hAnsi="Arial"/>
          <w:sz w:val="18"/>
          <w:szCs w:val="18"/>
          <w:color w:val="auto"/>
        </w:rPr>
        <w:t>James S. Riepe</w:t>
      </w:r>
    </w:p>
    <w:p>
      <w:pPr>
        <w:spacing w:after="0" w:line="1"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Corey E. Thomas</w:t>
      </w:r>
    </w:p>
    <w:p>
      <w:pPr>
        <w:spacing w:after="0" w:line="225"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March 23, 2020</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003B71"/>
        </w:rPr>
        <w:t>67</w:t>
      </w:r>
    </w:p>
    <w:p>
      <w:pPr>
        <w:sectPr>
          <w:pgSz w:w="11900" w:h="16838" w:orient="portrait"/>
          <w:cols w:equalWidth="0" w:num="2">
            <w:col w:w="10400" w:space="540"/>
            <w:col w:w="200"/>
          </w:cols>
          <w:pgMar w:left="32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03B71"/>
        </w:rPr>
        <w:t>Proposal 3: Approval, in an Advisory Vote, of the</w:t>
      </w:r>
    </w:p>
    <w:p>
      <w:pPr>
        <w:ind w:left="4980"/>
        <w:spacing w:after="0" w:line="235" w:lineRule="auto"/>
        <w:rPr>
          <w:sz w:val="20"/>
          <w:szCs w:val="20"/>
          <w:color w:val="auto"/>
        </w:rPr>
      </w:pPr>
      <w:r>
        <w:rPr>
          <w:rFonts w:ascii="Arial" w:cs="Arial" w:eastAsia="Arial" w:hAnsi="Arial"/>
          <w:sz w:val="20"/>
          <w:szCs w:val="20"/>
          <w:b w:val="1"/>
          <w:bCs w:val="1"/>
          <w:color w:val="003B71"/>
        </w:rPr>
        <w:t>Compensation Paid to</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03B71"/>
        </w:rPr>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Proposal 3: Approval, in an Advisory Vote, of the Compensation Paid to Our Named Executive Officers</w:t>
      </w:r>
    </w:p>
    <w:p>
      <w:pPr>
        <w:spacing w:after="0" w:line="23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Discussion and Analysis beginning on page 30 of this proxy statement describes our executive compensation program and the compensation decisions that the Compensation Committee and Board of Directors made in 2019 with respect to the compensation of our NEOs. The Board of Directors is asking stockholders to cast a non-binding, advisory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763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76327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940"/>
        <w:spacing w:after="0" w:line="262" w:lineRule="auto"/>
        <w:rPr>
          <w:sz w:val="20"/>
          <w:szCs w:val="20"/>
          <w:color w:val="auto"/>
        </w:rPr>
      </w:pPr>
      <w:r>
        <w:rPr>
          <w:rFonts w:ascii="Arial" w:cs="Arial" w:eastAsia="Arial" w:hAnsi="Arial"/>
          <w:sz w:val="17"/>
          <w:szCs w:val="17"/>
          <w:b w:val="1"/>
          <w:bCs w:val="1"/>
          <w:color w:val="FFFFFF"/>
        </w:rPr>
        <w:t>RESOLVED</w:t>
      </w:r>
      <w:r>
        <w:rPr>
          <w:rFonts w:ascii="Arial" w:cs="Arial" w:eastAsia="Arial" w:hAnsi="Arial"/>
          <w:sz w:val="17"/>
          <w:szCs w:val="17"/>
          <w:color w:val="FFFFFF"/>
        </w:rPr>
        <w:t>, that the compensation paid to the Company’s named executive officers, as disclosed pursuant to Item 402 of</w:t>
      </w:r>
      <w:r>
        <w:rPr>
          <w:rFonts w:ascii="Arial" w:cs="Arial" w:eastAsia="Arial" w:hAnsi="Arial"/>
          <w:sz w:val="17"/>
          <w:szCs w:val="17"/>
          <w:b w:val="1"/>
          <w:bCs w:val="1"/>
          <w:color w:val="FFFFFF"/>
        </w:rPr>
        <w:t xml:space="preserve"> </w:t>
      </w:r>
      <w:r>
        <w:rPr>
          <w:rFonts w:ascii="Arial" w:cs="Arial" w:eastAsia="Arial" w:hAnsi="Arial"/>
          <w:sz w:val="17"/>
          <w:szCs w:val="17"/>
          <w:color w:val="FFFFFF"/>
        </w:rPr>
        <w:t>Regulation S-K, including the Compensation Discussion and Analysis, compensation tables and narrative discussion, is hereby</w:t>
      </w:r>
    </w:p>
    <w:p>
      <w:pPr>
        <w:ind w:left="120"/>
        <w:spacing w:after="0"/>
        <w:rPr>
          <w:sz w:val="20"/>
          <w:szCs w:val="20"/>
          <w:color w:val="auto"/>
        </w:rPr>
      </w:pPr>
      <w:r>
        <w:rPr>
          <w:rFonts w:ascii="Arial" w:cs="Arial" w:eastAsia="Arial" w:hAnsi="Arial"/>
          <w:sz w:val="18"/>
          <w:szCs w:val="18"/>
          <w:b w:val="1"/>
          <w:bCs w:val="1"/>
          <w:color w:val="FFFFFF"/>
        </w:rPr>
        <w:t>APPROVED</w:t>
      </w:r>
      <w:r>
        <w:rPr>
          <w:rFonts w:ascii="Arial" w:cs="Arial" w:eastAsia="Arial" w:hAnsi="Arial"/>
          <w:sz w:val="18"/>
          <w:szCs w:val="18"/>
          <w:color w:val="FFFFFF"/>
        </w:rPr>
        <w:t>.</w:t>
      </w:r>
    </w:p>
    <w:p>
      <w:pPr>
        <w:spacing w:after="0" w:line="200" w:lineRule="exact"/>
        <w:rPr>
          <w:sz w:val="20"/>
          <w:szCs w:val="20"/>
          <w:color w:val="auto"/>
        </w:rPr>
      </w:pPr>
    </w:p>
    <w:p>
      <w:pPr>
        <w:spacing w:after="0" w:line="28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we describe in the Compensation Discussion and Analysis, our NEO compensation is designed to closely align the interests of our NEOs with those of our stockholders on both a short-term and long-term basis, and to attract and retain key executives critical to our success.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urge stockholders to read the Compensation Discussion and Analysis beginning on page 30 of this proxy statement and to review the 2019 Summary Compensation table and related compensation tables and discussion, appearing on pages 49 through 61, which provide detailed information on the Company’s compensation policies and practices. We believe stockholders should focus on the following areas when reviewing our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3214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3214370"/>
                    </a:xfrm>
                    <a:prstGeom prst="rect">
                      <a:avLst/>
                    </a:prstGeom>
                    <a:noFill/>
                  </pic:spPr>
                </pic:pic>
              </a:graphicData>
            </a:graphic>
          </wp:anchor>
        </w:drawing>
      </w:r>
    </w:p>
    <w:p>
      <w:pPr>
        <w:spacing w:after="0" w:line="371"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003B71"/>
        </w:rPr>
        <w:t>Pay for Performance</w:t>
      </w:r>
    </w:p>
    <w:p>
      <w:pPr>
        <w:spacing w:after="0" w:line="14" w:lineRule="exact"/>
        <w:rPr>
          <w:sz w:val="20"/>
          <w:szCs w:val="20"/>
          <w:color w:val="auto"/>
        </w:rPr>
      </w:pPr>
    </w:p>
    <w:p>
      <w:pPr>
        <w:jc w:val="both"/>
        <w:ind w:left="480" w:right="360"/>
        <w:spacing w:after="0" w:line="236" w:lineRule="auto"/>
        <w:rPr>
          <w:sz w:val="20"/>
          <w:szCs w:val="20"/>
          <w:color w:val="auto"/>
        </w:rPr>
      </w:pPr>
      <w:r>
        <w:rPr>
          <w:rFonts w:ascii="Arial" w:cs="Arial" w:eastAsia="Arial" w:hAnsi="Arial"/>
          <w:sz w:val="18"/>
          <w:szCs w:val="18"/>
          <w:i w:val="1"/>
          <w:iCs w:val="1"/>
          <w:color w:val="003B71"/>
        </w:rPr>
        <w:t xml:space="preserve">Annual Cash Bonus Opportunities. </w:t>
      </w:r>
      <w:r>
        <w:rPr>
          <w:rFonts w:ascii="Arial" w:cs="Arial" w:eastAsia="Arial" w:hAnsi="Arial"/>
          <w:sz w:val="18"/>
          <w:szCs w:val="18"/>
          <w:color w:val="000000"/>
        </w:rPr>
        <w:t>We provide annual cash bonus awards in order to tie a significant portion of the overall cash</w:t>
      </w:r>
      <w:r>
        <w:rPr>
          <w:rFonts w:ascii="Arial" w:cs="Arial" w:eastAsia="Arial" w:hAnsi="Arial"/>
          <w:sz w:val="18"/>
          <w:szCs w:val="18"/>
          <w:i w:val="1"/>
          <w:iCs w:val="1"/>
          <w:color w:val="003B71"/>
        </w:rPr>
        <w:t xml:space="preserve"> </w:t>
      </w:r>
      <w:r>
        <w:rPr>
          <w:rFonts w:ascii="Arial" w:cs="Arial" w:eastAsia="Arial" w:hAnsi="Arial"/>
          <w:sz w:val="18"/>
          <w:szCs w:val="18"/>
          <w:color w:val="000000"/>
        </w:rPr>
        <w:t>compensation of each of our NEOs to the achievement of annually established, key short-term corporate objectives and financial goals of the Company, as well as individual performance goals. At the beginning of 2019, the Compensation Committee established a bonus funding framework based on an objective financial performance target and the collective achievement of the Company’s four corporate goals for 2019. Each NEO’s individual target award amount was set by the Compensation Committee by reference to market compensation for comparable positions within our peer group as well as the nature of the NEO’s role and responsibilities.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p>
      <w:pPr>
        <w:spacing w:after="0" w:line="148" w:lineRule="exact"/>
        <w:rPr>
          <w:sz w:val="20"/>
          <w:szCs w:val="20"/>
          <w:color w:val="auto"/>
        </w:rPr>
      </w:pPr>
    </w:p>
    <w:p>
      <w:pPr>
        <w:jc w:val="both"/>
        <w:ind w:left="480" w:right="380"/>
        <w:spacing w:after="0" w:line="242" w:lineRule="auto"/>
        <w:rPr>
          <w:sz w:val="20"/>
          <w:szCs w:val="20"/>
          <w:color w:val="auto"/>
        </w:rPr>
      </w:pPr>
      <w:r>
        <w:rPr>
          <w:rFonts w:ascii="Arial" w:cs="Arial" w:eastAsia="Arial" w:hAnsi="Arial"/>
          <w:sz w:val="18"/>
          <w:szCs w:val="18"/>
          <w:i w:val="1"/>
          <w:iCs w:val="1"/>
          <w:color w:val="003B71"/>
        </w:rPr>
        <w:t xml:space="preserve">Long-Term Incentives. </w:t>
      </w:r>
      <w:r>
        <w:rPr>
          <w:rFonts w:ascii="Arial" w:cs="Arial" w:eastAsia="Arial" w:hAnsi="Arial"/>
          <w:sz w:val="18"/>
          <w:szCs w:val="18"/>
          <w:color w:val="000000"/>
        </w:rPr>
        <w:t>The purposes of our long-term equity incentive program are to promote achievement of corporate goals</w:t>
      </w:r>
      <w:r>
        <w:rPr>
          <w:rFonts w:ascii="Arial" w:cs="Arial" w:eastAsia="Arial" w:hAnsi="Arial"/>
          <w:sz w:val="18"/>
          <w:szCs w:val="18"/>
          <w:i w:val="1"/>
          <w:iCs w:val="1"/>
          <w:color w:val="003B71"/>
        </w:rPr>
        <w:t xml:space="preserve"> </w:t>
      </w:r>
      <w:r>
        <w:rPr>
          <w:rFonts w:ascii="Arial" w:cs="Arial" w:eastAsia="Arial" w:hAnsi="Arial"/>
          <w:sz w:val="18"/>
          <w:szCs w:val="18"/>
          <w:color w:val="000000"/>
        </w:rPr>
        <w:t>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motivates our NEOs to sustain longer-term financial operational performance and rewards them when such efforts lead to increases in stockholder value.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003B71"/>
        </w:rPr>
        <w:t>Alignment with Long-Term Stockholder Interests</w:t>
      </w:r>
    </w:p>
    <w:p>
      <w:pPr>
        <w:spacing w:after="0" w:line="14" w:lineRule="exact"/>
        <w:rPr>
          <w:sz w:val="20"/>
          <w:szCs w:val="20"/>
          <w:color w:val="auto"/>
        </w:rPr>
      </w:pPr>
    </w:p>
    <w:p>
      <w:pPr>
        <w:jc w:val="both"/>
        <w:ind w:left="480" w:right="360"/>
        <w:spacing w:after="0" w:line="246" w:lineRule="auto"/>
        <w:rPr>
          <w:sz w:val="20"/>
          <w:szCs w:val="20"/>
          <w:color w:val="auto"/>
        </w:rPr>
      </w:pPr>
      <w:r>
        <w:rPr>
          <w:rFonts w:ascii="Arial" w:cs="Arial" w:eastAsia="Arial" w:hAnsi="Arial"/>
          <w:sz w:val="18"/>
          <w:szCs w:val="18"/>
          <w:color w:val="auto"/>
        </w:rPr>
        <w:t>Our executive compensation is weighted towards variable, at-risk pay in the form of annual and long-term incentives, with a large portion of executive compensation tied to long-term performance. In addition, we have adopted:</w:t>
      </w:r>
    </w:p>
    <w:p>
      <w:pPr>
        <w:spacing w:after="0" w:line="179" w:lineRule="exact"/>
        <w:rPr>
          <w:sz w:val="20"/>
          <w:szCs w:val="20"/>
          <w:color w:val="auto"/>
        </w:rPr>
      </w:pPr>
    </w:p>
    <w:p>
      <w:pPr>
        <w:jc w:val="both"/>
        <w:ind w:left="480" w:right="380"/>
        <w:spacing w:after="0" w:line="267" w:lineRule="auto"/>
        <w:rPr>
          <w:sz w:val="20"/>
          <w:szCs w:val="20"/>
          <w:color w:val="auto"/>
        </w:rPr>
      </w:pPr>
      <w:r>
        <w:rPr>
          <w:rFonts w:ascii="Arial" w:cs="Arial" w:eastAsia="Arial" w:hAnsi="Arial"/>
          <w:sz w:val="18"/>
          <w:szCs w:val="18"/>
          <w:i w:val="1"/>
          <w:iCs w:val="1"/>
          <w:color w:val="003B71"/>
        </w:rPr>
        <w:t xml:space="preserve">Equity Ownership Guidelines. </w:t>
      </w:r>
      <w:r>
        <w:rPr>
          <w:rFonts w:ascii="Arial" w:cs="Arial" w:eastAsia="Arial" w:hAnsi="Arial"/>
          <w:sz w:val="18"/>
          <w:szCs w:val="18"/>
          <w:color w:val="000000"/>
        </w:rPr>
        <w:t>We focus our executives on long-term stockholder value by requiring that all executive officers own</w:t>
      </w:r>
      <w:r>
        <w:rPr>
          <w:rFonts w:ascii="Arial" w:cs="Arial" w:eastAsia="Arial" w:hAnsi="Arial"/>
          <w:sz w:val="18"/>
          <w:szCs w:val="18"/>
          <w:i w:val="1"/>
          <w:iCs w:val="1"/>
          <w:color w:val="003B71"/>
        </w:rPr>
        <w:t xml:space="preserve"> </w:t>
      </w:r>
      <w:r>
        <w:rPr>
          <w:rFonts w:ascii="Arial" w:cs="Arial" w:eastAsia="Arial" w:hAnsi="Arial"/>
          <w:sz w:val="18"/>
          <w:szCs w:val="18"/>
          <w:color w:val="000000"/>
        </w:rPr>
        <w:t>a significant amount of our equity.</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03B71"/>
        </w:rPr>
        <w:t>Proposal 3: Approval, in an Advisory Vote, of the</w:t>
      </w:r>
    </w:p>
    <w:p>
      <w:pPr>
        <w:ind w:left="4980"/>
        <w:spacing w:after="0" w:line="235" w:lineRule="auto"/>
        <w:rPr>
          <w:sz w:val="20"/>
          <w:szCs w:val="20"/>
          <w:color w:val="auto"/>
        </w:rPr>
      </w:pPr>
      <w:r>
        <w:rPr>
          <w:rFonts w:ascii="Arial" w:cs="Arial" w:eastAsia="Arial" w:hAnsi="Arial"/>
          <w:sz w:val="20"/>
          <w:szCs w:val="20"/>
          <w:b w:val="1"/>
          <w:bCs w:val="1"/>
          <w:color w:val="003B71"/>
        </w:rPr>
        <w:t>Compensation Paid to</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03B71"/>
        </w:rPr>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42862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42862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480" w:right="380"/>
        <w:spacing w:after="0"/>
        <w:rPr>
          <w:sz w:val="20"/>
          <w:szCs w:val="20"/>
          <w:color w:val="auto"/>
        </w:rPr>
      </w:pPr>
      <w:r>
        <w:rPr>
          <w:rFonts w:ascii="Arial" w:cs="Arial" w:eastAsia="Arial" w:hAnsi="Arial"/>
          <w:sz w:val="18"/>
          <w:szCs w:val="18"/>
          <w:i w:val="1"/>
          <w:iCs w:val="1"/>
          <w:color w:val="003B71"/>
        </w:rPr>
        <w:t xml:space="preserve">Performance-Based LTI Vehicles. </w:t>
      </w:r>
      <w:r>
        <w:rPr>
          <w:rFonts w:ascii="Arial" w:cs="Arial" w:eastAsia="Arial" w:hAnsi="Arial"/>
          <w:sz w:val="18"/>
          <w:szCs w:val="18"/>
          <w:color w:val="000000"/>
        </w:rPr>
        <w:t>In 2019, equity grants to our chief executive officer consisted of 50% PSUs and 50% stock</w:t>
      </w:r>
      <w:r>
        <w:rPr>
          <w:rFonts w:ascii="Arial" w:cs="Arial" w:eastAsia="Arial" w:hAnsi="Arial"/>
          <w:sz w:val="18"/>
          <w:szCs w:val="18"/>
          <w:i w:val="1"/>
          <w:iCs w:val="1"/>
          <w:color w:val="003B71"/>
        </w:rPr>
        <w:t xml:space="preserve"> </w:t>
      </w:r>
      <w:r>
        <w:rPr>
          <w:rFonts w:ascii="Arial" w:cs="Arial" w:eastAsia="Arial" w:hAnsi="Arial"/>
          <w:sz w:val="18"/>
          <w:szCs w:val="18"/>
          <w:color w:val="000000"/>
        </w:rPr>
        <w:t>options (by grant date value) and equity grants to our other NEOs (other than Mr. Semerjian, who received a sign-on grant of RSUs after commencing employment with us in February 2019) consisted of 40% PSUs, 30% stock options and 30% RSUs. We believe that this blended approach aligned with our pay-for-performance principles and provided appropriate incentives for long-term stockholder value creation while also serving as a retention tool for the Company. The use of stock options was aligned with stock appreciation on an absolute basis and the use of PSUs put appropriate focus on long-term alignment and pay relative both to market peers and stockholder returns.</w:t>
      </w:r>
    </w:p>
    <w:p>
      <w:pPr>
        <w:spacing w:after="0" w:line="185" w:lineRule="exact"/>
        <w:rPr>
          <w:sz w:val="20"/>
          <w:szCs w:val="20"/>
          <w:color w:val="auto"/>
        </w:rPr>
      </w:pPr>
    </w:p>
    <w:p>
      <w:pPr>
        <w:jc w:val="both"/>
        <w:ind w:left="480" w:right="360"/>
        <w:spacing w:after="0" w:line="239" w:lineRule="auto"/>
        <w:rPr>
          <w:sz w:val="20"/>
          <w:szCs w:val="20"/>
          <w:color w:val="auto"/>
        </w:rPr>
      </w:pPr>
      <w:r>
        <w:rPr>
          <w:rFonts w:ascii="Arial" w:cs="Arial" w:eastAsia="Arial" w:hAnsi="Arial"/>
          <w:sz w:val="18"/>
          <w:szCs w:val="18"/>
          <w:i w:val="1"/>
          <w:iCs w:val="1"/>
          <w:color w:val="003B71"/>
        </w:rPr>
        <w:t xml:space="preserve">Recoupment Policy. </w:t>
      </w:r>
      <w:r>
        <w:rPr>
          <w:rFonts w:ascii="Arial" w:cs="Arial" w:eastAsia="Arial" w:hAnsi="Arial"/>
          <w:sz w:val="18"/>
          <w:szCs w:val="18"/>
          <w:color w:val="000000"/>
        </w:rPr>
        <w:t>We have adopted a recoupment policy that permits the Compensation Committee, in the event of a</w:t>
      </w:r>
      <w:r>
        <w:rPr>
          <w:rFonts w:ascii="Arial" w:cs="Arial" w:eastAsia="Arial" w:hAnsi="Arial"/>
          <w:sz w:val="18"/>
          <w:szCs w:val="18"/>
          <w:i w:val="1"/>
          <w:iCs w:val="1"/>
          <w:color w:val="003B71"/>
        </w:rPr>
        <w:t xml:space="preserve"> </w:t>
      </w:r>
      <w:r>
        <w:rPr>
          <w:rFonts w:ascii="Arial" w:cs="Arial" w:eastAsia="Arial" w:hAnsi="Arial"/>
          <w:sz w:val="18"/>
          <w:szCs w:val="18"/>
          <w:color w:val="000000"/>
        </w:rPr>
        <w:t>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compensation awarded or paid.</w:t>
      </w:r>
    </w:p>
    <w:p>
      <w:pPr>
        <w:spacing w:after="0" w:line="187" w:lineRule="exact"/>
        <w:rPr>
          <w:sz w:val="20"/>
          <w:szCs w:val="20"/>
          <w:color w:val="auto"/>
        </w:rPr>
      </w:pPr>
    </w:p>
    <w:p>
      <w:pPr>
        <w:jc w:val="both"/>
        <w:ind w:left="480" w:right="360"/>
        <w:spacing w:after="0" w:line="239" w:lineRule="auto"/>
        <w:rPr>
          <w:sz w:val="20"/>
          <w:szCs w:val="20"/>
          <w:color w:val="auto"/>
        </w:rPr>
      </w:pPr>
      <w:r>
        <w:rPr>
          <w:rFonts w:ascii="Arial" w:cs="Arial" w:eastAsia="Arial" w:hAnsi="Arial"/>
          <w:sz w:val="18"/>
          <w:szCs w:val="18"/>
          <w:i w:val="1"/>
          <w:iCs w:val="1"/>
          <w:color w:val="003B71"/>
        </w:rPr>
        <w:t>Anti-Hedging and Anti-Pledging Policy</w:t>
      </w:r>
      <w:r>
        <w:rPr>
          <w:rFonts w:ascii="Arial" w:cs="Arial" w:eastAsia="Arial" w:hAnsi="Arial"/>
          <w:sz w:val="18"/>
          <w:szCs w:val="18"/>
          <w:i w:val="1"/>
          <w:iCs w:val="1"/>
          <w:color w:val="000000"/>
        </w:rPr>
        <w:t>.</w:t>
      </w:r>
      <w:r>
        <w:rPr>
          <w:rFonts w:ascii="Arial" w:cs="Arial" w:eastAsia="Arial" w:hAnsi="Arial"/>
          <w:sz w:val="18"/>
          <w:szCs w:val="18"/>
          <w:i w:val="1"/>
          <w:iCs w:val="1"/>
          <w:color w:val="003B71"/>
        </w:rPr>
        <w:t xml:space="preserve"> </w:t>
      </w:r>
      <w:r>
        <w:rPr>
          <w:rFonts w:ascii="Arial" w:cs="Arial" w:eastAsia="Arial" w:hAnsi="Arial"/>
          <w:sz w:val="18"/>
          <w:szCs w:val="18"/>
          <w:color w:val="000000"/>
        </w:rPr>
        <w:t>We believe that hedging transactions may permit executives to own Company securities</w:t>
      </w:r>
      <w:r>
        <w:rPr>
          <w:rFonts w:ascii="Arial" w:cs="Arial" w:eastAsia="Arial" w:hAnsi="Arial"/>
          <w:sz w:val="18"/>
          <w:szCs w:val="18"/>
          <w:i w:val="1"/>
          <w:iCs w:val="1"/>
          <w:color w:val="003B71"/>
        </w:rPr>
        <w:t xml:space="preserve"> </w:t>
      </w:r>
      <w:r>
        <w:rPr>
          <w:rFonts w:ascii="Arial" w:cs="Arial" w:eastAsia="Arial" w:hAnsi="Arial"/>
          <w:sz w:val="18"/>
          <w:szCs w:val="18"/>
          <w:color w:val="000000"/>
        </w:rPr>
        <w:t>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003B71"/>
        </w:rPr>
        <w:t>THE BOARD OF DIRECTORS RECOMMENDS A VOTE “FOR” THIS PROPOSAL.</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003B71"/>
        </w:rPr>
        <w:t>69</w:t>
      </w:r>
    </w:p>
    <w:p>
      <w:pPr>
        <w:sectPr>
          <w:pgSz w:w="11900" w:h="16838" w:orient="portrait"/>
          <w:cols w:equalWidth="0" w:num="2">
            <w:col w:w="10400" w:space="540"/>
            <w:col w:w="200"/>
          </w:cols>
          <w:pgMar w:left="32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0"/>
        <w:spacing w:after="0"/>
        <w:rPr>
          <w:sz w:val="20"/>
          <w:szCs w:val="20"/>
          <w:color w:val="auto"/>
        </w:rPr>
      </w:pPr>
      <w:r>
        <w:rPr>
          <w:rFonts w:ascii="Arial" w:cs="Arial" w:eastAsia="Arial" w:hAnsi="Arial"/>
          <w:sz w:val="19"/>
          <w:szCs w:val="19"/>
          <w:b w:val="1"/>
          <w:bCs w:val="1"/>
          <w:color w:val="003B71"/>
        </w:rPr>
        <w:t>Stockholder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Stockholder Proposals and Other Matters</w:t>
      </w:r>
    </w:p>
    <w:p>
      <w:pPr>
        <w:sectPr>
          <w:pgSz w:w="11900" w:h="16838" w:orient="portrait"/>
          <w:cols w:equalWidth="0" w:num="1">
            <w:col w:w="11140"/>
          </w:cols>
          <w:pgMar w:left="320" w:top="459" w:right="439" w:bottom="1440" w:gutter="0" w:footer="0" w:header="0"/>
        </w:sectPr>
      </w:pPr>
    </w:p>
    <w:p>
      <w:pPr>
        <w:spacing w:after="0" w:line="292" w:lineRule="exact"/>
        <w:rPr>
          <w:sz w:val="20"/>
          <w:szCs w:val="20"/>
          <w:color w:val="auto"/>
        </w:rPr>
      </w:pPr>
    </w:p>
    <w:p>
      <w:pPr>
        <w:ind w:left="120" w:right="560"/>
        <w:spacing w:after="0" w:line="257" w:lineRule="auto"/>
        <w:rPr>
          <w:sz w:val="20"/>
          <w:szCs w:val="20"/>
          <w:color w:val="auto"/>
        </w:rPr>
      </w:pPr>
      <w:r>
        <w:rPr>
          <w:rFonts w:ascii="Arial" w:cs="Arial" w:eastAsia="Arial" w:hAnsi="Arial"/>
          <w:sz w:val="20"/>
          <w:szCs w:val="20"/>
          <w:b w:val="1"/>
          <w:bCs w:val="1"/>
          <w:color w:val="003B71"/>
        </w:rPr>
        <w:t>Stockholder Proposals for Inclusion in 2021 Proxy Statement.</w:t>
      </w:r>
    </w:p>
    <w:p>
      <w:pPr>
        <w:spacing w:after="0" w:line="18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To be eligible for inclusion in the proxy statement for our 2021 annual meeting, stockholder proposals must be received by our corporate secretary no later than Saturday, November 27, 2020. Proposals should be sent to the Board of Directors, care of Corporate Secretary, LPL Financial Holdings Inc., 75 State Street, 22nd Floor, Boston, MA 02109, and follow the procedures required by SEC Rule 14a-8.</w:t>
      </w:r>
    </w:p>
    <w:p>
      <w:pPr>
        <w:spacing w:after="0" w:line="176" w:lineRule="exact"/>
        <w:rPr>
          <w:sz w:val="20"/>
          <w:szCs w:val="20"/>
          <w:color w:val="auto"/>
        </w:rPr>
      </w:pPr>
    </w:p>
    <w:p>
      <w:pPr>
        <w:ind w:left="120" w:right="480"/>
        <w:spacing w:after="0" w:line="241" w:lineRule="auto"/>
        <w:rPr>
          <w:sz w:val="20"/>
          <w:szCs w:val="20"/>
          <w:color w:val="auto"/>
        </w:rPr>
      </w:pPr>
      <w:r>
        <w:rPr>
          <w:rFonts w:ascii="Arial" w:cs="Arial" w:eastAsia="Arial" w:hAnsi="Arial"/>
          <w:sz w:val="20"/>
          <w:szCs w:val="20"/>
          <w:b w:val="1"/>
          <w:bCs w:val="1"/>
          <w:color w:val="003B71"/>
        </w:rPr>
        <w:t>Stockholder Director Nominations and Other Stockholder Proposals for Presentation at the 2021 Annual Meeting.</w:t>
      </w:r>
    </w:p>
    <w:p>
      <w:pPr>
        <w:spacing w:after="0" w:line="19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first anniversary of the preceding year’s annual meeting. Accordingly, any stockholder who wishes to have a director nomination or other business considered at the 2021 annual meeting must deliver a written notice (containing the information specified in our bylaws regarding the stockholder and the proposed action) to our corporate secretary between Wednesday, January 6, 2021 and Friday, February 5, 2021.</w:t>
      </w:r>
    </w:p>
    <w:p>
      <w:pPr>
        <w:spacing w:after="0" w:line="20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of Meeting. If any other matters properly come before the Annual Meeting, we intend that the shares represented by proxy will be voted with respect thereto in accordance with the judgment of the persons voting them.</w:t>
      </w:r>
    </w:p>
    <w:p>
      <w:pPr>
        <w:spacing w:after="0" w:line="267" w:lineRule="exact"/>
        <w:rPr>
          <w:sz w:val="20"/>
          <w:szCs w:val="20"/>
          <w:color w:val="auto"/>
        </w:rPr>
      </w:pPr>
    </w:p>
    <w:p>
      <w:pPr>
        <w:ind w:left="960" w:hanging="700"/>
        <w:spacing w:after="0"/>
        <w:tabs>
          <w:tab w:leader="none" w:pos="960" w:val="left"/>
        </w:tabs>
        <w:numPr>
          <w:ilvl w:val="0"/>
          <w:numId w:val="87"/>
        </w:numPr>
        <w:rPr>
          <w:rFonts w:ascii="Arial" w:cs="Arial" w:eastAsia="Arial" w:hAnsi="Arial"/>
          <w:sz w:val="18"/>
          <w:szCs w:val="18"/>
          <w:color w:val="003B71"/>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-116205</wp:posOffset>
            </wp:positionV>
            <wp:extent cx="8255"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520"/>
        <w:spacing w:after="0" w:line="241" w:lineRule="auto"/>
        <w:rPr>
          <w:sz w:val="20"/>
          <w:szCs w:val="20"/>
          <w:color w:val="auto"/>
        </w:rPr>
      </w:pPr>
      <w:r>
        <w:rPr>
          <w:rFonts w:ascii="Arial" w:cs="Arial" w:eastAsia="Arial" w:hAnsi="Arial"/>
          <w:sz w:val="20"/>
          <w:szCs w:val="20"/>
          <w:b w:val="1"/>
          <w:bCs w:val="1"/>
          <w:color w:val="003B71"/>
        </w:rPr>
        <w:t>Policy with Respect to the Consideration of Director Candidates Recommended or Nominated by Stockholders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189"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no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calendar day nor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calendar day, prior to the anniversary date of the prior year’s annual meeting; or</w:t>
      </w:r>
    </w:p>
    <w:p>
      <w:pPr>
        <w:spacing w:after="0" w:line="228"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w:t>
      </w:r>
    </w:p>
    <w:p>
      <w:pPr>
        <w:spacing w:after="0" w:line="25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Submissions must be in writing and addressed to the Nominating and Governance Committee, care of Corporate Secretary, LPL Financial Holdings Inc., 75 State Street, 22nd Floor, Boston, Massachusetts 02109. Electronic submissions will not be considered.</w:t>
      </w:r>
    </w:p>
    <w:p>
      <w:pPr>
        <w:sectPr>
          <w:pgSz w:w="11900" w:h="16838" w:orient="portrait"/>
          <w:cols w:equalWidth="0" w:num="2">
            <w:col w:w="5400" w:space="340"/>
            <w:col w:w="5400"/>
          </w:cols>
          <w:pgMar w:left="320" w:top="459" w:right="4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240"/>
        <w:spacing w:after="0"/>
        <w:rPr>
          <w:sz w:val="20"/>
          <w:szCs w:val="20"/>
          <w:color w:val="auto"/>
        </w:rPr>
      </w:pPr>
      <w:r>
        <w:rPr>
          <w:rFonts w:ascii="Arial" w:cs="Arial" w:eastAsia="Arial" w:hAnsi="Arial"/>
          <w:sz w:val="20"/>
          <w:szCs w:val="20"/>
          <w:b w:val="1"/>
          <w:bCs w:val="1"/>
          <w:color w:val="003B71"/>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Other Information</w:t>
      </w:r>
    </w:p>
    <w:p>
      <w:pPr>
        <w:spacing w:after="0" w:line="23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8"/>
          <w:szCs w:val="18"/>
          <w:i w:val="1"/>
          <w:iCs w:val="1"/>
          <w:color w:val="auto"/>
        </w:rPr>
        <w:t>.</w:t>
      </w:r>
      <w:r>
        <w:rPr>
          <w:rFonts w:ascii="Arial" w:cs="Arial" w:eastAsia="Arial" w:hAnsi="Arial"/>
          <w:sz w:val="18"/>
          <w:szCs w:val="18"/>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75 State Street, 22nd Floor, Boston Massachusetts 02109, or by calling our offices at (617) 423-3644, extension 4574. Information on our website or hyperlinked to it is not incorporated by reference into this proxy statement.</w:t>
      </w:r>
    </w:p>
    <w:p>
      <w:pPr>
        <w:sectPr>
          <w:pgSz w:w="11900" w:h="16838" w:orient="portrait"/>
          <w:cols w:equalWidth="0" w:num="1">
            <w:col w:w="11140"/>
          </w:cols>
          <w:pgMar w:left="320" w:top="459" w:right="439" w:bottom="1440" w:gutter="0" w:footer="0" w:header="0"/>
        </w:sectPr>
      </w:pPr>
    </w:p>
    <w:p>
      <w:pPr>
        <w:spacing w:after="0" w:line="11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3B71"/>
        </w:rPr>
        <w:t>71</w:t>
      </w:r>
    </w:p>
    <w:p>
      <w:pPr>
        <w:sectPr>
          <w:pgSz w:w="11900" w:h="16838" w:orient="portrait"/>
          <w:cols w:equalWidth="0" w:num="2">
            <w:col w:w="10400" w:space="540"/>
            <w:col w:w="20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03B71"/>
        </w:rPr>
        <w:t>Appendix A: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3B71"/>
        </w:rPr>
        <w:t>Non-GAAP Financial Measures</w:t>
      </w:r>
    </w:p>
    <w:p>
      <w:pPr>
        <w:spacing w:after="0" w:line="22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Gross Profit</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Gross profit is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 Because the Company’s gross profit amounts do not include any depreciation and amortization expense, the Company considers its gross profit amounts to be non-GAAP measures that may not be comparable to those of others in its industry. We believe that Gross Profit can provide investors with useful insight into the Company’s core operating performance before indirect costs that are general and administrative in nature.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3B71"/>
        </w:rPr>
        <w:t>Core G&amp;A</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Core G&amp;A consists of total operating expenses, which were $4.7 billion for the year ended December 31, 2019, excluding the following expenses: commission and advisory, regulatory charges, promotional, employee share-based compensation, depreciation and amortization, amortization of intangible assets, and brokerage, clearing, and exchange. We believe Core G&amp;A reflects the corporate operating expense categories over which management can generally exercise a measure of control, compared with expense items over which management either cannot exercise control, such as commission and advisory expenses, or which management views as a promotional expense necessary to support advisor growth and retention, including conferences and transition assistance. Core G&amp;A is not a measure of the Company’s total operating expenses as calculated in accordance with GAAP. The Company reviews Core G&amp;A in addition to total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expenses because total operating expenses contains expense components, such as commission and advisory expenses, that are market-driven and over which the Company cannot exercise control. Set forth below is a reconciliation of the Company’s total operating expenses to Core G&amp;A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EBITDA</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EBITDA is defined as net income plus interest expense, income tax expense, depreciation, amortization and loss on extinguishment of debt. We believe that EBITDA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or as an alternative to cash flows from operating activities as a measure of profitability or liquidity. Set forth below is a reconciliation of the Company’s net income to EBITDA for the years ended December 31, 2019, 2018 and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B71"/>
        </w:rPr>
        <w:t>Adjusted EBITDA</w:t>
      </w:r>
    </w:p>
    <w:p>
      <w:pPr>
        <w:spacing w:after="0" w:line="234"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Adjusted EBITDA is defined as EBITDA, further adjusted to exclude certain non-cash charges and, for the year ended December 31, 2019, expenses related to the Company’s acquisition of Allen &amp; Company.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2019, 2018 and 2017.</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Gross profit, Core G&amp;A, EBITDA and Adjusted EBITDA are not measures of the Company’s financial performance under GAAP and should not be considered as an alternative to net income or earnings per share or any other performance measure derived in accordance with GAAP, or as an alternative to cash flows from operating activities as a measure of profitability or liquidity. In addition, EBITDA and Adjusted EBITDA can differ significantly from company to company depending on, among other things, long-term strategic decisions regarding capital structure, the tax jurisdictions in which companies operate, and capital investments.</w:t>
      </w:r>
    </w:p>
    <w:p>
      <w:pPr>
        <w:spacing w:after="0" w:line="61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003B71"/>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825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2020 Proxy Statement</w:t>
      </w:r>
    </w:p>
    <w:p>
      <w:pPr>
        <w:sectPr>
          <w:pgSz w:w="11900" w:h="16838" w:orient="portrait"/>
          <w:cols w:equalWidth="0" w:num="2">
            <w:col w:w="460" w:space="500"/>
            <w:col w:w="10180"/>
          </w:cols>
          <w:pgMar w:left="320" w:top="459" w:right="4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03B71"/>
        </w:rPr>
        <w:t>Appendix A: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Set forth below is a reconciliation of Core G&amp;A to the Company’s total operating expenses for the twelve months ended December 31, 2019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680" w:type="dxa"/>
            <w:vAlign w:val="bottom"/>
          </w:tcPr>
          <w:p>
            <w:pPr>
              <w:ind w:left="80"/>
              <w:spacing w:after="0"/>
              <w:rPr>
                <w:sz w:val="20"/>
                <w:szCs w:val="20"/>
                <w:color w:val="auto"/>
              </w:rPr>
            </w:pPr>
            <w:r>
              <w:rPr>
                <w:rFonts w:ascii="Arial" w:cs="Arial" w:eastAsia="Arial" w:hAnsi="Arial"/>
                <w:sz w:val="16"/>
                <w:szCs w:val="16"/>
                <w:color w:val="auto"/>
              </w:rPr>
              <w:t>Core G&amp;A</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868,413</w:t>
            </w:r>
          </w:p>
        </w:tc>
      </w:tr>
      <w:tr>
        <w:trPr>
          <w:trHeight w:val="46"/>
        </w:trPr>
        <w:tc>
          <w:tcPr>
            <w:tcW w:w="9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Regulatory charges</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32,304</w:t>
            </w:r>
          </w:p>
        </w:tc>
      </w:tr>
      <w:tr>
        <w:trPr>
          <w:trHeight w:val="197"/>
        </w:trPr>
        <w:tc>
          <w:tcPr>
            <w:tcW w:w="9680" w:type="dxa"/>
            <w:vAlign w:val="bottom"/>
          </w:tcPr>
          <w:p>
            <w:pPr>
              <w:ind w:left="80"/>
              <w:spacing w:after="0"/>
              <w:rPr>
                <w:sz w:val="20"/>
                <w:szCs w:val="20"/>
                <w:color w:val="auto"/>
              </w:rPr>
            </w:pPr>
            <w:r>
              <w:rPr>
                <w:rFonts w:ascii="Arial" w:cs="Arial" w:eastAsia="Arial" w:hAnsi="Arial"/>
                <w:sz w:val="16"/>
                <w:szCs w:val="16"/>
                <w:color w:val="auto"/>
              </w:rPr>
              <w:t>Promotional</w:t>
            </w: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205,537</w:t>
            </w:r>
          </w:p>
        </w:tc>
      </w:tr>
      <w:tr>
        <w:trPr>
          <w:trHeight w:val="46"/>
        </w:trPr>
        <w:tc>
          <w:tcPr>
            <w:tcW w:w="9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Employee share-based compensation</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29,866</w:t>
            </w:r>
          </w:p>
        </w:tc>
        <w:tc>
          <w:tcPr>
            <w:tcW w:w="220" w:type="dxa"/>
            <w:vAlign w:val="bottom"/>
            <w:shd w:val="clear" w:color="auto" w:fill="CCEEFF"/>
          </w:tcPr>
          <w:p>
            <w:pPr>
              <w:spacing w:after="0"/>
              <w:rPr>
                <w:sz w:val="16"/>
                <w:szCs w:val="16"/>
                <w:color w:val="auto"/>
              </w:rPr>
            </w:pPr>
          </w:p>
        </w:tc>
      </w:tr>
      <w:tr>
        <w:trPr>
          <w:trHeight w:val="204"/>
        </w:trPr>
        <w:tc>
          <w:tcPr>
            <w:tcW w:w="9680" w:type="dxa"/>
            <w:vAlign w:val="bottom"/>
          </w:tcPr>
          <w:p>
            <w:pPr>
              <w:ind w:left="220"/>
              <w:spacing w:after="0"/>
              <w:rPr>
                <w:sz w:val="20"/>
                <w:szCs w:val="20"/>
                <w:color w:val="auto"/>
              </w:rPr>
            </w:pPr>
            <w:r>
              <w:rPr>
                <w:rFonts w:ascii="Arial" w:cs="Arial" w:eastAsia="Arial" w:hAnsi="Arial"/>
                <w:sz w:val="16"/>
                <w:szCs w:val="16"/>
                <w:color w:val="auto"/>
              </w:rPr>
              <w:t>Total G&amp;A</w:t>
            </w: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1,136,120</w:t>
            </w:r>
          </w:p>
        </w:tc>
      </w:tr>
      <w:tr>
        <w:trPr>
          <w:trHeight w:val="46"/>
        </w:trPr>
        <w:tc>
          <w:tcPr>
            <w:tcW w:w="9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Commissions and advisory</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3,388,186</w:t>
            </w:r>
          </w:p>
        </w:tc>
      </w:tr>
      <w:tr>
        <w:trPr>
          <w:trHeight w:val="197"/>
        </w:trPr>
        <w:tc>
          <w:tcPr>
            <w:tcW w:w="9680" w:type="dxa"/>
            <w:vAlign w:val="bottom"/>
          </w:tcPr>
          <w:p>
            <w:pPr>
              <w:ind w:left="80"/>
              <w:spacing w:after="0"/>
              <w:rPr>
                <w:sz w:val="20"/>
                <w:szCs w:val="20"/>
                <w:color w:val="auto"/>
              </w:rPr>
            </w:pPr>
            <w:r>
              <w:rPr>
                <w:rFonts w:ascii="Arial" w:cs="Arial" w:eastAsia="Arial" w:hAnsi="Arial"/>
                <w:sz w:val="16"/>
                <w:szCs w:val="16"/>
                <w:color w:val="auto"/>
              </w:rPr>
              <w:t>Depreciation &amp; amortization</w:t>
            </w: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95,779</w:t>
            </w:r>
          </w:p>
        </w:tc>
      </w:tr>
      <w:tr>
        <w:trPr>
          <w:trHeight w:val="46"/>
        </w:trPr>
        <w:tc>
          <w:tcPr>
            <w:tcW w:w="9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65,334</w:t>
            </w:r>
          </w:p>
        </w:tc>
      </w:tr>
      <w:tr>
        <w:trPr>
          <w:trHeight w:val="197"/>
        </w:trPr>
        <w:tc>
          <w:tcPr>
            <w:tcW w:w="9680" w:type="dxa"/>
            <w:vAlign w:val="bottom"/>
          </w:tcPr>
          <w:p>
            <w:pPr>
              <w:ind w:left="80"/>
              <w:spacing w:after="0"/>
              <w:rPr>
                <w:sz w:val="20"/>
                <w:szCs w:val="20"/>
                <w:color w:val="auto"/>
              </w:rPr>
            </w:pPr>
            <w:r>
              <w:rPr>
                <w:rFonts w:ascii="Arial" w:cs="Arial" w:eastAsia="Arial" w:hAnsi="Arial"/>
                <w:sz w:val="16"/>
                <w:szCs w:val="16"/>
                <w:color w:val="auto"/>
              </w:rPr>
              <w:t>Brokerage, clearing and exchange</w:t>
            </w: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64,445</w:t>
            </w:r>
          </w:p>
        </w:tc>
      </w:tr>
      <w:tr>
        <w:trPr>
          <w:trHeight w:val="53"/>
        </w:trPr>
        <w:tc>
          <w:tcPr>
            <w:tcW w:w="9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4,749,864</w:t>
            </w:r>
          </w:p>
        </w:tc>
      </w:tr>
      <w:tr>
        <w:trPr>
          <w:trHeight w:val="20"/>
        </w:trPr>
        <w:tc>
          <w:tcPr>
            <w:tcW w:w="9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is a reconciliation of the Company’s net income to EBITDA and Adjusted EBITDA for the twelve months ended</w:t>
      </w:r>
    </w:p>
    <w:p>
      <w:pPr>
        <w:ind w:left="120"/>
        <w:spacing w:after="0"/>
        <w:rPr>
          <w:sz w:val="20"/>
          <w:szCs w:val="20"/>
          <w:color w:val="auto"/>
        </w:rPr>
      </w:pPr>
      <w:r>
        <w:rPr>
          <w:rFonts w:ascii="Arial" w:cs="Arial" w:eastAsia="Arial" w:hAnsi="Arial"/>
          <w:sz w:val="18"/>
          <w:szCs w:val="18"/>
          <w:color w:val="auto"/>
        </w:rPr>
        <w:t>December 31, 2019, 2018 and 2017 (in thousands):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Non-operating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Provision for income taxes</w:t>
      </w:r>
    </w:p>
    <w:p>
      <w:pPr>
        <w:ind w:left="200"/>
        <w:spacing w:after="0" w:line="184" w:lineRule="auto"/>
        <w:rPr>
          <w:sz w:val="20"/>
          <w:szCs w:val="20"/>
          <w:color w:val="auto"/>
        </w:rPr>
      </w:pPr>
      <w:r>
        <w:rPr>
          <w:rFonts w:ascii="Arial" w:cs="Arial" w:eastAsia="Arial" w:hAnsi="Arial"/>
          <w:sz w:val="14"/>
          <w:szCs w:val="14"/>
          <w:color w:val="auto"/>
        </w:rPr>
        <w:t>Loss on extinguishment of debt</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Depreciation and amortization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EBITDA</w:t>
      </w:r>
    </w:p>
    <w:p>
      <w:pPr>
        <w:ind w:left="340"/>
        <w:spacing w:after="0" w:line="184" w:lineRule="auto"/>
        <w:rPr>
          <w:sz w:val="20"/>
          <w:szCs w:val="20"/>
          <w:color w:val="auto"/>
        </w:rPr>
      </w:pPr>
      <w:r>
        <w:rPr>
          <w:rFonts w:ascii="Arial" w:cs="Arial" w:eastAsia="Arial" w:hAnsi="Arial"/>
          <w:sz w:val="14"/>
          <w:szCs w:val="14"/>
          <w:color w:val="auto"/>
        </w:rPr>
        <w:t xml:space="preserve">Employee share-based compensation expense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Borders>
              <w:bottom w:val="single" w:sz="8" w:color="003B71"/>
            </w:tcBorders>
          </w:tcPr>
          <w:p>
            <w:pPr>
              <w:spacing w:after="0"/>
              <w:rPr>
                <w:sz w:val="18"/>
                <w:szCs w:val="18"/>
                <w:color w:val="auto"/>
              </w:rPr>
            </w:pPr>
          </w:p>
        </w:tc>
        <w:tc>
          <w:tcPr>
            <w:tcW w:w="120" w:type="dxa"/>
            <w:vAlign w:val="bottom"/>
            <w:tcBorders>
              <w:bottom w:val="single" w:sz="8" w:color="003B71"/>
            </w:tcBorders>
          </w:tcPr>
          <w:p>
            <w:pPr>
              <w:spacing w:after="0"/>
              <w:rPr>
                <w:sz w:val="18"/>
                <w:szCs w:val="18"/>
                <w:color w:val="auto"/>
              </w:rPr>
            </w:pPr>
          </w:p>
        </w:tc>
        <w:tc>
          <w:tcPr>
            <w:tcW w:w="800" w:type="dxa"/>
            <w:vAlign w:val="bottom"/>
            <w:tcBorders>
              <w:bottom w:val="single" w:sz="8" w:color="003B71"/>
            </w:tcBorders>
          </w:tcPr>
          <w:p>
            <w:pPr>
              <w:jc w:val="right"/>
              <w:ind w:right="219"/>
              <w:spacing w:after="0"/>
              <w:rPr>
                <w:sz w:val="20"/>
                <w:szCs w:val="20"/>
                <w:color w:val="auto"/>
              </w:rPr>
            </w:pPr>
            <w:r>
              <w:rPr>
                <w:rFonts w:ascii="Arial" w:cs="Arial" w:eastAsia="Arial" w:hAnsi="Arial"/>
                <w:sz w:val="16"/>
                <w:szCs w:val="16"/>
                <w:b w:val="1"/>
                <w:bCs w:val="1"/>
                <w:color w:val="003B71"/>
              </w:rPr>
              <w:t>2019</w:t>
            </w:r>
          </w:p>
        </w:tc>
        <w:tc>
          <w:tcPr>
            <w:tcW w:w="220" w:type="dxa"/>
            <w:vAlign w:val="bottom"/>
          </w:tcPr>
          <w:p>
            <w:pPr>
              <w:spacing w:after="0"/>
              <w:rPr>
                <w:sz w:val="18"/>
                <w:szCs w:val="18"/>
                <w:color w:val="auto"/>
              </w:rPr>
            </w:pPr>
          </w:p>
        </w:tc>
        <w:tc>
          <w:tcPr>
            <w:tcW w:w="280" w:type="dxa"/>
            <w:vAlign w:val="bottom"/>
            <w:tcBorders>
              <w:bottom w:val="single" w:sz="8" w:color="003B71"/>
            </w:tcBorders>
          </w:tcPr>
          <w:p>
            <w:pPr>
              <w:spacing w:after="0"/>
              <w:rPr>
                <w:sz w:val="18"/>
                <w:szCs w:val="18"/>
                <w:color w:val="auto"/>
              </w:rPr>
            </w:pPr>
          </w:p>
        </w:tc>
        <w:tc>
          <w:tcPr>
            <w:tcW w:w="740" w:type="dxa"/>
            <w:vAlign w:val="bottom"/>
            <w:tcBorders>
              <w:bottom w:val="single" w:sz="8" w:color="003B71"/>
            </w:tcBorders>
          </w:tcPr>
          <w:p>
            <w:pPr>
              <w:jc w:val="right"/>
              <w:ind w:right="219"/>
              <w:spacing w:after="0"/>
              <w:rPr>
                <w:sz w:val="20"/>
                <w:szCs w:val="20"/>
                <w:color w:val="auto"/>
              </w:rPr>
            </w:pPr>
            <w:r>
              <w:rPr>
                <w:rFonts w:ascii="Arial" w:cs="Arial" w:eastAsia="Arial" w:hAnsi="Arial"/>
                <w:sz w:val="16"/>
                <w:szCs w:val="16"/>
                <w:b w:val="1"/>
                <w:bCs w:val="1"/>
                <w:color w:val="003B71"/>
              </w:rPr>
              <w:t>2018</w:t>
            </w:r>
          </w:p>
        </w:tc>
        <w:tc>
          <w:tcPr>
            <w:tcW w:w="220" w:type="dxa"/>
            <w:vAlign w:val="bottom"/>
          </w:tcPr>
          <w:p>
            <w:pPr>
              <w:spacing w:after="0"/>
              <w:rPr>
                <w:sz w:val="18"/>
                <w:szCs w:val="18"/>
                <w:color w:val="auto"/>
              </w:rPr>
            </w:pPr>
          </w:p>
        </w:tc>
        <w:tc>
          <w:tcPr>
            <w:tcW w:w="280" w:type="dxa"/>
            <w:vAlign w:val="bottom"/>
            <w:tcBorders>
              <w:bottom w:val="single" w:sz="8" w:color="003B71"/>
            </w:tcBorders>
          </w:tcPr>
          <w:p>
            <w:pPr>
              <w:spacing w:after="0"/>
              <w:rPr>
                <w:sz w:val="18"/>
                <w:szCs w:val="18"/>
                <w:color w:val="auto"/>
              </w:rPr>
            </w:pPr>
          </w:p>
        </w:tc>
        <w:tc>
          <w:tcPr>
            <w:tcW w:w="680" w:type="dxa"/>
            <w:vAlign w:val="bottom"/>
            <w:tcBorders>
              <w:bottom w:val="single" w:sz="8" w:color="003B71"/>
            </w:tcBorders>
          </w:tcPr>
          <w:p>
            <w:pPr>
              <w:jc w:val="right"/>
              <w:ind w:right="159"/>
              <w:spacing w:after="0"/>
              <w:rPr>
                <w:sz w:val="20"/>
                <w:szCs w:val="20"/>
                <w:color w:val="auto"/>
              </w:rPr>
            </w:pPr>
            <w:r>
              <w:rPr>
                <w:rFonts w:ascii="Arial" w:cs="Arial" w:eastAsia="Arial" w:hAnsi="Arial"/>
                <w:sz w:val="16"/>
                <w:szCs w:val="16"/>
                <w:b w:val="1"/>
                <w:bCs w:val="1"/>
                <w:color w:val="003B71"/>
              </w:rPr>
              <w:t>2017</w:t>
            </w:r>
          </w:p>
        </w:tc>
        <w:tc>
          <w:tcPr>
            <w:tcW w:w="120" w:type="dxa"/>
            <w:vAlign w:val="bottom"/>
            <w:tcBorders>
              <w:bottom w:val="single" w:sz="8" w:color="003B71"/>
            </w:tcBorders>
          </w:tcPr>
          <w:p>
            <w:pPr>
              <w:spacing w:after="0"/>
              <w:rPr>
                <w:sz w:val="18"/>
                <w:szCs w:val="18"/>
                <w:color w:val="auto"/>
              </w:rPr>
            </w:pPr>
          </w:p>
        </w:tc>
      </w:tr>
      <w:tr>
        <w:trPr>
          <w:trHeight w:val="184"/>
        </w:trPr>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559,880</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439,459</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238,863</w:t>
            </w:r>
          </w:p>
        </w:tc>
      </w:tr>
      <w:tr>
        <w:trPr>
          <w:trHeight w:val="189"/>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130,001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107,025</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181,955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153,178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125,707</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22,407</w:t>
            </w:r>
          </w:p>
        </w:tc>
        <w:tc>
          <w:tcPr>
            <w:tcW w:w="1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95,779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87,656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84,071</w:t>
            </w:r>
          </w:p>
        </w:tc>
        <w:tc>
          <w:tcPr>
            <w:tcW w:w="120" w:type="dxa"/>
            <w:vAlign w:val="bottom"/>
          </w:tcPr>
          <w:p>
            <w:pPr>
              <w:spacing w:after="0"/>
              <w:rPr>
                <w:sz w:val="16"/>
                <w:szCs w:val="16"/>
                <w:color w:val="auto"/>
              </w:rPr>
            </w:pPr>
          </w:p>
        </w:tc>
      </w:tr>
      <w:tr>
        <w:trPr>
          <w:trHeight w:val="187"/>
        </w:trPr>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65,334</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60,252</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38,293</w:t>
            </w:r>
          </w:p>
        </w:tc>
        <w:tc>
          <w:tcPr>
            <w:tcW w:w="120" w:type="dxa"/>
            <w:vAlign w:val="bottom"/>
          </w:tcPr>
          <w:p>
            <w:pPr>
              <w:spacing w:after="0"/>
              <w:rPr>
                <w:sz w:val="16"/>
                <w:szCs w:val="16"/>
                <w:color w:val="auto"/>
              </w:rPr>
            </w:pPr>
          </w:p>
        </w:tc>
      </w:tr>
      <w:tr>
        <w:trPr>
          <w:trHeight w:val="198"/>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1,036,105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865,568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616,366</w:t>
            </w:r>
          </w:p>
        </w:tc>
        <w:tc>
          <w:tcPr>
            <w:tcW w:w="120" w:type="dxa"/>
            <w:vAlign w:val="bottom"/>
          </w:tcPr>
          <w:p>
            <w:pPr>
              <w:spacing w:after="0"/>
              <w:rPr>
                <w:sz w:val="17"/>
                <w:szCs w:val="17"/>
                <w:color w:val="auto"/>
              </w:rPr>
            </w:pPr>
          </w:p>
        </w:tc>
      </w:tr>
      <w:tr>
        <w:trPr>
          <w:trHeight w:val="189"/>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29,872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23,108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19,413</w:t>
            </w:r>
          </w:p>
        </w:tc>
        <w:tc>
          <w:tcPr>
            <w:tcW w:w="120" w:type="dxa"/>
            <w:vAlign w:val="bottom"/>
          </w:tcPr>
          <w:p>
            <w:pPr>
              <w:spacing w:after="0"/>
              <w:rPr>
                <w:sz w:val="16"/>
                <w:szCs w:val="16"/>
                <w:color w:val="auto"/>
              </w:rPr>
            </w:pPr>
          </w:p>
        </w:tc>
      </w:tr>
      <w:tr>
        <w:trPr>
          <w:trHeight w:val="187"/>
        </w:trPr>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1,069,110</w:t>
            </w:r>
          </w:p>
        </w:tc>
        <w:tc>
          <w:tcPr>
            <w:tcW w:w="2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888,676</w:t>
            </w:r>
          </w:p>
        </w:tc>
        <w:tc>
          <w:tcPr>
            <w:tcW w:w="2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635,779</w:t>
            </w:r>
          </w:p>
        </w:tc>
        <w:tc>
          <w:tcPr>
            <w:tcW w:w="1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2">
            <w:col w:w="6860" w:space="720"/>
            <w:col w:w="3560"/>
          </w:cols>
          <w:pgMar w:left="320" w:top="459" w:right="439" w:bottom="1440" w:gutter="0" w:footer="0" w:header="0"/>
          <w:type w:val="continuous"/>
        </w:sectPr>
      </w:pPr>
    </w:p>
    <w:p>
      <w:pPr>
        <w:jc w:val="both"/>
        <w:ind w:left="540" w:right="20" w:hanging="424"/>
        <w:spacing w:after="0" w:line="251"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Represents expenses incurred resulting from the early extinguishment and repayment of amounts outstanding on our prior senior secured credit facilities, including the accelerated recognition of unamortized debt issuance costs that had no future economic benefit, as well as various other charges incurred in connection with the repayment under prior senior secured credit facilities and the establishment of new or amended senior secured credit facilities.</w:t>
      </w:r>
    </w:p>
    <w:p>
      <w:pPr>
        <w:spacing w:after="0" w:line="53" w:lineRule="exact"/>
        <w:rPr>
          <w:rFonts w:ascii="Arial" w:cs="Arial" w:eastAsia="Arial" w:hAnsi="Arial"/>
          <w:sz w:val="16"/>
          <w:szCs w:val="16"/>
          <w:color w:val="auto"/>
        </w:rPr>
      </w:pPr>
    </w:p>
    <w:p>
      <w:pPr>
        <w:jc w:val="both"/>
        <w:ind w:left="540" w:right="20" w:hanging="424"/>
        <w:spacing w:after="0" w:line="257"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Represents share-based compensation expenses for equity awards granted to employees, officers, and directors. Such awards are measured based on the grant-date fair value and recognized over the requisite service period of the individual awards, which generally equals the vesting period.</w:t>
      </w:r>
    </w:p>
    <w:p>
      <w:pPr>
        <w:sectPr>
          <w:pgSz w:w="11900" w:h="16838" w:orient="portrait"/>
          <w:cols w:equalWidth="0" w:num="1">
            <w:col w:w="11140"/>
          </w:cols>
          <w:pgMar w:left="320" w:top="459" w:right="439" w:bottom="1440" w:gutter="0" w:footer="0" w:header="0"/>
          <w:type w:val="continuous"/>
        </w:sectPr>
      </w:pPr>
    </w:p>
    <w:p>
      <w:pPr>
        <w:spacing w:after="0" w:line="29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003B71"/>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-116205</wp:posOffset>
            </wp:positionV>
            <wp:extent cx="889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003B71"/>
        </w:rPr>
        <w:t>73</w:t>
      </w:r>
    </w:p>
    <w:p>
      <w:pPr>
        <w:sectPr>
          <w:pgSz w:w="11900" w:h="16838" w:orient="portrait"/>
          <w:cols w:equalWidth="0" w:num="2">
            <w:col w:w="10400" w:space="540"/>
            <w:col w:w="200"/>
          </w:cols>
          <w:pgMar w:left="320" w:top="459" w:right="4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lvl w:ilvl="1">
      <w:lvlJc w:val="left"/>
      <w:lvlText w:val="(%2)"/>
      <w:numFmt w:val="decimal"/>
      <w:start w:val="1"/>
    </w:lvl>
  </w:abstractNum>
  <w:abstractNum w:abstractNumId="2">
    <w:nsid w:val="4B588F54"/>
    <w:multiLevelType w:val="hybridMultilevel"/>
    <w:lvl w:ilvl="0">
      <w:lvlJc w:val="left"/>
      <w:lvlText w:val=" "/>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0"/>
    </w:lvl>
  </w:abstractNum>
  <w:abstractNum w:abstractNumId="8">
    <w:nsid w:val="684A481A"/>
    <w:multiLevelType w:val="hybridMultilevel"/>
    <w:lvl w:ilvl="0">
      <w:lvlJc w:val="left"/>
      <w:lvlText w:val="%1"/>
      <w:numFmt w:val="decimal"/>
      <w:start w:val="14"/>
    </w:lvl>
  </w:abstractNum>
  <w:abstractNum w:abstractNumId="9">
    <w:nsid w:val="579478FE"/>
    <w:multiLevelType w:val="hybridMultilevel"/>
    <w:lvl w:ilvl="0">
      <w:lvlJc w:val="left"/>
      <w:lvlText w:val=" "/>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
      <w:numFmt w:val="bullet"/>
      <w:start w:val="1"/>
    </w:lvl>
  </w:abstractNum>
  <w:abstractNum w:abstractNumId="21">
    <w:nsid w:val="649BB77C"/>
    <w:multiLevelType w:val="hybridMultilevel"/>
    <w:lvl w:ilvl="0">
      <w:lvlJc w:val="left"/>
      <w:lvlText w:val=" "/>
      <w:numFmt w:val="bullet"/>
      <w:start w:val="1"/>
    </w:lvl>
  </w:abstractNum>
  <w:abstractNum w:abstractNumId="22">
    <w:nsid w:val="275AC794"/>
    <w:multiLevelType w:val="hybridMultilevel"/>
    <w:lvl w:ilvl="0">
      <w:lvlJc w:val="left"/>
      <w:lvlText w:val=" "/>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
      <w:numFmt w:val="bullet"/>
      <w:start w:val="1"/>
    </w:lvl>
  </w:abstractNum>
  <w:abstractNum w:abstractNumId="26">
    <w:nsid w:val="235BA861"/>
    <w:multiLevelType w:val="hybridMultilevel"/>
    <w:lvl w:ilvl="0">
      <w:lvlJc w:val="left"/>
      <w:lvlText w:val=" "/>
      <w:numFmt w:val="bullet"/>
      <w:start w:val="1"/>
    </w:lvl>
  </w:abstractNum>
  <w:abstractNum w:abstractNumId="27">
    <w:nsid w:val="47398C89"/>
    <w:multiLevelType w:val="hybridMultilevel"/>
    <w:lvl w:ilvl="0">
      <w:lvlJc w:val="left"/>
      <w:lvlText w:val=" "/>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3"/>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
      <w:numFmt w:val="bullet"/>
      <w:start w:val="1"/>
    </w:lvl>
  </w:abstractNum>
  <w:abstractNum w:abstractNumId="33">
    <w:nsid w:val="3F6AB60F"/>
    <w:multiLevelType w:val="hybridMultilevel"/>
    <w:lvl w:ilvl="0">
      <w:lvlJc w:val="left"/>
      <w:lvlText w:val=" "/>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
      <w:numFmt w:val="bullet"/>
      <w:start w:val="1"/>
    </w:lvl>
  </w:abstractNum>
  <w:abstractNum w:abstractNumId="37">
    <w:nsid w:val="579BE4F1"/>
    <w:multiLevelType w:val="hybridMultilevel"/>
    <w:lvl w:ilvl="0">
      <w:lvlJc w:val="left"/>
      <w:lvlText w:val="%1"/>
      <w:numFmt w:val="decimal"/>
      <w:start w:val="34"/>
    </w:lvl>
  </w:abstractNum>
  <w:abstractNum w:abstractNumId="38">
    <w:nsid w:val="310C50B3"/>
    <w:multiLevelType w:val="hybridMultilevel"/>
    <w:lvl w:ilvl="0">
      <w:lvlJc w:val="left"/>
      <w:lvlText w:val=" "/>
      <w:numFmt w:val="bullet"/>
      <w:start w:val="1"/>
    </w:lvl>
  </w:abstractNum>
  <w:abstractNum w:abstractNumId="39">
    <w:nsid w:val="5FF87E05"/>
    <w:multiLevelType w:val="hybridMultilevel"/>
    <w:lvl w:ilvl="0">
      <w:lvlJc w:val="left"/>
      <w:lvlText w:val=" "/>
      <w:numFmt w:val="bullet"/>
      <w:start w:val="1"/>
    </w:lvl>
  </w:abstractNum>
  <w:abstractNum w:abstractNumId="40">
    <w:nsid w:val="2F305DEF"/>
    <w:multiLevelType w:val="hybridMultilevel"/>
    <w:lvl w:ilvl="0">
      <w:lvlJc w:val="left"/>
      <w:lvlText w:val="%1"/>
      <w:numFmt w:val="decimal"/>
      <w:start w:val="36"/>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decimal"/>
      <w:start w:val="40"/>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
      <w:numFmt w:val="bullet"/>
      <w:start w:val="1"/>
    </w:lvl>
  </w:abstractNum>
  <w:abstractNum w:abstractNumId="47">
    <w:nsid w:val="100F8FCA"/>
    <w:multiLevelType w:val="hybridMultilevel"/>
    <w:lvl w:ilvl="0">
      <w:lvlJc w:val="left"/>
      <w:lvlText w:val="%1"/>
      <w:numFmt w:val="decimal"/>
      <w:start w:val="44"/>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2"/>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4"/>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3"/>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12"/>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0"/>
    </w:lvl>
  </w:abstractNum>
  <w:abstractNum w:abstractNumId="62">
    <w:nsid w:val="613EFDC5"/>
    <w:multiLevelType w:val="hybridMultilevel"/>
    <w:lvl w:ilvl="0">
      <w:lvlJc w:val="left"/>
      <w:lvlText w:val=" "/>
      <w:numFmt w:val="bullet"/>
      <w:start w:val="1"/>
    </w:lvl>
  </w:abstractNum>
  <w:abstractNum w:abstractNumId="63">
    <w:nsid w:val="BF72B14"/>
    <w:multiLevelType w:val="hybridMultilevel"/>
    <w:lvl w:ilvl="0">
      <w:lvlJc w:val="left"/>
      <w:lvlText w:val=" "/>
      <w:numFmt w:val="bullet"/>
      <w:start w:val="1"/>
    </w:lvl>
  </w:abstractNum>
  <w:abstractNum w:abstractNumId="64">
    <w:nsid w:val="11447B73"/>
    <w:multiLevelType w:val="hybridMultilevel"/>
    <w:lvl w:ilvl="0">
      <w:lvlJc w:val="left"/>
      <w:lvlText w:val=" "/>
      <w:numFmt w:val="bullet"/>
      <w:start w:val="1"/>
    </w:lvl>
  </w:abstractNum>
  <w:abstractNum w:abstractNumId="65">
    <w:nsid w:val="42963E5A"/>
    <w:multiLevelType w:val="hybridMultilevel"/>
    <w:lvl w:ilvl="0">
      <w:lvlJc w:val="left"/>
      <w:lvlText w:val=" "/>
      <w:numFmt w:val="bullet"/>
      <w:start w:val="1"/>
    </w:lvl>
  </w:abstractNum>
  <w:abstractNum w:abstractNumId="66">
    <w:nsid w:val="A0382C5"/>
    <w:multiLevelType w:val="hybridMultilevel"/>
    <w:lvl w:ilvl="0">
      <w:lvlJc w:val="left"/>
      <w:lvlText w:val=" "/>
      <w:numFmt w:val="bullet"/>
      <w:start w:val="1"/>
    </w:lvl>
  </w:abstractNum>
  <w:abstractNum w:abstractNumId="67">
    <w:nsid w:val="8F2B15E"/>
    <w:multiLevelType w:val="hybridMultilevel"/>
    <w:lvl w:ilvl="0">
      <w:lvlJc w:val="left"/>
      <w:lvlText w:val=" "/>
      <w:numFmt w:val="bullet"/>
      <w:start w:val="1"/>
    </w:lvl>
  </w:abstractNum>
  <w:abstractNum w:abstractNumId="68">
    <w:nsid w:val="1A32234B"/>
    <w:multiLevelType w:val="hybridMultilevel"/>
    <w:lvl w:ilvl="0">
      <w:lvlJc w:val="left"/>
      <w:lvlText w:val=" "/>
      <w:numFmt w:val="bullet"/>
      <w:start w:val="1"/>
    </w:lvl>
  </w:abstractNum>
  <w:abstractNum w:abstractNumId="69">
    <w:nsid w:val="3B0FD379"/>
    <w:multiLevelType w:val="hybridMultilevel"/>
    <w:lvl w:ilvl="0">
      <w:lvlJc w:val="left"/>
      <w:lvlText w:val=" "/>
      <w:numFmt w:val="bullet"/>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 "/>
      <w:numFmt w:val="bullet"/>
      <w:start w:val="1"/>
    </w:lvl>
  </w:abstractNum>
  <w:abstractNum w:abstractNumId="72">
    <w:nsid w:val="60B6DF70"/>
    <w:multiLevelType w:val="hybridMultilevel"/>
    <w:lvl w:ilvl="0">
      <w:lvlJc w:val="left"/>
      <w:lvlText w:val=" "/>
      <w:numFmt w:val="bullet"/>
      <w:start w:val="1"/>
    </w:lvl>
  </w:abstractNum>
  <w:abstractNum w:abstractNumId="73">
    <w:nsid w:val="6A5EE64"/>
    <w:multiLevelType w:val="hybridMultilevel"/>
    <w:lvl w:ilvl="0">
      <w:lvlJc w:val="left"/>
      <w:lvlText w:val=" "/>
      <w:numFmt w:val="bullet"/>
      <w:start w:val="1"/>
    </w:lvl>
  </w:abstractNum>
  <w:abstractNum w:abstractNumId="74">
    <w:nsid w:val="14330624"/>
    <w:multiLevelType w:val="hybridMultilevel"/>
    <w:lvl w:ilvl="0">
      <w:lvlJc w:val="left"/>
      <w:lvlText w:val="%1"/>
      <w:numFmt w:val="decimal"/>
      <w:start w:val="60"/>
    </w:lvl>
  </w:abstractNum>
  <w:abstractNum w:abstractNumId="75">
    <w:nsid w:val="7FFFCA11"/>
    <w:multiLevelType w:val="hybridMultilevel"/>
    <w:lvl w:ilvl="0">
      <w:lvlJc w:val="left"/>
      <w:lvlText w:val=" "/>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
      <w:numFmt w:val="bullet"/>
      <w:start w:val="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2"/>
    </w:lvl>
  </w:abstractNum>
  <w:abstractNum w:abstractNumId="82">
    <w:nsid w:val="94211F2"/>
    <w:multiLevelType w:val="hybridMultilevel"/>
    <w:lvl w:ilvl="0">
      <w:lvlJc w:val="left"/>
      <w:lvlText w:val=" "/>
      <w:numFmt w:val="bullet"/>
      <w:start w:val="1"/>
    </w:lvl>
  </w:abstractNum>
  <w:abstractNum w:abstractNumId="83">
    <w:nsid w:val="885E1B"/>
    <w:multiLevelType w:val="hybridMultilevel"/>
    <w:lvl w:ilvl="0">
      <w:lvlJc w:val="left"/>
      <w:lvlText w:val="%1"/>
      <w:numFmt w:val="decimal"/>
      <w:start w:val="64"/>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 "/>
      <w:numFmt w:val="bullet"/>
      <w:start w:val="1"/>
    </w:lvl>
  </w:abstractNum>
  <w:abstractNum w:abstractNumId="86">
    <w:nsid w:val="1716703B"/>
    <w:multiLevelType w:val="hybridMultilevel"/>
    <w:lvl w:ilvl="0">
      <w:lvlJc w:val="left"/>
      <w:lvlText w:val="%1"/>
      <w:numFmt w:val="decimal"/>
      <w:start w:val="70"/>
    </w:lvl>
  </w:abstractNum>
  <w:abstractNum w:abstractNumId="87">
    <w:nsid w:val="14E17E33"/>
    <w:multiLevelType w:val="hybridMultilevel"/>
    <w:lvl w:ilvl="0">
      <w:lvlJc w:val="left"/>
      <w:lvlText w:val=" "/>
      <w:numFmt w:val="bullet"/>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2020-03-23T15:25:33Z</dcterms:created>
  <dcterms:modified xsi:type="dcterms:W3CDTF">2020-03-23T15:25:33Z</dcterms:modified>
</cp:coreProperties>
</file>