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 SECURITIES AND EXCHANGE COMMISSION</w:t>
      </w:r>
    </w:p>
    <w:p>
      <w:pPr>
        <w:spacing w:after="0" w:line="47"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6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89" w:lineRule="exact"/>
        <w:rPr>
          <w:sz w:val="24"/>
          <w:szCs w:val="24"/>
          <w:color w:val="auto"/>
        </w:rPr>
      </w:pPr>
    </w:p>
    <w:p>
      <w:pPr>
        <w:ind w:left="1080" w:hanging="597"/>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4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September 30, 2012</w:t>
      </w:r>
    </w:p>
    <w:p>
      <w:pPr>
        <w:spacing w:after="0" w:line="6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218" w:lineRule="exact"/>
        <w:rPr>
          <w:sz w:val="24"/>
          <w:szCs w:val="24"/>
          <w:color w:val="auto"/>
        </w:rPr>
      </w:pPr>
    </w:p>
    <w:p>
      <w:pPr>
        <w:ind w:left="1080" w:hanging="597"/>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43" w:lineRule="exact"/>
        <w:rPr>
          <w:sz w:val="24"/>
          <w:szCs w:val="24"/>
          <w:color w:val="auto"/>
        </w:rPr>
      </w:pPr>
    </w:p>
    <w:p>
      <w:pPr>
        <w:ind w:left="4060"/>
        <w:spacing w:after="0"/>
        <w:tabs>
          <w:tab w:leader="none" w:pos="71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6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001-34963</w:t>
      </w:r>
    </w:p>
    <w:p>
      <w:pPr>
        <w:spacing w:after="0" w:line="127"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LPL Financial Holdings Inc.</w:t>
      </w:r>
    </w:p>
    <w:p>
      <w:pPr>
        <w:spacing w:after="0" w:line="99" w:lineRule="exact"/>
        <w:rPr>
          <w:sz w:val="24"/>
          <w:szCs w:val="24"/>
          <w:color w:val="auto"/>
        </w:rPr>
      </w:pPr>
    </w:p>
    <w:p>
      <w:pPr>
        <w:jc w:val="center"/>
        <w:ind w:right="-79"/>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158" w:lineRule="exact"/>
        <w:rPr>
          <w:sz w:val="24"/>
          <w:szCs w:val="24"/>
          <w:color w:val="auto"/>
        </w:rPr>
      </w:pPr>
    </w:p>
    <w:tbl>
      <w:tblPr>
        <w:tblLayout w:type="fixed"/>
        <w:tblInd w:w="1700" w:type="dxa"/>
        <w:tblCellMar>
          <w:top w:w="0" w:type="dxa"/>
          <w:left w:w="0" w:type="dxa"/>
          <w:bottom w:w="0" w:type="dxa"/>
          <w:right w:w="0" w:type="dxa"/>
        </w:tblCellMar>
      </w:tblPr>
      <w:tr>
        <w:trPr>
          <w:trHeight w:val="239"/>
        </w:trPr>
        <w:tc>
          <w:tcPr>
            <w:tcW w:w="4260" w:type="dxa"/>
            <w:vAlign w:val="bottom"/>
          </w:tcPr>
          <w:p>
            <w:pPr>
              <w:jc w:val="center"/>
              <w:ind w:right="1850"/>
              <w:spacing w:after="0"/>
              <w:rPr>
                <w:sz w:val="20"/>
                <w:szCs w:val="20"/>
                <w:color w:val="auto"/>
              </w:rPr>
            </w:pPr>
            <w:r>
              <w:rPr>
                <w:rFonts w:ascii="Arial" w:cs="Arial" w:eastAsia="Arial" w:hAnsi="Arial"/>
                <w:sz w:val="18"/>
                <w:szCs w:val="18"/>
                <w:b w:val="1"/>
                <w:bCs w:val="1"/>
                <w:color w:val="auto"/>
              </w:rPr>
              <w:t>Delaware</w:t>
            </w:r>
          </w:p>
        </w:tc>
        <w:tc>
          <w:tcPr>
            <w:tcW w:w="3320" w:type="dxa"/>
            <w:vAlign w:val="bottom"/>
          </w:tcPr>
          <w:p>
            <w:pPr>
              <w:jc w:val="center"/>
              <w:ind w:left="1810"/>
              <w:spacing w:after="0"/>
              <w:rPr>
                <w:sz w:val="20"/>
                <w:szCs w:val="20"/>
                <w:color w:val="auto"/>
              </w:rPr>
            </w:pPr>
            <w:r>
              <w:rPr>
                <w:rFonts w:ascii="Arial" w:cs="Arial" w:eastAsia="Arial" w:hAnsi="Arial"/>
                <w:sz w:val="18"/>
                <w:szCs w:val="18"/>
                <w:b w:val="1"/>
                <w:bCs w:val="1"/>
                <w:color w:val="auto"/>
              </w:rPr>
              <w:t>20-3717839</w:t>
            </w:r>
          </w:p>
        </w:tc>
      </w:tr>
      <w:tr>
        <w:trPr>
          <w:trHeight w:val="257"/>
        </w:trPr>
        <w:tc>
          <w:tcPr>
            <w:tcW w:w="4260" w:type="dxa"/>
            <w:vAlign w:val="bottom"/>
          </w:tcPr>
          <w:p>
            <w:pPr>
              <w:jc w:val="center"/>
              <w:ind w:right="1830"/>
              <w:spacing w:after="0"/>
              <w:rPr>
                <w:sz w:val="20"/>
                <w:szCs w:val="20"/>
                <w:color w:val="auto"/>
              </w:rPr>
            </w:pPr>
            <w:r>
              <w:rPr>
                <w:rFonts w:ascii="Arial" w:cs="Arial" w:eastAsia="Arial" w:hAnsi="Arial"/>
                <w:sz w:val="18"/>
                <w:szCs w:val="18"/>
                <w:i w:val="1"/>
                <w:iCs w:val="1"/>
                <w:color w:val="auto"/>
              </w:rPr>
              <w:t>(State or other jurisdiction of</w:t>
            </w:r>
          </w:p>
        </w:tc>
        <w:tc>
          <w:tcPr>
            <w:tcW w:w="3320" w:type="dxa"/>
            <w:vAlign w:val="bottom"/>
          </w:tcPr>
          <w:p>
            <w:pPr>
              <w:jc w:val="center"/>
              <w:ind w:left="1830"/>
              <w:spacing w:after="0"/>
              <w:rPr>
                <w:sz w:val="20"/>
                <w:szCs w:val="20"/>
                <w:color w:val="auto"/>
              </w:rPr>
            </w:pPr>
            <w:r>
              <w:rPr>
                <w:rFonts w:ascii="Arial" w:cs="Arial" w:eastAsia="Arial" w:hAnsi="Arial"/>
                <w:sz w:val="18"/>
                <w:szCs w:val="18"/>
                <w:i w:val="1"/>
                <w:iCs w:val="1"/>
                <w:color w:val="auto"/>
                <w:w w:val="99"/>
              </w:rPr>
              <w:t>(I.R.S. Employer</w:t>
            </w:r>
          </w:p>
        </w:tc>
      </w:tr>
      <w:tr>
        <w:trPr>
          <w:trHeight w:val="257"/>
        </w:trPr>
        <w:tc>
          <w:tcPr>
            <w:tcW w:w="4260" w:type="dxa"/>
            <w:vAlign w:val="bottom"/>
          </w:tcPr>
          <w:p>
            <w:pPr>
              <w:jc w:val="center"/>
              <w:ind w:right="1830"/>
              <w:spacing w:after="0"/>
              <w:rPr>
                <w:sz w:val="20"/>
                <w:szCs w:val="20"/>
                <w:color w:val="auto"/>
              </w:rPr>
            </w:pPr>
            <w:r>
              <w:rPr>
                <w:rFonts w:ascii="Arial" w:cs="Arial" w:eastAsia="Arial" w:hAnsi="Arial"/>
                <w:sz w:val="18"/>
                <w:szCs w:val="18"/>
                <w:i w:val="1"/>
                <w:iCs w:val="1"/>
                <w:color w:val="auto"/>
                <w:w w:val="99"/>
              </w:rPr>
              <w:t>incorporation or organization)</w:t>
            </w:r>
          </w:p>
        </w:tc>
        <w:tc>
          <w:tcPr>
            <w:tcW w:w="3320" w:type="dxa"/>
            <w:vAlign w:val="bottom"/>
          </w:tcPr>
          <w:p>
            <w:pPr>
              <w:jc w:val="center"/>
              <w:ind w:left="1830"/>
              <w:spacing w:after="0"/>
              <w:rPr>
                <w:sz w:val="20"/>
                <w:szCs w:val="20"/>
                <w:color w:val="auto"/>
              </w:rPr>
            </w:pPr>
            <w:r>
              <w:rPr>
                <w:rFonts w:ascii="Arial" w:cs="Arial" w:eastAsia="Arial" w:hAnsi="Arial"/>
                <w:sz w:val="18"/>
                <w:szCs w:val="18"/>
                <w:i w:val="1"/>
                <w:iCs w:val="1"/>
                <w:color w:val="auto"/>
                <w:w w:val="99"/>
              </w:rPr>
              <w:t>Identification No.)</w:t>
            </w:r>
          </w:p>
        </w:tc>
      </w:tr>
    </w:tbl>
    <w:p>
      <w:pPr>
        <w:spacing w:after="0" w:line="13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75 State Street, Boston, MA 02109</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18"/>
          <w:szCs w:val="18"/>
          <w:i w:val="1"/>
          <w:iCs w:val="1"/>
          <w:color w:val="auto"/>
        </w:rPr>
        <w:t>(Address of Principal Executive Offices) (Zip Code)</w:t>
      </w:r>
    </w:p>
    <w:p>
      <w:pPr>
        <w:spacing w:after="0" w:line="20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(617) 423-3644</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66" w:lineRule="exact"/>
        <w:rPr>
          <w:sz w:val="24"/>
          <w:szCs w:val="24"/>
          <w:color w:val="auto"/>
        </w:rPr>
      </w:pPr>
    </w:p>
    <w:p>
      <w:pPr>
        <w:ind w:right="60" w:firstLine="270"/>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107" w:lineRule="exact"/>
        <w:rPr>
          <w:sz w:val="24"/>
          <w:szCs w:val="24"/>
          <w:color w:val="auto"/>
        </w:rPr>
      </w:pPr>
    </w:p>
    <w:p>
      <w:pPr>
        <w:ind w:right="280" w:firstLine="270"/>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x Yes o No</w:t>
      </w:r>
    </w:p>
    <w:p>
      <w:pPr>
        <w:spacing w:after="0" w:line="107" w:lineRule="exact"/>
        <w:rPr>
          <w:sz w:val="24"/>
          <w:szCs w:val="24"/>
          <w:color w:val="auto"/>
        </w:rPr>
      </w:pPr>
    </w:p>
    <w:p>
      <w:pPr>
        <w:jc w:val="both"/>
        <w:ind w:firstLine="27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89" w:lineRule="exact"/>
        <w:rPr>
          <w:sz w:val="24"/>
          <w:szCs w:val="24"/>
          <w:color w:val="auto"/>
        </w:rPr>
      </w:pPr>
    </w:p>
    <w:p>
      <w:pPr>
        <w:ind w:left="480"/>
        <w:spacing w:after="0"/>
        <w:tabs>
          <w:tab w:leader="none" w:pos="3280" w:val="left"/>
          <w:tab w:leader="none" w:pos="5780" w:val="left"/>
          <w:tab w:leader="none" w:pos="8660" w:val="left"/>
        </w:tabs>
        <w:rPr>
          <w:sz w:val="20"/>
          <w:szCs w:val="20"/>
          <w:color w:val="auto"/>
        </w:rPr>
      </w:pPr>
      <w:r>
        <w:rPr>
          <w:rFonts w:ascii="Arial" w:cs="Arial" w:eastAsia="Arial" w:hAnsi="Arial"/>
          <w:sz w:val="18"/>
          <w:szCs w:val="18"/>
          <w:color w:val="auto"/>
        </w:rPr>
        <w:t>Large accelerated filer x</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7"/>
          <w:szCs w:val="17"/>
          <w:color w:val="auto"/>
        </w:rPr>
        <w:t>Smaller reporting company o</w:t>
      </w:r>
    </w:p>
    <w:p>
      <w:pPr>
        <w:spacing w:after="0" w:line="82" w:lineRule="exact"/>
        <w:rPr>
          <w:sz w:val="24"/>
          <w:szCs w:val="24"/>
          <w:color w:val="auto"/>
        </w:rPr>
      </w:pPr>
    </w:p>
    <w:p>
      <w:pPr>
        <w:ind w:left="5240"/>
        <w:spacing w:after="0"/>
        <w:rPr>
          <w:sz w:val="20"/>
          <w:szCs w:val="20"/>
          <w:color w:val="auto"/>
        </w:rPr>
      </w:pPr>
      <w:r>
        <w:rPr>
          <w:rFonts w:ascii="Arial" w:cs="Arial" w:eastAsia="Arial" w:hAnsi="Arial"/>
          <w:sz w:val="14"/>
          <w:szCs w:val="14"/>
          <w:color w:val="auto"/>
        </w:rPr>
        <w:t>(Do not check if a smaller reporting company)</w:t>
      </w:r>
    </w:p>
    <w:p>
      <w:pPr>
        <w:spacing w:after="0" w:line="117" w:lineRule="exact"/>
        <w:rPr>
          <w:sz w:val="24"/>
          <w:szCs w:val="24"/>
          <w:color w:val="auto"/>
        </w:rPr>
      </w:pPr>
    </w:p>
    <w:p>
      <w:pPr>
        <w:ind w:right="980" w:firstLine="270"/>
        <w:spacing w:after="0" w:line="434" w:lineRule="auto"/>
        <w:rPr>
          <w:sz w:val="20"/>
          <w:szCs w:val="20"/>
          <w:color w:val="auto"/>
        </w:rPr>
      </w:pPr>
      <w:r>
        <w:rPr>
          <w:rFonts w:ascii="Arial" w:cs="Arial" w:eastAsia="Arial" w:hAnsi="Arial"/>
          <w:sz w:val="18"/>
          <w:szCs w:val="18"/>
          <w:color w:val="auto"/>
        </w:rPr>
        <w:t>Indicate by check mark whether the registrant is a shell company (as defined in Rule 12b-2 of the Exchange Act). o Yes x No The number of shares of Common Stock, par value $0.001 per share, outstanding as of October 26, 2012 was 108,544,407.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35560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041" w:right="2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81" w:lineRule="exact"/>
        <w:rPr>
          <w:sz w:val="20"/>
          <w:szCs w:val="20"/>
          <w:color w:val="auto"/>
        </w:rPr>
      </w:pPr>
    </w:p>
    <w:p>
      <w:pPr>
        <w:spacing w:after="0"/>
        <w:tabs>
          <w:tab w:leader="none" w:pos="10780" w:val="left"/>
        </w:tabs>
        <w:rPr>
          <w:sz w:val="20"/>
          <w:szCs w:val="20"/>
          <w:color w:val="auto"/>
        </w:rPr>
      </w:pPr>
      <w:r>
        <w:rPr>
          <w:rFonts w:ascii="Arial" w:cs="Arial" w:eastAsia="Arial" w:hAnsi="Arial"/>
          <w:sz w:val="14"/>
          <w:szCs w:val="14"/>
          <w:b w:val="1"/>
          <w:bCs w:val="1"/>
          <w:color w:val="auto"/>
        </w:rPr>
        <w:t>Item Number</w:t>
      </w:r>
      <w:r>
        <w:rPr>
          <w:sz w:val="20"/>
          <w:szCs w:val="20"/>
          <w:color w:val="auto"/>
        </w:rPr>
        <w:tab/>
      </w: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6720205</wp:posOffset>
            </wp:positionH>
            <wp:positionV relativeFrom="paragraph">
              <wp:posOffset>26035</wp:posOffset>
            </wp:positionV>
            <wp:extent cx="5060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96" w:lineRule="exact"/>
        <w:rPr>
          <w:sz w:val="20"/>
          <w:szCs w:val="20"/>
          <w:color w:val="auto"/>
        </w:rPr>
      </w:pPr>
    </w:p>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PART I — FINANCIAL INFORMATION</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FF"/>
        </w:rPr>
      </w:pPr>
      <w:hyperlink w:anchor="page4">
        <w:r>
          <w:rPr>
            <w:rFonts w:ascii="Arial" w:cs="Arial" w:eastAsia="Arial" w:hAnsi="Arial"/>
            <w:sz w:val="18"/>
            <w:szCs w:val="18"/>
            <w:b w:val="1"/>
            <w:bCs w:val="1"/>
            <w:u w:val="single" w:color="auto"/>
            <w:color w:val="0000FF"/>
          </w:rPr>
          <w:t>1. Financial Statements</w:t>
        </w:r>
      </w:hyperlink>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780" w:type="dxa"/>
            <w:vAlign w:val="bottom"/>
            <w:gridSpan w:val="12"/>
          </w:tcPr>
          <w:p>
            <w:pP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Condensed Consolidated Statements of Income (unaudited)</w:t>
              </w:r>
            </w:hyperlink>
          </w:p>
        </w:tc>
        <w:tc>
          <w:tcPr>
            <w:tcW w:w="2380" w:type="dxa"/>
            <w:vAlign w:val="bottom"/>
            <w:gridSpan w:val="6"/>
          </w:tcPr>
          <w:p>
            <w:pPr>
              <w:spacing w:after="0"/>
              <w:rPr>
                <w:sz w:val="17"/>
                <w:szCs w:val="17"/>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493"/>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160" w:type="dxa"/>
            <w:vAlign w:val="bottom"/>
            <w:gridSpan w:val="18"/>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Comprehensive Income (unaudited)</w:t>
              </w:r>
            </w:hyperlink>
          </w:p>
        </w:tc>
        <w:tc>
          <w:tcPr>
            <w:tcW w:w="352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2</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58"/>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720" w:type="dxa"/>
            <w:vAlign w:val="bottom"/>
            <w:gridSpan w:val="15"/>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Condensed Consolidated Statements of Financial Condition (unaudited)</w:t>
              </w:r>
            </w:hyperlink>
          </w:p>
        </w:tc>
        <w:tc>
          <w:tcPr>
            <w:tcW w:w="360" w:type="dxa"/>
            <w:vAlign w:val="bottom"/>
            <w:gridSpan w:val="2"/>
          </w:tcPr>
          <w:p>
            <w:pPr>
              <w:spacing w:after="0"/>
              <w:rPr>
                <w:sz w:val="24"/>
                <w:szCs w:val="24"/>
                <w:color w:val="auto"/>
              </w:rPr>
            </w:pPr>
          </w:p>
        </w:tc>
        <w:tc>
          <w:tcPr>
            <w:tcW w:w="1080" w:type="dxa"/>
            <w:vAlign w:val="bottom"/>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493"/>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20" w:type="dxa"/>
            <w:vAlign w:val="bottom"/>
            <w:gridSpan w:val="16"/>
          </w:tcPr>
          <w:p>
            <w:pP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Condensed Consolidated Statements of Stockholders’ Equity (unaudited)</w:t>
              </w:r>
            </w:hyperlink>
          </w:p>
        </w:tc>
        <w:tc>
          <w:tcPr>
            <w:tcW w:w="1340" w:type="dxa"/>
            <w:vAlign w:val="bottom"/>
            <w:gridSpan w:val="2"/>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4</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493"/>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20" w:type="dxa"/>
            <w:vAlign w:val="bottom"/>
            <w:gridSpan w:val="16"/>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Cash Flows (unaudited)</w:t>
              </w:r>
            </w:hyperlink>
          </w:p>
        </w:tc>
        <w:tc>
          <w:tcPr>
            <w:tcW w:w="1340" w:type="dxa"/>
            <w:vAlign w:val="bottom"/>
            <w:gridSpan w:val="2"/>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5</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493"/>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160" w:type="dxa"/>
            <w:vAlign w:val="bottom"/>
            <w:gridSpan w:val="18"/>
          </w:tcPr>
          <w:p>
            <w:pPr>
              <w:spacing w:after="0"/>
              <w:rPr>
                <w:sz w:val="20"/>
                <w:szCs w:val="20"/>
                <w:color w:val="auto"/>
              </w:rPr>
            </w:pPr>
            <w:r>
              <w:rPr>
                <w:rFonts w:ascii="Arial" w:cs="Arial" w:eastAsia="Arial" w:hAnsi="Arial"/>
                <w:sz w:val="18"/>
                <w:szCs w:val="18"/>
                <w:color w:val="0000FF"/>
              </w:rPr>
              <w:t>Notes to Condensed Consolidated Financial Statements (unaudited)</w:t>
            </w:r>
          </w:p>
        </w:tc>
        <w:tc>
          <w:tcPr>
            <w:tcW w:w="3520" w:type="dxa"/>
            <w:vAlign w:val="bottom"/>
            <w:gridSpan w:val="3"/>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7</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493"/>
        </w:trPr>
        <w:tc>
          <w:tcPr>
            <w:tcW w:w="180" w:type="dxa"/>
            <w:vAlign w:val="bottom"/>
          </w:tcPr>
          <w:p>
            <w:pPr>
              <w:spacing w:after="0"/>
              <w:rPr>
                <w:sz w:val="20"/>
                <w:szCs w:val="20"/>
                <w:color w:val="auto"/>
              </w:rPr>
            </w:pPr>
            <w:r>
              <w:rPr>
                <w:rFonts w:ascii="Arial" w:cs="Arial" w:eastAsia="Arial" w:hAnsi="Arial"/>
                <w:sz w:val="18"/>
                <w:szCs w:val="18"/>
                <w:b w:val="1"/>
                <w:bCs w:val="1"/>
                <w:color w:val="0000FF"/>
              </w:rPr>
              <w:t>2.</w:t>
            </w:r>
          </w:p>
        </w:tc>
        <w:tc>
          <w:tcPr>
            <w:tcW w:w="7660" w:type="dxa"/>
            <w:vAlign w:val="bottom"/>
            <w:gridSpan w:val="19"/>
          </w:tcPr>
          <w:p>
            <w:pPr>
              <w:ind w:left="20"/>
              <w:spacing w:after="0"/>
              <w:rPr>
                <w:sz w:val="20"/>
                <w:szCs w:val="20"/>
                <w:color w:val="auto"/>
              </w:rPr>
            </w:pPr>
            <w:r>
              <w:rPr>
                <w:rFonts w:ascii="Arial" w:cs="Arial" w:eastAsia="Arial" w:hAnsi="Arial"/>
                <w:sz w:val="18"/>
                <w:szCs w:val="18"/>
                <w:b w:val="1"/>
                <w:bCs w:val="1"/>
                <w:color w:val="0000FF"/>
                <w:w w:val="99"/>
              </w:rPr>
              <w:t>Management’s Discussion and Analysis of Financial Condition and Results of Operations</w:t>
            </w:r>
          </w:p>
        </w:tc>
        <w:tc>
          <w:tcPr>
            <w:tcW w:w="3520" w:type="dxa"/>
            <w:vAlign w:val="bottom"/>
            <w:gridSpan w:val="3"/>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27</w:t>
              </w:r>
            </w:hyperlink>
          </w:p>
        </w:tc>
      </w:tr>
      <w:tr>
        <w:trPr>
          <w:trHeight w:val="20"/>
        </w:trPr>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60" w:type="dxa"/>
            <w:vAlign w:val="bottom"/>
            <w:gridSpan w:val="7"/>
            <w:shd w:val="clear" w:color="auto" w:fill="0000FF"/>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180" w:type="dxa"/>
            <w:vAlign w:val="bottom"/>
          </w:tcPr>
          <w:p>
            <w:pPr>
              <w:spacing w:after="0"/>
              <w:rPr>
                <w:rFonts w:ascii="Arial" w:cs="Arial" w:eastAsia="Arial" w:hAnsi="Arial"/>
                <w:sz w:val="18"/>
                <w:szCs w:val="18"/>
                <w:b w:val="1"/>
                <w:bCs w:val="1"/>
                <w:color w:val="0000FF"/>
              </w:rPr>
            </w:pPr>
            <w:hyperlink w:anchor="page60">
              <w:r>
                <w:rPr>
                  <w:rFonts w:ascii="Arial" w:cs="Arial" w:eastAsia="Arial" w:hAnsi="Arial"/>
                  <w:sz w:val="18"/>
                  <w:szCs w:val="18"/>
                  <w:b w:val="1"/>
                  <w:bCs w:val="1"/>
                  <w:color w:val="0000FF"/>
                </w:rPr>
                <w:t>3.</w:t>
              </w:r>
            </w:hyperlink>
          </w:p>
        </w:tc>
        <w:tc>
          <w:tcPr>
            <w:tcW w:w="5100" w:type="dxa"/>
            <w:vAlign w:val="bottom"/>
            <w:gridSpan w:val="11"/>
          </w:tcPr>
          <w:p>
            <w:pPr>
              <w:ind w:left="20"/>
              <w:spacing w:after="0"/>
              <w:rPr>
                <w:rFonts w:ascii="Arial" w:cs="Arial" w:eastAsia="Arial" w:hAnsi="Arial"/>
                <w:sz w:val="18"/>
                <w:szCs w:val="18"/>
                <w:b w:val="1"/>
                <w:bCs w:val="1"/>
                <w:color w:val="0000FF"/>
                <w:w w:val="99"/>
              </w:rPr>
            </w:pPr>
            <w:hyperlink w:anchor="page60">
              <w:r>
                <w:rPr>
                  <w:rFonts w:ascii="Arial" w:cs="Arial" w:eastAsia="Arial" w:hAnsi="Arial"/>
                  <w:sz w:val="18"/>
                  <w:szCs w:val="18"/>
                  <w:b w:val="1"/>
                  <w:bCs w:val="1"/>
                  <w:color w:val="0000FF"/>
                  <w:w w:val="99"/>
                </w:rPr>
                <w:t>Quantitative and Qualitative Disclosures About Market Risk</w:t>
              </w:r>
            </w:hyperlink>
          </w:p>
        </w:tc>
        <w:tc>
          <w:tcPr>
            <w:tcW w:w="2560" w:type="dxa"/>
            <w:vAlign w:val="bottom"/>
            <w:gridSpan w:val="8"/>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60">
              <w:r>
                <w:rPr>
                  <w:rFonts w:ascii="Arial" w:cs="Arial" w:eastAsia="Arial" w:hAnsi="Arial"/>
                  <w:sz w:val="18"/>
                  <w:szCs w:val="18"/>
                  <w:color w:val="0000FF"/>
                </w:rPr>
                <w:t>57</w:t>
              </w:r>
            </w:hyperlink>
          </w:p>
        </w:tc>
      </w:tr>
      <w:tr>
        <w:trPr>
          <w:trHeight w:val="20"/>
        </w:trPr>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180" w:type="dxa"/>
            <w:vAlign w:val="bottom"/>
          </w:tcPr>
          <w:p>
            <w:pPr>
              <w:spacing w:after="0"/>
              <w:rPr>
                <w:rFonts w:ascii="Arial" w:cs="Arial" w:eastAsia="Arial" w:hAnsi="Arial"/>
                <w:sz w:val="18"/>
                <w:szCs w:val="18"/>
                <w:b w:val="1"/>
                <w:bCs w:val="1"/>
                <w:color w:val="0000FF"/>
              </w:rPr>
            </w:pPr>
            <w:hyperlink w:anchor="page63">
              <w:r>
                <w:rPr>
                  <w:rFonts w:ascii="Arial" w:cs="Arial" w:eastAsia="Arial" w:hAnsi="Arial"/>
                  <w:sz w:val="18"/>
                  <w:szCs w:val="18"/>
                  <w:b w:val="1"/>
                  <w:bCs w:val="1"/>
                  <w:color w:val="0000FF"/>
                </w:rPr>
                <w:t>4.</w:t>
              </w:r>
            </w:hyperlink>
          </w:p>
        </w:tc>
        <w:tc>
          <w:tcPr>
            <w:tcW w:w="5100" w:type="dxa"/>
            <w:vAlign w:val="bottom"/>
            <w:gridSpan w:val="11"/>
          </w:tcPr>
          <w:p>
            <w:pPr>
              <w:ind w:left="20"/>
              <w:spacing w:after="0"/>
              <w:rPr>
                <w:rFonts w:ascii="Arial" w:cs="Arial" w:eastAsia="Arial" w:hAnsi="Arial"/>
                <w:sz w:val="18"/>
                <w:szCs w:val="18"/>
                <w:b w:val="1"/>
                <w:bCs w:val="1"/>
                <w:color w:val="0000FF"/>
              </w:rPr>
            </w:pPr>
            <w:hyperlink w:anchor="page63">
              <w:r>
                <w:rPr>
                  <w:rFonts w:ascii="Arial" w:cs="Arial" w:eastAsia="Arial" w:hAnsi="Arial"/>
                  <w:sz w:val="18"/>
                  <w:szCs w:val="18"/>
                  <w:b w:val="1"/>
                  <w:bCs w:val="1"/>
                  <w:color w:val="0000FF"/>
                </w:rPr>
                <w:t>Controls and Procedures</w:t>
              </w:r>
            </w:hyperlink>
          </w:p>
        </w:tc>
        <w:tc>
          <w:tcPr>
            <w:tcW w:w="2560" w:type="dxa"/>
            <w:vAlign w:val="bottom"/>
            <w:gridSpan w:val="8"/>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63">
              <w:r>
                <w:rPr>
                  <w:rFonts w:ascii="Arial" w:cs="Arial" w:eastAsia="Arial" w:hAnsi="Arial"/>
                  <w:sz w:val="18"/>
                  <w:szCs w:val="18"/>
                  <w:color w:val="0000FF"/>
                </w:rPr>
                <w:t>60</w:t>
              </w:r>
            </w:hyperlink>
          </w:p>
        </w:tc>
      </w:tr>
      <w:tr>
        <w:trPr>
          <w:trHeight w:val="20"/>
        </w:trPr>
        <w:tc>
          <w:tcPr>
            <w:tcW w:w="90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2840" w:type="dxa"/>
            <w:vAlign w:val="bottom"/>
            <w:gridSpan w:val="10"/>
          </w:tcPr>
          <w:p>
            <w:pPr>
              <w:spacing w:after="0"/>
              <w:rPr>
                <w:rFonts w:ascii="Arial" w:cs="Arial" w:eastAsia="Arial" w:hAnsi="Arial"/>
                <w:sz w:val="18"/>
                <w:szCs w:val="18"/>
                <w:b w:val="1"/>
                <w:bCs w:val="1"/>
                <w:color w:val="0000FF"/>
                <w:w w:val="98"/>
              </w:rPr>
            </w:pPr>
            <w:hyperlink w:anchor="page63">
              <w:r>
                <w:rPr>
                  <w:rFonts w:ascii="Arial" w:cs="Arial" w:eastAsia="Arial" w:hAnsi="Arial"/>
                  <w:sz w:val="18"/>
                  <w:szCs w:val="18"/>
                  <w:b w:val="1"/>
                  <w:bCs w:val="1"/>
                  <w:color w:val="0000FF"/>
                  <w:w w:val="98"/>
                </w:rPr>
                <w:t>PART II — OTHER INFORMATION</w:t>
              </w:r>
            </w:hyperlink>
          </w:p>
        </w:tc>
        <w:tc>
          <w:tcPr>
            <w:tcW w:w="5000" w:type="dxa"/>
            <w:vAlign w:val="bottom"/>
            <w:gridSpan w:val="10"/>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63">
              <w:r>
                <w:rPr>
                  <w:rFonts w:ascii="Arial" w:cs="Arial" w:eastAsia="Arial" w:hAnsi="Arial"/>
                  <w:sz w:val="18"/>
                  <w:szCs w:val="18"/>
                  <w:color w:val="0000FF"/>
                </w:rPr>
                <w:t>61</w:t>
              </w:r>
            </w:hyperlink>
          </w:p>
        </w:tc>
      </w:tr>
      <w:tr>
        <w:trPr>
          <w:trHeight w:val="20"/>
        </w:trPr>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180" w:type="dxa"/>
            <w:vAlign w:val="bottom"/>
          </w:tcPr>
          <w:p>
            <w:pPr>
              <w:spacing w:after="0"/>
              <w:rPr>
                <w:rFonts w:ascii="Arial" w:cs="Arial" w:eastAsia="Arial" w:hAnsi="Arial"/>
                <w:sz w:val="18"/>
                <w:szCs w:val="18"/>
                <w:b w:val="1"/>
                <w:bCs w:val="1"/>
                <w:color w:val="0000FF"/>
              </w:rPr>
            </w:pPr>
            <w:hyperlink w:anchor="page64">
              <w:r>
                <w:rPr>
                  <w:rFonts w:ascii="Arial" w:cs="Arial" w:eastAsia="Arial" w:hAnsi="Arial"/>
                  <w:sz w:val="18"/>
                  <w:szCs w:val="18"/>
                  <w:b w:val="1"/>
                  <w:bCs w:val="1"/>
                  <w:color w:val="0000FF"/>
                </w:rPr>
                <w:t>1.</w:t>
              </w:r>
            </w:hyperlink>
          </w:p>
        </w:tc>
        <w:tc>
          <w:tcPr>
            <w:tcW w:w="1620" w:type="dxa"/>
            <w:vAlign w:val="bottom"/>
            <w:gridSpan w:val="6"/>
          </w:tcPr>
          <w:p>
            <w:pPr>
              <w:ind w:left="20"/>
              <w:spacing w:after="0"/>
              <w:rPr>
                <w:rFonts w:ascii="Arial" w:cs="Arial" w:eastAsia="Arial" w:hAnsi="Arial"/>
                <w:sz w:val="18"/>
                <w:szCs w:val="18"/>
                <w:b w:val="1"/>
                <w:bCs w:val="1"/>
                <w:color w:val="0000FF"/>
                <w:w w:val="98"/>
              </w:rPr>
            </w:pPr>
            <w:hyperlink w:anchor="page64">
              <w:r>
                <w:rPr>
                  <w:rFonts w:ascii="Arial" w:cs="Arial" w:eastAsia="Arial" w:hAnsi="Arial"/>
                  <w:sz w:val="18"/>
                  <w:szCs w:val="18"/>
                  <w:b w:val="1"/>
                  <w:bCs w:val="1"/>
                  <w:color w:val="0000FF"/>
                  <w:w w:val="98"/>
                </w:rPr>
                <w:t>Legal Proceedings</w:t>
              </w:r>
            </w:hyperlink>
          </w:p>
        </w:tc>
        <w:tc>
          <w:tcPr>
            <w:tcW w:w="1040" w:type="dxa"/>
            <w:vAlign w:val="bottom"/>
            <w:gridSpan w:val="3"/>
          </w:tcPr>
          <w:p>
            <w:pPr>
              <w:spacing w:after="0"/>
              <w:rPr>
                <w:sz w:val="24"/>
                <w:szCs w:val="24"/>
                <w:color w:val="auto"/>
              </w:rPr>
            </w:pPr>
          </w:p>
        </w:tc>
        <w:tc>
          <w:tcPr>
            <w:tcW w:w="5000" w:type="dxa"/>
            <w:vAlign w:val="bottom"/>
            <w:gridSpan w:val="10"/>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64">
              <w:r>
                <w:rPr>
                  <w:rFonts w:ascii="Arial" w:cs="Arial" w:eastAsia="Arial" w:hAnsi="Arial"/>
                  <w:sz w:val="18"/>
                  <w:szCs w:val="18"/>
                  <w:color w:val="0000FF"/>
                </w:rPr>
                <w:t>61</w:t>
              </w:r>
            </w:hyperlink>
          </w:p>
        </w:tc>
      </w:tr>
      <w:tr>
        <w:trPr>
          <w:trHeight w:val="20"/>
        </w:trPr>
        <w:tc>
          <w:tcPr>
            <w:tcW w:w="90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1800" w:type="dxa"/>
            <w:vAlign w:val="bottom"/>
            <w:gridSpan w:val="7"/>
          </w:tcPr>
          <w:p>
            <w:pPr>
              <w:spacing w:after="0"/>
              <w:rPr>
                <w:rFonts w:ascii="Arial" w:cs="Arial" w:eastAsia="Arial" w:hAnsi="Arial"/>
                <w:sz w:val="18"/>
                <w:szCs w:val="18"/>
                <w:b w:val="1"/>
                <w:bCs w:val="1"/>
                <w:color w:val="0000FF"/>
              </w:rPr>
            </w:pPr>
            <w:hyperlink w:anchor="page64">
              <w:r>
                <w:rPr>
                  <w:rFonts w:ascii="Arial" w:cs="Arial" w:eastAsia="Arial" w:hAnsi="Arial"/>
                  <w:sz w:val="18"/>
                  <w:szCs w:val="18"/>
                  <w:b w:val="1"/>
                  <w:bCs w:val="1"/>
                  <w:color w:val="0000FF"/>
                </w:rPr>
                <w:t>1A. Risk Factors</w:t>
              </w:r>
            </w:hyperlink>
          </w:p>
        </w:tc>
        <w:tc>
          <w:tcPr>
            <w:tcW w:w="6040" w:type="dxa"/>
            <w:vAlign w:val="bottom"/>
            <w:gridSpan w:val="13"/>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64">
              <w:r>
                <w:rPr>
                  <w:rFonts w:ascii="Arial" w:cs="Arial" w:eastAsia="Arial" w:hAnsi="Arial"/>
                  <w:sz w:val="18"/>
                  <w:szCs w:val="18"/>
                  <w:color w:val="0000FF"/>
                </w:rPr>
                <w:t>61</w:t>
              </w:r>
            </w:hyperlink>
          </w:p>
        </w:tc>
      </w:tr>
      <w:tr>
        <w:trPr>
          <w:trHeight w:val="20"/>
        </w:trPr>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180" w:type="dxa"/>
            <w:vAlign w:val="bottom"/>
          </w:tcPr>
          <w:p>
            <w:pPr>
              <w:spacing w:after="0"/>
              <w:rPr>
                <w:rFonts w:ascii="Arial" w:cs="Arial" w:eastAsia="Arial" w:hAnsi="Arial"/>
                <w:sz w:val="18"/>
                <w:szCs w:val="18"/>
                <w:b w:val="1"/>
                <w:bCs w:val="1"/>
                <w:color w:val="0000FF"/>
              </w:rPr>
            </w:pPr>
            <w:hyperlink w:anchor="page64">
              <w:r>
                <w:rPr>
                  <w:rFonts w:ascii="Arial" w:cs="Arial" w:eastAsia="Arial" w:hAnsi="Arial"/>
                  <w:sz w:val="18"/>
                  <w:szCs w:val="18"/>
                  <w:b w:val="1"/>
                  <w:bCs w:val="1"/>
                  <w:color w:val="0000FF"/>
                </w:rPr>
                <w:t>2.</w:t>
              </w:r>
            </w:hyperlink>
          </w:p>
        </w:tc>
        <w:tc>
          <w:tcPr>
            <w:tcW w:w="7660" w:type="dxa"/>
            <w:vAlign w:val="bottom"/>
            <w:gridSpan w:val="19"/>
          </w:tcPr>
          <w:p>
            <w:pPr>
              <w:ind w:left="20"/>
              <w:spacing w:after="0"/>
              <w:rPr>
                <w:rFonts w:ascii="Arial" w:cs="Arial" w:eastAsia="Arial" w:hAnsi="Arial"/>
                <w:sz w:val="18"/>
                <w:szCs w:val="18"/>
                <w:b w:val="1"/>
                <w:bCs w:val="1"/>
                <w:color w:val="0000FF"/>
              </w:rPr>
            </w:pPr>
            <w:hyperlink w:anchor="page64">
              <w:r>
                <w:rPr>
                  <w:rFonts w:ascii="Arial" w:cs="Arial" w:eastAsia="Arial" w:hAnsi="Arial"/>
                  <w:sz w:val="18"/>
                  <w:szCs w:val="18"/>
                  <w:b w:val="1"/>
                  <w:bCs w:val="1"/>
                  <w:color w:val="0000FF"/>
                </w:rPr>
                <w:t>Unregistered Sales of Equity Securities and Use of Proceeds</w:t>
              </w:r>
            </w:hyperlink>
          </w:p>
        </w:tc>
        <w:tc>
          <w:tcPr>
            <w:tcW w:w="3520" w:type="dxa"/>
            <w:vAlign w:val="bottom"/>
            <w:gridSpan w:val="3"/>
          </w:tcPr>
          <w:p>
            <w:pPr>
              <w:jc w:val="right"/>
              <w:spacing w:after="0"/>
              <w:rPr>
                <w:rFonts w:ascii="Arial" w:cs="Arial" w:eastAsia="Arial" w:hAnsi="Arial"/>
                <w:sz w:val="18"/>
                <w:szCs w:val="18"/>
                <w:color w:val="0000FF"/>
              </w:rPr>
            </w:pPr>
            <w:hyperlink w:anchor="page64">
              <w:r>
                <w:rPr>
                  <w:rFonts w:ascii="Arial" w:cs="Arial" w:eastAsia="Arial" w:hAnsi="Arial"/>
                  <w:sz w:val="18"/>
                  <w:szCs w:val="18"/>
                  <w:color w:val="0000FF"/>
                </w:rPr>
                <w:t>61</w:t>
              </w:r>
            </w:hyperlink>
          </w:p>
        </w:tc>
      </w:tr>
      <w:tr>
        <w:trPr>
          <w:trHeight w:val="20"/>
        </w:trPr>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180" w:type="dxa"/>
            <w:vAlign w:val="bottom"/>
          </w:tcPr>
          <w:p>
            <w:pPr>
              <w:spacing w:after="0"/>
              <w:rPr>
                <w:rFonts w:ascii="Arial" w:cs="Arial" w:eastAsia="Arial" w:hAnsi="Arial"/>
                <w:sz w:val="18"/>
                <w:szCs w:val="18"/>
                <w:b w:val="1"/>
                <w:bCs w:val="1"/>
                <w:color w:val="0000FF"/>
              </w:rPr>
            </w:pPr>
            <w:hyperlink w:anchor="page64">
              <w:r>
                <w:rPr>
                  <w:rFonts w:ascii="Arial" w:cs="Arial" w:eastAsia="Arial" w:hAnsi="Arial"/>
                  <w:sz w:val="18"/>
                  <w:szCs w:val="18"/>
                  <w:b w:val="1"/>
                  <w:bCs w:val="1"/>
                  <w:color w:val="0000FF"/>
                </w:rPr>
                <w:t>3.</w:t>
              </w:r>
            </w:hyperlink>
          </w:p>
        </w:tc>
        <w:tc>
          <w:tcPr>
            <w:tcW w:w="2760" w:type="dxa"/>
            <w:vAlign w:val="bottom"/>
            <w:gridSpan w:val="10"/>
          </w:tcPr>
          <w:p>
            <w:pPr>
              <w:ind w:left="20"/>
              <w:spacing w:after="0"/>
              <w:rPr>
                <w:rFonts w:ascii="Arial" w:cs="Arial" w:eastAsia="Arial" w:hAnsi="Arial"/>
                <w:sz w:val="18"/>
                <w:szCs w:val="18"/>
                <w:b w:val="1"/>
                <w:bCs w:val="1"/>
                <w:color w:val="0000FF"/>
                <w:w w:val="99"/>
              </w:rPr>
            </w:pPr>
            <w:hyperlink w:anchor="page64">
              <w:r>
                <w:rPr>
                  <w:rFonts w:ascii="Arial" w:cs="Arial" w:eastAsia="Arial" w:hAnsi="Arial"/>
                  <w:sz w:val="18"/>
                  <w:szCs w:val="18"/>
                  <w:b w:val="1"/>
                  <w:bCs w:val="1"/>
                  <w:color w:val="0000FF"/>
                  <w:w w:val="99"/>
                </w:rPr>
                <w:t>Defaults Upon Senior Securities</w:t>
              </w:r>
            </w:hyperlink>
          </w:p>
        </w:tc>
        <w:tc>
          <w:tcPr>
            <w:tcW w:w="2440" w:type="dxa"/>
            <w:vAlign w:val="bottom"/>
            <w:gridSpan w:val="2"/>
          </w:tcPr>
          <w:p>
            <w:pPr>
              <w:spacing w:after="0"/>
              <w:rPr>
                <w:sz w:val="24"/>
                <w:szCs w:val="24"/>
                <w:color w:val="auto"/>
              </w:rPr>
            </w:pPr>
          </w:p>
        </w:tc>
        <w:tc>
          <w:tcPr>
            <w:tcW w:w="2460" w:type="dxa"/>
            <w:vAlign w:val="bottom"/>
            <w:gridSpan w:val="7"/>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64">
              <w:r>
                <w:rPr>
                  <w:rFonts w:ascii="Arial" w:cs="Arial" w:eastAsia="Arial" w:hAnsi="Arial"/>
                  <w:sz w:val="18"/>
                  <w:szCs w:val="18"/>
                  <w:color w:val="0000FF"/>
                </w:rPr>
                <w:t>61</w:t>
              </w:r>
            </w:hyperlink>
          </w:p>
        </w:tc>
      </w:tr>
      <w:tr>
        <w:trPr>
          <w:trHeight w:val="20"/>
        </w:trPr>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4900" w:type="dxa"/>
            <w:vAlign w:val="bottom"/>
            <w:gridSpan w:val="9"/>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180" w:type="dxa"/>
            <w:vAlign w:val="bottom"/>
          </w:tcPr>
          <w:p>
            <w:pPr>
              <w:spacing w:after="0"/>
              <w:rPr>
                <w:rFonts w:ascii="Arial" w:cs="Arial" w:eastAsia="Arial" w:hAnsi="Arial"/>
                <w:sz w:val="18"/>
                <w:szCs w:val="18"/>
                <w:b w:val="1"/>
                <w:bCs w:val="1"/>
                <w:color w:val="0000FF"/>
              </w:rPr>
            </w:pPr>
            <w:hyperlink w:anchor="page64">
              <w:r>
                <w:rPr>
                  <w:rFonts w:ascii="Arial" w:cs="Arial" w:eastAsia="Arial" w:hAnsi="Arial"/>
                  <w:sz w:val="18"/>
                  <w:szCs w:val="18"/>
                  <w:b w:val="1"/>
                  <w:bCs w:val="1"/>
                  <w:color w:val="0000FF"/>
                </w:rPr>
                <w:t>4.</w:t>
              </w:r>
            </w:hyperlink>
          </w:p>
        </w:tc>
        <w:tc>
          <w:tcPr>
            <w:tcW w:w="2760" w:type="dxa"/>
            <w:vAlign w:val="bottom"/>
            <w:gridSpan w:val="10"/>
          </w:tcPr>
          <w:p>
            <w:pPr>
              <w:ind w:left="20"/>
              <w:spacing w:after="0"/>
              <w:rPr>
                <w:rFonts w:ascii="Arial" w:cs="Arial" w:eastAsia="Arial" w:hAnsi="Arial"/>
                <w:sz w:val="18"/>
                <w:szCs w:val="18"/>
                <w:b w:val="1"/>
                <w:bCs w:val="1"/>
                <w:color w:val="0000FF"/>
              </w:rPr>
            </w:pPr>
            <w:hyperlink w:anchor="page64">
              <w:r>
                <w:rPr>
                  <w:rFonts w:ascii="Arial" w:cs="Arial" w:eastAsia="Arial" w:hAnsi="Arial"/>
                  <w:sz w:val="18"/>
                  <w:szCs w:val="18"/>
                  <w:b w:val="1"/>
                  <w:bCs w:val="1"/>
                  <w:color w:val="0000FF"/>
                </w:rPr>
                <w:t>Mine Safety Disclosures</w:t>
              </w:r>
            </w:hyperlink>
          </w:p>
        </w:tc>
        <w:tc>
          <w:tcPr>
            <w:tcW w:w="4900" w:type="dxa"/>
            <w:vAlign w:val="bottom"/>
            <w:gridSpan w:val="9"/>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64">
              <w:r>
                <w:rPr>
                  <w:rFonts w:ascii="Arial" w:cs="Arial" w:eastAsia="Arial" w:hAnsi="Arial"/>
                  <w:sz w:val="18"/>
                  <w:szCs w:val="18"/>
                  <w:color w:val="0000FF"/>
                </w:rPr>
                <w:t>61</w:t>
              </w:r>
            </w:hyperlink>
          </w:p>
        </w:tc>
      </w:tr>
      <w:tr>
        <w:trPr>
          <w:trHeight w:val="20"/>
        </w:trPr>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580" w:type="dxa"/>
            <w:vAlign w:val="bottom"/>
            <w:gridSpan w:val="1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180" w:type="dxa"/>
            <w:vAlign w:val="bottom"/>
          </w:tcPr>
          <w:p>
            <w:pPr>
              <w:spacing w:after="0"/>
              <w:rPr>
                <w:rFonts w:ascii="Arial" w:cs="Arial" w:eastAsia="Arial" w:hAnsi="Arial"/>
                <w:sz w:val="18"/>
                <w:szCs w:val="18"/>
                <w:b w:val="1"/>
                <w:bCs w:val="1"/>
                <w:color w:val="0000FF"/>
              </w:rPr>
            </w:pPr>
            <w:hyperlink w:anchor="page64">
              <w:r>
                <w:rPr>
                  <w:rFonts w:ascii="Arial" w:cs="Arial" w:eastAsia="Arial" w:hAnsi="Arial"/>
                  <w:sz w:val="18"/>
                  <w:szCs w:val="18"/>
                  <w:b w:val="1"/>
                  <w:bCs w:val="1"/>
                  <w:color w:val="0000FF"/>
                </w:rPr>
                <w:t>5.</w:t>
              </w:r>
            </w:hyperlink>
          </w:p>
        </w:tc>
        <w:tc>
          <w:tcPr>
            <w:tcW w:w="1540" w:type="dxa"/>
            <w:vAlign w:val="bottom"/>
            <w:gridSpan w:val="5"/>
          </w:tcPr>
          <w:p>
            <w:pPr>
              <w:ind w:left="20"/>
              <w:spacing w:after="0"/>
              <w:rPr>
                <w:rFonts w:ascii="Arial" w:cs="Arial" w:eastAsia="Arial" w:hAnsi="Arial"/>
                <w:sz w:val="18"/>
                <w:szCs w:val="18"/>
                <w:b w:val="1"/>
                <w:bCs w:val="1"/>
                <w:color w:val="0000FF"/>
                <w:w w:val="98"/>
              </w:rPr>
            </w:pPr>
            <w:hyperlink w:anchor="page64">
              <w:r>
                <w:rPr>
                  <w:rFonts w:ascii="Arial" w:cs="Arial" w:eastAsia="Arial" w:hAnsi="Arial"/>
                  <w:sz w:val="18"/>
                  <w:szCs w:val="18"/>
                  <w:b w:val="1"/>
                  <w:bCs w:val="1"/>
                  <w:color w:val="0000FF"/>
                  <w:w w:val="98"/>
                </w:rPr>
                <w:t>Other Information</w:t>
              </w:r>
            </w:hyperlink>
          </w:p>
        </w:tc>
        <w:tc>
          <w:tcPr>
            <w:tcW w:w="540" w:type="dxa"/>
            <w:vAlign w:val="bottom"/>
            <w:gridSpan w:val="2"/>
          </w:tcPr>
          <w:p>
            <w:pPr>
              <w:spacing w:after="0"/>
              <w:rPr>
                <w:sz w:val="24"/>
                <w:szCs w:val="24"/>
                <w:color w:val="auto"/>
              </w:rPr>
            </w:pPr>
          </w:p>
        </w:tc>
        <w:tc>
          <w:tcPr>
            <w:tcW w:w="5580" w:type="dxa"/>
            <w:vAlign w:val="bottom"/>
            <w:gridSpan w:val="12"/>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64">
              <w:r>
                <w:rPr>
                  <w:rFonts w:ascii="Arial" w:cs="Arial" w:eastAsia="Arial" w:hAnsi="Arial"/>
                  <w:sz w:val="18"/>
                  <w:szCs w:val="18"/>
                  <w:color w:val="0000FF"/>
                </w:rPr>
                <w:t>61</w:t>
              </w:r>
            </w:hyperlink>
          </w:p>
        </w:tc>
      </w:tr>
      <w:tr>
        <w:trPr>
          <w:trHeight w:val="20"/>
        </w:trPr>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120" w:type="dxa"/>
            <w:vAlign w:val="bottom"/>
            <w:gridSpan w:val="1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180" w:type="dxa"/>
            <w:vAlign w:val="bottom"/>
          </w:tcPr>
          <w:p>
            <w:pPr>
              <w:spacing w:after="0"/>
              <w:rPr>
                <w:rFonts w:ascii="Arial" w:cs="Arial" w:eastAsia="Arial" w:hAnsi="Arial"/>
                <w:sz w:val="18"/>
                <w:szCs w:val="18"/>
                <w:b w:val="1"/>
                <w:bCs w:val="1"/>
                <w:color w:val="0000FF"/>
              </w:rPr>
            </w:pPr>
            <w:hyperlink w:anchor="page64">
              <w:r>
                <w:rPr>
                  <w:rFonts w:ascii="Arial" w:cs="Arial" w:eastAsia="Arial" w:hAnsi="Arial"/>
                  <w:sz w:val="18"/>
                  <w:szCs w:val="18"/>
                  <w:b w:val="1"/>
                  <w:bCs w:val="1"/>
                  <w:color w:val="0000FF"/>
                </w:rPr>
                <w:t>6.</w:t>
              </w:r>
            </w:hyperlink>
          </w:p>
        </w:tc>
        <w:tc>
          <w:tcPr>
            <w:tcW w:w="720" w:type="dxa"/>
            <w:vAlign w:val="bottom"/>
            <w:gridSpan w:val="2"/>
          </w:tcPr>
          <w:p>
            <w:pPr>
              <w:ind w:left="20"/>
              <w:spacing w:after="0"/>
              <w:rPr>
                <w:rFonts w:ascii="Arial" w:cs="Arial" w:eastAsia="Arial" w:hAnsi="Arial"/>
                <w:sz w:val="18"/>
                <w:szCs w:val="18"/>
                <w:b w:val="1"/>
                <w:bCs w:val="1"/>
                <w:color w:val="0000FF"/>
                <w:w w:val="97"/>
              </w:rPr>
            </w:pPr>
            <w:hyperlink w:anchor="page64">
              <w:r>
                <w:rPr>
                  <w:rFonts w:ascii="Arial" w:cs="Arial" w:eastAsia="Arial" w:hAnsi="Arial"/>
                  <w:sz w:val="18"/>
                  <w:szCs w:val="18"/>
                  <w:b w:val="1"/>
                  <w:bCs w:val="1"/>
                  <w:color w:val="0000FF"/>
                  <w:w w:val="97"/>
                </w:rPr>
                <w:t>Exhibits</w:t>
              </w:r>
            </w:hyperlink>
          </w:p>
        </w:tc>
        <w:tc>
          <w:tcPr>
            <w:tcW w:w="820" w:type="dxa"/>
            <w:vAlign w:val="bottom"/>
            <w:gridSpan w:val="3"/>
          </w:tcPr>
          <w:p>
            <w:pPr>
              <w:spacing w:after="0"/>
              <w:rPr>
                <w:sz w:val="24"/>
                <w:szCs w:val="24"/>
                <w:color w:val="auto"/>
              </w:rPr>
            </w:pPr>
          </w:p>
        </w:tc>
        <w:tc>
          <w:tcPr>
            <w:tcW w:w="6120" w:type="dxa"/>
            <w:vAlign w:val="bottom"/>
            <w:gridSpan w:val="14"/>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64">
              <w:r>
                <w:rPr>
                  <w:rFonts w:ascii="Arial" w:cs="Arial" w:eastAsia="Arial" w:hAnsi="Arial"/>
                  <w:sz w:val="18"/>
                  <w:szCs w:val="18"/>
                  <w:color w:val="0000FF"/>
                </w:rPr>
                <w:t>61</w:t>
              </w:r>
            </w:hyperlink>
          </w:p>
        </w:tc>
      </w:tr>
      <w:tr>
        <w:trPr>
          <w:trHeight w:val="20"/>
        </w:trPr>
        <w:tc>
          <w:tcPr>
            <w:tcW w:w="90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80" w:type="dxa"/>
            <w:vAlign w:val="bottom"/>
            <w:gridSpan w:val="16"/>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7840" w:type="dxa"/>
            <w:vAlign w:val="bottom"/>
            <w:gridSpan w:val="20"/>
          </w:tcPr>
          <w:p>
            <w:pPr>
              <w:spacing w:after="0"/>
              <w:rPr>
                <w:rFonts w:ascii="Arial" w:cs="Arial" w:eastAsia="Arial" w:hAnsi="Arial"/>
                <w:sz w:val="18"/>
                <w:szCs w:val="18"/>
                <w:b w:val="1"/>
                <w:bCs w:val="1"/>
                <w:color w:val="0000FF"/>
              </w:rPr>
            </w:pPr>
            <w:hyperlink w:anchor="page65">
              <w:r>
                <w:rPr>
                  <w:rFonts w:ascii="Arial" w:cs="Arial" w:eastAsia="Arial" w:hAnsi="Arial"/>
                  <w:sz w:val="18"/>
                  <w:szCs w:val="18"/>
                  <w:b w:val="1"/>
                  <w:bCs w:val="1"/>
                  <w:color w:val="0000FF"/>
                </w:rPr>
                <w:t>SIGNATURES</w:t>
              </w:r>
            </w:hyperlink>
          </w:p>
        </w:tc>
        <w:tc>
          <w:tcPr>
            <w:tcW w:w="3520" w:type="dxa"/>
            <w:vAlign w:val="bottom"/>
            <w:gridSpan w:val="3"/>
          </w:tcPr>
          <w:p>
            <w:pPr>
              <w:jc w:val="right"/>
              <w:spacing w:after="0"/>
              <w:rPr>
                <w:rFonts w:ascii="Arial" w:cs="Arial" w:eastAsia="Arial" w:hAnsi="Arial"/>
                <w:sz w:val="18"/>
                <w:szCs w:val="18"/>
                <w:color w:val="0000FF"/>
              </w:rPr>
            </w:pPr>
            <w:hyperlink w:anchor="page65">
              <w:r>
                <w:rPr>
                  <w:rFonts w:ascii="Arial" w:cs="Arial" w:eastAsia="Arial" w:hAnsi="Arial"/>
                  <w:sz w:val="18"/>
                  <w:szCs w:val="18"/>
                  <w:color w:val="0000FF"/>
                </w:rPr>
                <w:t>63</w:t>
              </w:r>
            </w:hyperlink>
          </w:p>
        </w:tc>
      </w:tr>
      <w:tr>
        <w:trPr>
          <w:trHeight w:val="20"/>
        </w:trPr>
        <w:tc>
          <w:tcPr>
            <w:tcW w:w="1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80" w:top="900" w:right="259" w:bottom="57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80" w:top="900" w:right="259" w:bottom="572"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4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required by the Securities Exchange Act of 1934, as amended (the “Exchange Act”), with the Securities and Exchange Commission (the "SEC"). You may read and copy any document we file with the SEC at the SEC’s public reference room located at 100 F Street, N.E., Washington, D.C. 20549, U.S.A. Please call the SEC at 1-800-SEC-0330 for further information on the public reference room. Our SEC filings are also available to the public from the SEC’s internet site at </w:t>
      </w:r>
      <w:r>
        <w:rPr>
          <w:rFonts w:ascii="Arial" w:cs="Arial" w:eastAsia="Arial" w:hAnsi="Arial"/>
          <w:sz w:val="18"/>
          <w:szCs w:val="18"/>
          <w:i w:val="1"/>
          <w:iCs w:val="1"/>
          <w:u w:val="single" w:color="auto"/>
          <w:color w:val="auto"/>
        </w:rPr>
        <w:t>http://www.sec.gov</w:t>
      </w:r>
      <w:r>
        <w:rPr>
          <w:rFonts w:ascii="Arial" w:cs="Arial" w:eastAsia="Arial" w:hAnsi="Arial"/>
          <w:sz w:val="18"/>
          <w:szCs w:val="18"/>
          <w:i w:val="1"/>
          <w:iCs w:val="1"/>
          <w:color w:val="auto"/>
        </w:rPr>
        <w:t>.</w:t>
      </w:r>
    </w:p>
    <w:p>
      <w:pPr>
        <w:spacing w:after="0" w:line="206"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auto"/>
        </w:rPr>
        <w:t xml:space="preserve">On our internet site, </w:t>
      </w:r>
      <w:r>
        <w:rPr>
          <w:rFonts w:ascii="Arial" w:cs="Arial" w:eastAsia="Arial" w:hAnsi="Arial"/>
          <w:sz w:val="18"/>
          <w:szCs w:val="18"/>
          <w:u w:val="single" w:color="auto"/>
          <w:color w:val="auto"/>
        </w:rPr>
        <w:t>http://www.lpl.com</w:t>
      </w:r>
      <w:r>
        <w:rPr>
          <w:rFonts w:ascii="Arial" w:cs="Arial" w:eastAsia="Arial" w:hAnsi="Arial"/>
          <w:sz w:val="18"/>
          <w:szCs w:val="18"/>
          <w:color w:val="auto"/>
        </w:rPr>
        <w:t>, we post the following filings as soon as reasonably practicable after they are electronically filed with or furnished to the SEC: our annual reports on Form 10-K, our proxy statements, our quarterly reports on Form 10-Q, our current reports on Form 8-K, and any amendments to those reports filed or furnished pursuant to Section 13(a) or 15(d) of the Exchange Act. Hard copies of all such filings are available free of charge by request via email (</w:t>
      </w:r>
      <w:r>
        <w:rPr>
          <w:rFonts w:ascii="Arial" w:cs="Arial" w:eastAsia="Arial" w:hAnsi="Arial"/>
          <w:sz w:val="18"/>
          <w:szCs w:val="18"/>
          <w:u w:val="single" w:color="auto"/>
          <w:color w:val="auto"/>
        </w:rPr>
        <w:t>investor.relations@lpl.com</w:t>
      </w:r>
      <w:r>
        <w:rPr>
          <w:rFonts w:ascii="Arial" w:cs="Arial" w:eastAsia="Arial" w:hAnsi="Arial"/>
          <w:sz w:val="18"/>
          <w:szCs w:val="18"/>
          <w:color w:val="auto"/>
        </w:rPr>
        <w:t>), telephone (617) 897-4574, or mail (LPL Financial Investor Relations at 75 State Street, 24th Floor, Boston, MA 02109). The information contained or incorporated on our website is not a part of this Quarterly Report on Form 10-Q.</w:t>
      </w:r>
    </w:p>
    <w:p>
      <w:pPr>
        <w:spacing w:after="0" w:line="191" w:lineRule="exact"/>
        <w:rPr>
          <w:sz w:val="20"/>
          <w:szCs w:val="20"/>
          <w:color w:val="auto"/>
        </w:rPr>
      </w:pPr>
    </w:p>
    <w:p>
      <w:pPr>
        <w:ind w:right="480" w:firstLine="486"/>
        <w:spacing w:after="0" w:line="282" w:lineRule="auto"/>
        <w:rPr>
          <w:sz w:val="20"/>
          <w:szCs w:val="20"/>
          <w:color w:val="auto"/>
        </w:rPr>
      </w:pPr>
      <w:r>
        <w:rPr>
          <w:rFonts w:ascii="Arial" w:cs="Arial" w:eastAsia="Arial" w:hAnsi="Arial"/>
          <w:sz w:val="18"/>
          <w:szCs w:val="18"/>
          <w:i w:val="1"/>
          <w:iCs w:val="1"/>
          <w:color w:val="auto"/>
        </w:rPr>
        <w:t>When we use the terms “LPLFH”, “we”, “us”, “our”, the “firm” and the "Company," we mean LPL Financial Holdings Inc., a Delaware corporation, and its consolidated subsidiaries, taken as a whole, unless the context otherwise indicates.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47"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Statements in Item 2 - “Management's Discussion and Analysis of Financial Condition and Results of Operations” and other sections of this Quarterly Report on Form 10-Q regarding the Company's future financial and operating results, growth, business strategy, projected costs, plans, liquidity and ability and plans to repurchase shares and pay future dividends, as well as any other statements that are not purely historical, constitute forward-looking statements. These forward-looking statements are based on the Company's historical performance and its plans, estimates and expectations as of October 31, 2012. The words “anticipates,” “believes,” “expects,” “may,” “plans,” “predicts,” “will” and similar expressions are intended to identify forward-looking statements, although not all forward-looking statements contain these identifying words. Forward-looking statements are not guarantees that the future results, plans, intentions or expectations expressed or implied by the Company will be achieved. Matters subject to forward-looking statements involve known and unknown risks and uncertainties, including economic, legislative, regulatory, competitive and other factors, which may cause actual financial or operating results, levels of activity, or the timing of events, to be materially different than those expressed or implied by forward-looking statements. Important factors that could cause or contribute to such differences include: changes in general economic and financial market conditions, including retail investor sentiment; fluctuations in the value of assets under custody; effects of competition in the financial services industry; changes in the number of the Company's financial advisors and institutions, and their ability to market effectively financial products and services; changes in interest rates payable by banks participating in the Company's cash sweep program, including the Company's success in negotiating agreements with current or additional counterparties; the Company's success in integrating the operations of acquired businesses; the effect of current, pending and future legislation, regulation and regulatory actions, including disciplinary actions imposed by self-regulatory organizations; and the other factors set forth in Part I, “Item 1A. Risk Factors” in the Company's 2011 Annual Report on Form 10-K. For example, the Company may be unable to successfully integrate the systems and operations related to our acquisitions of Concord Wealth Management, Fortigent Holdings Company, Inc. and Veritat Advisors Inc. and realize the expected synergies from these transactions. Except as required by law, the Company specifically disclaims any obligation to update any forward-looking statements as a result of developments occurring after the date of this quarterly report, even if its estimates change, and you should not rely on those statements as representing the Company's views as of any date subsequent to the date of this quarterly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792"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6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6"/>
        </w:trPr>
        <w:tc>
          <w:tcPr>
            <w:tcW w:w="5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5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040" w:type="dxa"/>
            <w:vAlign w:val="bottom"/>
          </w:tcPr>
          <w:p>
            <w:pPr>
              <w:ind w:left="340"/>
              <w:spacing w:after="0"/>
              <w:rPr>
                <w:sz w:val="20"/>
                <w:szCs w:val="20"/>
                <w:color w:val="auto"/>
              </w:rPr>
            </w:pPr>
            <w:r>
              <w:rPr>
                <w:rFonts w:ascii="Arial" w:cs="Arial" w:eastAsia="Arial" w:hAnsi="Arial"/>
                <w:sz w:val="18"/>
                <w:szCs w:val="18"/>
                <w:color w:val="auto"/>
              </w:rPr>
              <w:t>Commissions</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442,129</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438,294</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1,353,025</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1,350,053</w:t>
            </w:r>
          </w:p>
        </w:tc>
        <w:tc>
          <w:tcPr>
            <w:tcW w:w="0" w:type="dxa"/>
            <w:vAlign w:val="bottom"/>
          </w:tcPr>
          <w:p>
            <w:pPr>
              <w:spacing w:after="0"/>
              <w:rPr>
                <w:sz w:val="1"/>
                <w:szCs w:val="1"/>
                <w:color w:val="auto"/>
              </w:rPr>
            </w:pPr>
          </w:p>
        </w:tc>
      </w:tr>
      <w:tr>
        <w:trPr>
          <w:trHeight w:val="277"/>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Advisory fees</w:t>
            </w:r>
          </w:p>
        </w:tc>
        <w:tc>
          <w:tcPr>
            <w:tcW w:w="5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267,334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267,878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786,507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776,254</w:t>
            </w:r>
          </w:p>
        </w:tc>
        <w:tc>
          <w:tcPr>
            <w:tcW w:w="0" w:type="dxa"/>
            <w:vAlign w:val="bottom"/>
          </w:tcPr>
          <w:p>
            <w:pPr>
              <w:spacing w:after="0"/>
              <w:rPr>
                <w:sz w:val="1"/>
                <w:szCs w:val="1"/>
                <w:color w:val="auto"/>
              </w:rPr>
            </w:pPr>
          </w:p>
        </w:tc>
      </w:tr>
      <w:tr>
        <w:trPr>
          <w:trHeight w:val="263"/>
        </w:trPr>
        <w:tc>
          <w:tcPr>
            <w:tcW w:w="5040" w:type="dxa"/>
            <w:vAlign w:val="bottom"/>
          </w:tcPr>
          <w:p>
            <w:pPr>
              <w:ind w:left="360"/>
              <w:spacing w:after="0"/>
              <w:rPr>
                <w:sz w:val="20"/>
                <w:szCs w:val="20"/>
                <w:color w:val="auto"/>
              </w:rPr>
            </w:pPr>
            <w:r>
              <w:rPr>
                <w:rFonts w:ascii="Arial" w:cs="Arial" w:eastAsia="Arial" w:hAnsi="Arial"/>
                <w:sz w:val="18"/>
                <w:szCs w:val="18"/>
                <w:color w:val="auto"/>
              </w:rPr>
              <w:t>Asset-based fees</w:t>
            </w: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100,024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89,691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300,049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270,018</w:t>
            </w:r>
          </w:p>
        </w:tc>
        <w:tc>
          <w:tcPr>
            <w:tcW w:w="0" w:type="dxa"/>
            <w:vAlign w:val="bottom"/>
          </w:tcPr>
          <w:p>
            <w:pPr>
              <w:spacing w:after="0"/>
              <w:rPr>
                <w:sz w:val="1"/>
                <w:szCs w:val="1"/>
                <w:color w:val="auto"/>
              </w:rPr>
            </w:pPr>
          </w:p>
        </w:tc>
      </w:tr>
      <w:tr>
        <w:trPr>
          <w:trHeight w:val="277"/>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Transaction and other fees</w:t>
            </w:r>
          </w:p>
        </w:tc>
        <w:tc>
          <w:tcPr>
            <w:tcW w:w="5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84,730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78,476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238,196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220,980</w:t>
            </w:r>
          </w:p>
        </w:tc>
        <w:tc>
          <w:tcPr>
            <w:tcW w:w="0" w:type="dxa"/>
            <w:vAlign w:val="bottom"/>
          </w:tcPr>
          <w:p>
            <w:pPr>
              <w:spacing w:after="0"/>
              <w:rPr>
                <w:sz w:val="1"/>
                <w:szCs w:val="1"/>
                <w:color w:val="auto"/>
              </w:rPr>
            </w:pPr>
          </w:p>
        </w:tc>
      </w:tr>
      <w:tr>
        <w:trPr>
          <w:trHeight w:val="263"/>
        </w:trPr>
        <w:tc>
          <w:tcPr>
            <w:tcW w:w="5040" w:type="dxa"/>
            <w:vAlign w:val="bottom"/>
          </w:tcPr>
          <w:p>
            <w:pPr>
              <w:ind w:left="360"/>
              <w:spacing w:after="0"/>
              <w:rPr>
                <w:sz w:val="20"/>
                <w:szCs w:val="20"/>
                <w:color w:val="auto"/>
              </w:rPr>
            </w:pPr>
            <w:r>
              <w:rPr>
                <w:rFonts w:ascii="Arial" w:cs="Arial" w:eastAsia="Arial" w:hAnsi="Arial"/>
                <w:sz w:val="18"/>
                <w:szCs w:val="18"/>
                <w:color w:val="auto"/>
              </w:rPr>
              <w:t>Interest income, net of interest expense</w:t>
            </w: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4,629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5,036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14,139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15,288</w:t>
            </w: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54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8,382</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3,482</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24,928</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18,129</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net revenues</w:t>
            </w:r>
          </w:p>
        </w:tc>
        <w:tc>
          <w:tcPr>
            <w:tcW w:w="5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907,228</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882,857</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2,716,844</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2,650,722</w:t>
            </w: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5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040" w:type="dxa"/>
            <w:vAlign w:val="bottom"/>
          </w:tcPr>
          <w:p>
            <w:pPr>
              <w:ind w:left="360"/>
              <w:spacing w:after="0"/>
              <w:rPr>
                <w:sz w:val="20"/>
                <w:szCs w:val="20"/>
                <w:color w:val="auto"/>
              </w:rPr>
            </w:pPr>
            <w:r>
              <w:rPr>
                <w:rFonts w:ascii="Arial" w:cs="Arial" w:eastAsia="Arial" w:hAnsi="Arial"/>
                <w:sz w:val="18"/>
                <w:szCs w:val="18"/>
                <w:color w:val="auto"/>
              </w:rPr>
              <w:t>Commissions and advisory fees</w:t>
            </w: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620,165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614,068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1,858,139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1,833,433</w:t>
            </w:r>
          </w:p>
        </w:tc>
        <w:tc>
          <w:tcPr>
            <w:tcW w:w="0" w:type="dxa"/>
            <w:vAlign w:val="bottom"/>
          </w:tcPr>
          <w:p>
            <w:pPr>
              <w:spacing w:after="0"/>
              <w:rPr>
                <w:sz w:val="1"/>
                <w:szCs w:val="1"/>
                <w:color w:val="auto"/>
              </w:rPr>
            </w:pPr>
          </w:p>
        </w:tc>
      </w:tr>
      <w:tr>
        <w:trPr>
          <w:trHeight w:val="277"/>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and benefits</w:t>
            </w:r>
          </w:p>
        </w:tc>
        <w:tc>
          <w:tcPr>
            <w:tcW w:w="5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91,309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77,337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273,355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242,889</w:t>
            </w:r>
          </w:p>
        </w:tc>
        <w:tc>
          <w:tcPr>
            <w:tcW w:w="0" w:type="dxa"/>
            <w:vAlign w:val="bottom"/>
          </w:tcPr>
          <w:p>
            <w:pPr>
              <w:spacing w:after="0"/>
              <w:rPr>
                <w:sz w:val="1"/>
                <w:szCs w:val="1"/>
                <w:color w:val="auto"/>
              </w:rPr>
            </w:pPr>
          </w:p>
        </w:tc>
      </w:tr>
      <w:tr>
        <w:trPr>
          <w:trHeight w:val="263"/>
        </w:trPr>
        <w:tc>
          <w:tcPr>
            <w:tcW w:w="5040" w:type="dxa"/>
            <w:vAlign w:val="bottom"/>
          </w:tcPr>
          <w:p>
            <w:pPr>
              <w:ind w:left="360"/>
              <w:spacing w:after="0"/>
              <w:rPr>
                <w:sz w:val="20"/>
                <w:szCs w:val="20"/>
                <w:color w:val="auto"/>
              </w:rPr>
            </w:pPr>
            <w:r>
              <w:rPr>
                <w:rFonts w:ascii="Arial" w:cs="Arial" w:eastAsia="Arial" w:hAnsi="Arial"/>
                <w:sz w:val="18"/>
                <w:szCs w:val="18"/>
                <w:color w:val="auto"/>
              </w:rPr>
              <w:t>Promotional</w:t>
            </w: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31,844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28,660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74,797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62,985</w:t>
            </w:r>
          </w:p>
        </w:tc>
        <w:tc>
          <w:tcPr>
            <w:tcW w:w="0" w:type="dxa"/>
            <w:vAlign w:val="bottom"/>
          </w:tcPr>
          <w:p>
            <w:pPr>
              <w:spacing w:after="0"/>
              <w:rPr>
                <w:sz w:val="1"/>
                <w:szCs w:val="1"/>
                <w:color w:val="auto"/>
              </w:rPr>
            </w:pPr>
          </w:p>
        </w:tc>
      </w:tr>
      <w:tr>
        <w:trPr>
          <w:trHeight w:val="277"/>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5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18,423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19,222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53,010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55,794</w:t>
            </w:r>
          </w:p>
        </w:tc>
        <w:tc>
          <w:tcPr>
            <w:tcW w:w="0" w:type="dxa"/>
            <w:vAlign w:val="bottom"/>
          </w:tcPr>
          <w:p>
            <w:pPr>
              <w:spacing w:after="0"/>
              <w:rPr>
                <w:sz w:val="1"/>
                <w:szCs w:val="1"/>
                <w:color w:val="auto"/>
              </w:rPr>
            </w:pPr>
          </w:p>
        </w:tc>
      </w:tr>
      <w:tr>
        <w:trPr>
          <w:trHeight w:val="263"/>
        </w:trPr>
        <w:tc>
          <w:tcPr>
            <w:tcW w:w="5040" w:type="dxa"/>
            <w:vAlign w:val="bottom"/>
          </w:tcPr>
          <w:p>
            <w:pPr>
              <w:ind w:left="360"/>
              <w:spacing w:after="0"/>
              <w:rPr>
                <w:sz w:val="20"/>
                <w:szCs w:val="20"/>
                <w:color w:val="auto"/>
              </w:rPr>
            </w:pPr>
            <w:r>
              <w:rPr>
                <w:rFonts w:ascii="Arial" w:cs="Arial" w:eastAsia="Arial" w:hAnsi="Arial"/>
                <w:sz w:val="18"/>
                <w:szCs w:val="18"/>
                <w:color w:val="auto"/>
              </w:rPr>
              <w:t>Professional services</w:t>
            </w: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15,672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10,656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46,992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33,309</w:t>
            </w:r>
          </w:p>
        </w:tc>
        <w:tc>
          <w:tcPr>
            <w:tcW w:w="0" w:type="dxa"/>
            <w:vAlign w:val="bottom"/>
          </w:tcPr>
          <w:p>
            <w:pPr>
              <w:spacing w:after="0"/>
              <w:rPr>
                <w:sz w:val="1"/>
                <w:szCs w:val="1"/>
                <w:color w:val="auto"/>
              </w:rPr>
            </w:pPr>
          </w:p>
        </w:tc>
      </w:tr>
      <w:tr>
        <w:trPr>
          <w:trHeight w:val="277"/>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Occupancy and equipment</w:t>
            </w:r>
          </w:p>
        </w:tc>
        <w:tc>
          <w:tcPr>
            <w:tcW w:w="5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13,914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13,637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42,418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41,556</w:t>
            </w:r>
          </w:p>
        </w:tc>
        <w:tc>
          <w:tcPr>
            <w:tcW w:w="0" w:type="dxa"/>
            <w:vAlign w:val="bottom"/>
          </w:tcPr>
          <w:p>
            <w:pPr>
              <w:spacing w:after="0"/>
              <w:rPr>
                <w:sz w:val="1"/>
                <w:szCs w:val="1"/>
                <w:color w:val="auto"/>
              </w:rPr>
            </w:pPr>
          </w:p>
        </w:tc>
      </w:tr>
      <w:tr>
        <w:trPr>
          <w:trHeight w:val="263"/>
        </w:trPr>
        <w:tc>
          <w:tcPr>
            <w:tcW w:w="5040" w:type="dxa"/>
            <w:vAlign w:val="bottom"/>
          </w:tcPr>
          <w:p>
            <w:pPr>
              <w:ind w:left="360"/>
              <w:spacing w:after="0"/>
              <w:rPr>
                <w:sz w:val="20"/>
                <w:szCs w:val="20"/>
                <w:color w:val="auto"/>
              </w:rPr>
            </w:pPr>
            <w:r>
              <w:rPr>
                <w:rFonts w:ascii="Arial" w:cs="Arial" w:eastAsia="Arial" w:hAnsi="Arial"/>
                <w:sz w:val="18"/>
                <w:szCs w:val="18"/>
                <w:color w:val="auto"/>
              </w:rPr>
              <w:t>Brokerage, clearing and exchange</w:t>
            </w: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9,938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9,818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29,007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28,868</w:t>
            </w:r>
          </w:p>
        </w:tc>
        <w:tc>
          <w:tcPr>
            <w:tcW w:w="0" w:type="dxa"/>
            <w:vAlign w:val="bottom"/>
          </w:tcPr>
          <w:p>
            <w:pPr>
              <w:spacing w:after="0"/>
              <w:rPr>
                <w:sz w:val="1"/>
                <w:szCs w:val="1"/>
                <w:color w:val="auto"/>
              </w:rPr>
            </w:pPr>
          </w:p>
        </w:tc>
      </w:tr>
      <w:tr>
        <w:trPr>
          <w:trHeight w:val="277"/>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Communications and data processing</w:t>
            </w:r>
          </w:p>
        </w:tc>
        <w:tc>
          <w:tcPr>
            <w:tcW w:w="5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10,249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9,235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28,945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26,823</w:t>
            </w:r>
          </w:p>
        </w:tc>
        <w:tc>
          <w:tcPr>
            <w:tcW w:w="0" w:type="dxa"/>
            <w:vAlign w:val="bottom"/>
          </w:tcPr>
          <w:p>
            <w:pPr>
              <w:spacing w:after="0"/>
              <w:rPr>
                <w:sz w:val="1"/>
                <w:szCs w:val="1"/>
                <w:color w:val="auto"/>
              </w:rPr>
            </w:pPr>
          </w:p>
        </w:tc>
      </w:tr>
      <w:tr>
        <w:trPr>
          <w:trHeight w:val="263"/>
        </w:trPr>
        <w:tc>
          <w:tcPr>
            <w:tcW w:w="5040" w:type="dxa"/>
            <w:vAlign w:val="bottom"/>
          </w:tcPr>
          <w:p>
            <w:pPr>
              <w:ind w:left="360"/>
              <w:spacing w:after="0"/>
              <w:rPr>
                <w:sz w:val="20"/>
                <w:szCs w:val="20"/>
                <w:color w:val="auto"/>
              </w:rPr>
            </w:pPr>
            <w:r>
              <w:rPr>
                <w:rFonts w:ascii="Arial" w:cs="Arial" w:eastAsia="Arial" w:hAnsi="Arial"/>
                <w:sz w:val="18"/>
                <w:szCs w:val="18"/>
                <w:color w:val="auto"/>
              </w:rPr>
              <w:t>Regulatory fees and expenses</w:t>
            </w: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6,979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6,441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21,416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19,385</w:t>
            </w:r>
          </w:p>
        </w:tc>
        <w:tc>
          <w:tcPr>
            <w:tcW w:w="0" w:type="dxa"/>
            <w:vAlign w:val="bottom"/>
          </w:tcPr>
          <w:p>
            <w:pPr>
              <w:spacing w:after="0"/>
              <w:rPr>
                <w:sz w:val="1"/>
                <w:szCs w:val="1"/>
                <w:color w:val="auto"/>
              </w:rPr>
            </w:pPr>
          </w:p>
        </w:tc>
      </w:tr>
      <w:tr>
        <w:trPr>
          <w:trHeight w:val="277"/>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charges</w:t>
            </w:r>
          </w:p>
        </w:tc>
        <w:tc>
          <w:tcPr>
            <w:tcW w:w="5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7,684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4,962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13,035</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20,460</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7,434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36,573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20,617</w:t>
            </w:r>
          </w:p>
        </w:tc>
        <w:tc>
          <w:tcPr>
            <w:tcW w:w="0" w:type="dxa"/>
            <w:vAlign w:val="bottom"/>
          </w:tcPr>
          <w:p>
            <w:pPr>
              <w:spacing w:after="0"/>
              <w:rPr>
                <w:sz w:val="1"/>
                <w:szCs w:val="1"/>
                <w:color w:val="auto"/>
              </w:rPr>
            </w:pPr>
          </w:p>
        </w:tc>
      </w:tr>
      <w:tr>
        <w:trPr>
          <w:trHeight w:val="250"/>
        </w:trPr>
        <w:tc>
          <w:tcPr>
            <w:tcW w:w="5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operating expenses</w:t>
            </w:r>
          </w:p>
        </w:tc>
        <w:tc>
          <w:tcPr>
            <w:tcW w:w="54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840,164</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804,192</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2,469,614</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2,378,694</w:t>
            </w:r>
          </w:p>
        </w:tc>
        <w:tc>
          <w:tcPr>
            <w:tcW w:w="0" w:type="dxa"/>
            <w:vAlign w:val="bottom"/>
          </w:tcPr>
          <w:p>
            <w:pPr>
              <w:spacing w:after="0"/>
              <w:rPr>
                <w:sz w:val="1"/>
                <w:szCs w:val="1"/>
                <w:color w:val="auto"/>
              </w:rPr>
            </w:pPr>
          </w:p>
        </w:tc>
      </w:tr>
      <w:tr>
        <w:trPr>
          <w:trHeight w:val="250"/>
        </w:trPr>
        <w:tc>
          <w:tcPr>
            <w:tcW w:w="5040" w:type="dxa"/>
            <w:vAlign w:val="bottom"/>
          </w:tcPr>
          <w:p>
            <w:pPr>
              <w:ind w:left="360"/>
              <w:spacing w:after="0"/>
              <w:rPr>
                <w:sz w:val="20"/>
                <w:szCs w:val="20"/>
                <w:color w:val="auto"/>
              </w:rPr>
            </w:pPr>
            <w:r>
              <w:rPr>
                <w:rFonts w:ascii="Arial" w:cs="Arial" w:eastAsia="Arial" w:hAnsi="Arial"/>
                <w:sz w:val="18"/>
                <w:szCs w:val="18"/>
                <w:color w:val="auto"/>
              </w:rPr>
              <w:t>Non-operating interest expense</w:t>
            </w: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12,826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16,603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42,297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52,929</w:t>
            </w: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extinguishment of debt</w:t>
            </w:r>
          </w:p>
        </w:tc>
        <w:tc>
          <w:tcPr>
            <w:tcW w:w="54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16,524</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expenses</w:t>
            </w:r>
          </w:p>
        </w:tc>
        <w:tc>
          <w:tcPr>
            <w:tcW w:w="5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852,990</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820,795</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2,528,435</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2,431,623</w:t>
            </w: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BEFORE PROVISION FOR INCOME TAXES</w:t>
            </w:r>
          </w:p>
        </w:tc>
        <w:tc>
          <w:tcPr>
            <w:tcW w:w="5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54,238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62,062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188,409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219,099</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PROVISION FOR INCOME TAXES</w:t>
            </w:r>
          </w:p>
        </w:tc>
        <w:tc>
          <w:tcPr>
            <w:tcW w:w="5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19,939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25,634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73,429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88,165</w:t>
            </w: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INCOME</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34,299</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36,428</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114,980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130,934</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EARNINGS PER SHARE (Note 12):</w:t>
            </w:r>
          </w:p>
        </w:tc>
        <w:tc>
          <w:tcPr>
            <w:tcW w:w="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040" w:type="dxa"/>
            <w:vAlign w:val="bottom"/>
            <w:vMerge w:val="continue"/>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0.31</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0.33</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57"/>
        </w:trPr>
        <w:tc>
          <w:tcPr>
            <w:tcW w:w="5040" w:type="dxa"/>
            <w:vAlign w:val="bottom"/>
          </w:tcPr>
          <w:p>
            <w:pPr>
              <w:ind w:left="360"/>
              <w:spacing w:after="0"/>
              <w:rPr>
                <w:sz w:val="20"/>
                <w:szCs w:val="20"/>
                <w:color w:val="auto"/>
              </w:rPr>
            </w:pPr>
            <w:r>
              <w:rPr>
                <w:rFonts w:ascii="Arial" w:cs="Arial" w:eastAsia="Arial" w:hAnsi="Arial"/>
                <w:sz w:val="18"/>
                <w:szCs w:val="18"/>
                <w:color w:val="auto"/>
              </w:rPr>
              <w:t>Diluted</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0.31</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0.32</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unaudited condensed consolidated financial statements.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76"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9"/>
              </w:rPr>
              <w:t>Three Months Ended</w:t>
            </w:r>
          </w:p>
        </w:tc>
        <w:tc>
          <w:tcPr>
            <w:tcW w:w="280" w:type="dxa"/>
            <w:vAlign w:val="bottom"/>
          </w:tcPr>
          <w:p>
            <w:pPr>
              <w:spacing w:after="0"/>
              <w:rPr>
                <w:sz w:val="17"/>
                <w:szCs w:val="17"/>
                <w:color w:val="auto"/>
              </w:rPr>
            </w:pPr>
          </w:p>
        </w:tc>
        <w:tc>
          <w:tcPr>
            <w:tcW w:w="236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Nine Months Ended</w:t>
            </w:r>
          </w:p>
        </w:tc>
      </w:tr>
      <w:tr>
        <w:trPr>
          <w:trHeight w:val="246"/>
        </w:trPr>
        <w:tc>
          <w:tcPr>
            <w:tcW w:w="26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21"/>
                <w:szCs w:val="21"/>
                <w:color w:val="auto"/>
              </w:rPr>
            </w:pPr>
          </w:p>
        </w:tc>
        <w:tc>
          <w:tcPr>
            <w:tcW w:w="236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September 30,</w:t>
            </w:r>
          </w:p>
        </w:tc>
      </w:tr>
      <w:tr>
        <w:trPr>
          <w:trHeight w:val="264"/>
        </w:trPr>
        <w:tc>
          <w:tcPr>
            <w:tcW w:w="264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26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r>
      <w:tr>
        <w:trPr>
          <w:trHeight w:val="257"/>
        </w:trPr>
        <w:tc>
          <w:tcPr>
            <w:tcW w:w="60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34,299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36,428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114,980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130,934</w:t>
            </w:r>
          </w:p>
        </w:tc>
      </w:tr>
      <w:tr>
        <w:trPr>
          <w:trHeight w:val="263"/>
        </w:trPr>
        <w:tc>
          <w:tcPr>
            <w:tcW w:w="6020" w:type="dxa"/>
            <w:vAlign w:val="bottom"/>
            <w:gridSpan w:val="3"/>
          </w:tcPr>
          <w:p>
            <w:pPr>
              <w:ind w:left="40"/>
              <w:spacing w:after="0"/>
              <w:rPr>
                <w:sz w:val="20"/>
                <w:szCs w:val="20"/>
                <w:color w:val="auto"/>
              </w:rPr>
            </w:pPr>
            <w:r>
              <w:rPr>
                <w:rFonts w:ascii="Arial" w:cs="Arial" w:eastAsia="Arial" w:hAnsi="Arial"/>
                <w:sz w:val="18"/>
                <w:szCs w:val="18"/>
                <w:color w:val="auto"/>
              </w:rPr>
              <w:t>Other comprehensive income, net of tax:</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35"/>
        </w:trPr>
        <w:tc>
          <w:tcPr>
            <w:tcW w:w="60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Unrealized gain on interest rate swaps,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03"/>
        </w:trPr>
        <w:tc>
          <w:tcPr>
            <w:tcW w:w="264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net of tax expense of $0</w:t>
            </w:r>
          </w:p>
        </w:tc>
        <w:tc>
          <w:tcPr>
            <w:tcW w:w="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and $304</w:t>
            </w:r>
          </w:p>
        </w:tc>
        <w:tc>
          <w:tcPr>
            <w:tcW w:w="2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for the three months ended</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3"/>
        </w:trPr>
        <w:tc>
          <w:tcPr>
            <w:tcW w:w="264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w w:val="97"/>
              </w:rPr>
              <w:t>September 30, 2012 and</w:t>
            </w:r>
          </w:p>
        </w:tc>
        <w:tc>
          <w:tcPr>
            <w:tcW w:w="338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2011, and $527 and $2,004 for the</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4"/>
        </w:trPr>
        <w:tc>
          <w:tcPr>
            <w:tcW w:w="602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nine months ended September 30, 2012 and 2011, respectively</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3,209</w:t>
            </w:r>
          </w:p>
        </w:tc>
      </w:tr>
      <w:tr>
        <w:trPr>
          <w:trHeight w:val="250"/>
        </w:trPr>
        <w:tc>
          <w:tcPr>
            <w:tcW w:w="6020" w:type="dxa"/>
            <w:vAlign w:val="bottom"/>
            <w:gridSpan w:val="3"/>
          </w:tcPr>
          <w:p>
            <w:pPr>
              <w:ind w:left="1080"/>
              <w:spacing w:after="0"/>
              <w:rPr>
                <w:sz w:val="20"/>
                <w:szCs w:val="20"/>
                <w:color w:val="auto"/>
              </w:rPr>
            </w:pPr>
            <w:r>
              <w:rPr>
                <w:rFonts w:ascii="Arial" w:cs="Arial" w:eastAsia="Arial" w:hAnsi="Arial"/>
                <w:sz w:val="18"/>
                <w:szCs w:val="18"/>
                <w:color w:val="auto"/>
              </w:rPr>
              <w:t>Total other comprehensive income, net of tax</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3,209</w:t>
            </w:r>
          </w:p>
        </w:tc>
      </w:tr>
      <w:tr>
        <w:trPr>
          <w:trHeight w:val="257"/>
        </w:trPr>
        <w:tc>
          <w:tcPr>
            <w:tcW w:w="602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34,299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36,892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115,830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134,143</w:t>
            </w:r>
          </w:p>
        </w:tc>
      </w:tr>
      <w:tr>
        <w:trPr>
          <w:trHeight w:val="20"/>
        </w:trPr>
        <w:tc>
          <w:tcPr>
            <w:tcW w:w="2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unaudited condensed consolidated financial statements.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008" w:right="239" w:bottom="1440" w:gutter="0" w:footer="0" w:header="0"/>
        </w:sectPr>
      </w:pPr>
    </w:p>
    <w:bookmarkStart w:id="5" w:name="page6"/>
    <w:bookmarkEnd w:id="5"/>
    <w:p>
      <w:pPr>
        <w:ind w:left="3440"/>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par value)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3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9"/>
              </w:rPr>
              <w:t>December 31, 2011</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jc w:val="center"/>
              <w:ind w:left="2979"/>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836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445,971</w:t>
            </w:r>
          </w:p>
        </w:tc>
        <w:tc>
          <w:tcPr>
            <w:tcW w:w="100" w:type="dxa"/>
            <w:vAlign w:val="bottom"/>
          </w:tcPr>
          <w:p>
            <w:pPr>
              <w:spacing w:after="0"/>
              <w:rPr>
                <w:sz w:val="22"/>
                <w:szCs w:val="22"/>
                <w:color w:val="auto"/>
              </w:rPr>
            </w:pPr>
          </w:p>
        </w:tc>
        <w:tc>
          <w:tcPr>
            <w:tcW w:w="380" w:type="dxa"/>
            <w:vAlign w:val="bottom"/>
          </w:tcPr>
          <w:p>
            <w:pPr>
              <w:ind w:left="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720,772</w:t>
            </w: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securities segregated under federal and other regulations</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393,583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382,905</w:t>
            </w:r>
          </w:p>
        </w:tc>
        <w:tc>
          <w:tcPr>
            <w:tcW w:w="0" w:type="dxa"/>
            <w:vAlign w:val="bottom"/>
          </w:tcPr>
          <w:p>
            <w:pPr>
              <w:spacing w:after="0"/>
              <w:rPr>
                <w:sz w:val="1"/>
                <w:szCs w:val="1"/>
                <w:color w:val="auto"/>
              </w:rPr>
            </w:pPr>
          </w:p>
        </w:tc>
      </w:tr>
      <w:tr>
        <w:trPr>
          <w:trHeight w:val="260"/>
        </w:trPr>
        <w:tc>
          <w:tcPr>
            <w:tcW w:w="8360" w:type="dxa"/>
            <w:vAlign w:val="bottom"/>
          </w:tcPr>
          <w:p>
            <w:pPr>
              <w:ind w:left="40"/>
              <w:spacing w:after="0"/>
              <w:rPr>
                <w:sz w:val="20"/>
                <w:szCs w:val="20"/>
                <w:color w:val="auto"/>
              </w:rPr>
            </w:pPr>
            <w:r>
              <w:rPr>
                <w:rFonts w:ascii="Arial" w:cs="Arial" w:eastAsia="Arial" w:hAnsi="Arial"/>
                <w:sz w:val="16"/>
                <w:szCs w:val="16"/>
                <w:color w:val="auto"/>
              </w:rPr>
              <w:t>Receivables from:</w:t>
            </w: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80"/>
              <w:spacing w:after="0"/>
              <w:rPr>
                <w:sz w:val="20"/>
                <w:szCs w:val="20"/>
                <w:color w:val="auto"/>
              </w:rPr>
            </w:pPr>
            <w:r>
              <w:rPr>
                <w:rFonts w:ascii="Arial" w:cs="Arial" w:eastAsia="Arial" w:hAnsi="Arial"/>
                <w:sz w:val="16"/>
                <w:szCs w:val="16"/>
                <w:color w:val="auto"/>
              </w:rPr>
              <w:t>Clients, net of allowance of $791 at September 30, 2012 and $716 at December 31, 2011</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326,873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301,292</w:t>
            </w:r>
          </w:p>
        </w:tc>
        <w:tc>
          <w:tcPr>
            <w:tcW w:w="0" w:type="dxa"/>
            <w:vAlign w:val="bottom"/>
          </w:tcPr>
          <w:p>
            <w:pPr>
              <w:spacing w:after="0"/>
              <w:rPr>
                <w:sz w:val="1"/>
                <w:szCs w:val="1"/>
                <w:color w:val="auto"/>
              </w:rPr>
            </w:pPr>
          </w:p>
        </w:tc>
      </w:tr>
      <w:tr>
        <w:trPr>
          <w:trHeight w:val="260"/>
        </w:trPr>
        <w:tc>
          <w:tcPr>
            <w:tcW w:w="8360" w:type="dxa"/>
            <w:vAlign w:val="bottom"/>
          </w:tcPr>
          <w:p>
            <w:pPr>
              <w:ind w:left="180"/>
              <w:spacing w:after="0"/>
              <w:rPr>
                <w:sz w:val="20"/>
                <w:szCs w:val="20"/>
                <w:color w:val="auto"/>
              </w:rPr>
            </w:pPr>
            <w:r>
              <w:rPr>
                <w:rFonts w:ascii="Arial" w:cs="Arial" w:eastAsia="Arial" w:hAnsi="Arial"/>
                <w:sz w:val="16"/>
                <w:szCs w:val="16"/>
                <w:color w:val="auto"/>
              </w:rPr>
              <w:t>Product sponsors, broker-dealers and clearing organizations</w:t>
            </w:r>
          </w:p>
        </w:tc>
        <w:tc>
          <w:tcPr>
            <w:tcW w:w="14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135,442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143,493</w:t>
            </w: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80"/>
              <w:spacing w:after="0"/>
              <w:rPr>
                <w:sz w:val="20"/>
                <w:szCs w:val="20"/>
                <w:color w:val="auto"/>
              </w:rPr>
            </w:pPr>
            <w:r>
              <w:rPr>
                <w:rFonts w:ascii="Arial" w:cs="Arial" w:eastAsia="Arial" w:hAnsi="Arial"/>
                <w:sz w:val="16"/>
                <w:szCs w:val="16"/>
                <w:color w:val="auto"/>
              </w:rPr>
              <w:t>Others, net of allowance of $6,918 at September 30, 2012 and $8,833 at December 31, 2011</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210,926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187,408</w:t>
            </w:r>
          </w:p>
        </w:tc>
        <w:tc>
          <w:tcPr>
            <w:tcW w:w="0" w:type="dxa"/>
            <w:vAlign w:val="bottom"/>
          </w:tcPr>
          <w:p>
            <w:pPr>
              <w:spacing w:after="0"/>
              <w:rPr>
                <w:sz w:val="1"/>
                <w:szCs w:val="1"/>
                <w:color w:val="auto"/>
              </w:rPr>
            </w:pPr>
          </w:p>
        </w:tc>
      </w:tr>
      <w:tr>
        <w:trPr>
          <w:trHeight w:val="260"/>
        </w:trPr>
        <w:tc>
          <w:tcPr>
            <w:tcW w:w="8360" w:type="dxa"/>
            <w:vAlign w:val="bottom"/>
          </w:tcPr>
          <w:p>
            <w:pPr>
              <w:ind w:left="40"/>
              <w:spacing w:after="0"/>
              <w:rPr>
                <w:sz w:val="20"/>
                <w:szCs w:val="20"/>
                <w:color w:val="auto"/>
              </w:rPr>
            </w:pPr>
            <w:r>
              <w:rPr>
                <w:rFonts w:ascii="Arial" w:cs="Arial" w:eastAsia="Arial" w:hAnsi="Arial"/>
                <w:sz w:val="16"/>
                <w:szCs w:val="16"/>
                <w:color w:val="auto"/>
              </w:rPr>
              <w:t>Securities owned:</w:t>
            </w: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Trading — at fair value</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7,158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6,290</w:t>
            </w:r>
          </w:p>
        </w:tc>
        <w:tc>
          <w:tcPr>
            <w:tcW w:w="0" w:type="dxa"/>
            <w:vAlign w:val="bottom"/>
          </w:tcPr>
          <w:p>
            <w:pPr>
              <w:spacing w:after="0"/>
              <w:rPr>
                <w:sz w:val="1"/>
                <w:szCs w:val="1"/>
                <w:color w:val="auto"/>
              </w:rPr>
            </w:pPr>
          </w:p>
        </w:tc>
      </w:tr>
      <w:tr>
        <w:trPr>
          <w:trHeight w:val="260"/>
        </w:trPr>
        <w:tc>
          <w:tcPr>
            <w:tcW w:w="8360" w:type="dxa"/>
            <w:vAlign w:val="bottom"/>
          </w:tcPr>
          <w:p>
            <w:pPr>
              <w:ind w:left="180"/>
              <w:spacing w:after="0"/>
              <w:rPr>
                <w:sz w:val="20"/>
                <w:szCs w:val="20"/>
                <w:color w:val="auto"/>
              </w:rPr>
            </w:pPr>
            <w:r>
              <w:rPr>
                <w:rFonts w:ascii="Arial" w:cs="Arial" w:eastAsia="Arial" w:hAnsi="Arial"/>
                <w:sz w:val="16"/>
                <w:szCs w:val="16"/>
                <w:color w:val="auto"/>
              </w:rPr>
              <w:t>Held-to-maturity</w:t>
            </w:r>
          </w:p>
        </w:tc>
        <w:tc>
          <w:tcPr>
            <w:tcW w:w="14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7,676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11,167</w:t>
            </w: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Securities borrowed</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10,039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7,890</w:t>
            </w:r>
          </w:p>
        </w:tc>
        <w:tc>
          <w:tcPr>
            <w:tcW w:w="0" w:type="dxa"/>
            <w:vAlign w:val="bottom"/>
          </w:tcPr>
          <w:p>
            <w:pPr>
              <w:spacing w:after="0"/>
              <w:rPr>
                <w:sz w:val="1"/>
                <w:szCs w:val="1"/>
                <w:color w:val="auto"/>
              </w:rPr>
            </w:pPr>
          </w:p>
        </w:tc>
      </w:tr>
      <w:tr>
        <w:trPr>
          <w:trHeight w:val="260"/>
        </w:trPr>
        <w:tc>
          <w:tcPr>
            <w:tcW w:w="8360" w:type="dxa"/>
            <w:vAlign w:val="bottom"/>
          </w:tcPr>
          <w:p>
            <w:pPr>
              <w:ind w:left="40"/>
              <w:spacing w:after="0"/>
              <w:rPr>
                <w:sz w:val="20"/>
                <w:szCs w:val="20"/>
                <w:color w:val="auto"/>
              </w:rPr>
            </w:pPr>
            <w:r>
              <w:rPr>
                <w:rFonts w:ascii="Arial" w:cs="Arial" w:eastAsia="Arial" w:hAnsi="Arial"/>
                <w:sz w:val="16"/>
                <w:szCs w:val="16"/>
                <w:color w:val="auto"/>
              </w:rPr>
              <w:t>Income taxes receivable</w:t>
            </w:r>
          </w:p>
        </w:tc>
        <w:tc>
          <w:tcPr>
            <w:tcW w:w="14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1,517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8360" w:type="dxa"/>
            <w:vAlign w:val="bottom"/>
            <w:shd w:val="clear" w:color="auto" w:fill="CCEEFF"/>
          </w:tcPr>
          <w:p>
            <w:pPr>
              <w:spacing w:after="0"/>
              <w:rPr>
                <w:sz w:val="20"/>
                <w:szCs w:val="20"/>
                <w:color w:val="auto"/>
              </w:rPr>
            </w:pPr>
            <w:r>
              <w:rPr>
                <w:rFonts w:ascii="Arial" w:cs="Arial" w:eastAsia="Arial" w:hAnsi="Arial"/>
                <w:sz w:val="16"/>
                <w:szCs w:val="16"/>
                <w:color w:val="auto"/>
              </w:rPr>
              <w:t>Fixed assets, net of accumulated depreciation and amortization of $326,547 at September 30, 2012 and $305,143</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at December 31, 2011</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121,718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91,317</w:t>
            </w:r>
          </w:p>
        </w:tc>
        <w:tc>
          <w:tcPr>
            <w:tcW w:w="0" w:type="dxa"/>
            <w:vAlign w:val="bottom"/>
          </w:tcPr>
          <w:p>
            <w:pPr>
              <w:spacing w:after="0"/>
              <w:rPr>
                <w:sz w:val="1"/>
                <w:szCs w:val="1"/>
                <w:color w:val="auto"/>
              </w:rPr>
            </w:pPr>
          </w:p>
        </w:tc>
      </w:tr>
      <w:tr>
        <w:trPr>
          <w:trHeight w:val="218"/>
        </w:trPr>
        <w:tc>
          <w:tcPr>
            <w:tcW w:w="8360" w:type="dxa"/>
            <w:vAlign w:val="bottom"/>
          </w:tcPr>
          <w:p>
            <w:pPr>
              <w:spacing w:after="0"/>
              <w:rPr>
                <w:sz w:val="20"/>
                <w:szCs w:val="20"/>
                <w:color w:val="auto"/>
              </w:rPr>
            </w:pPr>
            <w:r>
              <w:rPr>
                <w:rFonts w:ascii="Arial" w:cs="Arial" w:eastAsia="Arial" w:hAnsi="Arial"/>
                <w:sz w:val="16"/>
                <w:szCs w:val="16"/>
                <w:color w:val="auto"/>
              </w:rPr>
              <w:t>Debt issuance costs, net of accumulated amortization of $3,782 at September 30, 2012 and $19,197 at</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360" w:type="dxa"/>
            <w:vAlign w:val="bottom"/>
          </w:tcPr>
          <w:p>
            <w:pPr>
              <w:ind w:left="180"/>
              <w:spacing w:after="0"/>
              <w:rPr>
                <w:sz w:val="20"/>
                <w:szCs w:val="20"/>
                <w:color w:val="auto"/>
              </w:rPr>
            </w:pPr>
            <w:r>
              <w:rPr>
                <w:rFonts w:ascii="Arial" w:cs="Arial" w:eastAsia="Arial" w:hAnsi="Arial"/>
                <w:sz w:val="16"/>
                <w:szCs w:val="16"/>
                <w:color w:val="auto"/>
              </w:rPr>
              <w:t>December 31, 2011</w:t>
            </w:r>
          </w:p>
        </w:tc>
        <w:tc>
          <w:tcPr>
            <w:tcW w:w="140" w:type="dxa"/>
            <w:vAlign w:val="bottom"/>
          </w:tcPr>
          <w:p>
            <w:pPr>
              <w:spacing w:after="0"/>
              <w:rPr>
                <w:sz w:val="17"/>
                <w:szCs w:val="17"/>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22,375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18,620</w:t>
            </w: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1,372,987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1,334,086</w:t>
            </w:r>
          </w:p>
        </w:tc>
        <w:tc>
          <w:tcPr>
            <w:tcW w:w="0" w:type="dxa"/>
            <w:vAlign w:val="bottom"/>
          </w:tcPr>
          <w:p>
            <w:pPr>
              <w:spacing w:after="0"/>
              <w:rPr>
                <w:sz w:val="1"/>
                <w:szCs w:val="1"/>
                <w:color w:val="auto"/>
              </w:rPr>
            </w:pPr>
          </w:p>
        </w:tc>
      </w:tr>
      <w:tr>
        <w:trPr>
          <w:trHeight w:val="218"/>
        </w:trPr>
        <w:tc>
          <w:tcPr>
            <w:tcW w:w="8360" w:type="dxa"/>
            <w:vAlign w:val="bottom"/>
          </w:tcPr>
          <w:p>
            <w:pPr>
              <w:spacing w:after="0"/>
              <w:rPr>
                <w:sz w:val="20"/>
                <w:szCs w:val="20"/>
                <w:color w:val="auto"/>
              </w:rPr>
            </w:pPr>
            <w:r>
              <w:rPr>
                <w:rFonts w:ascii="Arial" w:cs="Arial" w:eastAsia="Arial" w:hAnsi="Arial"/>
                <w:sz w:val="16"/>
                <w:szCs w:val="16"/>
                <w:color w:val="auto"/>
              </w:rPr>
              <w:t>Intangible assets, net of accumulated amortization of $227,890 at September 30, 2012 and $198,139 at</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360" w:type="dxa"/>
            <w:vAlign w:val="bottom"/>
          </w:tcPr>
          <w:p>
            <w:pPr>
              <w:ind w:left="180"/>
              <w:spacing w:after="0"/>
              <w:rPr>
                <w:sz w:val="20"/>
                <w:szCs w:val="20"/>
                <w:color w:val="auto"/>
              </w:rPr>
            </w:pPr>
            <w:r>
              <w:rPr>
                <w:rFonts w:ascii="Arial" w:cs="Arial" w:eastAsia="Arial" w:hAnsi="Arial"/>
                <w:sz w:val="16"/>
                <w:szCs w:val="16"/>
                <w:color w:val="auto"/>
              </w:rPr>
              <w:t>December 31, 2011</w:t>
            </w:r>
          </w:p>
        </w:tc>
        <w:tc>
          <w:tcPr>
            <w:tcW w:w="140" w:type="dxa"/>
            <w:vAlign w:val="bottom"/>
          </w:tcPr>
          <w:p>
            <w:pPr>
              <w:spacing w:after="0"/>
              <w:rPr>
                <w:sz w:val="17"/>
                <w:szCs w:val="17"/>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513,319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537,670</w:t>
            </w:r>
          </w:p>
        </w:tc>
        <w:tc>
          <w:tcPr>
            <w:tcW w:w="0" w:type="dxa"/>
            <w:vAlign w:val="bottom"/>
          </w:tcPr>
          <w:p>
            <w:pPr>
              <w:spacing w:after="0"/>
              <w:rPr>
                <w:sz w:val="1"/>
                <w:szCs w:val="1"/>
                <w:color w:val="auto"/>
              </w:rPr>
            </w:pPr>
          </w:p>
        </w:tc>
      </w:tr>
      <w:tr>
        <w:trPr>
          <w:trHeight w:val="273"/>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106,993</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73,416</w:t>
            </w:r>
          </w:p>
        </w:tc>
        <w:tc>
          <w:tcPr>
            <w:tcW w:w="0" w:type="dxa"/>
            <w:vAlign w:val="bottom"/>
          </w:tcPr>
          <w:p>
            <w:pPr>
              <w:spacing w:after="0"/>
              <w:rPr>
                <w:sz w:val="1"/>
                <w:szCs w:val="1"/>
                <w:color w:val="auto"/>
              </w:rPr>
            </w:pPr>
          </w:p>
        </w:tc>
      </w:tr>
      <w:tr>
        <w:trPr>
          <w:trHeight w:val="280"/>
        </w:trPr>
        <w:tc>
          <w:tcPr>
            <w:tcW w:w="83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3,676,577</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3,816,326</w:t>
            </w:r>
          </w:p>
        </w:tc>
        <w:tc>
          <w:tcPr>
            <w:tcW w:w="0" w:type="dxa"/>
            <w:vAlign w:val="bottom"/>
          </w:tcPr>
          <w:p>
            <w:pPr>
              <w:spacing w:after="0"/>
              <w:rPr>
                <w:sz w:val="1"/>
                <w:szCs w:val="1"/>
                <w:color w:val="auto"/>
              </w:rPr>
            </w:pPr>
          </w:p>
        </w:tc>
      </w:tr>
      <w:tr>
        <w:trPr>
          <w:trHeight w:val="200"/>
        </w:trPr>
        <w:tc>
          <w:tcPr>
            <w:tcW w:w="8360" w:type="dxa"/>
            <w:vAlign w:val="bottom"/>
            <w:shd w:val="clear" w:color="auto" w:fill="CCEEFF"/>
          </w:tcPr>
          <w:p>
            <w:pPr>
              <w:jc w:val="center"/>
              <w:ind w:left="2979"/>
              <w:spacing w:after="0" w:line="180" w:lineRule="exact"/>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8360" w:type="dxa"/>
            <w:vAlign w:val="bottom"/>
          </w:tcPr>
          <w:p>
            <w:pPr>
              <w:ind w:left="40"/>
              <w:spacing w:after="0"/>
              <w:rPr>
                <w:sz w:val="20"/>
                <w:szCs w:val="20"/>
                <w:color w:val="auto"/>
              </w:rPr>
            </w:pPr>
            <w:r>
              <w:rPr>
                <w:rFonts w:ascii="Arial" w:cs="Arial" w:eastAsia="Arial" w:hAnsi="Arial"/>
                <w:sz w:val="16"/>
                <w:szCs w:val="16"/>
                <w:color w:val="auto"/>
              </w:rPr>
              <w:t>LIABILITIES: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Drafts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166,011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187,575</w:t>
            </w:r>
          </w:p>
        </w:tc>
        <w:tc>
          <w:tcPr>
            <w:tcW w:w="0" w:type="dxa"/>
            <w:vAlign w:val="bottom"/>
          </w:tcPr>
          <w:p>
            <w:pPr>
              <w:spacing w:after="0"/>
              <w:rPr>
                <w:sz w:val="1"/>
                <w:szCs w:val="1"/>
                <w:color w:val="auto"/>
              </w:rPr>
            </w:pPr>
          </w:p>
        </w:tc>
      </w:tr>
      <w:tr>
        <w:trPr>
          <w:trHeight w:val="260"/>
        </w:trPr>
        <w:tc>
          <w:tcPr>
            <w:tcW w:w="8360" w:type="dxa"/>
            <w:vAlign w:val="bottom"/>
          </w:tcPr>
          <w:p>
            <w:pPr>
              <w:ind w:left="180"/>
              <w:spacing w:after="0"/>
              <w:rPr>
                <w:sz w:val="20"/>
                <w:szCs w:val="20"/>
                <w:color w:val="auto"/>
              </w:rPr>
            </w:pPr>
            <w:r>
              <w:rPr>
                <w:rFonts w:ascii="Arial" w:cs="Arial" w:eastAsia="Arial" w:hAnsi="Arial"/>
                <w:sz w:val="16"/>
                <w:szCs w:val="16"/>
                <w:color w:val="auto"/>
              </w:rPr>
              <w:t>Payables to clients</w:t>
            </w:r>
          </w:p>
        </w:tc>
        <w:tc>
          <w:tcPr>
            <w:tcW w:w="14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406,022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456,719</w:t>
            </w: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Payables to broker-dealers and clearing organizations</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37,799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34,755</w:t>
            </w:r>
          </w:p>
        </w:tc>
        <w:tc>
          <w:tcPr>
            <w:tcW w:w="0" w:type="dxa"/>
            <w:vAlign w:val="bottom"/>
          </w:tcPr>
          <w:p>
            <w:pPr>
              <w:spacing w:after="0"/>
              <w:rPr>
                <w:sz w:val="1"/>
                <w:szCs w:val="1"/>
                <w:color w:val="auto"/>
              </w:rPr>
            </w:pPr>
          </w:p>
        </w:tc>
      </w:tr>
      <w:tr>
        <w:trPr>
          <w:trHeight w:val="260"/>
        </w:trPr>
        <w:tc>
          <w:tcPr>
            <w:tcW w:w="8360" w:type="dxa"/>
            <w:vAlign w:val="bottom"/>
          </w:tcPr>
          <w:p>
            <w:pPr>
              <w:ind w:left="180"/>
              <w:spacing w:after="0"/>
              <w:rPr>
                <w:sz w:val="20"/>
                <w:szCs w:val="20"/>
                <w:color w:val="auto"/>
              </w:rPr>
            </w:pPr>
            <w:r>
              <w:rPr>
                <w:rFonts w:ascii="Arial" w:cs="Arial" w:eastAsia="Arial" w:hAnsi="Arial"/>
                <w:sz w:val="16"/>
                <w:szCs w:val="16"/>
                <w:color w:val="auto"/>
              </w:rPr>
              <w:t>Accrued commissions and advisory fees payable</w:t>
            </w:r>
          </w:p>
        </w:tc>
        <w:tc>
          <w:tcPr>
            <w:tcW w:w="14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107,724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109,715</w:t>
            </w: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 and accrued liabilities</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200,592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161,776</w:t>
            </w:r>
          </w:p>
        </w:tc>
        <w:tc>
          <w:tcPr>
            <w:tcW w:w="0" w:type="dxa"/>
            <w:vAlign w:val="bottom"/>
          </w:tcPr>
          <w:p>
            <w:pPr>
              <w:spacing w:after="0"/>
              <w:rPr>
                <w:sz w:val="1"/>
                <w:szCs w:val="1"/>
                <w:color w:val="auto"/>
              </w:rPr>
            </w:pPr>
          </w:p>
        </w:tc>
      </w:tr>
      <w:tr>
        <w:trPr>
          <w:trHeight w:val="260"/>
        </w:trPr>
        <w:tc>
          <w:tcPr>
            <w:tcW w:w="8360" w:type="dxa"/>
            <w:vAlign w:val="bottom"/>
          </w:tcPr>
          <w:p>
            <w:pPr>
              <w:ind w:left="180"/>
              <w:spacing w:after="0"/>
              <w:rPr>
                <w:sz w:val="20"/>
                <w:szCs w:val="20"/>
                <w:color w:val="auto"/>
              </w:rPr>
            </w:pPr>
            <w:r>
              <w:rPr>
                <w:rFonts w:ascii="Arial" w:cs="Arial" w:eastAsia="Arial" w:hAnsi="Arial"/>
                <w:sz w:val="16"/>
                <w:szCs w:val="16"/>
                <w:color w:val="auto"/>
              </w:rPr>
              <w:t>Income taxes payable</w:t>
            </w:r>
          </w:p>
        </w:tc>
        <w:tc>
          <w:tcPr>
            <w:tcW w:w="140" w:type="dxa"/>
            <w:vAlign w:val="bottom"/>
          </w:tcPr>
          <w:p>
            <w:pPr>
              <w:spacing w:after="0"/>
              <w:rPr>
                <w:sz w:val="22"/>
                <w:szCs w:val="22"/>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906</w:t>
            </w: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Unearned revenue</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56,872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59,537</w:t>
            </w:r>
          </w:p>
        </w:tc>
        <w:tc>
          <w:tcPr>
            <w:tcW w:w="0" w:type="dxa"/>
            <w:vAlign w:val="bottom"/>
          </w:tcPr>
          <w:p>
            <w:pPr>
              <w:spacing w:after="0"/>
              <w:rPr>
                <w:sz w:val="1"/>
                <w:szCs w:val="1"/>
                <w:color w:val="auto"/>
              </w:rPr>
            </w:pPr>
          </w:p>
        </w:tc>
      </w:tr>
      <w:tr>
        <w:trPr>
          <w:trHeight w:val="260"/>
        </w:trPr>
        <w:tc>
          <w:tcPr>
            <w:tcW w:w="8360" w:type="dxa"/>
            <w:vAlign w:val="bottom"/>
          </w:tcPr>
          <w:p>
            <w:pPr>
              <w:ind w:left="180"/>
              <w:spacing w:after="0"/>
              <w:rPr>
                <w:sz w:val="20"/>
                <w:szCs w:val="20"/>
                <w:color w:val="auto"/>
              </w:rPr>
            </w:pPr>
            <w:r>
              <w:rPr>
                <w:rFonts w:ascii="Arial" w:cs="Arial" w:eastAsia="Arial" w:hAnsi="Arial"/>
                <w:sz w:val="16"/>
                <w:szCs w:val="16"/>
                <w:color w:val="auto"/>
              </w:rPr>
              <w:t>Securities sold, but not yet purchased — at fair value</w:t>
            </w:r>
          </w:p>
        </w:tc>
        <w:tc>
          <w:tcPr>
            <w:tcW w:w="14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60,097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Senior secured credit facilities</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1,328,550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1,332,668</w:t>
            </w: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Deferred income taxes — net</w:t>
            </w: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119,626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127,766</w:t>
            </w:r>
          </w:p>
        </w:tc>
        <w:tc>
          <w:tcPr>
            <w:tcW w:w="0" w:type="dxa"/>
            <w:vAlign w:val="bottom"/>
          </w:tcPr>
          <w:p>
            <w:pPr>
              <w:spacing w:after="0"/>
              <w:rPr>
                <w:sz w:val="1"/>
                <w:szCs w:val="1"/>
                <w:color w:val="auto"/>
              </w:rPr>
            </w:pPr>
          </w:p>
        </w:tc>
      </w:tr>
      <w:tr>
        <w:trPr>
          <w:trHeight w:val="257"/>
        </w:trPr>
        <w:tc>
          <w:tcPr>
            <w:tcW w:w="83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liabilities</w:t>
            </w: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2,483,293</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2,471,578</w:t>
            </w:r>
          </w:p>
        </w:tc>
        <w:tc>
          <w:tcPr>
            <w:tcW w:w="0" w:type="dxa"/>
            <w:vAlign w:val="bottom"/>
          </w:tcPr>
          <w:p>
            <w:pPr>
              <w:spacing w:after="0"/>
              <w:rPr>
                <w:sz w:val="1"/>
                <w:szCs w:val="1"/>
                <w:color w:val="auto"/>
              </w:rPr>
            </w:pPr>
          </w:p>
        </w:tc>
      </w:tr>
      <w:tr>
        <w:trPr>
          <w:trHeight w:val="240"/>
        </w:trPr>
        <w:tc>
          <w:tcPr>
            <w:tcW w:w="836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Common stock, $.001 par value; 600,000,000 shares authorized; 115,431,259 shares issued at September 30,</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2012 and 110,531,939 shares issued at December 31, 2011</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60"/>
        </w:trPr>
        <w:tc>
          <w:tcPr>
            <w:tcW w:w="8360" w:type="dxa"/>
            <w:vAlign w:val="bottom"/>
          </w:tcPr>
          <w:p>
            <w:pPr>
              <w:ind w:left="260"/>
              <w:spacing w:after="0"/>
              <w:rPr>
                <w:sz w:val="20"/>
                <w:szCs w:val="20"/>
                <w:color w:val="auto"/>
              </w:rPr>
            </w:pPr>
            <w:r>
              <w:rPr>
                <w:rFonts w:ascii="Arial" w:cs="Arial" w:eastAsia="Arial" w:hAnsi="Arial"/>
                <w:sz w:val="16"/>
                <w:szCs w:val="16"/>
                <w:color w:val="auto"/>
              </w:rPr>
              <w:t>Additional paid-in capital</w:t>
            </w:r>
          </w:p>
        </w:tc>
        <w:tc>
          <w:tcPr>
            <w:tcW w:w="14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1,216,756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1,137,723</w:t>
            </w:r>
          </w:p>
        </w:tc>
        <w:tc>
          <w:tcPr>
            <w:tcW w:w="0" w:type="dxa"/>
            <w:vAlign w:val="bottom"/>
          </w:tcPr>
          <w:p>
            <w:pPr>
              <w:spacing w:after="0"/>
              <w:rPr>
                <w:sz w:val="1"/>
                <w:szCs w:val="1"/>
                <w:color w:val="auto"/>
              </w:rPr>
            </w:pPr>
          </w:p>
        </w:tc>
      </w:tr>
      <w:tr>
        <w:trPr>
          <w:trHeight w:val="228"/>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Treasury stock, at cost — 6,228,440 shares at September 30, 2012 and 2,617,629 shares at December 31,</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2011</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(199,570)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(89,037)</w:t>
            </w:r>
          </w:p>
        </w:tc>
        <w:tc>
          <w:tcPr>
            <w:tcW w:w="0" w:type="dxa"/>
            <w:vAlign w:val="bottom"/>
          </w:tcPr>
          <w:p>
            <w:pPr>
              <w:spacing w:after="0"/>
              <w:rPr>
                <w:sz w:val="1"/>
                <w:szCs w:val="1"/>
                <w:color w:val="auto"/>
              </w:rPr>
            </w:pPr>
          </w:p>
        </w:tc>
      </w:tr>
      <w:tr>
        <w:trPr>
          <w:trHeight w:val="260"/>
        </w:trPr>
        <w:tc>
          <w:tcPr>
            <w:tcW w:w="8360" w:type="dxa"/>
            <w:vAlign w:val="bottom"/>
          </w:tcPr>
          <w:p>
            <w:pPr>
              <w:ind w:left="260"/>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tcPr>
          <w:p>
            <w:pPr>
              <w:spacing w:after="0"/>
              <w:rPr>
                <w:sz w:val="22"/>
                <w:szCs w:val="22"/>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(850)</w:t>
            </w:r>
          </w:p>
        </w:tc>
        <w:tc>
          <w:tcPr>
            <w:tcW w:w="0" w:type="dxa"/>
            <w:vAlign w:val="bottom"/>
          </w:tcPr>
          <w:p>
            <w:pPr>
              <w:spacing w:after="0"/>
              <w:rPr>
                <w:sz w:val="1"/>
                <w:szCs w:val="1"/>
                <w:color w:val="auto"/>
              </w:rPr>
            </w:pPr>
          </w:p>
        </w:tc>
      </w:tr>
      <w:tr>
        <w:trPr>
          <w:trHeight w:val="273"/>
        </w:trPr>
        <w:tc>
          <w:tcPr>
            <w:tcW w:w="83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Retained earnings</w:t>
            </w: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175,983</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296,802</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stockholders’ equity</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1,193,284</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1,344,748</w:t>
            </w:r>
          </w:p>
        </w:tc>
        <w:tc>
          <w:tcPr>
            <w:tcW w:w="0" w:type="dxa"/>
            <w:vAlign w:val="bottom"/>
          </w:tcPr>
          <w:p>
            <w:pPr>
              <w:spacing w:after="0"/>
              <w:rPr>
                <w:sz w:val="1"/>
                <w:szCs w:val="1"/>
                <w:color w:val="auto"/>
              </w:rPr>
            </w:pPr>
          </w:p>
        </w:tc>
      </w:tr>
      <w:tr>
        <w:trPr>
          <w:trHeight w:val="24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3,676,577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3,816,326</w:t>
            </w:r>
          </w:p>
        </w:tc>
        <w:tc>
          <w:tcPr>
            <w:tcW w:w="0" w:type="dxa"/>
            <w:vAlign w:val="bottom"/>
          </w:tcPr>
          <w:p>
            <w:pPr>
              <w:spacing w:after="0"/>
              <w:rPr>
                <w:sz w:val="1"/>
                <w:szCs w:val="1"/>
                <w:color w:val="auto"/>
              </w:rPr>
            </w:pPr>
          </w:p>
        </w:tc>
      </w:tr>
      <w:tr>
        <w:trPr>
          <w:trHeight w:val="20"/>
        </w:trPr>
        <w:tc>
          <w:tcPr>
            <w:tcW w:w="8360" w:type="dxa"/>
            <w:vAlign w:val="bottom"/>
            <w:vMerge w:val="restart"/>
          </w:tcPr>
          <w:p>
            <w:pPr>
              <w:jc w:val="center"/>
              <w:ind w:left="2979"/>
              <w:spacing w:after="0"/>
              <w:rPr>
                <w:sz w:val="20"/>
                <w:szCs w:val="20"/>
                <w:color w:val="auto"/>
              </w:rPr>
            </w:pPr>
            <w:r>
              <w:rPr>
                <w:rFonts w:ascii="Arial" w:cs="Arial" w:eastAsia="Arial" w:hAnsi="Arial"/>
                <w:sz w:val="16"/>
                <w:szCs w:val="16"/>
                <w:color w:val="auto"/>
              </w:rPr>
              <w:t>See notes to unaudited condensed consolidated financial statements.</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83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76" w:right="239" w:bottom="1440" w:gutter="0" w:footer="0" w:header="0"/>
        </w:sectPr>
      </w:pPr>
    </w:p>
    <w:p>
      <w:pPr>
        <w:spacing w:after="0" w:line="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76"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740" w:type="dxa"/>
            <w:vAlign w:val="bottom"/>
          </w:tcPr>
          <w:p>
            <w:pPr>
              <w:spacing w:after="0"/>
              <w:rPr>
                <w:sz w:val="16"/>
                <w:szCs w:val="16"/>
                <w:color w:val="auto"/>
              </w:rPr>
            </w:pPr>
          </w:p>
        </w:tc>
        <w:tc>
          <w:tcPr>
            <w:tcW w:w="1880" w:type="dxa"/>
            <w:vAlign w:val="bottom"/>
            <w:gridSpan w:val="5"/>
          </w:tcPr>
          <w:p>
            <w:pPr>
              <w:ind w:left="38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920" w:type="dxa"/>
            <w:vAlign w:val="bottom"/>
            <w:gridSpan w:val="5"/>
          </w:tcPr>
          <w:p>
            <w:pPr>
              <w:ind w:left="40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274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rPr>
              <w:t>Paid-In</w:t>
            </w: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4"/>
                <w:szCs w:val="4"/>
                <w:color w:val="auto"/>
              </w:rPr>
            </w:pPr>
          </w:p>
        </w:tc>
        <w:tc>
          <w:tcPr>
            <w:tcW w:w="880" w:type="dxa"/>
            <w:vAlign w:val="bottom"/>
            <w:gridSpan w:val="2"/>
            <w:vMerge w:val="restart"/>
          </w:tcPr>
          <w:p>
            <w:pPr>
              <w:ind w:left="20"/>
              <w:spacing w:after="0" w:line="135"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4"/>
                <w:szCs w:val="4"/>
                <w:color w:val="auto"/>
              </w:rPr>
            </w:pPr>
          </w:p>
        </w:tc>
        <w:tc>
          <w:tcPr>
            <w:tcW w:w="1120" w:type="dxa"/>
            <w:vAlign w:val="bottom"/>
            <w:vMerge w:val="restart"/>
          </w:tcPr>
          <w:p>
            <w:pPr>
              <w:jc w:val="center"/>
              <w:ind w:right="48"/>
              <w:spacing w:after="0" w:line="13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61"/>
        </w:trPr>
        <w:tc>
          <w:tcPr>
            <w:tcW w:w="2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74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Capital</w:t>
            </w: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6"/>
        </w:trPr>
        <w:tc>
          <w:tcPr>
            <w:tcW w:w="2740" w:type="dxa"/>
            <w:vAlign w:val="bottom"/>
            <w:shd w:val="clear" w:color="auto" w:fill="CCEEFF"/>
          </w:tcPr>
          <w:p>
            <w:pPr>
              <w:jc w:val="center"/>
              <w:ind w:right="428"/>
              <w:spacing w:after="0"/>
              <w:rPr>
                <w:sz w:val="20"/>
                <w:szCs w:val="20"/>
                <w:color w:val="auto"/>
              </w:rPr>
            </w:pPr>
            <w:r>
              <w:rPr>
                <w:rFonts w:ascii="Arial" w:cs="Arial" w:eastAsia="Arial" w:hAnsi="Arial"/>
                <w:sz w:val="14"/>
                <w:szCs w:val="14"/>
                <w:color w:val="auto"/>
              </w:rPr>
              <w:t>BALANCE — December 31, 2010</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108,715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1,051,722</w:t>
            </w:r>
          </w:p>
        </w:tc>
        <w:tc>
          <w:tcPr>
            <w:tcW w:w="1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126,420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1,173,755</w:t>
            </w:r>
          </w:p>
        </w:tc>
        <w:tc>
          <w:tcPr>
            <w:tcW w:w="0" w:type="dxa"/>
            <w:vAlign w:val="bottom"/>
          </w:tcPr>
          <w:p>
            <w:pPr>
              <w:spacing w:after="0"/>
              <w:rPr>
                <w:sz w:val="1"/>
                <w:szCs w:val="1"/>
                <w:color w:val="auto"/>
              </w:rPr>
            </w:pPr>
          </w:p>
        </w:tc>
      </w:tr>
      <w:tr>
        <w:trPr>
          <w:trHeight w:val="194"/>
        </w:trPr>
        <w:tc>
          <w:tcPr>
            <w:tcW w:w="2740" w:type="dxa"/>
            <w:vAlign w:val="bottom"/>
          </w:tcPr>
          <w:p>
            <w:pPr>
              <w:ind w:left="180"/>
              <w:spacing w:after="0"/>
              <w:rPr>
                <w:sz w:val="20"/>
                <w:szCs w:val="20"/>
                <w:color w:val="auto"/>
              </w:rPr>
            </w:pPr>
            <w:r>
              <w:rPr>
                <w:rFonts w:ascii="Arial" w:cs="Arial" w:eastAsia="Arial" w:hAnsi="Arial"/>
                <w:sz w:val="14"/>
                <w:szCs w:val="14"/>
                <w:color w:val="auto"/>
              </w:rPr>
              <w:t>Net income and other comprehensive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40" w:type="dxa"/>
            <w:vAlign w:val="bottom"/>
          </w:tcPr>
          <w:p>
            <w:pPr>
              <w:jc w:val="center"/>
              <w:ind w:right="428"/>
              <w:spacing w:after="0"/>
              <w:rPr>
                <w:sz w:val="20"/>
                <w:szCs w:val="20"/>
                <w:color w:val="auto"/>
              </w:rPr>
            </w:pPr>
            <w:r>
              <w:rPr>
                <w:rFonts w:ascii="Arial" w:cs="Arial" w:eastAsia="Arial" w:hAnsi="Arial"/>
                <w:sz w:val="14"/>
                <w:szCs w:val="14"/>
                <w:color w:val="auto"/>
              </w:rPr>
              <w:t>income, net of tax expense</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3,209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130,934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134,143</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Treasury stock purchases</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2,618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(89,037)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(89,037)</w:t>
            </w:r>
          </w:p>
        </w:tc>
        <w:tc>
          <w:tcPr>
            <w:tcW w:w="0" w:type="dxa"/>
            <w:vAlign w:val="bottom"/>
          </w:tcPr>
          <w:p>
            <w:pPr>
              <w:spacing w:after="0"/>
              <w:rPr>
                <w:sz w:val="1"/>
                <w:szCs w:val="1"/>
                <w:color w:val="auto"/>
              </w:rPr>
            </w:pP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Stock option exercises and other</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1,652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8,746</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8,747</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Share-based compensation</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12,530</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12,530</w:t>
            </w:r>
          </w:p>
        </w:tc>
        <w:tc>
          <w:tcPr>
            <w:tcW w:w="0" w:type="dxa"/>
            <w:vAlign w:val="bottom"/>
          </w:tcPr>
          <w:p>
            <w:pPr>
              <w:spacing w:after="0"/>
              <w:rPr>
                <w:sz w:val="1"/>
                <w:szCs w:val="1"/>
                <w:color w:val="auto"/>
              </w:rPr>
            </w:pPr>
          </w:p>
        </w:tc>
      </w:tr>
      <w:tr>
        <w:trPr>
          <w:trHeight w:val="194"/>
        </w:trPr>
        <w:tc>
          <w:tcPr>
            <w:tcW w:w="2740" w:type="dxa"/>
            <w:vAlign w:val="bottom"/>
          </w:tcPr>
          <w:p>
            <w:pPr>
              <w:ind w:left="180"/>
              <w:spacing w:after="0"/>
              <w:rPr>
                <w:sz w:val="20"/>
                <w:szCs w:val="20"/>
                <w:color w:val="auto"/>
              </w:rPr>
            </w:pPr>
            <w:r>
              <w:rPr>
                <w:rFonts w:ascii="Arial" w:cs="Arial" w:eastAsia="Arial" w:hAnsi="Arial"/>
                <w:sz w:val="14"/>
                <w:szCs w:val="14"/>
                <w:color w:val="auto"/>
              </w:rPr>
              <w:t>Excess tax benefits from share-based</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4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compensation</w:t>
            </w: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57,277</w:t>
            </w: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57,277</w:t>
            </w:r>
          </w:p>
        </w:tc>
        <w:tc>
          <w:tcPr>
            <w:tcW w:w="0" w:type="dxa"/>
            <w:vAlign w:val="bottom"/>
          </w:tcPr>
          <w:p>
            <w:pPr>
              <w:spacing w:after="0"/>
              <w:rPr>
                <w:sz w:val="1"/>
                <w:szCs w:val="1"/>
                <w:color w:val="auto"/>
              </w:rPr>
            </w:pPr>
          </w:p>
        </w:tc>
      </w:tr>
      <w:tr>
        <w:trPr>
          <w:trHeight w:val="243"/>
        </w:trPr>
        <w:tc>
          <w:tcPr>
            <w:tcW w:w="2740" w:type="dxa"/>
            <w:vAlign w:val="bottom"/>
            <w:tcBorders>
              <w:bottom w:val="single" w:sz="8" w:color="CCEEFF"/>
            </w:tcBorders>
            <w:shd w:val="clear" w:color="auto" w:fill="CCEEFF"/>
          </w:tcPr>
          <w:p>
            <w:pPr>
              <w:jc w:val="center"/>
              <w:ind w:right="388"/>
              <w:spacing w:after="0"/>
              <w:rPr>
                <w:sz w:val="20"/>
                <w:szCs w:val="20"/>
                <w:color w:val="auto"/>
              </w:rPr>
            </w:pPr>
            <w:r>
              <w:rPr>
                <w:rFonts w:ascii="Arial" w:cs="Arial" w:eastAsia="Arial" w:hAnsi="Arial"/>
                <w:sz w:val="14"/>
                <w:szCs w:val="14"/>
                <w:color w:val="auto"/>
              </w:rPr>
              <w:t>BALANCE — September 30, 2011</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110,367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1,130,275</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(89,037)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257,354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1,297,415</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jc w:val="center"/>
              <w:ind w:right="428"/>
              <w:spacing w:after="0"/>
              <w:rPr>
                <w:sz w:val="20"/>
                <w:szCs w:val="20"/>
                <w:color w:val="auto"/>
              </w:rPr>
            </w:pPr>
            <w:r>
              <w:rPr>
                <w:rFonts w:ascii="Arial" w:cs="Arial" w:eastAsia="Arial" w:hAnsi="Arial"/>
                <w:sz w:val="14"/>
                <w:szCs w:val="14"/>
                <w:color w:val="auto"/>
              </w:rPr>
              <w:t>BALANCE — December 31, 2011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110,532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1,137,723</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2,618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(89,037)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296,802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1,344,748</w:t>
            </w:r>
          </w:p>
        </w:tc>
        <w:tc>
          <w:tcPr>
            <w:tcW w:w="0" w:type="dxa"/>
            <w:vAlign w:val="bottom"/>
          </w:tcPr>
          <w:p>
            <w:pPr>
              <w:spacing w:after="0"/>
              <w:rPr>
                <w:sz w:val="1"/>
                <w:szCs w:val="1"/>
                <w:color w:val="auto"/>
              </w:rPr>
            </w:pPr>
          </w:p>
        </w:tc>
      </w:tr>
      <w:tr>
        <w:trPr>
          <w:trHeight w:val="194"/>
        </w:trPr>
        <w:tc>
          <w:tcPr>
            <w:tcW w:w="2740" w:type="dxa"/>
            <w:vAlign w:val="bottom"/>
          </w:tcPr>
          <w:p>
            <w:pPr>
              <w:ind w:left="180"/>
              <w:spacing w:after="0"/>
              <w:rPr>
                <w:sz w:val="20"/>
                <w:szCs w:val="20"/>
                <w:color w:val="auto"/>
              </w:rPr>
            </w:pPr>
            <w:r>
              <w:rPr>
                <w:rFonts w:ascii="Arial" w:cs="Arial" w:eastAsia="Arial" w:hAnsi="Arial"/>
                <w:sz w:val="14"/>
                <w:szCs w:val="14"/>
                <w:color w:val="auto"/>
              </w:rPr>
              <w:t>Net income and other comprehensive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40" w:type="dxa"/>
            <w:vAlign w:val="bottom"/>
          </w:tcPr>
          <w:p>
            <w:pPr>
              <w:jc w:val="center"/>
              <w:ind w:right="428"/>
              <w:spacing w:after="0"/>
              <w:rPr>
                <w:sz w:val="20"/>
                <w:szCs w:val="20"/>
                <w:color w:val="auto"/>
              </w:rPr>
            </w:pPr>
            <w:r>
              <w:rPr>
                <w:rFonts w:ascii="Arial" w:cs="Arial" w:eastAsia="Arial" w:hAnsi="Arial"/>
                <w:sz w:val="14"/>
                <w:szCs w:val="14"/>
                <w:color w:val="auto"/>
              </w:rPr>
              <w:t>income, net of tax expense</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850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114,980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115,830</w:t>
            </w: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80"/>
              <w:spacing w:after="0"/>
              <w:rPr>
                <w:sz w:val="20"/>
                <w:szCs w:val="20"/>
                <w:color w:val="auto"/>
              </w:rPr>
            </w:pPr>
            <w:r>
              <w:rPr>
                <w:rFonts w:ascii="Arial" w:cs="Arial" w:eastAsia="Arial" w:hAnsi="Arial"/>
                <w:sz w:val="14"/>
                <w:szCs w:val="14"/>
                <w:color w:val="auto"/>
              </w:rPr>
              <w:t>Issuance of common stock to settle</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restricted stock units (Note 11)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2,823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740" w:type="dxa"/>
            <w:vAlign w:val="bottom"/>
          </w:tcPr>
          <w:p>
            <w:pPr>
              <w:ind w:left="80"/>
              <w:spacing w:after="0"/>
              <w:rPr>
                <w:sz w:val="20"/>
                <w:szCs w:val="20"/>
                <w:color w:val="auto"/>
              </w:rPr>
            </w:pPr>
            <w:r>
              <w:rPr>
                <w:rFonts w:ascii="Arial" w:cs="Arial" w:eastAsia="Arial" w:hAnsi="Arial"/>
                <w:sz w:val="14"/>
                <w:szCs w:val="14"/>
                <w:color w:val="auto"/>
              </w:rPr>
              <w:t>Treasury stock purchases (Note 11)</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3,610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(110,533)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(110,533)</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dividends on common stock</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(235,799)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(235,799)</w:t>
            </w:r>
          </w:p>
        </w:tc>
        <w:tc>
          <w:tcPr>
            <w:tcW w:w="0" w:type="dxa"/>
            <w:vAlign w:val="bottom"/>
          </w:tcPr>
          <w:p>
            <w:pPr>
              <w:spacing w:after="0"/>
              <w:rPr>
                <w:sz w:val="1"/>
                <w:szCs w:val="1"/>
                <w:color w:val="auto"/>
              </w:rPr>
            </w:pP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Stock option exercises and other</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2,054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12,832</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12,834</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Share-based compensation</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16,451</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16,451</w:t>
            </w:r>
          </w:p>
        </w:tc>
        <w:tc>
          <w:tcPr>
            <w:tcW w:w="0" w:type="dxa"/>
            <w:vAlign w:val="bottom"/>
          </w:tcPr>
          <w:p>
            <w:pPr>
              <w:spacing w:after="0"/>
              <w:rPr>
                <w:sz w:val="1"/>
                <w:szCs w:val="1"/>
                <w:color w:val="auto"/>
              </w:rPr>
            </w:pPr>
          </w:p>
        </w:tc>
      </w:tr>
      <w:tr>
        <w:trPr>
          <w:trHeight w:val="194"/>
        </w:trPr>
        <w:tc>
          <w:tcPr>
            <w:tcW w:w="2740" w:type="dxa"/>
            <w:vAlign w:val="bottom"/>
          </w:tcPr>
          <w:p>
            <w:pPr>
              <w:ind w:left="180"/>
              <w:spacing w:after="0"/>
              <w:rPr>
                <w:sz w:val="20"/>
                <w:szCs w:val="20"/>
                <w:color w:val="auto"/>
              </w:rPr>
            </w:pPr>
            <w:r>
              <w:rPr>
                <w:rFonts w:ascii="Arial" w:cs="Arial" w:eastAsia="Arial" w:hAnsi="Arial"/>
                <w:sz w:val="14"/>
                <w:szCs w:val="14"/>
                <w:color w:val="auto"/>
              </w:rPr>
              <w:t>Excess tax benefits from share-based</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4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compensation</w:t>
            </w: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49,753</w:t>
            </w: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49,753</w:t>
            </w:r>
          </w:p>
        </w:tc>
        <w:tc>
          <w:tcPr>
            <w:tcW w:w="0" w:type="dxa"/>
            <w:vAlign w:val="bottom"/>
          </w:tcPr>
          <w:p>
            <w:pPr>
              <w:spacing w:after="0"/>
              <w:rPr>
                <w:sz w:val="1"/>
                <w:szCs w:val="1"/>
                <w:color w:val="auto"/>
              </w:rPr>
            </w:pPr>
          </w:p>
        </w:tc>
      </w:tr>
      <w:tr>
        <w:trPr>
          <w:trHeight w:val="243"/>
        </w:trPr>
        <w:tc>
          <w:tcPr>
            <w:tcW w:w="2740" w:type="dxa"/>
            <w:vAlign w:val="bottom"/>
            <w:shd w:val="clear" w:color="auto" w:fill="CCEEFF"/>
          </w:tcPr>
          <w:p>
            <w:pPr>
              <w:jc w:val="center"/>
              <w:ind w:right="388"/>
              <w:spacing w:after="0"/>
              <w:rPr>
                <w:sz w:val="20"/>
                <w:szCs w:val="20"/>
                <w:color w:val="auto"/>
              </w:rPr>
            </w:pPr>
            <w:r>
              <w:rPr>
                <w:rFonts w:ascii="Arial" w:cs="Arial" w:eastAsia="Arial" w:hAnsi="Arial"/>
                <w:sz w:val="14"/>
                <w:szCs w:val="14"/>
                <w:color w:val="auto"/>
              </w:rPr>
              <w:t>BALANCE — September 30, 2012</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115,431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1,216,756</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6,228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(199,570)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175,983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1,193,284</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unaudited condensed consolidated financial statements.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7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19" w:lineRule="exact"/>
        <w:rPr>
          <w:sz w:val="20"/>
          <w:szCs w:val="20"/>
          <w:color w:val="auto"/>
        </w:rPr>
      </w:pPr>
    </w:p>
    <w:p>
      <w:pPr>
        <w:jc w:val="center"/>
        <w:ind w:left="8580"/>
        <w:spacing w:after="0"/>
        <w:rPr>
          <w:sz w:val="20"/>
          <w:szCs w:val="20"/>
          <w:color w:val="auto"/>
        </w:rPr>
      </w:pPr>
      <w:r>
        <w:rPr>
          <w:rFonts w:ascii="Arial" w:cs="Arial" w:eastAsia="Arial" w:hAnsi="Arial"/>
          <w:sz w:val="18"/>
          <w:szCs w:val="18"/>
          <w:b w:val="1"/>
          <w:bCs w:val="1"/>
          <w:color w:val="auto"/>
        </w:rPr>
        <w:t>Nine Months Ended</w:t>
      </w:r>
    </w:p>
    <w:p>
      <w:pPr>
        <w:spacing w:after="0" w:line="18" w:lineRule="exact"/>
        <w:rPr>
          <w:sz w:val="20"/>
          <w:szCs w:val="20"/>
          <w:color w:val="auto"/>
        </w:rPr>
      </w:pPr>
    </w:p>
    <w:p>
      <w:pPr>
        <w:jc w:val="center"/>
        <w:ind w:left="858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31750</wp:posOffset>
            </wp:positionV>
            <wp:extent cx="18180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2011</w:t>
            </w:r>
          </w:p>
        </w:tc>
      </w:tr>
      <w:tr>
        <w:trPr>
          <w:trHeight w:val="41"/>
        </w:trPr>
        <w:tc>
          <w:tcPr>
            <w:tcW w:w="85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64"/>
        </w:trPr>
        <w:tc>
          <w:tcPr>
            <w:tcW w:w="8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63"/>
        </w:trPr>
        <w:tc>
          <w:tcPr>
            <w:tcW w:w="856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114,980</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130,934</w:t>
            </w:r>
          </w:p>
        </w:tc>
      </w:tr>
      <w:tr>
        <w:trPr>
          <w:trHeight w:val="277"/>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3"/>
        </w:trPr>
        <w:tc>
          <w:tcPr>
            <w:tcW w:w="8560" w:type="dxa"/>
            <w:vAlign w:val="bottom"/>
          </w:tcPr>
          <w:p>
            <w:pPr>
              <w:ind w:left="540"/>
              <w:spacing w:after="0"/>
              <w:rPr>
                <w:sz w:val="20"/>
                <w:szCs w:val="20"/>
                <w:color w:val="auto"/>
              </w:rPr>
            </w:pPr>
            <w:r>
              <w:rPr>
                <w:rFonts w:ascii="Arial" w:cs="Arial" w:eastAsia="Arial" w:hAnsi="Arial"/>
                <w:sz w:val="18"/>
                <w:szCs w:val="18"/>
                <w:color w:val="auto"/>
              </w:rPr>
              <w:t>Noncash items:</w:t>
            </w: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7"/>
        </w:trPr>
        <w:tc>
          <w:tcPr>
            <w:tcW w:w="8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53,010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55,794</w:t>
            </w:r>
          </w:p>
        </w:tc>
      </w:tr>
      <w:tr>
        <w:trPr>
          <w:trHeight w:val="263"/>
        </w:trPr>
        <w:tc>
          <w:tcPr>
            <w:tcW w:w="8560" w:type="dxa"/>
            <w:vAlign w:val="bottom"/>
          </w:tcPr>
          <w:p>
            <w:pPr>
              <w:ind w:left="680"/>
              <w:spacing w:after="0"/>
              <w:rPr>
                <w:sz w:val="20"/>
                <w:szCs w:val="20"/>
                <w:color w:val="auto"/>
              </w:rPr>
            </w:pPr>
            <w:r>
              <w:rPr>
                <w:rFonts w:ascii="Arial" w:cs="Arial" w:eastAsia="Arial" w:hAnsi="Arial"/>
                <w:sz w:val="18"/>
                <w:szCs w:val="18"/>
                <w:color w:val="auto"/>
              </w:rPr>
              <w:t>Amortization of debt issuance costs</w:t>
            </w: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3,470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3,818</w:t>
            </w:r>
          </w:p>
        </w:tc>
      </w:tr>
      <w:tr>
        <w:trPr>
          <w:trHeight w:val="277"/>
        </w:trPr>
        <w:tc>
          <w:tcPr>
            <w:tcW w:w="8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Share-based compensation</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16,451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12,530</w:t>
            </w:r>
          </w:p>
        </w:tc>
      </w:tr>
      <w:tr>
        <w:trPr>
          <w:trHeight w:val="263"/>
        </w:trPr>
        <w:tc>
          <w:tcPr>
            <w:tcW w:w="8560" w:type="dxa"/>
            <w:vAlign w:val="bottom"/>
          </w:tcPr>
          <w:p>
            <w:pPr>
              <w:ind w:left="680"/>
              <w:spacing w:after="0"/>
              <w:rPr>
                <w:sz w:val="20"/>
                <w:szCs w:val="20"/>
                <w:color w:val="auto"/>
              </w:rPr>
            </w:pPr>
            <w:r>
              <w:rPr>
                <w:rFonts w:ascii="Arial" w:cs="Arial" w:eastAsia="Arial" w:hAnsi="Arial"/>
                <w:sz w:val="18"/>
                <w:szCs w:val="18"/>
                <w:color w:val="auto"/>
              </w:rPr>
              <w:t>Excess tax benefits related to share-based compensation</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(49,753)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(57,277)</w:t>
            </w:r>
          </w:p>
        </w:tc>
      </w:tr>
      <w:tr>
        <w:trPr>
          <w:trHeight w:val="277"/>
        </w:trPr>
        <w:tc>
          <w:tcPr>
            <w:tcW w:w="8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Provision for bad debts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1,221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1,111</w:t>
            </w:r>
          </w:p>
        </w:tc>
      </w:tr>
      <w:tr>
        <w:trPr>
          <w:trHeight w:val="263"/>
        </w:trPr>
        <w:tc>
          <w:tcPr>
            <w:tcW w:w="8560" w:type="dxa"/>
            <w:vAlign w:val="bottom"/>
          </w:tcPr>
          <w:p>
            <w:pPr>
              <w:ind w:left="680"/>
              <w:spacing w:after="0"/>
              <w:rPr>
                <w:sz w:val="20"/>
                <w:szCs w:val="20"/>
                <w:color w:val="auto"/>
              </w:rPr>
            </w:pPr>
            <w:r>
              <w:rPr>
                <w:rFonts w:ascii="Arial" w:cs="Arial" w:eastAsia="Arial" w:hAnsi="Arial"/>
                <w:sz w:val="18"/>
                <w:szCs w:val="18"/>
                <w:color w:val="auto"/>
              </w:rPr>
              <w:t>Deferred income tax provision</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(12,297)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(5,953)</w:t>
            </w:r>
          </w:p>
        </w:tc>
      </w:tr>
      <w:tr>
        <w:trPr>
          <w:trHeight w:val="277"/>
        </w:trPr>
        <w:tc>
          <w:tcPr>
            <w:tcW w:w="8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Impairment of intangible assets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2,643</w:t>
            </w:r>
          </w:p>
        </w:tc>
      </w:tr>
      <w:tr>
        <w:trPr>
          <w:trHeight w:val="263"/>
        </w:trPr>
        <w:tc>
          <w:tcPr>
            <w:tcW w:w="8560" w:type="dxa"/>
            <w:vAlign w:val="bottom"/>
          </w:tcPr>
          <w:p>
            <w:pPr>
              <w:ind w:left="680"/>
              <w:spacing w:after="0"/>
              <w:rPr>
                <w:sz w:val="20"/>
                <w:szCs w:val="20"/>
                <w:color w:val="auto"/>
              </w:rPr>
            </w:pPr>
            <w:r>
              <w:rPr>
                <w:rFonts w:ascii="Arial" w:cs="Arial" w:eastAsia="Arial" w:hAnsi="Arial"/>
                <w:sz w:val="18"/>
                <w:szCs w:val="18"/>
                <w:color w:val="auto"/>
              </w:rPr>
              <w:t>Loss on extinguishment of debt</w:t>
            </w: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16,524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8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Change in estimated fair value of contingent consideration obligations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9,882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933</w:t>
            </w:r>
          </w:p>
        </w:tc>
      </w:tr>
      <w:tr>
        <w:trPr>
          <w:trHeight w:val="263"/>
        </w:trPr>
        <w:tc>
          <w:tcPr>
            <w:tcW w:w="8560" w:type="dxa"/>
            <w:vAlign w:val="bottom"/>
          </w:tcPr>
          <w:p>
            <w:pPr>
              <w:ind w:left="680"/>
              <w:spacing w:after="0"/>
              <w:rPr>
                <w:sz w:val="20"/>
                <w:szCs w:val="20"/>
                <w:color w:val="auto"/>
              </w:rPr>
            </w:pPr>
            <w:r>
              <w:rPr>
                <w:rFonts w:ascii="Arial" w:cs="Arial" w:eastAsia="Arial" w:hAnsi="Arial"/>
                <w:sz w:val="18"/>
                <w:szCs w:val="18"/>
                <w:color w:val="auto"/>
              </w:rPr>
              <w:t>Loan forgiveness</w:t>
            </w: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1,126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1,146</w:t>
            </w:r>
          </w:p>
        </w:tc>
      </w:tr>
      <w:tr>
        <w:trPr>
          <w:trHeight w:val="277"/>
        </w:trPr>
        <w:tc>
          <w:tcPr>
            <w:tcW w:w="8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2,267</w:t>
            </w:r>
          </w:p>
        </w:tc>
      </w:tr>
      <w:tr>
        <w:trPr>
          <w:trHeight w:val="263"/>
        </w:trPr>
        <w:tc>
          <w:tcPr>
            <w:tcW w:w="8560" w:type="dxa"/>
            <w:vAlign w:val="bottom"/>
          </w:tcPr>
          <w:p>
            <w:pPr>
              <w:ind w:left="54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7"/>
        </w:trPr>
        <w:tc>
          <w:tcPr>
            <w:tcW w:w="8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Cash and securities segregated under federal and other regulations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105,789</w:t>
            </w:r>
          </w:p>
        </w:tc>
      </w:tr>
      <w:tr>
        <w:trPr>
          <w:trHeight w:val="263"/>
        </w:trPr>
        <w:tc>
          <w:tcPr>
            <w:tcW w:w="8560" w:type="dxa"/>
            <w:vAlign w:val="bottom"/>
          </w:tcPr>
          <w:p>
            <w:pPr>
              <w:ind w:left="680"/>
              <w:spacing w:after="0"/>
              <w:rPr>
                <w:sz w:val="20"/>
                <w:szCs w:val="20"/>
                <w:color w:val="auto"/>
              </w:rPr>
            </w:pPr>
            <w:r>
              <w:rPr>
                <w:rFonts w:ascii="Arial" w:cs="Arial" w:eastAsia="Arial" w:hAnsi="Arial"/>
                <w:sz w:val="18"/>
                <w:szCs w:val="18"/>
                <w:color w:val="auto"/>
              </w:rPr>
              <w:t>Receivables from clients</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(25,656)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(11,301)</w:t>
            </w:r>
          </w:p>
        </w:tc>
      </w:tr>
      <w:tr>
        <w:trPr>
          <w:trHeight w:val="277"/>
        </w:trPr>
        <w:tc>
          <w:tcPr>
            <w:tcW w:w="8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Receivables from product sponsors, broker-dealers and clearing organizations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8,051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37,872</w:t>
            </w:r>
          </w:p>
        </w:tc>
      </w:tr>
      <w:tr>
        <w:trPr>
          <w:trHeight w:val="263"/>
        </w:trPr>
        <w:tc>
          <w:tcPr>
            <w:tcW w:w="8560" w:type="dxa"/>
            <w:vAlign w:val="bottom"/>
          </w:tcPr>
          <w:p>
            <w:pPr>
              <w:ind w:left="680"/>
              <w:spacing w:after="0"/>
              <w:rPr>
                <w:sz w:val="20"/>
                <w:szCs w:val="20"/>
                <w:color w:val="auto"/>
              </w:rPr>
            </w:pPr>
            <w:r>
              <w:rPr>
                <w:rFonts w:ascii="Arial" w:cs="Arial" w:eastAsia="Arial" w:hAnsi="Arial"/>
                <w:sz w:val="18"/>
                <w:szCs w:val="18"/>
                <w:color w:val="auto"/>
              </w:rPr>
              <w:t>Receivables from others</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(22,242)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(20,908)</w:t>
            </w:r>
          </w:p>
        </w:tc>
      </w:tr>
      <w:tr>
        <w:trPr>
          <w:trHeight w:val="277"/>
        </w:trPr>
        <w:tc>
          <w:tcPr>
            <w:tcW w:w="8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Securities owned</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1,234</w:t>
            </w:r>
          </w:p>
        </w:tc>
      </w:tr>
      <w:tr>
        <w:trPr>
          <w:trHeight w:val="263"/>
        </w:trPr>
        <w:tc>
          <w:tcPr>
            <w:tcW w:w="8560" w:type="dxa"/>
            <w:vAlign w:val="bottom"/>
          </w:tcPr>
          <w:p>
            <w:pPr>
              <w:ind w:left="680"/>
              <w:spacing w:after="0"/>
              <w:rPr>
                <w:sz w:val="20"/>
                <w:szCs w:val="20"/>
                <w:color w:val="auto"/>
              </w:rPr>
            </w:pPr>
            <w:r>
              <w:rPr>
                <w:rFonts w:ascii="Arial" w:cs="Arial" w:eastAsia="Arial" w:hAnsi="Arial"/>
                <w:sz w:val="18"/>
                <w:szCs w:val="18"/>
                <w:color w:val="auto"/>
              </w:rPr>
              <w:t>Securities borrowed</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(2,149)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(2,056)</w:t>
            </w:r>
          </w:p>
        </w:tc>
      </w:tr>
      <w:tr>
        <w:trPr>
          <w:trHeight w:val="277"/>
        </w:trPr>
        <w:tc>
          <w:tcPr>
            <w:tcW w:w="8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 assets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(37,575)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r>
      <w:tr>
        <w:trPr>
          <w:trHeight w:val="263"/>
        </w:trPr>
        <w:tc>
          <w:tcPr>
            <w:tcW w:w="8560" w:type="dxa"/>
            <w:vAlign w:val="bottom"/>
          </w:tcPr>
          <w:p>
            <w:pPr>
              <w:ind w:left="680"/>
              <w:spacing w:after="0"/>
              <w:rPr>
                <w:sz w:val="20"/>
                <w:szCs w:val="20"/>
                <w:color w:val="auto"/>
              </w:rPr>
            </w:pPr>
            <w:r>
              <w:rPr>
                <w:rFonts w:ascii="Arial" w:cs="Arial" w:eastAsia="Arial" w:hAnsi="Arial"/>
                <w:sz w:val="18"/>
                <w:szCs w:val="18"/>
                <w:color w:val="auto"/>
              </w:rPr>
              <w:t>Drafts payable</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(21,564)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(45,195)</w:t>
            </w:r>
          </w:p>
        </w:tc>
      </w:tr>
      <w:tr>
        <w:trPr>
          <w:trHeight w:val="277"/>
        </w:trPr>
        <w:tc>
          <w:tcPr>
            <w:tcW w:w="8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Payables to clients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(50,697)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(4,547)</w:t>
            </w:r>
          </w:p>
        </w:tc>
      </w:tr>
      <w:tr>
        <w:trPr>
          <w:trHeight w:val="263"/>
        </w:trPr>
        <w:tc>
          <w:tcPr>
            <w:tcW w:w="8560" w:type="dxa"/>
            <w:vAlign w:val="bottom"/>
          </w:tcPr>
          <w:p>
            <w:pPr>
              <w:ind w:left="680"/>
              <w:spacing w:after="0"/>
              <w:rPr>
                <w:sz w:val="20"/>
                <w:szCs w:val="20"/>
                <w:color w:val="auto"/>
              </w:rPr>
            </w:pPr>
            <w:r>
              <w:rPr>
                <w:rFonts w:ascii="Arial" w:cs="Arial" w:eastAsia="Arial" w:hAnsi="Arial"/>
                <w:sz w:val="18"/>
                <w:szCs w:val="18"/>
                <w:color w:val="auto"/>
              </w:rPr>
              <w:t>Payables to broker-dealers and clearing organizations</w:t>
            </w: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3,044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10,954</w:t>
            </w:r>
          </w:p>
        </w:tc>
      </w:tr>
      <w:tr>
        <w:trPr>
          <w:trHeight w:val="277"/>
        </w:trPr>
        <w:tc>
          <w:tcPr>
            <w:tcW w:w="8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Accrued commissions and advisory fees payable</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(21,092)</w:t>
            </w:r>
          </w:p>
        </w:tc>
      </w:tr>
      <w:tr>
        <w:trPr>
          <w:trHeight w:val="263"/>
        </w:trPr>
        <w:tc>
          <w:tcPr>
            <w:tcW w:w="8560" w:type="dxa"/>
            <w:vAlign w:val="bottom"/>
          </w:tcPr>
          <w:p>
            <w:pPr>
              <w:ind w:left="680"/>
              <w:spacing w:after="0"/>
              <w:rPr>
                <w:sz w:val="20"/>
                <w:szCs w:val="20"/>
                <w:color w:val="auto"/>
              </w:rPr>
            </w:pPr>
            <w:r>
              <w:rPr>
                <w:rFonts w:ascii="Arial" w:cs="Arial" w:eastAsia="Arial" w:hAnsi="Arial"/>
                <w:sz w:val="18"/>
                <w:szCs w:val="18"/>
                <w:color w:val="auto"/>
              </w:rPr>
              <w:t>Accounts payable and accrued liabilities</w:t>
            </w: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3,637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(25,196)</w:t>
            </w:r>
          </w:p>
        </w:tc>
      </w:tr>
      <w:tr>
        <w:trPr>
          <w:trHeight w:val="277"/>
        </w:trPr>
        <w:tc>
          <w:tcPr>
            <w:tcW w:w="8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Income taxes receivable/payable</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47,330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193,230</w:t>
            </w:r>
          </w:p>
        </w:tc>
      </w:tr>
      <w:tr>
        <w:trPr>
          <w:trHeight w:val="263"/>
        </w:trPr>
        <w:tc>
          <w:tcPr>
            <w:tcW w:w="8560" w:type="dxa"/>
            <w:vAlign w:val="bottom"/>
          </w:tcPr>
          <w:p>
            <w:pPr>
              <w:ind w:left="680"/>
              <w:spacing w:after="0"/>
              <w:rPr>
                <w:sz w:val="20"/>
                <w:szCs w:val="20"/>
                <w:color w:val="auto"/>
              </w:rPr>
            </w:pPr>
            <w:r>
              <w:rPr>
                <w:rFonts w:ascii="Arial" w:cs="Arial" w:eastAsia="Arial" w:hAnsi="Arial"/>
                <w:sz w:val="18"/>
                <w:szCs w:val="18"/>
                <w:color w:val="auto"/>
              </w:rPr>
              <w:t>Unearned revenue</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(2,665)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2,831</w:t>
            </w:r>
          </w:p>
        </w:tc>
      </w:tr>
      <w:tr>
        <w:trPr>
          <w:trHeight w:val="270"/>
        </w:trPr>
        <w:tc>
          <w:tcPr>
            <w:tcW w:w="8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Securities sold, but not yet purchased</w:t>
            </w: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59,936</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(4,665)</w:t>
            </w:r>
          </w:p>
        </w:tc>
      </w:tr>
      <w:tr>
        <w:trPr>
          <w:trHeight w:val="250"/>
        </w:trPr>
        <w:tc>
          <w:tcPr>
            <w:tcW w:w="8560" w:type="dxa"/>
            <w:vAlign w:val="bottom"/>
          </w:tcPr>
          <w:p>
            <w:pPr>
              <w:ind w:left="5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101,427</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363,746</w:t>
            </w:r>
          </w:p>
        </w:tc>
      </w:tr>
      <w:tr>
        <w:trPr>
          <w:trHeight w:val="864"/>
        </w:trPr>
        <w:tc>
          <w:tcPr>
            <w:tcW w:w="8560" w:type="dxa"/>
            <w:vAlign w:val="bottom"/>
          </w:tcPr>
          <w:p>
            <w:pPr>
              <w:ind w:left="5660"/>
              <w:spacing w:after="0"/>
              <w:rPr>
                <w:sz w:val="20"/>
                <w:szCs w:val="20"/>
                <w:color w:val="auto"/>
              </w:rPr>
            </w:pPr>
            <w:r>
              <w:rPr>
                <w:rFonts w:ascii="Arial" w:cs="Arial" w:eastAsia="Arial" w:hAnsi="Arial"/>
                <w:sz w:val="18"/>
                <w:szCs w:val="18"/>
                <w:color w:val="auto"/>
              </w:rPr>
              <w:t>5</w:t>
            </w:r>
          </w:p>
        </w:tc>
        <w:tc>
          <w:tcPr>
            <w:tcW w:w="3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560" w:type="dxa"/>
            <w:vAlign w:val="bottom"/>
          </w:tcPr>
          <w:p>
            <w:pPr>
              <w:jc w:val="center"/>
              <w:ind w:left="2770"/>
              <w:spacing w:after="0"/>
              <w:rPr>
                <w:sz w:val="20"/>
                <w:szCs w:val="20"/>
                <w:color w:val="auto"/>
              </w:rPr>
            </w:pPr>
            <w:r>
              <w:rPr>
                <w:rFonts w:ascii="Arial" w:cs="Arial" w:eastAsia="Arial" w:hAnsi="Arial"/>
                <w:sz w:val="18"/>
                <w:szCs w:val="18"/>
                <w:b w:val="1"/>
                <w:bCs w:val="1"/>
                <w:color w:val="auto"/>
                <w:w w:val="99"/>
              </w:rPr>
              <w:t>LPL FINANCIAL HOLDINGS INC. AND SUBSIDIARIES</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9"/>
        </w:trPr>
        <w:tc>
          <w:tcPr>
            <w:tcW w:w="8560" w:type="dxa"/>
            <w:vAlign w:val="bottom"/>
          </w:tcPr>
          <w:p>
            <w:pPr>
              <w:jc w:val="center"/>
              <w:ind w:left="2770"/>
              <w:spacing w:after="0"/>
              <w:rPr>
                <w:sz w:val="20"/>
                <w:szCs w:val="20"/>
                <w:color w:val="auto"/>
              </w:rPr>
            </w:pPr>
            <w:r>
              <w:rPr>
                <w:rFonts w:ascii="Arial" w:cs="Arial" w:eastAsia="Arial" w:hAnsi="Arial"/>
                <w:sz w:val="18"/>
                <w:szCs w:val="18"/>
                <w:b w:val="1"/>
                <w:bCs w:val="1"/>
                <w:color w:val="auto"/>
                <w:w w:val="99"/>
              </w:rPr>
              <w:t>Condensed Consolidated Statements of Cash Flows - (Continued)</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60" w:type="dxa"/>
            <w:vAlign w:val="bottom"/>
          </w:tcPr>
          <w:p>
            <w:pPr>
              <w:jc w:val="center"/>
              <w:ind w:left="2790"/>
              <w:spacing w:after="0"/>
              <w:rPr>
                <w:sz w:val="20"/>
                <w:szCs w:val="20"/>
                <w:color w:val="auto"/>
              </w:rPr>
            </w:pPr>
            <w:r>
              <w:rPr>
                <w:rFonts w:ascii="Arial" w:cs="Arial" w:eastAsia="Arial" w:hAnsi="Arial"/>
                <w:sz w:val="18"/>
                <w:szCs w:val="18"/>
                <w:b w:val="1"/>
                <w:bCs w:val="1"/>
                <w:color w:val="auto"/>
                <w:w w:val="99"/>
              </w:rPr>
              <w:t>(Unaudited)</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8560" w:type="dxa"/>
            <w:vAlign w:val="bottom"/>
          </w:tcPr>
          <w:p>
            <w:pPr>
              <w:jc w:val="center"/>
              <w:ind w:left="2770"/>
              <w:spacing w:after="0"/>
              <w:rPr>
                <w:sz w:val="20"/>
                <w:szCs w:val="20"/>
                <w:color w:val="auto"/>
              </w:rPr>
            </w:pPr>
            <w:r>
              <w:rPr>
                <w:rFonts w:ascii="Arial" w:cs="Arial" w:eastAsia="Arial" w:hAnsi="Arial"/>
                <w:sz w:val="18"/>
                <w:szCs w:val="18"/>
                <w:b w:val="1"/>
                <w:bCs w:val="1"/>
                <w:color w:val="auto"/>
                <w:w w:val="99"/>
              </w:rPr>
              <w:t>(Dollars in thousands)</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8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9"/>
        </w:trPr>
        <w:tc>
          <w:tcPr>
            <w:tcW w:w="8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41"/>
        </w:trPr>
        <w:tc>
          <w:tcPr>
            <w:tcW w:w="85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8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41"/>
        </w:trPr>
        <w:tc>
          <w:tcPr>
            <w:tcW w:w="85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8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560" w:type="dxa"/>
            <w:vAlign w:val="bottom"/>
          </w:tcPr>
          <w:p>
            <w:pPr>
              <w:ind w:left="36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(32,534)</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(24,339)</w:t>
            </w:r>
          </w:p>
        </w:tc>
        <w:tc>
          <w:tcPr>
            <w:tcW w:w="0" w:type="dxa"/>
            <w:vAlign w:val="bottom"/>
          </w:tcPr>
          <w:p>
            <w:pPr>
              <w:spacing w:after="0"/>
              <w:rPr>
                <w:sz w:val="1"/>
                <w:szCs w:val="1"/>
                <w:color w:val="auto"/>
              </w:rPr>
            </w:pPr>
          </w:p>
        </w:tc>
      </w:tr>
      <w:tr>
        <w:trPr>
          <w:trHeight w:val="277"/>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securities classified as held-to-maturity</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(4,634)</w:t>
            </w:r>
          </w:p>
        </w:tc>
        <w:tc>
          <w:tcPr>
            <w:tcW w:w="0" w:type="dxa"/>
            <w:vAlign w:val="bottom"/>
          </w:tcPr>
          <w:p>
            <w:pPr>
              <w:spacing w:after="0"/>
              <w:rPr>
                <w:sz w:val="1"/>
                <w:szCs w:val="1"/>
                <w:color w:val="auto"/>
              </w:rPr>
            </w:pPr>
          </w:p>
        </w:tc>
      </w:tr>
      <w:tr>
        <w:trPr>
          <w:trHeight w:val="263"/>
        </w:trPr>
        <w:tc>
          <w:tcPr>
            <w:tcW w:w="8560" w:type="dxa"/>
            <w:vAlign w:val="bottom"/>
          </w:tcPr>
          <w:p>
            <w:pPr>
              <w:ind w:left="360"/>
              <w:spacing w:after="0"/>
              <w:rPr>
                <w:sz w:val="20"/>
                <w:szCs w:val="20"/>
                <w:color w:val="auto"/>
              </w:rPr>
            </w:pPr>
            <w:r>
              <w:rPr>
                <w:rFonts w:ascii="Arial" w:cs="Arial" w:eastAsia="Arial" w:hAnsi="Arial"/>
                <w:sz w:val="18"/>
                <w:szCs w:val="18"/>
                <w:color w:val="auto"/>
              </w:rPr>
              <w:t>Proceeds from maturity of securities classified as held-to-maturity</w:t>
            </w:r>
          </w:p>
        </w:tc>
        <w:tc>
          <w:tcPr>
            <w:tcW w:w="26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6,350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77"/>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Deposits of restricted cash</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w:t>
            </w:r>
          </w:p>
        </w:tc>
        <w:tc>
          <w:tcPr>
            <w:tcW w:w="0" w:type="dxa"/>
            <w:vAlign w:val="bottom"/>
          </w:tcPr>
          <w:p>
            <w:pPr>
              <w:spacing w:after="0"/>
              <w:rPr>
                <w:sz w:val="1"/>
                <w:szCs w:val="1"/>
                <w:color w:val="auto"/>
              </w:rPr>
            </w:pPr>
          </w:p>
        </w:tc>
      </w:tr>
      <w:tr>
        <w:trPr>
          <w:trHeight w:val="263"/>
        </w:trPr>
        <w:tc>
          <w:tcPr>
            <w:tcW w:w="8560" w:type="dxa"/>
            <w:vAlign w:val="bottom"/>
          </w:tcPr>
          <w:p>
            <w:pPr>
              <w:ind w:left="360"/>
              <w:spacing w:after="0"/>
              <w:rPr>
                <w:sz w:val="20"/>
                <w:szCs w:val="20"/>
                <w:color w:val="auto"/>
              </w:rPr>
            </w:pPr>
            <w:r>
              <w:rPr>
                <w:rFonts w:ascii="Arial" w:cs="Arial" w:eastAsia="Arial" w:hAnsi="Arial"/>
                <w:sz w:val="18"/>
                <w:szCs w:val="18"/>
                <w:color w:val="auto"/>
              </w:rPr>
              <w:t>Release of restricted cash</w:t>
            </w:r>
          </w:p>
        </w:tc>
        <w:tc>
          <w:tcPr>
            <w:tcW w:w="26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6,800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18,923</w:t>
            </w:r>
          </w:p>
        </w:tc>
        <w:tc>
          <w:tcPr>
            <w:tcW w:w="0" w:type="dxa"/>
            <w:vAlign w:val="bottom"/>
          </w:tcPr>
          <w:p>
            <w:pPr>
              <w:spacing w:after="0"/>
              <w:rPr>
                <w:sz w:val="1"/>
                <w:szCs w:val="1"/>
                <w:color w:val="auto"/>
              </w:rPr>
            </w:pPr>
          </w:p>
        </w:tc>
      </w:tr>
      <w:tr>
        <w:trPr>
          <w:trHeight w:val="277"/>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Acquisitions (Note 3)</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(37,184)</w:t>
            </w:r>
          </w:p>
        </w:tc>
        <w:tc>
          <w:tcPr>
            <w:tcW w:w="0" w:type="dxa"/>
            <w:vAlign w:val="bottom"/>
          </w:tcPr>
          <w:p>
            <w:pPr>
              <w:spacing w:after="0"/>
              <w:rPr>
                <w:sz w:val="1"/>
                <w:szCs w:val="1"/>
                <w:color w:val="auto"/>
              </w:rPr>
            </w:pPr>
          </w:p>
        </w:tc>
      </w:tr>
      <w:tr>
        <w:trPr>
          <w:trHeight w:val="264"/>
        </w:trPr>
        <w:tc>
          <w:tcPr>
            <w:tcW w:w="8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Purchases of minority interest investments</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5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(67,624)</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(46,274)</w:t>
            </w:r>
          </w:p>
        </w:tc>
        <w:tc>
          <w:tcPr>
            <w:tcW w:w="0" w:type="dxa"/>
            <w:vAlign w:val="bottom"/>
          </w:tcPr>
          <w:p>
            <w:pPr>
              <w:spacing w:after="0"/>
              <w:rPr>
                <w:sz w:val="1"/>
                <w:szCs w:val="1"/>
                <w:color w:val="auto"/>
              </w:rPr>
            </w:pPr>
          </w:p>
        </w:tc>
      </w:tr>
      <w:tr>
        <w:trPr>
          <w:trHeight w:val="257"/>
        </w:trPr>
        <w:tc>
          <w:tcPr>
            <w:tcW w:w="8560" w:type="dxa"/>
            <w:vAlign w:val="bottom"/>
          </w:tcPr>
          <w:p>
            <w:pPr>
              <w:ind w:left="8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 of senior secured credit facilities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(1,354,118)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(50,478)</w:t>
            </w:r>
          </w:p>
        </w:tc>
        <w:tc>
          <w:tcPr>
            <w:tcW w:w="0" w:type="dxa"/>
            <w:vAlign w:val="bottom"/>
          </w:tcPr>
          <w:p>
            <w:pPr>
              <w:spacing w:after="0"/>
              <w:rPr>
                <w:sz w:val="1"/>
                <w:szCs w:val="1"/>
                <w:color w:val="auto"/>
              </w:rPr>
            </w:pPr>
          </w:p>
        </w:tc>
      </w:tr>
      <w:tr>
        <w:trPr>
          <w:trHeight w:val="263"/>
        </w:trPr>
        <w:tc>
          <w:tcPr>
            <w:tcW w:w="8560" w:type="dxa"/>
            <w:vAlign w:val="bottom"/>
          </w:tcPr>
          <w:p>
            <w:pPr>
              <w:ind w:left="360"/>
              <w:spacing w:after="0"/>
              <w:rPr>
                <w:sz w:val="20"/>
                <w:szCs w:val="20"/>
                <w:color w:val="auto"/>
              </w:rPr>
            </w:pPr>
            <w:r>
              <w:rPr>
                <w:rFonts w:ascii="Arial" w:cs="Arial" w:eastAsia="Arial" w:hAnsi="Arial"/>
                <w:sz w:val="18"/>
                <w:szCs w:val="18"/>
                <w:color w:val="auto"/>
              </w:rPr>
              <w:t>Proceeds from senior secured credit facilities</w:t>
            </w:r>
          </w:p>
        </w:tc>
        <w:tc>
          <w:tcPr>
            <w:tcW w:w="26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1,330,681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debt issuance costs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8560" w:type="dxa"/>
            <w:vAlign w:val="bottom"/>
          </w:tcPr>
          <w:p>
            <w:pPr>
              <w:ind w:left="360"/>
              <w:spacing w:after="0"/>
              <w:rPr>
                <w:sz w:val="20"/>
                <w:szCs w:val="20"/>
                <w:color w:val="auto"/>
              </w:rPr>
            </w:pPr>
            <w:r>
              <w:rPr>
                <w:rFonts w:ascii="Arial" w:cs="Arial" w:eastAsia="Arial" w:hAnsi="Arial"/>
                <w:sz w:val="18"/>
                <w:szCs w:val="18"/>
                <w:color w:val="auto"/>
              </w:rPr>
              <w:t>Repurchase of common stock</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(107,524)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(89,037)</w:t>
            </w:r>
          </w:p>
        </w:tc>
        <w:tc>
          <w:tcPr>
            <w:tcW w:w="0" w:type="dxa"/>
            <w:vAlign w:val="bottom"/>
          </w:tcPr>
          <w:p>
            <w:pPr>
              <w:spacing w:after="0"/>
              <w:rPr>
                <w:sz w:val="1"/>
                <w:szCs w:val="1"/>
                <w:color w:val="auto"/>
              </w:rPr>
            </w:pPr>
          </w:p>
        </w:tc>
      </w:tr>
      <w:tr>
        <w:trPr>
          <w:trHeight w:val="277"/>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Dividends on common stock</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(235,799)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8560" w:type="dxa"/>
            <w:vAlign w:val="bottom"/>
          </w:tcPr>
          <w:p>
            <w:pPr>
              <w:ind w:left="360"/>
              <w:spacing w:after="0"/>
              <w:rPr>
                <w:sz w:val="20"/>
                <w:szCs w:val="20"/>
                <w:color w:val="auto"/>
              </w:rPr>
            </w:pPr>
            <w:r>
              <w:rPr>
                <w:rFonts w:ascii="Arial" w:cs="Arial" w:eastAsia="Arial" w:hAnsi="Arial"/>
                <w:sz w:val="18"/>
                <w:szCs w:val="18"/>
                <w:color w:val="auto"/>
              </w:rPr>
              <w:t>Excess tax benefits related to share-based compensation</w:t>
            </w:r>
          </w:p>
        </w:tc>
        <w:tc>
          <w:tcPr>
            <w:tcW w:w="26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49,753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57,277</w:t>
            </w:r>
          </w:p>
        </w:tc>
        <w:tc>
          <w:tcPr>
            <w:tcW w:w="0" w:type="dxa"/>
            <w:vAlign w:val="bottom"/>
          </w:tcPr>
          <w:p>
            <w:pPr>
              <w:spacing w:after="0"/>
              <w:rPr>
                <w:sz w:val="1"/>
                <w:szCs w:val="1"/>
                <w:color w:val="auto"/>
              </w:rPr>
            </w:pPr>
          </w:p>
        </w:tc>
      </w:tr>
      <w:tr>
        <w:trPr>
          <w:trHeight w:val="270"/>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stock options and warrants exercised</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12,834</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8,747</w:t>
            </w: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(308,604)</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(73,491)</w:t>
            </w:r>
          </w:p>
        </w:tc>
        <w:tc>
          <w:tcPr>
            <w:tcW w:w="0" w:type="dxa"/>
            <w:vAlign w:val="bottom"/>
          </w:tcPr>
          <w:p>
            <w:pPr>
              <w:spacing w:after="0"/>
              <w:rPr>
                <w:sz w:val="1"/>
                <w:szCs w:val="1"/>
                <w:color w:val="auto"/>
              </w:rPr>
            </w:pPr>
          </w:p>
        </w:tc>
      </w:tr>
      <w:tr>
        <w:trPr>
          <w:trHeight w:val="257"/>
        </w:trPr>
        <w:tc>
          <w:tcPr>
            <w:tcW w:w="8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(DECREASE) INCREASE IN CASH AND CASH EQUIVALENTS</w:t>
            </w: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(274,801)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243,981</w:t>
            </w:r>
          </w:p>
        </w:tc>
        <w:tc>
          <w:tcPr>
            <w:tcW w:w="0" w:type="dxa"/>
            <w:vAlign w:val="bottom"/>
          </w:tcPr>
          <w:p>
            <w:pPr>
              <w:spacing w:after="0"/>
              <w:rPr>
                <w:sz w:val="1"/>
                <w:szCs w:val="1"/>
                <w:color w:val="auto"/>
              </w:rPr>
            </w:pPr>
          </w:p>
        </w:tc>
      </w:tr>
      <w:tr>
        <w:trPr>
          <w:trHeight w:val="264"/>
        </w:trPr>
        <w:tc>
          <w:tcPr>
            <w:tcW w:w="85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CASH AND CASH EQUIVALENTS — Beginning of period</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720,772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419,208</w:t>
            </w:r>
          </w:p>
        </w:tc>
        <w:tc>
          <w:tcPr>
            <w:tcW w:w="0" w:type="dxa"/>
            <w:vAlign w:val="bottom"/>
          </w:tcPr>
          <w:p>
            <w:pPr>
              <w:spacing w:after="0"/>
              <w:rPr>
                <w:sz w:val="1"/>
                <w:szCs w:val="1"/>
                <w:color w:val="auto"/>
              </w:rPr>
            </w:pPr>
          </w:p>
        </w:tc>
      </w:tr>
      <w:tr>
        <w:trPr>
          <w:trHeight w:val="257"/>
        </w:trPr>
        <w:tc>
          <w:tcPr>
            <w:tcW w:w="85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CASH AND CASH EQUIVALENTS — End of period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445,971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663,189</w:t>
            </w:r>
          </w:p>
        </w:tc>
        <w:tc>
          <w:tcPr>
            <w:tcW w:w="0" w:type="dxa"/>
            <w:vAlign w:val="bottom"/>
          </w:tcPr>
          <w:p>
            <w:pPr>
              <w:spacing w:after="0"/>
              <w:rPr>
                <w:sz w:val="1"/>
                <w:szCs w:val="1"/>
                <w:color w:val="auto"/>
              </w:rPr>
            </w:pPr>
          </w:p>
        </w:tc>
      </w:tr>
      <w:tr>
        <w:trPr>
          <w:trHeight w:val="20"/>
        </w:trPr>
        <w:tc>
          <w:tcPr>
            <w:tcW w:w="8560" w:type="dxa"/>
            <w:vAlign w:val="bottom"/>
            <w:vMerge w:val="restart"/>
          </w:tcPr>
          <w:p>
            <w:pPr>
              <w:ind w:left="260"/>
              <w:spacing w:after="0"/>
              <w:rPr>
                <w:sz w:val="20"/>
                <w:szCs w:val="20"/>
                <w:color w:val="auto"/>
              </w:rPr>
            </w:pPr>
            <w:r>
              <w:rPr>
                <w:rFonts w:ascii="Arial" w:cs="Arial" w:eastAsia="Arial" w:hAnsi="Arial"/>
                <w:sz w:val="18"/>
                <w:szCs w:val="18"/>
                <w:color w:val="auto"/>
              </w:rPr>
              <w:t>SUPPLEMENTAL DISCLOSURES OF CASH FLOW INFORMATION:</w:t>
            </w: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56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paid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42,288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52,981</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Income taxes paid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36,971</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44,379</w:t>
            </w:r>
          </w:p>
        </w:tc>
        <w:tc>
          <w:tcPr>
            <w:tcW w:w="0" w:type="dxa"/>
            <w:vAlign w:val="bottom"/>
          </w:tcPr>
          <w:p>
            <w:pPr>
              <w:spacing w:after="0"/>
              <w:rPr>
                <w:sz w:val="1"/>
                <w:szCs w:val="1"/>
                <w:color w:val="auto"/>
              </w:rPr>
            </w:pPr>
          </w:p>
        </w:tc>
      </w:tr>
      <w:tr>
        <w:trPr>
          <w:trHeight w:val="251"/>
        </w:trPr>
        <w:tc>
          <w:tcPr>
            <w:tcW w:w="8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NONCASH DISCLOSURES:</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8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Capital expenditures purchased through short-term credit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5,065</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3,444</w:t>
            </w:r>
          </w:p>
        </w:tc>
        <w:tc>
          <w:tcPr>
            <w:tcW w:w="0" w:type="dxa"/>
            <w:vAlign w:val="bottom"/>
          </w:tcPr>
          <w:p>
            <w:pPr>
              <w:spacing w:after="0"/>
              <w:rPr>
                <w:sz w:val="1"/>
                <w:szCs w:val="1"/>
                <w:color w:val="auto"/>
              </w:rPr>
            </w:pPr>
          </w:p>
        </w:tc>
      </w:tr>
      <w:tr>
        <w:trPr>
          <w:trHeight w:val="237"/>
        </w:trPr>
        <w:tc>
          <w:tcPr>
            <w:tcW w:w="8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Fixed assets acquired under build-to-suit lease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5,599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Unrealized gain on interest rate swaps, net of tax expense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3,209</w:t>
            </w:r>
          </w:p>
        </w:tc>
        <w:tc>
          <w:tcPr>
            <w:tcW w:w="0" w:type="dxa"/>
            <w:vAlign w:val="bottom"/>
          </w:tcPr>
          <w:p>
            <w:pPr>
              <w:spacing w:after="0"/>
              <w:rPr>
                <w:sz w:val="1"/>
                <w:szCs w:val="1"/>
                <w:color w:val="auto"/>
              </w:rPr>
            </w:pPr>
          </w:p>
        </w:tc>
      </w:tr>
      <w:tr>
        <w:trPr>
          <w:trHeight w:val="237"/>
        </w:trPr>
        <w:tc>
          <w:tcPr>
            <w:tcW w:w="8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Discount on proceeds from senior secured credit facilities recorded as debt issuance costs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19,319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560" w:type="dxa"/>
            <w:vAlign w:val="bottom"/>
          </w:tcPr>
          <w:p>
            <w:pPr>
              <w:ind w:left="360"/>
              <w:spacing w:after="0"/>
              <w:rPr>
                <w:sz w:val="20"/>
                <w:szCs w:val="20"/>
                <w:color w:val="auto"/>
              </w:rPr>
            </w:pPr>
            <w:r>
              <w:rPr>
                <w:rFonts w:ascii="Arial" w:cs="Arial" w:eastAsia="Arial" w:hAnsi="Arial"/>
                <w:sz w:val="18"/>
                <w:szCs w:val="18"/>
                <w:color w:val="auto"/>
              </w:rPr>
              <w:t>Pending settlement of treasury stock purchases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3,009</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unaudited condensed consolidated financial statements.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76"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90"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the Company</w:t>
      </w:r>
    </w:p>
    <w:p>
      <w:pPr>
        <w:spacing w:after="0" w:line="247" w:lineRule="exact"/>
        <w:rPr>
          <w:sz w:val="20"/>
          <w:szCs w:val="20"/>
          <w:color w:val="auto"/>
        </w:rPr>
      </w:pPr>
    </w:p>
    <w:p>
      <w:pPr>
        <w:ind w:right="220" w:firstLine="486"/>
        <w:spacing w:after="0" w:line="253" w:lineRule="auto"/>
        <w:rPr>
          <w:sz w:val="20"/>
          <w:szCs w:val="20"/>
          <w:color w:val="auto"/>
        </w:rPr>
      </w:pPr>
      <w:r>
        <w:rPr>
          <w:rFonts w:ascii="Arial" w:cs="Arial" w:eastAsia="Arial" w:hAnsi="Arial"/>
          <w:sz w:val="18"/>
          <w:szCs w:val="18"/>
          <w:color w:val="auto"/>
        </w:rPr>
        <w:t>LPL Financial Holdings Inc. (“LPLFH”), formerly known as LPL Investment Holdings Inc., a Delaware holding corporation, together with its consolidated subsidiaries (collectively, the “Company”) provides an integrated platform of brokerage and investment advisory services to independent financial advisors and financial advisors at financial institutions (collectively “advisors”) in the United States of America. Through its custody and clearing platform, the Company provides access to diversified financial products and services enabling its advisors to offer independent financial advice and brokerage services, using integrated technology, to retail investors (their “clients”).</w:t>
      </w:r>
    </w:p>
    <w:p>
      <w:pPr>
        <w:spacing w:after="0" w:line="184"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85"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b w:val="1"/>
          <w:bCs w:val="1"/>
          <w:i w:val="1"/>
          <w:iCs w:val="1"/>
          <w:color w:val="auto"/>
        </w:rPr>
        <w:t xml:space="preserve">Basis of Presentation </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Quarterly Reporting </w:t>
      </w:r>
      <w:r>
        <w:rPr>
          <w:rFonts w:ascii="Arial" w:cs="Arial" w:eastAsia="Arial" w:hAnsi="Arial"/>
          <w:sz w:val="18"/>
          <w:szCs w:val="18"/>
          <w:color w:val="auto"/>
        </w:rPr>
        <w:t>— The unaudited condensed consolidated financial statements have been prepared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the rules and regulations of the Securities and Exchange Commission (“SEC”). These unaudited condensed consolidated financial statements reflect all adjustments that are, in the opinion of management, necessary for a fair statement of the results for the interim periods presented. These adjustments are of a normal recurring nature. The Company’s results for any interim period are not necessarily indicative of results for a full year or any other interim period. Certain reclassifications were made to previously reported amounts in the unaudited condensed consolidated financial statements and notes thereto to make them consistent with the current period presentation.</w:t>
      </w:r>
    </w:p>
    <w:p>
      <w:pPr>
        <w:spacing w:after="0" w:line="164"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auto"/>
        </w:rPr>
        <w:t>The unaudited condensed consolidated financial statements do not include all information and notes necessary for a complete presentation of financial position, results of income, comprehensive income and cash flows in conformity with generally accepted accounting principles in the United States of America (“GAAP”). Accordingly, these financial statements should be read in conjunction with the Company’s audited consolidated financial statements and the related notes for the year ended December 31, 2011, contained in the Company’s Annual Report on Form 10-K as filed with the SEC. The Company has evaluated subsequent events up to and including the date these unaudited condensed consolidated financial statements were issued.</w:t>
      </w:r>
    </w:p>
    <w:p>
      <w:pPr>
        <w:spacing w:after="0" w:line="187" w:lineRule="exact"/>
        <w:rPr>
          <w:sz w:val="20"/>
          <w:szCs w:val="20"/>
          <w:color w:val="auto"/>
        </w:rPr>
      </w:pPr>
    </w:p>
    <w:p>
      <w:pPr>
        <w:jc w:val="both"/>
        <w:ind w:right="260" w:firstLine="486"/>
        <w:spacing w:after="0" w:line="269" w:lineRule="auto"/>
        <w:rPr>
          <w:sz w:val="20"/>
          <w:szCs w:val="20"/>
          <w:color w:val="auto"/>
        </w:rPr>
      </w:pPr>
      <w:r>
        <w:rPr>
          <w:rFonts w:ascii="Arial" w:cs="Arial" w:eastAsia="Arial" w:hAnsi="Arial"/>
          <w:sz w:val="18"/>
          <w:szCs w:val="18"/>
          <w:b w:val="1"/>
          <w:bCs w:val="1"/>
          <w:i w:val="1"/>
          <w:iCs w:val="1"/>
          <w:color w:val="auto"/>
        </w:rPr>
        <w:t xml:space="preserve">Consolidation </w:t>
      </w:r>
      <w:r>
        <w:rPr>
          <w:rFonts w:ascii="Arial" w:cs="Arial" w:eastAsia="Arial" w:hAnsi="Arial"/>
          <w:sz w:val="18"/>
          <w:szCs w:val="18"/>
          <w:color w:val="auto"/>
        </w:rPr>
        <w:t>— These unaudited condensed consolidated financial statements include the accounts of LPLFH and its subsidiaries.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Intercompany transactions and balances have been eliminated. Equity investments in which the Company exercises significant influence but does not exercise control and is not the primary beneficiary are accounted for using the equity method.</w:t>
      </w:r>
    </w:p>
    <w:p>
      <w:pPr>
        <w:spacing w:after="0" w:line="168"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b w:val="1"/>
          <w:bCs w:val="1"/>
          <w:i w:val="1"/>
          <w:iCs w:val="1"/>
          <w:color w:val="auto"/>
        </w:rPr>
        <w:t xml:space="preserve">Comprehensive Income — </w:t>
      </w:r>
      <w:r>
        <w:rPr>
          <w:rFonts w:ascii="Arial" w:cs="Arial" w:eastAsia="Arial" w:hAnsi="Arial"/>
          <w:sz w:val="18"/>
          <w:szCs w:val="18"/>
          <w:color w:val="auto"/>
        </w:rPr>
        <w:t>In accordance with Accounting Standards Update No. 2011-05,</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Comprehensive Income — Presentation of</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Comprehensive Income</w:t>
      </w:r>
      <w:r>
        <w:rPr>
          <w:rFonts w:ascii="Arial" w:cs="Arial" w:eastAsia="Arial" w:hAnsi="Arial"/>
          <w:sz w:val="18"/>
          <w:szCs w:val="18"/>
          <w:color w:val="auto"/>
        </w:rPr>
        <w:t>, adopted in the first quarter of 2012, the Company presents its unaudited condensed consolidated statements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separately and immediately following its unaudited condensed consolidated statements of income. The Company’s comprehensive income is composed of net income and the effective portion of the unrealized gains on financial derivatives in cash flow hedge relationships, net of related tax effects.</w:t>
      </w:r>
    </w:p>
    <w:p>
      <w:pPr>
        <w:spacing w:after="0" w:line="139"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b w:val="1"/>
          <w:bCs w:val="1"/>
          <w:i w:val="1"/>
          <w:iCs w:val="1"/>
          <w:color w:val="auto"/>
        </w:rPr>
        <w:t xml:space="preserve">Use of Estimates </w:t>
      </w:r>
      <w:r>
        <w:rPr>
          <w:rFonts w:ascii="Arial" w:cs="Arial" w:eastAsia="Arial" w:hAnsi="Arial"/>
          <w:sz w:val="18"/>
          <w:szCs w:val="18"/>
          <w:color w:val="auto"/>
        </w:rPr>
        <w:t>— The preparation of the unaudited condensed consolidated financial statements in conformity with GAAP requires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to make estimates and judgments that affect the reported amounts of assets and liabilities, revenue and expenses and related disclosures of contingent assets and liabilities. On an on-going basis, the Company evaluates estimates, including those related to revenue and related expense recognition, asset impairment, valuation of accounts receivable, valuation of financial derivatives, contingent consideration obligations, contingencies and litigation, valuation and recognition of share-based payments, dividends and income taxes. These accounting policies are stated in the notes to the audited consolidated financial statements for the year ended December 31, 2011, contained in the Annual Report on Form 10-K as filed with the SEC. These estimates are based on the information that is currently available and on various other assumptions that the Company believes to be reasonable under the circumstances. Actual results could vary from these estimates under different assumptions or conditions and the differences may be material to the unaudited condensed consolidated financial statements.</w:t>
      </w:r>
    </w:p>
    <w:p>
      <w:pPr>
        <w:spacing w:after="0" w:line="141"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b w:val="1"/>
          <w:bCs w:val="1"/>
          <w:i w:val="1"/>
          <w:iCs w:val="1"/>
          <w:color w:val="auto"/>
        </w:rPr>
        <w:t xml:space="preserve">Reportable Segment </w:t>
      </w:r>
      <w:r>
        <w:rPr>
          <w:rFonts w:ascii="Arial" w:cs="Arial" w:eastAsia="Arial" w:hAnsi="Arial"/>
          <w:sz w:val="18"/>
          <w:szCs w:val="18"/>
          <w:color w:val="auto"/>
        </w:rPr>
        <w:t>— The Company’s internal reporting is organized into three service channels; Independent Advisor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Institution Services and Custom Clearing Services, which are designed to enhance the services provided to its advisors and financial institutions. These service channels qualify as individual operating segments, but are aggregated and viewed as one single reportable segment due to their similar economic</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4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characteristics, products and services, production and distribution process, regulatory environment and quantitative thresholds.</w:t>
      </w:r>
    </w:p>
    <w:p>
      <w:pPr>
        <w:spacing w:after="0" w:line="203" w:lineRule="exact"/>
        <w:rPr>
          <w:sz w:val="20"/>
          <w:szCs w:val="20"/>
          <w:color w:val="auto"/>
        </w:rPr>
      </w:pPr>
    </w:p>
    <w:p>
      <w:pPr>
        <w:ind w:right="300" w:firstLine="486"/>
        <w:spacing w:after="0" w:line="256" w:lineRule="auto"/>
        <w:rPr>
          <w:sz w:val="20"/>
          <w:szCs w:val="20"/>
          <w:color w:val="auto"/>
        </w:rPr>
      </w:pPr>
      <w:r>
        <w:rPr>
          <w:rFonts w:ascii="Arial" w:cs="Arial" w:eastAsia="Arial" w:hAnsi="Arial"/>
          <w:sz w:val="18"/>
          <w:szCs w:val="18"/>
          <w:b w:val="1"/>
          <w:bCs w:val="1"/>
          <w:i w:val="1"/>
          <w:iCs w:val="1"/>
          <w:color w:val="auto"/>
        </w:rPr>
        <w:t xml:space="preserve">Fair Value of Financial Instruments </w:t>
      </w:r>
      <w:r>
        <w:rPr>
          <w:rFonts w:ascii="Arial" w:cs="Arial" w:eastAsia="Arial" w:hAnsi="Arial"/>
          <w:sz w:val="18"/>
          <w:szCs w:val="18"/>
          <w:color w:val="auto"/>
        </w:rPr>
        <w:t>— The Company’s financial assets and liabilities are carried at fair value or at amounts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because of their short-term nature, approximate current fair value, with the exception of its indebtedness. The Company carries its indebtedness at amortized cost. The Company measures the implied fair value of its debt instruments using trading levels obtained from a third-party service provider. Accordingly, the debt instruments qualify as Level 2 fair value measurements. See Note 5 for additional detail regarding the Company’s fair value measurements. As of September 30, 2012, the carrying amount and fair value of the Company’s indebtedness was approximately $ 1,328.6 million and $ 1,319.3 million, respectively. As of December 31, 2011, the carrying amount and fair value was approximately $1,332.7 million and $1,328.2 million, respectively.</w:t>
      </w:r>
    </w:p>
    <w:p>
      <w:pPr>
        <w:spacing w:after="0" w:line="183"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b w:val="1"/>
          <w:bCs w:val="1"/>
          <w:i w:val="1"/>
          <w:iCs w:val="1"/>
          <w:color w:val="auto"/>
        </w:rPr>
        <w:t xml:space="preserve">Contingent Consideration </w:t>
      </w:r>
      <w:r>
        <w:rPr>
          <w:rFonts w:ascii="Arial" w:cs="Arial" w:eastAsia="Arial" w:hAnsi="Arial"/>
          <w:sz w:val="18"/>
          <w:szCs w:val="18"/>
          <w:color w:val="auto"/>
        </w:rPr>
        <w:t>— The Company may be required to pay future consideration to the former shareholders of acquired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depending upon the terms of the applicable purchase agreement, that is contingent upon the achievement of certain financial and operating targets. The fair value of the contingent consideration is determined using financial forecasts, which estimate the probability and timing of the financial targets being reached, and discounting the associated cash payments to their present value using a risk-adjusted rate of return. The estimated fair value of the contingent consideration on the acquisition date is included in the purchase price of the acquired company. At each reporting date, or whenever there are significant changes in underlying key assumptions, a review of these assumptions is performed and the contingent consideration liability is updated to its estimated fair value. If there are no significant changes in the assumptions, the quarterly determination of the fair value of contingent consideration reflects the implied interest for the passage of time. Changes in the estimated fair value of the contingent consideration obligation may result from changes in the terms of the contingent payments, changes in discount periods and rates and changes in probability assumptions with respect to the timing and likelihood of achieving the certain financial targets. Actual progress toward achieving the financial targets for the remaining measurement periods may be different than the Company's expectations of future performance. The change in the estimated fair value of contingent consideration has been classified as other expenses in the unaudited condensed consolidated statements of income.</w:t>
      </w:r>
    </w:p>
    <w:p>
      <w:pPr>
        <w:spacing w:after="0" w:line="189" w:lineRule="exact"/>
        <w:rPr>
          <w:sz w:val="20"/>
          <w:szCs w:val="20"/>
          <w:color w:val="auto"/>
        </w:rPr>
      </w:pPr>
    </w:p>
    <w:p>
      <w:pPr>
        <w:ind w:right="140" w:firstLine="486"/>
        <w:spacing w:after="0" w:line="269" w:lineRule="auto"/>
        <w:rPr>
          <w:sz w:val="20"/>
          <w:szCs w:val="20"/>
          <w:color w:val="auto"/>
        </w:rPr>
      </w:pPr>
      <w:r>
        <w:rPr>
          <w:rFonts w:ascii="Arial" w:cs="Arial" w:eastAsia="Arial" w:hAnsi="Arial"/>
          <w:sz w:val="18"/>
          <w:szCs w:val="18"/>
          <w:b w:val="1"/>
          <w:bCs w:val="1"/>
          <w:i w:val="1"/>
          <w:iCs w:val="1"/>
          <w:color w:val="auto"/>
        </w:rPr>
        <w:t xml:space="preserve">Recently Issued Accounting Pronouncements </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52525"/>
        </w:rPr>
        <w:t>Recent accounting pronouncements or changes in accounting pronouncements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52525"/>
        </w:rPr>
        <w:t xml:space="preserve">during the </w:t>
      </w:r>
      <w:r>
        <w:rPr>
          <w:rFonts w:ascii="Arial" w:cs="Arial" w:eastAsia="Arial" w:hAnsi="Arial"/>
          <w:sz w:val="18"/>
          <w:szCs w:val="18"/>
          <w:color w:val="000000"/>
        </w:rPr>
        <w:t>nine</w:t>
      </w:r>
      <w:r>
        <w:rPr>
          <w:rFonts w:ascii="Arial" w:cs="Arial" w:eastAsia="Arial" w:hAnsi="Arial"/>
          <w:sz w:val="18"/>
          <w:szCs w:val="18"/>
          <w:color w:val="252525"/>
        </w:rPr>
        <w:t xml:space="preserve"> months ended </w:t>
      </w:r>
      <w:r>
        <w:rPr>
          <w:rFonts w:ascii="Arial" w:cs="Arial" w:eastAsia="Arial" w:hAnsi="Arial"/>
          <w:sz w:val="18"/>
          <w:szCs w:val="18"/>
          <w:color w:val="000000"/>
        </w:rPr>
        <w:t>September 30, 2012</w:t>
      </w:r>
      <w:r>
        <w:rPr>
          <w:rFonts w:ascii="Arial" w:cs="Arial" w:eastAsia="Arial" w:hAnsi="Arial"/>
          <w:sz w:val="18"/>
          <w:szCs w:val="18"/>
          <w:color w:val="252525"/>
        </w:rPr>
        <w:t>, as compared to the recent accounting pronouncements described in the Company's 2011 Annual Report on Form 10-K, that are of significance, or potential significance, to the Company are discussed below.</w:t>
      </w:r>
    </w:p>
    <w:p>
      <w:pPr>
        <w:spacing w:after="0" w:line="172" w:lineRule="exact"/>
        <w:rPr>
          <w:sz w:val="20"/>
          <w:szCs w:val="20"/>
          <w:color w:val="auto"/>
        </w:rPr>
      </w:pPr>
    </w:p>
    <w:p>
      <w:pPr>
        <w:ind w:right="140" w:firstLine="486"/>
        <w:spacing w:after="0" w:line="255" w:lineRule="auto"/>
        <w:rPr>
          <w:sz w:val="20"/>
          <w:szCs w:val="20"/>
          <w:color w:val="auto"/>
        </w:rPr>
      </w:pPr>
      <w:r>
        <w:rPr>
          <w:rFonts w:ascii="Arial" w:cs="Arial" w:eastAsia="Arial" w:hAnsi="Arial"/>
          <w:sz w:val="18"/>
          <w:szCs w:val="18"/>
          <w:color w:val="252525"/>
        </w:rPr>
        <w:t xml:space="preserve">In July 2012, the Financial Accounting Standards Board ("FASB") issued Accounting Standards Update ("ASU") 2012-02, </w:t>
      </w:r>
      <w:r>
        <w:rPr>
          <w:rFonts w:ascii="Arial" w:cs="Arial" w:eastAsia="Arial" w:hAnsi="Arial"/>
          <w:sz w:val="18"/>
          <w:szCs w:val="18"/>
          <w:i w:val="1"/>
          <w:iCs w:val="1"/>
          <w:color w:val="252525"/>
        </w:rPr>
        <w:t>Intangibles</w:t>
      </w:r>
      <w:r>
        <w:rPr>
          <w:rFonts w:ascii="Arial" w:cs="Arial" w:eastAsia="Arial" w:hAnsi="Arial"/>
          <w:sz w:val="18"/>
          <w:szCs w:val="18"/>
          <w:color w:val="000000"/>
        </w:rPr>
        <w:t>—</w:t>
      </w:r>
      <w:r>
        <w:rPr>
          <w:rFonts w:ascii="Arial" w:cs="Arial" w:eastAsia="Arial" w:hAnsi="Arial"/>
          <w:sz w:val="18"/>
          <w:szCs w:val="18"/>
          <w:color w:val="252525"/>
        </w:rPr>
        <w:t xml:space="preserve"> </w:t>
      </w:r>
      <w:r>
        <w:rPr>
          <w:rFonts w:ascii="Arial" w:cs="Arial" w:eastAsia="Arial" w:hAnsi="Arial"/>
          <w:sz w:val="18"/>
          <w:szCs w:val="18"/>
          <w:i w:val="1"/>
          <w:iCs w:val="1"/>
          <w:color w:val="252525"/>
        </w:rPr>
        <w:t>Goodwill and Other (Topic 350)</w:t>
      </w:r>
      <w:r>
        <w:rPr>
          <w:rFonts w:ascii="Arial" w:cs="Arial" w:eastAsia="Arial" w:hAnsi="Arial"/>
          <w:sz w:val="18"/>
          <w:szCs w:val="18"/>
          <w:color w:val="000000"/>
        </w:rPr>
        <w:t>—</w:t>
      </w:r>
      <w:r>
        <w:rPr>
          <w:rFonts w:ascii="Arial" w:cs="Arial" w:eastAsia="Arial" w:hAnsi="Arial"/>
          <w:sz w:val="18"/>
          <w:szCs w:val="18"/>
          <w:i w:val="1"/>
          <w:iCs w:val="1"/>
          <w:color w:val="252525"/>
        </w:rPr>
        <w:t xml:space="preserve">Testing Indefinite-Lived Intangible Assets for Impairment </w:t>
      </w:r>
      <w:r>
        <w:rPr>
          <w:rFonts w:ascii="Arial" w:cs="Arial" w:eastAsia="Arial" w:hAnsi="Arial"/>
          <w:sz w:val="18"/>
          <w:szCs w:val="18"/>
          <w:color w:val="252525"/>
        </w:rPr>
        <w:t>("ASU 2012-02"), which updated guidance on the</w:t>
      </w:r>
      <w:r>
        <w:rPr>
          <w:rFonts w:ascii="Arial" w:cs="Arial" w:eastAsia="Arial" w:hAnsi="Arial"/>
          <w:sz w:val="18"/>
          <w:szCs w:val="18"/>
          <w:i w:val="1"/>
          <w:iCs w:val="1"/>
          <w:color w:val="252525"/>
        </w:rPr>
        <w:t xml:space="preserve"> </w:t>
      </w:r>
      <w:r>
        <w:rPr>
          <w:rFonts w:ascii="Arial" w:cs="Arial" w:eastAsia="Arial" w:hAnsi="Arial"/>
          <w:sz w:val="18"/>
          <w:szCs w:val="18"/>
          <w:color w:val="252525"/>
        </w:rPr>
        <w:t>periodic testing of indefinite-lived intangible assets, other than goodwill, for impairment. This guidance will allow companies to make a qualitative assessment about the likelihood that an indefinite-lived intangible asset, other than goodwill, is impaired in order to determine whether it is necessary to perform a quantitative impairment test. ASU 2012-02 will be effective for annual and interim impairment tests performed for fiscal years beginning after September 15, 2012, with early adoption permitted. The Company does not plan to early adopt ASU 2012-02; therefore, the ASU 2012-02 is effective for the Company beginning with the first quarter of fiscal year 2013. The Company does not anticipate the adoption of ASU 2012-02 to have a material impact on its results of operations, financial condition or cash flows.</w:t>
      </w:r>
    </w:p>
    <w:p>
      <w:pPr>
        <w:spacing w:after="0" w:line="181"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0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The Company completed several acquisitions in 2011 and 2012, including National Retirement Partners, Inc. ("NRP"), Concord Capital Partners ("Concord"), Fortigent Holdings Company, Inc. and Veritat Advisors, Inc. The pro forma results of operations and the results of operations for acquisitions since the acquisition dates have not been separately disclosed because the effects were not sufficiently significant to the consolidated financial statements, individually or in the aggregate. See Note 3 in the 2011 Annual Report on Form 10-K for further discussion of the NRP and Concord acquisitions.</w:t>
      </w:r>
    </w:p>
    <w:p>
      <w:pPr>
        <w:spacing w:after="0" w:line="165"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Each of the purchase prices for NRP and Concord included initial cash payments, as well as future contingent consideration payments. In accordance with the acquisition agreements, the former owners have the right to receive certain future payments contingent upon achieving certain financial and operating targets. These contingent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41" w:right="23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consideration obligations are measured at fair value on a quarterly basis based on progress towards the defined milestones (see Note 5).</w:t>
      </w:r>
    </w:p>
    <w:p>
      <w:pPr>
        <w:spacing w:after="0" w:line="16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Fortigent Holdings Company, Inc.</w:t>
      </w:r>
    </w:p>
    <w:p>
      <w:pPr>
        <w:spacing w:after="0" w:line="207"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On April 23, 2012, the Company acquired all of the outstanding common stock of Fortigent Holdings Company, Inc. and its wholly owned subsidiaries Fortigent, LLC, Fortigent Reporting Company, LLC and Fortigent Strategies Company, LLC (together, "Fortigent"). Fortigent is a leading provider of solutions and consulting services to registered investment advisors, banks and trust companies servicing high net worth clients. This strategic acquisition further enhances the Company's capabilities and offers an extension of the Company's existing services for wealth management advisors.</w:t>
      </w:r>
    </w:p>
    <w:p>
      <w:pPr>
        <w:spacing w:after="0" w:line="165"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Company paid $ 38.8 million at the closing of the transaction, net of cash acquired. As of September 30, 2012, $9.9 million remained in an escrow account to be paid to former shareholders of Fortigent in accordance with the terms of the stock purchase agreement. Such amount has been classified by the Company as restricted cash and is included in other assets on the unaudited condensed consolidated statements of financial condition. Goodwill resulting from this business combination is largely attributable to the existing workforce of Fortigent and synergies expected to arise after the Company's acquisition of Fortigent. The Company cumulatively incurred transaction costs associated with its acquisition of Fortigent totaling $1.2 million; $0.7 million of which were recorded during the nine months ended September 30, 2012 and are included in other expenses in the unaudited condensed consolidated statements of income.</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Veritat Advisors, Inc.</w:t>
      </w:r>
    </w:p>
    <w:p>
      <w:pPr>
        <w:spacing w:after="0" w:line="207"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On July 10, 2012, the Company acquired all of the outstanding common stock of Veritat Advisors, Inc. ("Veritat"). Veritat is a registered investment advisory firm that developed and utilizes a proprietary online financial planning platform designed to support advisors who serve the mass market. This strategic acquisition enhances the technological capabilities of the Company and increases the flexibility of its service offering, in light of its recently announced initiative to serve the mass market.</w:t>
      </w:r>
    </w:p>
    <w:p>
      <w:pPr>
        <w:spacing w:after="0" w:line="164"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The Company paid $4.9 million at the closing of the transaction, net of cash acquired. Goodwill resulting from this acquisition is primarily attributable to synergies expected to arise after the Company's acquisition of Veritat. The Company incurred transaction costs associated with its acquisition of Veritat totaling $0.1 million during the nine months ended September 30, 2012 that are included in other expenses in the unaudited condensed consolidated statements of income.</w:t>
      </w:r>
    </w:p>
    <w:p>
      <w:pPr>
        <w:spacing w:after="0" w:line="164"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The Company may be required to pay future consideration to the former Veritat shareholders that is contingent upon the achievement of certain financial targets and retention of key employees. The maximum aggregate amount of contingent payments is $20.9 million to be paid over the following measurement dates: December 31, 2013, June 30, 2015, June 30, 2017 and December 31, 2017 (together the "Measurement Dates"), if the financial targets are fully achieved and key employees retained.</w:t>
      </w:r>
    </w:p>
    <w:p>
      <w:pPr>
        <w:spacing w:after="0" w:line="164" w:lineRule="exact"/>
        <w:rPr>
          <w:sz w:val="20"/>
          <w:szCs w:val="20"/>
          <w:color w:val="auto"/>
        </w:rPr>
      </w:pPr>
    </w:p>
    <w:p>
      <w:pPr>
        <w:ind w:right="60" w:firstLine="486"/>
        <w:spacing w:after="0" w:line="251" w:lineRule="auto"/>
        <w:rPr>
          <w:sz w:val="20"/>
          <w:szCs w:val="20"/>
          <w:color w:val="auto"/>
        </w:rPr>
      </w:pPr>
      <w:r>
        <w:rPr>
          <w:rFonts w:ascii="Arial" w:cs="Arial" w:eastAsia="Arial" w:hAnsi="Arial"/>
          <w:sz w:val="18"/>
          <w:szCs w:val="18"/>
          <w:color w:val="auto"/>
        </w:rPr>
        <w:t>The Company estimated the future payment of contingent consideration and fair value of the contingent consideration at the close of the transaction. A discounted cash flow methodology was used to determine the contingent consideration based on financial forecasts determined by management that include assumptions about growth in assets under management, earnings, employee retention and discount rates. The majority of the contingent consideration is based on a sliding scale of the financial targets. The financial targets are sensitive to advisor recruitment, market fluctuations and the ability of advisors to grow their business. The Company will evaluate the actual progress toward achieving the financial targets at least quarterly and adjust the estimated fair value of the contingent consideration based on the probability of achievement, with any changes in fair value recognized in earnings. As of September 30, 2012, the Company has estimated the amount of future payment of contingent consideration to be $12.5 million. Using a discounted cash flow methodology, the Company determined the fair value of the contingent consideration to be $8.4 million, which has been recorded within accounts payable and accrued liabilities on the unaudited condensed consolidated statements of financial condition. The Company will recognize the accretion of the contingent consideration in earnings each quarter as it approaches the Measurement Dates until all such dates have passed and payments made.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Including the estimated fair value of contingent consideration of $8.4 million, the total consideration for the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41" w:right="2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acquisition was approximately $13.3 million.</w:t>
      </w:r>
    </w:p>
    <w:p>
      <w:pPr>
        <w:spacing w:after="0" w:line="185"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The Company is in the process of finalizing the purchase price allocations for Fortigent and Veritat; therefore, the provisional measures of goodwill, intangibles and fixed assets are subject to change.</w:t>
      </w:r>
    </w:p>
    <w:p>
      <w:pPr>
        <w:spacing w:after="0" w:line="156" w:lineRule="exact"/>
        <w:rPr>
          <w:sz w:val="20"/>
          <w:szCs w:val="20"/>
          <w:color w:val="auto"/>
        </w:rPr>
      </w:pPr>
    </w:p>
    <w:p>
      <w:pPr>
        <w:ind w:right="560" w:firstLine="486"/>
        <w:spacing w:after="0" w:line="262" w:lineRule="auto"/>
        <w:rPr>
          <w:sz w:val="20"/>
          <w:szCs w:val="20"/>
          <w:color w:val="auto"/>
        </w:rPr>
      </w:pPr>
      <w:r>
        <w:rPr>
          <w:rFonts w:ascii="Arial" w:cs="Arial" w:eastAsia="Arial" w:hAnsi="Arial"/>
          <w:sz w:val="18"/>
          <w:szCs w:val="18"/>
          <w:color w:val="auto"/>
        </w:rPr>
        <w:t>Set forth below is a reconciliation of assets acquired and liabilities assumed during the nine months ended September 30, 2012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Fortigent</w:t>
            </w:r>
          </w:p>
        </w:tc>
        <w:tc>
          <w:tcPr>
            <w:tcW w:w="300" w:type="dxa"/>
            <w:vAlign w:val="bottom"/>
          </w:tcPr>
          <w:p>
            <w:pPr>
              <w:spacing w:after="0"/>
              <w:rPr>
                <w:sz w:val="21"/>
                <w:szCs w:val="21"/>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Veritat</w:t>
            </w:r>
          </w:p>
        </w:tc>
        <w:tc>
          <w:tcPr>
            <w:tcW w:w="340" w:type="dxa"/>
            <w:vAlign w:val="bottom"/>
          </w:tcPr>
          <w:p>
            <w:pPr>
              <w:spacing w:after="0"/>
              <w:rPr>
                <w:sz w:val="21"/>
                <w:szCs w:val="21"/>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57"/>
        </w:trPr>
        <w:tc>
          <w:tcPr>
            <w:tcW w:w="6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28,067</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10,834</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38,901</w:t>
            </w:r>
          </w:p>
        </w:tc>
        <w:tc>
          <w:tcPr>
            <w:tcW w:w="0" w:type="dxa"/>
            <w:vAlign w:val="bottom"/>
          </w:tcPr>
          <w:p>
            <w:pPr>
              <w:spacing w:after="0"/>
              <w:rPr>
                <w:sz w:val="1"/>
                <w:szCs w:val="1"/>
                <w:color w:val="auto"/>
              </w:rPr>
            </w:pPr>
          </w:p>
        </w:tc>
      </w:tr>
      <w:tr>
        <w:trPr>
          <w:trHeight w:val="263"/>
        </w:trPr>
        <w:tc>
          <w:tcPr>
            <w:tcW w:w="670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3,548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3,548</w:t>
            </w:r>
          </w:p>
        </w:tc>
        <w:tc>
          <w:tcPr>
            <w:tcW w:w="0" w:type="dxa"/>
            <w:vAlign w:val="bottom"/>
          </w:tcPr>
          <w:p>
            <w:pPr>
              <w:spacing w:after="0"/>
              <w:rPr>
                <w:sz w:val="1"/>
                <w:szCs w:val="1"/>
                <w:color w:val="auto"/>
              </w:rPr>
            </w:pPr>
          </w:p>
        </w:tc>
      </w:tr>
      <w:tr>
        <w:trPr>
          <w:trHeight w:val="277"/>
        </w:trPr>
        <w:tc>
          <w:tcPr>
            <w:tcW w:w="6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2,310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2,310</w:t>
            </w:r>
          </w:p>
        </w:tc>
        <w:tc>
          <w:tcPr>
            <w:tcW w:w="0" w:type="dxa"/>
            <w:vAlign w:val="bottom"/>
          </w:tcPr>
          <w:p>
            <w:pPr>
              <w:spacing w:after="0"/>
              <w:rPr>
                <w:sz w:val="1"/>
                <w:szCs w:val="1"/>
                <w:color w:val="auto"/>
              </w:rPr>
            </w:pPr>
          </w:p>
        </w:tc>
      </w:tr>
      <w:tr>
        <w:trPr>
          <w:trHeight w:val="263"/>
        </w:trPr>
        <w:tc>
          <w:tcPr>
            <w:tcW w:w="6700" w:type="dxa"/>
            <w:vAlign w:val="bottom"/>
          </w:tcPr>
          <w:p>
            <w:pPr>
              <w:ind w:left="40"/>
              <w:spacing w:after="0"/>
              <w:rPr>
                <w:sz w:val="20"/>
                <w:szCs w:val="20"/>
                <w:color w:val="auto"/>
              </w:rPr>
            </w:pPr>
            <w:r>
              <w:rPr>
                <w:rFonts w:ascii="Arial" w:cs="Arial" w:eastAsia="Arial" w:hAnsi="Arial"/>
                <w:sz w:val="18"/>
                <w:szCs w:val="18"/>
                <w:color w:val="auto"/>
              </w:rPr>
              <w:t>Intangibles</w:t>
            </w:r>
          </w:p>
        </w:tc>
        <w:tc>
          <w:tcPr>
            <w:tcW w:w="24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5,400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5,400</w:t>
            </w:r>
          </w:p>
        </w:tc>
        <w:tc>
          <w:tcPr>
            <w:tcW w:w="0" w:type="dxa"/>
            <w:vAlign w:val="bottom"/>
          </w:tcPr>
          <w:p>
            <w:pPr>
              <w:spacing w:after="0"/>
              <w:rPr>
                <w:sz w:val="1"/>
                <w:szCs w:val="1"/>
                <w:color w:val="auto"/>
              </w:rPr>
            </w:pPr>
          </w:p>
        </w:tc>
      </w:tr>
      <w:tr>
        <w:trPr>
          <w:trHeight w:val="277"/>
        </w:trPr>
        <w:tc>
          <w:tcPr>
            <w:tcW w:w="6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Fixed assets(1)</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6,275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4,180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10,455</w:t>
            </w:r>
          </w:p>
        </w:tc>
        <w:tc>
          <w:tcPr>
            <w:tcW w:w="0" w:type="dxa"/>
            <w:vAlign w:val="bottom"/>
          </w:tcPr>
          <w:p>
            <w:pPr>
              <w:spacing w:after="0"/>
              <w:rPr>
                <w:sz w:val="1"/>
                <w:szCs w:val="1"/>
                <w:color w:val="auto"/>
              </w:rPr>
            </w:pPr>
          </w:p>
        </w:tc>
      </w:tr>
      <w:tr>
        <w:trPr>
          <w:trHeight w:val="263"/>
        </w:trPr>
        <w:tc>
          <w:tcPr>
            <w:tcW w:w="6700" w:type="dxa"/>
            <w:vAlign w:val="bottom"/>
          </w:tcPr>
          <w:p>
            <w:pPr>
              <w:ind w:left="40"/>
              <w:spacing w:after="0"/>
              <w:rPr>
                <w:sz w:val="20"/>
                <w:szCs w:val="20"/>
                <w:color w:val="auto"/>
              </w:rPr>
            </w:pPr>
            <w:r>
              <w:rPr>
                <w:rFonts w:ascii="Arial" w:cs="Arial" w:eastAsia="Arial" w:hAnsi="Arial"/>
                <w:sz w:val="18"/>
                <w:szCs w:val="18"/>
                <w:color w:val="auto"/>
              </w:rPr>
              <w:t>Accounts payable and accrued liabilities</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(4,803)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(4,870)</w:t>
            </w:r>
          </w:p>
        </w:tc>
        <w:tc>
          <w:tcPr>
            <w:tcW w:w="0" w:type="dxa"/>
            <w:vAlign w:val="bottom"/>
          </w:tcPr>
          <w:p>
            <w:pPr>
              <w:spacing w:after="0"/>
              <w:rPr>
                <w:sz w:val="1"/>
                <w:szCs w:val="1"/>
                <w:color w:val="auto"/>
              </w:rPr>
            </w:pPr>
          </w:p>
        </w:tc>
      </w:tr>
      <w:tr>
        <w:trPr>
          <w:trHeight w:val="270"/>
        </w:trPr>
        <w:tc>
          <w:tcPr>
            <w:tcW w:w="6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income taxes — net</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(2,031)</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0" w:type="dxa"/>
            <w:vAlign w:val="bottom"/>
          </w:tcPr>
          <w:p>
            <w:pPr>
              <w:spacing w:after="0"/>
              <w:rPr>
                <w:sz w:val="1"/>
                <w:szCs w:val="1"/>
                <w:color w:val="auto"/>
              </w:rPr>
            </w:pPr>
          </w:p>
        </w:tc>
      </w:tr>
      <w:tr>
        <w:trPr>
          <w:trHeight w:val="257"/>
        </w:trPr>
        <w:tc>
          <w:tcPr>
            <w:tcW w:w="6700" w:type="dxa"/>
            <w:vAlign w:val="bottom"/>
          </w:tcPr>
          <w:p>
            <w:pPr>
              <w:ind w:left="180"/>
              <w:spacing w:after="0"/>
              <w:rPr>
                <w:sz w:val="20"/>
                <w:szCs w:val="20"/>
                <w:color w:val="auto"/>
              </w:rPr>
            </w:pPr>
            <w:r>
              <w:rPr>
                <w:rFonts w:ascii="Arial" w:cs="Arial" w:eastAsia="Arial" w:hAnsi="Arial"/>
                <w:sz w:val="18"/>
                <w:szCs w:val="18"/>
                <w:color w:val="auto"/>
              </w:rPr>
              <w:t>Net assets acquired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38,766</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13,348</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52,114</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4"/>
                <w:szCs w:val="14"/>
                <w:color w:val="auto"/>
              </w:rPr>
              <w:t>________________________________</w:t>
            </w: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7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500" w:right="540" w:hanging="492"/>
        <w:spacing w:after="0" w:line="262"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Fixed assets acquired from Fortigent and Veritat relate primarily to internally developed software, which are being amortized over 5 years.</w:t>
      </w:r>
    </w:p>
    <w:p>
      <w:pPr>
        <w:spacing w:after="0" w:line="263"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Set forth below is supplemental cash flow information for the nine months ended September 30, 2012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Fortigent</w:t>
            </w:r>
          </w:p>
        </w:tc>
        <w:tc>
          <w:tcPr>
            <w:tcW w:w="300" w:type="dxa"/>
            <w:vAlign w:val="bottom"/>
          </w:tcPr>
          <w:p>
            <w:pPr>
              <w:spacing w:after="0"/>
              <w:rPr>
                <w:sz w:val="21"/>
                <w:szCs w:val="21"/>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b w:val="1"/>
                <w:bCs w:val="1"/>
                <w:color w:val="auto"/>
              </w:rPr>
              <w:t>Veritat</w:t>
            </w:r>
          </w:p>
        </w:tc>
        <w:tc>
          <w:tcPr>
            <w:tcW w:w="320" w:type="dxa"/>
            <w:vAlign w:val="bottom"/>
          </w:tcPr>
          <w:p>
            <w:pPr>
              <w:spacing w:after="0"/>
              <w:rPr>
                <w:sz w:val="21"/>
                <w:szCs w:val="21"/>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57"/>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 net of cash acquired</w:t>
            </w:r>
          </w:p>
        </w:tc>
        <w:tc>
          <w:tcPr>
            <w:tcW w:w="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28,866</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4,918</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33,784</w:t>
            </w: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Cash paid to escrow</w:t>
            </w:r>
          </w:p>
        </w:tc>
        <w:tc>
          <w:tcPr>
            <w:tcW w:w="24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9,900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9,900</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24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8,430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8,430</w:t>
            </w:r>
          </w:p>
        </w:tc>
      </w:tr>
      <w:tr>
        <w:trPr>
          <w:trHeight w:val="257"/>
        </w:trPr>
        <w:tc>
          <w:tcPr>
            <w:tcW w:w="6740" w:type="dxa"/>
            <w:vAlign w:val="bottom"/>
          </w:tcPr>
          <w:p>
            <w:pPr>
              <w:ind w:left="220"/>
              <w:spacing w:after="0"/>
              <w:rPr>
                <w:sz w:val="20"/>
                <w:szCs w:val="20"/>
                <w:color w:val="auto"/>
              </w:rPr>
            </w:pPr>
            <w:r>
              <w:rPr>
                <w:rFonts w:ascii="Arial" w:cs="Arial" w:eastAsia="Arial" w:hAnsi="Arial"/>
                <w:sz w:val="18"/>
                <w:szCs w:val="18"/>
                <w:color w:val="auto"/>
              </w:rPr>
              <w:t>Total purchase price</w:t>
            </w: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38,766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13,348</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52,114</w:t>
            </w:r>
          </w:p>
        </w:tc>
      </w:tr>
      <w:tr>
        <w:trPr>
          <w:trHeight w:val="20"/>
        </w:trPr>
        <w:tc>
          <w:tcPr>
            <w:tcW w:w="6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400" w:firstLine="486"/>
        <w:spacing w:after="0" w:line="262" w:lineRule="auto"/>
        <w:rPr>
          <w:sz w:val="20"/>
          <w:szCs w:val="20"/>
          <w:color w:val="auto"/>
        </w:rPr>
      </w:pPr>
      <w:r>
        <w:rPr>
          <w:rFonts w:ascii="Arial" w:cs="Arial" w:eastAsia="Arial" w:hAnsi="Arial"/>
          <w:sz w:val="18"/>
          <w:szCs w:val="18"/>
          <w:color w:val="auto"/>
        </w:rPr>
        <w:t>The Company preliminarily allocated the estimated purchase price of Fortigent for intangibles to specific amortizable intangible asset categories as follows (dollars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tcPr>
          <w:p>
            <w:pPr>
              <w:spacing w:after="0"/>
              <w:rPr>
                <w:sz w:val="18"/>
                <w:szCs w:val="18"/>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Weighted Average</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3"/>
        </w:trPr>
        <w:tc>
          <w:tcPr>
            <w:tcW w:w="8000" w:type="dxa"/>
            <w:vAlign w:val="bottom"/>
          </w:tcPr>
          <w:p>
            <w:pPr>
              <w:spacing w:after="0"/>
              <w:rPr>
                <w:sz w:val="17"/>
                <w:szCs w:val="17"/>
                <w:color w:val="auto"/>
              </w:rPr>
            </w:pPr>
          </w:p>
        </w:tc>
        <w:tc>
          <w:tcPr>
            <w:tcW w:w="182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Amortization</w:t>
            </w: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8000" w:type="dxa"/>
            <w:vAlign w:val="bottom"/>
          </w:tcPr>
          <w:p>
            <w:pPr>
              <w:spacing w:after="0"/>
              <w:rPr>
                <w:sz w:val="17"/>
                <w:szCs w:val="17"/>
                <w:color w:val="auto"/>
              </w:rPr>
            </w:pPr>
          </w:p>
        </w:tc>
        <w:tc>
          <w:tcPr>
            <w:tcW w:w="1820" w:type="dxa"/>
            <w:vAlign w:val="bottom"/>
            <w:gridSpan w:val="2"/>
          </w:tcPr>
          <w:p>
            <w:pPr>
              <w:ind w:left="520"/>
              <w:spacing w:after="0" w:line="202" w:lineRule="exact"/>
              <w:rPr>
                <w:sz w:val="20"/>
                <w:szCs w:val="20"/>
                <w:color w:val="auto"/>
              </w:rPr>
            </w:pPr>
            <w:r>
              <w:rPr>
                <w:rFonts w:ascii="Arial" w:cs="Arial" w:eastAsia="Arial" w:hAnsi="Arial"/>
                <w:sz w:val="18"/>
                <w:szCs w:val="18"/>
                <w:b w:val="1"/>
                <w:bCs w:val="1"/>
                <w:color w:val="auto"/>
              </w:rPr>
              <w:t>Period</w:t>
            </w:r>
          </w:p>
        </w:tc>
        <w:tc>
          <w:tcPr>
            <w:tcW w:w="240" w:type="dxa"/>
            <w:vAlign w:val="bottom"/>
          </w:tcPr>
          <w:p>
            <w:pPr>
              <w:spacing w:after="0"/>
              <w:rPr>
                <w:sz w:val="17"/>
                <w:szCs w:val="17"/>
                <w:color w:val="auto"/>
              </w:rPr>
            </w:pPr>
          </w:p>
        </w:tc>
        <w:tc>
          <w:tcPr>
            <w:tcW w:w="136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Amount</w:t>
            </w:r>
          </w:p>
        </w:tc>
      </w:tr>
      <w:tr>
        <w:trPr>
          <w:trHeight w:val="246"/>
        </w:trPr>
        <w:tc>
          <w:tcPr>
            <w:tcW w:w="8000" w:type="dxa"/>
            <w:vAlign w:val="bottom"/>
          </w:tcPr>
          <w:p>
            <w:pPr>
              <w:spacing w:after="0"/>
              <w:rPr>
                <w:sz w:val="21"/>
                <w:szCs w:val="21"/>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(in years)</w:t>
            </w:r>
          </w:p>
        </w:tc>
        <w:tc>
          <w:tcPr>
            <w:tcW w:w="240" w:type="dxa"/>
            <w:vAlign w:val="bottom"/>
          </w:tcPr>
          <w:p>
            <w:pPr>
              <w:spacing w:after="0"/>
              <w:rPr>
                <w:sz w:val="21"/>
                <w:szCs w:val="21"/>
                <w:color w:val="auto"/>
              </w:rPr>
            </w:pPr>
          </w:p>
        </w:tc>
        <w:tc>
          <w:tcPr>
            <w:tcW w:w="1360" w:type="dxa"/>
            <w:vAlign w:val="bottom"/>
          </w:tcPr>
          <w:p>
            <w:pPr>
              <w:jc w:val="right"/>
              <w:ind w:right="350"/>
              <w:spacing w:after="0"/>
              <w:rPr>
                <w:sz w:val="20"/>
                <w:szCs w:val="20"/>
                <w:color w:val="auto"/>
              </w:rPr>
            </w:pPr>
            <w:r>
              <w:rPr>
                <w:rFonts w:ascii="Arial" w:cs="Arial" w:eastAsia="Arial" w:hAnsi="Arial"/>
                <w:sz w:val="18"/>
                <w:szCs w:val="18"/>
                <w:b w:val="1"/>
                <w:bCs w:val="1"/>
                <w:color w:val="auto"/>
              </w:rPr>
              <w:t>Assigned</w:t>
            </w:r>
          </w:p>
        </w:tc>
      </w:tr>
      <w:tr>
        <w:trPr>
          <w:trHeight w:val="257"/>
        </w:trPr>
        <w:tc>
          <w:tcPr>
            <w:tcW w:w="80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Client relationships</w:t>
            </w:r>
          </w:p>
        </w:tc>
        <w:tc>
          <w:tcPr>
            <w:tcW w:w="1700" w:type="dxa"/>
            <w:vAlign w:val="bottom"/>
            <w:tcBorders>
              <w:top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9.4</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4,200</w:t>
            </w:r>
          </w:p>
        </w:tc>
      </w:tr>
      <w:tr>
        <w:trPr>
          <w:trHeight w:val="264"/>
        </w:trPr>
        <w:tc>
          <w:tcPr>
            <w:tcW w:w="8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Trade names</w:t>
            </w:r>
          </w:p>
        </w:tc>
        <w:tc>
          <w:tcPr>
            <w:tcW w:w="17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6"/>
              </w:rPr>
              <w:t>10.0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1,200</w:t>
            </w:r>
          </w:p>
        </w:tc>
      </w:tr>
      <w:tr>
        <w:trPr>
          <w:trHeight w:val="257"/>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intangible assets acquired from Fortigent</w:t>
            </w:r>
          </w:p>
        </w:tc>
        <w:tc>
          <w:tcPr>
            <w:tcW w:w="1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5,400</w:t>
            </w:r>
          </w:p>
        </w:tc>
      </w:tr>
      <w:tr>
        <w:trPr>
          <w:trHeight w:val="20"/>
        </w:trPr>
        <w:tc>
          <w:tcPr>
            <w:tcW w:w="80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Restructuring</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Consolidation of UVEST Financial Services Group, Inc.</w:t>
      </w:r>
    </w:p>
    <w:p>
      <w:pPr>
        <w:spacing w:after="0" w:line="207"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On March 14, 2011, the Company committed to a corporate restructuring plan to consolidate the operations of UVEST Financial Services Group, Inc. ("UVEST") with LPL Financial LLC ("LPL Financial"). The restructuring plan was effected to enhance the Company’s service offering, while also generating efficiencies. In connection with the consolidation, certain registered representatives associated with UVEST moved to LPL Financial through a transfer of their licenses. The Company completed the transfers in December 2011. Following the transfer of registered representatives and client accounts to LPL Financial, all registered representatives and client accounts are associated with LPL Financial and all of the Company’s securities business is done through a single broker-dealer. UVEST has withdrawn its registration with the Financial Industry Regulatory Authority ("FINRA") effective</w:t>
      </w:r>
    </w:p>
    <w:p>
      <w:pPr>
        <w:sectPr>
          <w:pgSz w:w="11900" w:h="16838" w:orient="portrait"/>
          <w:cols w:equalWidth="0" w:num="1">
            <w:col w:w="11420"/>
          </w:cols>
          <w:pgMar w:left="240" w:top="441" w:right="239" w:bottom="1440" w:gutter="0" w:footer="0" w:header="0"/>
        </w:sect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441" w:right="2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July 16, 2012 and is no longer subject to net capital filing requirements.</w:t>
      </w:r>
    </w:p>
    <w:p>
      <w:pPr>
        <w:spacing w:after="0" w:line="185"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The Company estimates total expenditures associated with the initiative to be approximately $31.1 million over the course of the restructuring plan. These expenditures are comprised of advisor retention and related benefits, contract penalties, technology costs, non-cash charges for the impairment of intangible assets resulting from advisor attrition and other expenses principally relating to the conversion and transfer of registered representatives and client accounts from UVEST to LPL Financial.</w:t>
      </w:r>
    </w:p>
    <w:p>
      <w:pPr>
        <w:spacing w:after="0" w:line="164"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The following table summarizes the balance of accrued expenses and the changes in the accrued amounts as of and for the nine months ended September 30, 2012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Accrued</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Balance at</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ind w:left="60"/>
              <w:spacing w:after="0"/>
              <w:rPr>
                <w:sz w:val="20"/>
                <w:szCs w:val="20"/>
                <w:color w:val="auto"/>
              </w:rPr>
            </w:pPr>
            <w:r>
              <w:rPr>
                <w:rFonts w:ascii="Arial" w:cs="Arial" w:eastAsia="Arial" w:hAnsi="Arial"/>
                <w:sz w:val="14"/>
                <w:szCs w:val="14"/>
                <w:b w:val="1"/>
                <w:bCs w:val="1"/>
                <w:color w:val="auto"/>
              </w:rPr>
              <w:t>Accrued Balance</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18"/>
              <w:spacing w:after="0"/>
              <w:rPr>
                <w:sz w:val="20"/>
                <w:szCs w:val="20"/>
                <w:color w:val="auto"/>
              </w:rPr>
            </w:pPr>
            <w:r>
              <w:rPr>
                <w:rFonts w:ascii="Arial" w:cs="Arial" w:eastAsia="Arial" w:hAnsi="Arial"/>
                <w:sz w:val="14"/>
                <w:szCs w:val="14"/>
                <w:b w:val="1"/>
                <w:bCs w:val="1"/>
                <w:color w:val="auto"/>
              </w:rPr>
              <w:t>Expected</w:t>
            </w: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Costs</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ind w:left="60"/>
              <w:spacing w:after="0"/>
              <w:rPr>
                <w:sz w:val="20"/>
                <w:szCs w:val="20"/>
                <w:color w:val="auto"/>
              </w:rPr>
            </w:pPr>
            <w:r>
              <w:rPr>
                <w:rFonts w:ascii="Arial" w:cs="Arial" w:eastAsia="Arial" w:hAnsi="Arial"/>
                <w:sz w:val="14"/>
                <w:szCs w:val="14"/>
                <w:b w:val="1"/>
                <w:bCs w:val="1"/>
                <w:color w:val="auto"/>
              </w:rPr>
              <w:t>at September 30,</w:t>
            </w: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Cumulative Costs</w:t>
            </w:r>
          </w:p>
        </w:tc>
        <w:tc>
          <w:tcPr>
            <w:tcW w:w="200" w:type="dxa"/>
            <w:vAlign w:val="bottom"/>
          </w:tcPr>
          <w:p>
            <w:pPr>
              <w:spacing w:after="0"/>
              <w:rPr>
                <w:sz w:val="14"/>
                <w:szCs w:val="14"/>
                <w:color w:val="auto"/>
              </w:rPr>
            </w:pPr>
          </w:p>
        </w:tc>
        <w:tc>
          <w:tcPr>
            <w:tcW w:w="1280" w:type="dxa"/>
            <w:vAlign w:val="bottom"/>
          </w:tcPr>
          <w:p>
            <w:pPr>
              <w:jc w:val="center"/>
              <w:ind w:right="138"/>
              <w:spacing w:after="0"/>
              <w:rPr>
                <w:sz w:val="20"/>
                <w:szCs w:val="20"/>
                <w:color w:val="auto"/>
              </w:rPr>
            </w:pPr>
            <w:r>
              <w:rPr>
                <w:rFonts w:ascii="Arial" w:cs="Arial" w:eastAsia="Arial" w:hAnsi="Arial"/>
                <w:sz w:val="14"/>
                <w:szCs w:val="14"/>
                <w:b w:val="1"/>
                <w:bCs w:val="1"/>
                <w:color w:val="auto"/>
              </w:rPr>
              <w:t>Restructuring</w:t>
            </w:r>
          </w:p>
        </w:tc>
        <w:tc>
          <w:tcPr>
            <w:tcW w:w="0" w:type="dxa"/>
            <w:vAlign w:val="bottom"/>
          </w:tcPr>
          <w:p>
            <w:pPr>
              <w:spacing w:after="0"/>
              <w:rPr>
                <w:sz w:val="1"/>
                <w:szCs w:val="1"/>
                <w:color w:val="auto"/>
              </w:rPr>
            </w:pPr>
          </w:p>
        </w:tc>
      </w:tr>
      <w:tr>
        <w:trPr>
          <w:trHeight w:val="196"/>
        </w:trPr>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center"/>
              <w:ind w:right="138"/>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Incurred</w:t>
            </w:r>
          </w:p>
        </w:tc>
        <w:tc>
          <w:tcPr>
            <w:tcW w:w="160" w:type="dxa"/>
            <w:vAlign w:val="bottom"/>
          </w:tcPr>
          <w:p>
            <w:pPr>
              <w:spacing w:after="0"/>
              <w:rPr>
                <w:sz w:val="17"/>
                <w:szCs w:val="17"/>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Payments</w:t>
            </w:r>
          </w:p>
        </w:tc>
        <w:tc>
          <w:tcPr>
            <w:tcW w:w="16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Non-cash</w:t>
            </w:r>
          </w:p>
        </w:tc>
        <w:tc>
          <w:tcPr>
            <w:tcW w:w="300" w:type="dxa"/>
            <w:vAlign w:val="bottom"/>
          </w:tcPr>
          <w:p>
            <w:pPr>
              <w:spacing w:after="0"/>
              <w:rPr>
                <w:sz w:val="17"/>
                <w:szCs w:val="17"/>
                <w:color w:val="auto"/>
              </w:rPr>
            </w:pPr>
          </w:p>
        </w:tc>
        <w:tc>
          <w:tcPr>
            <w:tcW w:w="960" w:type="dxa"/>
            <w:vAlign w:val="bottom"/>
          </w:tcPr>
          <w:p>
            <w:pPr>
              <w:jc w:val="right"/>
              <w:ind w:right="373"/>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7"/>
                <w:szCs w:val="17"/>
                <w:color w:val="auto"/>
              </w:rPr>
            </w:pPr>
          </w:p>
        </w:tc>
        <w:tc>
          <w:tcPr>
            <w:tcW w:w="1380" w:type="dxa"/>
            <w:vAlign w:val="bottom"/>
            <w:gridSpan w:val="3"/>
          </w:tcPr>
          <w:p>
            <w:pPr>
              <w:ind w:left="80"/>
              <w:spacing w:after="0"/>
              <w:rPr>
                <w:sz w:val="20"/>
                <w:szCs w:val="20"/>
                <w:color w:val="auto"/>
              </w:rPr>
            </w:pPr>
            <w:r>
              <w:rPr>
                <w:rFonts w:ascii="Arial" w:cs="Arial" w:eastAsia="Arial" w:hAnsi="Arial"/>
                <w:sz w:val="14"/>
                <w:szCs w:val="14"/>
                <w:b w:val="1"/>
                <w:bCs w:val="1"/>
                <w:color w:val="auto"/>
              </w:rPr>
              <w:t>Incurred to Date</w:t>
            </w:r>
          </w:p>
        </w:tc>
        <w:tc>
          <w:tcPr>
            <w:tcW w:w="200" w:type="dxa"/>
            <w:vAlign w:val="bottom"/>
          </w:tcPr>
          <w:p>
            <w:pPr>
              <w:spacing w:after="0"/>
              <w:rPr>
                <w:sz w:val="17"/>
                <w:szCs w:val="17"/>
                <w:color w:val="auto"/>
              </w:rPr>
            </w:pPr>
          </w:p>
        </w:tc>
        <w:tc>
          <w:tcPr>
            <w:tcW w:w="1280" w:type="dxa"/>
            <w:vAlign w:val="bottom"/>
          </w:tcPr>
          <w:p>
            <w:pPr>
              <w:jc w:val="center"/>
              <w:ind w:right="138"/>
              <w:spacing w:after="0"/>
              <w:rPr>
                <w:sz w:val="20"/>
                <w:szCs w:val="20"/>
                <w:color w:val="auto"/>
              </w:rPr>
            </w:pPr>
            <w:r>
              <w:rPr>
                <w:rFonts w:ascii="Arial" w:cs="Arial" w:eastAsia="Arial" w:hAnsi="Arial"/>
                <w:sz w:val="14"/>
                <w:szCs w:val="14"/>
                <w:b w:val="1"/>
                <w:bCs w:val="1"/>
                <w:color w:val="auto"/>
              </w:rPr>
              <w:t>Costs(1)</w:t>
            </w:r>
          </w:p>
        </w:tc>
        <w:tc>
          <w:tcPr>
            <w:tcW w:w="0" w:type="dxa"/>
            <w:vAlign w:val="bottom"/>
          </w:tcPr>
          <w:p>
            <w:pPr>
              <w:spacing w:after="0"/>
              <w:rPr>
                <w:sz w:val="1"/>
                <w:szCs w:val="1"/>
                <w:color w:val="auto"/>
              </w:rPr>
            </w:pPr>
          </w:p>
        </w:tc>
      </w:tr>
      <w:tr>
        <w:trPr>
          <w:trHeight w:val="215"/>
        </w:trPr>
        <w:tc>
          <w:tcPr>
            <w:tcW w:w="2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Conversion and transfer</w:t>
            </w: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1,076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3,307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12,485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14,160</w:t>
            </w:r>
          </w:p>
        </w:tc>
        <w:tc>
          <w:tcPr>
            <w:tcW w:w="0" w:type="dxa"/>
            <w:vAlign w:val="bottom"/>
          </w:tcPr>
          <w:p>
            <w:pPr>
              <w:spacing w:after="0"/>
              <w:rPr>
                <w:sz w:val="1"/>
                <w:szCs w:val="1"/>
                <w:color w:val="auto"/>
              </w:rPr>
            </w:pPr>
          </w:p>
        </w:tc>
      </w:tr>
      <w:tr>
        <w:trPr>
          <w:trHeight w:val="263"/>
        </w:trPr>
        <w:tc>
          <w:tcPr>
            <w:tcW w:w="2240" w:type="dxa"/>
            <w:vAlign w:val="bottom"/>
          </w:tcPr>
          <w:p>
            <w:pPr>
              <w:ind w:left="40"/>
              <w:spacing w:after="0"/>
              <w:rPr>
                <w:sz w:val="20"/>
                <w:szCs w:val="20"/>
                <w:color w:val="auto"/>
              </w:rPr>
            </w:pPr>
            <w:r>
              <w:rPr>
                <w:rFonts w:ascii="Arial" w:cs="Arial" w:eastAsia="Arial" w:hAnsi="Arial"/>
                <w:sz w:val="18"/>
                <w:szCs w:val="18"/>
                <w:color w:val="auto"/>
              </w:rPr>
              <w:t>Contract penalties</w:t>
            </w:r>
          </w:p>
        </w:tc>
        <w:tc>
          <w:tcPr>
            <w:tcW w:w="160" w:type="dxa"/>
            <w:vAlign w:val="bottom"/>
          </w:tcPr>
          <w:p>
            <w:pPr>
              <w:spacing w:after="0"/>
              <w:rPr>
                <w:sz w:val="22"/>
                <w:szCs w:val="22"/>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8,832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(8,270)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562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8,642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8"/>
              <w:spacing w:after="0"/>
              <w:rPr>
                <w:sz w:val="20"/>
                <w:szCs w:val="20"/>
                <w:color w:val="auto"/>
              </w:rPr>
            </w:pPr>
            <w:r>
              <w:rPr>
                <w:rFonts w:ascii="Arial" w:cs="Arial" w:eastAsia="Arial" w:hAnsi="Arial"/>
                <w:sz w:val="18"/>
                <w:szCs w:val="18"/>
                <w:color w:val="auto"/>
              </w:rPr>
              <w:t>8,642</w:t>
            </w:r>
          </w:p>
        </w:tc>
        <w:tc>
          <w:tcPr>
            <w:tcW w:w="0" w:type="dxa"/>
            <w:vAlign w:val="bottom"/>
          </w:tcPr>
          <w:p>
            <w:pPr>
              <w:spacing w:after="0"/>
              <w:rPr>
                <w:sz w:val="1"/>
                <w:szCs w:val="1"/>
                <w:color w:val="auto"/>
              </w:rPr>
            </w:pPr>
          </w:p>
        </w:tc>
      </w:tr>
      <w:tr>
        <w:trPr>
          <w:trHeight w:val="235"/>
        </w:trPr>
        <w:tc>
          <w:tcPr>
            <w:tcW w:w="2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Advisor retention and</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related benefits</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908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5,513</w:t>
            </w:r>
          </w:p>
        </w:tc>
        <w:tc>
          <w:tcPr>
            <w:tcW w:w="0" w:type="dxa"/>
            <w:vAlign w:val="bottom"/>
          </w:tcPr>
          <w:p>
            <w:pPr>
              <w:spacing w:after="0"/>
              <w:rPr>
                <w:sz w:val="1"/>
                <w:szCs w:val="1"/>
                <w:color w:val="auto"/>
              </w:rPr>
            </w:pPr>
          </w:p>
        </w:tc>
      </w:tr>
      <w:tr>
        <w:trPr>
          <w:trHeight w:val="264"/>
        </w:trPr>
        <w:tc>
          <w:tcPr>
            <w:tcW w:w="2240" w:type="dxa"/>
            <w:vAlign w:val="bottom"/>
          </w:tcPr>
          <w:p>
            <w:pPr>
              <w:ind w:left="40"/>
              <w:spacing w:after="0"/>
              <w:rPr>
                <w:sz w:val="20"/>
                <w:szCs w:val="20"/>
                <w:color w:val="auto"/>
              </w:rPr>
            </w:pPr>
            <w:r>
              <w:rPr>
                <w:rFonts w:ascii="Arial" w:cs="Arial" w:eastAsia="Arial" w:hAnsi="Arial"/>
                <w:sz w:val="18"/>
                <w:szCs w:val="18"/>
                <w:color w:val="auto"/>
              </w:rPr>
              <w:t>Asset impairments</w:t>
            </w:r>
          </w:p>
        </w:tc>
        <w:tc>
          <w:tcPr>
            <w:tcW w:w="16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2,776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8"/>
              <w:spacing w:after="0"/>
              <w:rPr>
                <w:sz w:val="20"/>
                <w:szCs w:val="20"/>
                <w:color w:val="auto"/>
              </w:rPr>
            </w:pPr>
            <w:r>
              <w:rPr>
                <w:rFonts w:ascii="Arial" w:cs="Arial" w:eastAsia="Arial" w:hAnsi="Arial"/>
                <w:sz w:val="18"/>
                <w:szCs w:val="18"/>
                <w:color w:val="auto"/>
              </w:rPr>
              <w:t>2,776</w:t>
            </w:r>
          </w:p>
        </w:tc>
        <w:tc>
          <w:tcPr>
            <w:tcW w:w="0" w:type="dxa"/>
            <w:vAlign w:val="bottom"/>
          </w:tcPr>
          <w:p>
            <w:pPr>
              <w:spacing w:after="0"/>
              <w:rPr>
                <w:sz w:val="1"/>
                <w:szCs w:val="1"/>
                <w:color w:val="auto"/>
              </w:rPr>
            </w:pPr>
          </w:p>
        </w:tc>
      </w:tr>
      <w:tr>
        <w:trPr>
          <w:trHeight w:val="257"/>
        </w:trPr>
        <w:tc>
          <w:tcPr>
            <w:tcW w:w="2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10,158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4,215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812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25,600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31,091</w:t>
            </w:r>
          </w:p>
        </w:tc>
        <w:tc>
          <w:tcPr>
            <w:tcW w:w="0" w:type="dxa"/>
            <w:vAlign w:val="bottom"/>
          </w:tcPr>
          <w:p>
            <w:pPr>
              <w:spacing w:after="0"/>
              <w:rPr>
                <w:sz w:val="1"/>
                <w:szCs w:val="1"/>
                <w:color w:val="auto"/>
              </w:rPr>
            </w:pPr>
          </w:p>
        </w:tc>
      </w:tr>
      <w:tr>
        <w:trPr>
          <w:trHeight w:val="20"/>
        </w:trPr>
        <w:tc>
          <w:tcPr>
            <w:tcW w:w="2240" w:type="dxa"/>
            <w:vAlign w:val="bottom"/>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22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340" w:hanging="332"/>
        <w:spacing w:after="0" w:line="253"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September 30, 2012, total expected restructuring costs exclude approximately $11.0 million of internally developed software related to the corporate restructuring initiative that is expected to be capitalized with a useful life ranging from three to five years, and with expense being recorded as depreciation and amortization within the unaudited condensed consolidated statements of income. As of September 30, 2012, approximately $14.1 million has been spent on development activities of which approximately $10.7 million has been capitalized, with the remainder included in costs incurred.</w:t>
      </w:r>
    </w:p>
    <w:p>
      <w:pPr>
        <w:spacing w:after="0" w:line="184"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47"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Inputs used to measure fair value are prioritized within a three-level fair value hierarchy. This hierarchy requires entities to maximize the use of observable inputs and minimize the use of unobservable inputs. The three levels of inputs used to measure fair value are as follows:</w:t>
      </w:r>
    </w:p>
    <w:p>
      <w:pPr>
        <w:spacing w:after="0" w:line="182" w:lineRule="exact"/>
        <w:rPr>
          <w:sz w:val="20"/>
          <w:szCs w:val="20"/>
          <w:color w:val="auto"/>
        </w:rPr>
      </w:pPr>
    </w:p>
    <w:p>
      <w:pPr>
        <w:ind w:left="520" w:hanging="120"/>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225" w:lineRule="exact"/>
        <w:rPr>
          <w:rFonts w:ascii="Arial" w:cs="Arial" w:eastAsia="Arial" w:hAnsi="Arial"/>
          <w:sz w:val="18"/>
          <w:szCs w:val="18"/>
          <w:color w:val="auto"/>
        </w:rPr>
      </w:pPr>
    </w:p>
    <w:p>
      <w:pPr>
        <w:ind w:left="520" w:right="500" w:hanging="120"/>
        <w:spacing w:after="0" w:line="269"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Level 2 </w:t>
      </w:r>
      <w:r>
        <w:rPr>
          <w:rFonts w:ascii="Arial" w:cs="Arial" w:eastAsia="Arial" w:hAnsi="Arial"/>
          <w:sz w:val="18"/>
          <w:szCs w:val="18"/>
          <w:color w:val="auto"/>
        </w:rPr>
        <w:t>— Observable inputs other than quoted prices included in Level 1, such as quoted prices for similar assets and liabilities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active markets; quoted prices for identical or similar assets and liabilities in markets that are not active; or other inputs that are observable or can be corroborated by observable market data.</w:t>
      </w:r>
    </w:p>
    <w:p>
      <w:pPr>
        <w:spacing w:after="0" w:line="168" w:lineRule="exact"/>
        <w:rPr>
          <w:rFonts w:ascii="Arial" w:cs="Arial" w:eastAsia="Arial" w:hAnsi="Arial"/>
          <w:sz w:val="18"/>
          <w:szCs w:val="18"/>
          <w:color w:val="auto"/>
        </w:rPr>
      </w:pPr>
    </w:p>
    <w:p>
      <w:pPr>
        <w:ind w:left="520" w:right="160" w:hanging="120"/>
        <w:spacing w:after="0" w:line="269"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Level 3 </w:t>
      </w:r>
      <w:r>
        <w:rPr>
          <w:rFonts w:ascii="Arial" w:cs="Arial" w:eastAsia="Arial" w:hAnsi="Arial"/>
          <w:sz w:val="18"/>
          <w:szCs w:val="18"/>
          <w:color w:val="auto"/>
        </w:rPr>
        <w:t>— Unobservable inputs that are supported by little or no market activity and that are significant to the fair value of the assets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 This includes certain pricing models, discounted cash flow methodologies and similar techniques that use significant unobservable inputs.</w:t>
      </w:r>
    </w:p>
    <w:p>
      <w:pPr>
        <w:spacing w:after="0" w:line="190" w:lineRule="exact"/>
        <w:rPr>
          <w:sz w:val="20"/>
          <w:szCs w:val="20"/>
          <w:color w:val="auto"/>
        </w:rPr>
      </w:pPr>
    </w:p>
    <w:p>
      <w:pPr>
        <w:ind w:right="600" w:firstLine="486"/>
        <w:spacing w:after="0" w:line="262" w:lineRule="auto"/>
        <w:rPr>
          <w:sz w:val="20"/>
          <w:szCs w:val="20"/>
          <w:color w:val="auto"/>
        </w:rPr>
      </w:pPr>
      <w:r>
        <w:rPr>
          <w:rFonts w:ascii="Arial" w:cs="Arial" w:eastAsia="Arial" w:hAnsi="Arial"/>
          <w:sz w:val="18"/>
          <w:szCs w:val="18"/>
          <w:color w:val="auto"/>
        </w:rPr>
        <w:t>There have been no transfers of assets or liabilities between fair value measurement classifications during the nine months ended September 30, 2012.</w:t>
      </w:r>
    </w:p>
    <w:p>
      <w:pPr>
        <w:spacing w:after="0" w:line="196" w:lineRule="exact"/>
        <w:rPr>
          <w:sz w:val="20"/>
          <w:szCs w:val="20"/>
          <w:color w:val="auto"/>
        </w:rPr>
      </w:pPr>
    </w:p>
    <w:p>
      <w:pPr>
        <w:ind w:right="220" w:firstLine="486"/>
        <w:spacing w:after="0" w:line="256" w:lineRule="auto"/>
        <w:rPr>
          <w:sz w:val="20"/>
          <w:szCs w:val="20"/>
          <w:color w:val="auto"/>
        </w:rPr>
      </w:pPr>
      <w:r>
        <w:rPr>
          <w:rFonts w:ascii="Arial" w:cs="Arial" w:eastAsia="Arial" w:hAnsi="Arial"/>
          <w:sz w:val="18"/>
          <w:szCs w:val="18"/>
          <w:color w:val="auto"/>
        </w:rPr>
        <w:t>The Company’s fair value measurements are evaluated within the fair value hierarchy, based on the nature of inputs used to determine the fair value at the measurement date. At September 30, 2012, the Company had the following financial assets and liabilities that are measured at fair value on a recurring basis:</w:t>
      </w:r>
    </w:p>
    <w:p>
      <w:pPr>
        <w:spacing w:after="0" w:line="180" w:lineRule="exact"/>
        <w:rPr>
          <w:sz w:val="20"/>
          <w:szCs w:val="20"/>
          <w:color w:val="auto"/>
        </w:rPr>
      </w:pPr>
    </w:p>
    <w:p>
      <w:pPr>
        <w:ind w:right="760" w:firstLine="486"/>
        <w:spacing w:after="0" w:line="287" w:lineRule="auto"/>
        <w:rPr>
          <w:sz w:val="20"/>
          <w:szCs w:val="20"/>
          <w:color w:val="auto"/>
        </w:rPr>
      </w:pPr>
      <w:r>
        <w:rPr>
          <w:rFonts w:ascii="Arial" w:cs="Arial" w:eastAsia="Arial" w:hAnsi="Arial"/>
          <w:sz w:val="18"/>
          <w:szCs w:val="18"/>
          <w:b w:val="1"/>
          <w:bCs w:val="1"/>
          <w:i w:val="1"/>
          <w:iCs w:val="1"/>
          <w:color w:val="auto"/>
        </w:rPr>
        <w:t xml:space="preserve">Cash Equivalents </w:t>
      </w:r>
      <w:r>
        <w:rPr>
          <w:rFonts w:ascii="Arial" w:cs="Arial" w:eastAsia="Arial" w:hAnsi="Arial"/>
          <w:sz w:val="18"/>
          <w:szCs w:val="18"/>
          <w:color w:val="auto"/>
        </w:rPr>
        <w:t>— The Company’s cash equivalents include money market funds, which are short term in nature with readily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determinable values derived from active markets.</w:t>
      </w:r>
    </w:p>
    <w:p>
      <w:pPr>
        <w:sectPr>
          <w:pgSz w:w="11900" w:h="16838" w:orient="portrait"/>
          <w:cols w:equalWidth="0" w:num="1">
            <w:col w:w="11420"/>
          </w:cols>
          <w:pgMar w:left="240" w:top="441" w:right="239" w:bottom="144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441" w:right="239" w:bottom="1440" w:gutter="0" w:footer="0" w:header="0"/>
          <w:type w:val="continuous"/>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0" w:firstLine="486"/>
        <w:spacing w:after="0" w:line="262" w:lineRule="auto"/>
        <w:rPr>
          <w:sz w:val="20"/>
          <w:szCs w:val="20"/>
          <w:color w:val="auto"/>
        </w:rPr>
      </w:pPr>
      <w:r>
        <w:rPr>
          <w:rFonts w:ascii="Arial" w:cs="Arial" w:eastAsia="Arial" w:hAnsi="Arial"/>
          <w:sz w:val="18"/>
          <w:szCs w:val="18"/>
          <w:b w:val="1"/>
          <w:bCs w:val="1"/>
          <w:i w:val="1"/>
          <w:iCs w:val="1"/>
          <w:color w:val="auto"/>
        </w:rPr>
        <w:t xml:space="preserve">Securities Owned and Securities Sold, But Not Yet Purchased </w:t>
      </w:r>
      <w:r>
        <w:rPr>
          <w:rFonts w:ascii="Arial" w:cs="Arial" w:eastAsia="Arial" w:hAnsi="Arial"/>
          <w:sz w:val="18"/>
          <w:szCs w:val="18"/>
          <w:color w:val="auto"/>
        </w:rPr>
        <w:t>— The Company’s trading securities consist of house account model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portfolios for the purpose of benchmarking the performance of its fee based advisory platforms and temporary positions resulting from the processing of client transactions. Examples of these securities include money market funds, U.S. treasuries, mutual funds, certificates of deposit, traded equity securities and debt securities.</w:t>
      </w:r>
    </w:p>
    <w:p>
      <w:pPr>
        <w:spacing w:after="0" w:line="199"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Company uses prices obtained from independent third-party pricing services to measure the fair value of its trading securities. Prices received from the pricing services are validated using various methods including comparison to prices received from additional pricing services, comparison to available quoted market prices and review of other relevant market data including implied yields of major categories of securities. In general, these quoted prices are derived from active markets for identical assets or liabilities. When quoted prices in active markets for identical assets and liabilities are not available, the quoted prices are based on similar assets and liabilities or inputs other than the quoted prices that are observable, either directly or indirectly. For certificates of deposit and treasury securities, the Company utilizes market-based inputs including observable market interest rates that correspond to the remaining maturities or the next interest reset dates. At September 30, 2012, the Company did not adjust prices received from the independent third-party pricing services.</w:t>
      </w:r>
    </w:p>
    <w:p>
      <w:pPr>
        <w:spacing w:after="0" w:line="184" w:lineRule="exact"/>
        <w:rPr>
          <w:sz w:val="20"/>
          <w:szCs w:val="20"/>
          <w:color w:val="auto"/>
        </w:rPr>
      </w:pPr>
    </w:p>
    <w:p>
      <w:pPr>
        <w:ind w:right="140" w:firstLine="486"/>
        <w:spacing w:after="0" w:line="287" w:lineRule="auto"/>
        <w:rPr>
          <w:sz w:val="20"/>
          <w:szCs w:val="20"/>
          <w:color w:val="auto"/>
        </w:rPr>
      </w:pPr>
      <w:r>
        <w:rPr>
          <w:rFonts w:ascii="Arial" w:cs="Arial" w:eastAsia="Arial" w:hAnsi="Arial"/>
          <w:sz w:val="18"/>
          <w:szCs w:val="18"/>
          <w:b w:val="1"/>
          <w:bCs w:val="1"/>
          <w:i w:val="1"/>
          <w:iCs w:val="1"/>
          <w:color w:val="auto"/>
        </w:rPr>
        <w:t xml:space="preserve">Other Assets </w:t>
      </w:r>
      <w:r>
        <w:rPr>
          <w:rFonts w:ascii="Arial" w:cs="Arial" w:eastAsia="Arial" w:hAnsi="Arial"/>
          <w:sz w:val="18"/>
          <w:szCs w:val="18"/>
          <w:color w:val="auto"/>
        </w:rPr>
        <w:t>— The Company’s other assets include deferred compensation plan assets that are invested in money market funds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mutual funds which are actively traded and valued based on quoted market prices in active markets.</w:t>
      </w:r>
    </w:p>
    <w:p>
      <w:pPr>
        <w:spacing w:after="0" w:line="113" w:lineRule="exact"/>
        <w:rPr>
          <w:sz w:val="20"/>
          <w:szCs w:val="20"/>
          <w:color w:val="auto"/>
        </w:rPr>
      </w:pPr>
    </w:p>
    <w:p>
      <w:pPr>
        <w:jc w:val="both"/>
        <w:ind w:right="200" w:firstLine="486"/>
        <w:spacing w:after="0" w:line="269" w:lineRule="auto"/>
        <w:rPr>
          <w:sz w:val="20"/>
          <w:szCs w:val="20"/>
          <w:color w:val="auto"/>
        </w:rPr>
      </w:pPr>
      <w:r>
        <w:rPr>
          <w:rFonts w:ascii="Arial" w:cs="Arial" w:eastAsia="Arial" w:hAnsi="Arial"/>
          <w:sz w:val="18"/>
          <w:szCs w:val="18"/>
          <w:b w:val="1"/>
          <w:bCs w:val="1"/>
          <w:i w:val="1"/>
          <w:iCs w:val="1"/>
          <w:color w:val="auto"/>
        </w:rPr>
        <w:t xml:space="preserve">Contingent Consideration Liabilities </w:t>
      </w:r>
      <w:r>
        <w:rPr>
          <w:rFonts w:ascii="Arial" w:cs="Arial" w:eastAsia="Arial" w:hAnsi="Arial"/>
          <w:sz w:val="18"/>
          <w:szCs w:val="18"/>
          <w:color w:val="auto"/>
        </w:rPr>
        <w:t>— The contingent consideration liabilities, which are included in accounts payable and accrued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 in the unaudited condensed consolidated statements of financial condition, result from the Company's acquisitions of NRP, Concord and Veritat.</w:t>
      </w:r>
    </w:p>
    <w:p>
      <w:pPr>
        <w:spacing w:after="0" w:line="128"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b w:val="1"/>
          <w:bCs w:val="1"/>
          <w:i w:val="1"/>
          <w:iCs w:val="1"/>
          <w:color w:val="auto"/>
        </w:rPr>
        <w:t xml:space="preserve">Interest Rate Swap </w:t>
      </w:r>
      <w:r>
        <w:rPr>
          <w:rFonts w:ascii="Arial" w:cs="Arial" w:eastAsia="Arial" w:hAnsi="Arial"/>
          <w:sz w:val="18"/>
          <w:szCs w:val="18"/>
          <w:color w:val="auto"/>
        </w:rPr>
        <w:t>— The Company’s interest rate swap, which matured on June 30, 2012, was not traded on a market exchange;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therefore, the fair value was determined using models which included assumptions about the London Interbank Offered Rate (“LIBOR”) yield curve at interim reporting dates as well as counterparty credit risk and the Company’s own non-performance risk. Accordingly, the Company has classified the interest rate swap as a Level 2 measurement within the fair value hierarchy. At December 31, 2011, the interest rate swap is included in accounts payable and accrued liabilities in the unaudited condensed consolidated statements of financial condition.</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41" w:right="25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financial assets and financial liabilities measured at fair value on a recurring basis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2012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Quoted</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Prices in</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Active</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Significant</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Markets for</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Significant</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Identical</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Observable</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Unobservable</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Inputs</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Inputs</w:t>
            </w:r>
          </w:p>
        </w:tc>
        <w:tc>
          <w:tcPr>
            <w:tcW w:w="140" w:type="dxa"/>
            <w:vAlign w:val="bottom"/>
          </w:tcPr>
          <w:p>
            <w:pPr>
              <w:spacing w:after="0"/>
              <w:rPr>
                <w:sz w:val="14"/>
                <w:szCs w:val="14"/>
                <w:color w:val="auto"/>
              </w:rPr>
            </w:pPr>
          </w:p>
        </w:tc>
        <w:tc>
          <w:tcPr>
            <w:tcW w:w="1220" w:type="dxa"/>
            <w:vAlign w:val="bottom"/>
          </w:tcPr>
          <w:p>
            <w:pPr>
              <w:jc w:val="right"/>
              <w:ind w:right="260"/>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5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7"/>
                <w:szCs w:val="17"/>
                <w:color w:val="auto"/>
              </w:rPr>
            </w:pPr>
          </w:p>
        </w:tc>
        <w:tc>
          <w:tcPr>
            <w:tcW w:w="1220" w:type="dxa"/>
            <w:vAlign w:val="bottom"/>
          </w:tcPr>
          <w:p>
            <w:pPr>
              <w:jc w:val="right"/>
              <w:ind w:right="100"/>
              <w:spacing w:after="0"/>
              <w:rPr>
                <w:sz w:val="20"/>
                <w:szCs w:val="20"/>
                <w:color w:val="auto"/>
              </w:rPr>
            </w:pPr>
            <w:r>
              <w:rPr>
                <w:rFonts w:ascii="Arial" w:cs="Arial" w:eastAsia="Arial" w:hAnsi="Arial"/>
                <w:sz w:val="14"/>
                <w:szCs w:val="14"/>
                <w:b w:val="1"/>
                <w:bCs w:val="1"/>
                <w:color w:val="auto"/>
              </w:rPr>
              <w:t>Measurements</w:t>
            </w:r>
          </w:p>
        </w:tc>
      </w:tr>
      <w:tr>
        <w:trPr>
          <w:trHeight w:val="256"/>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At September 30, 2012:</w:t>
            </w:r>
          </w:p>
        </w:tc>
        <w:tc>
          <w:tcPr>
            <w:tcW w:w="2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equivalents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264,064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264,064</w:t>
            </w:r>
          </w:p>
        </w:tc>
      </w:tr>
      <w:tr>
        <w:trPr>
          <w:trHeight w:val="260"/>
        </w:trPr>
        <w:tc>
          <w:tcPr>
            <w:tcW w:w="5620" w:type="dxa"/>
            <w:vAlign w:val="bottom"/>
          </w:tcPr>
          <w:p>
            <w:pPr>
              <w:ind w:left="180"/>
              <w:spacing w:after="0"/>
              <w:rPr>
                <w:sz w:val="20"/>
                <w:szCs w:val="20"/>
                <w:color w:val="auto"/>
              </w:rPr>
            </w:pPr>
            <w:r>
              <w:rPr>
                <w:rFonts w:ascii="Arial" w:cs="Arial" w:eastAsia="Arial" w:hAnsi="Arial"/>
                <w:sz w:val="16"/>
                <w:szCs w:val="16"/>
                <w:color w:val="auto"/>
              </w:rPr>
              <w:t>Securities owned — trading:</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Money market funds</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307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307</w:t>
            </w: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Mutual funds</w:t>
            </w:r>
          </w:p>
        </w:tc>
        <w:tc>
          <w:tcPr>
            <w:tcW w:w="200" w:type="dxa"/>
            <w:vAlign w:val="bottom"/>
          </w:tcPr>
          <w:p>
            <w:pPr>
              <w:spacing w:after="0"/>
              <w:rPr>
                <w:sz w:val="22"/>
                <w:szCs w:val="22"/>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5,722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5,722</w:t>
            </w: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 securities</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59</w:t>
            </w: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Debt securities</w:t>
            </w:r>
          </w:p>
        </w:tc>
        <w:tc>
          <w:tcPr>
            <w:tcW w:w="20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170</w:t>
            </w:r>
          </w:p>
        </w:tc>
      </w:tr>
      <w:tr>
        <w:trPr>
          <w:trHeight w:val="273"/>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U.S. treasury obligations</w:t>
            </w: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900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900</w:t>
            </w: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securities owned — trading</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6,988</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170</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7,158</w:t>
            </w: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28,005</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28,005</w:t>
            </w:r>
          </w:p>
        </w:tc>
      </w:tr>
      <w:tr>
        <w:trPr>
          <w:trHeight w:val="280"/>
        </w:trPr>
        <w:tc>
          <w:tcPr>
            <w:tcW w:w="5620" w:type="dxa"/>
            <w:vAlign w:val="bottom"/>
          </w:tcPr>
          <w:p>
            <w:pPr>
              <w:ind w:left="380"/>
              <w:spacing w:after="0"/>
              <w:rPr>
                <w:sz w:val="20"/>
                <w:szCs w:val="20"/>
                <w:color w:val="auto"/>
              </w:rPr>
            </w:pPr>
            <w:r>
              <w:rPr>
                <w:rFonts w:ascii="Arial" w:cs="Arial" w:eastAsia="Arial" w:hAnsi="Arial"/>
                <w:sz w:val="16"/>
                <w:szCs w:val="16"/>
                <w:color w:val="auto"/>
              </w:rPr>
              <w:t>Total assets at fair value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299,057</w:t>
            </w:r>
          </w:p>
        </w:tc>
        <w:tc>
          <w:tcPr>
            <w:tcW w:w="12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299,227</w:t>
            </w:r>
          </w:p>
        </w:tc>
      </w:tr>
      <w:tr>
        <w:trPr>
          <w:trHeight w:val="227"/>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r>
      <w:tr>
        <w:trPr>
          <w:trHeight w:val="260"/>
        </w:trPr>
        <w:tc>
          <w:tcPr>
            <w:tcW w:w="5620" w:type="dxa"/>
            <w:vAlign w:val="bottom"/>
          </w:tcPr>
          <w:p>
            <w:pPr>
              <w:ind w:left="180"/>
              <w:spacing w:after="0"/>
              <w:rPr>
                <w:sz w:val="20"/>
                <w:szCs w:val="20"/>
                <w:color w:val="auto"/>
              </w:rPr>
            </w:pPr>
            <w:r>
              <w:rPr>
                <w:rFonts w:ascii="Arial" w:cs="Arial" w:eastAsia="Arial" w:hAnsi="Arial"/>
                <w:sz w:val="16"/>
                <w:szCs w:val="16"/>
                <w:color w:val="auto"/>
              </w:rPr>
              <w:t>Securities sold, but not yet purchased:</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Mutual funds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59,711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59,711</w:t>
            </w: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Equity securities</w:t>
            </w:r>
          </w:p>
        </w:tc>
        <w:tc>
          <w:tcPr>
            <w:tcW w:w="200" w:type="dxa"/>
            <w:vAlign w:val="bottom"/>
          </w:tcPr>
          <w:p>
            <w:pPr>
              <w:spacing w:after="0"/>
              <w:rPr>
                <w:sz w:val="22"/>
                <w:szCs w:val="22"/>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67</w:t>
            </w: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Debt securities</w:t>
            </w:r>
          </w:p>
        </w:tc>
        <w:tc>
          <w:tcPr>
            <w:tcW w:w="2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72</w:t>
            </w:r>
          </w:p>
        </w:tc>
      </w:tr>
      <w:tr>
        <w:trPr>
          <w:trHeight w:val="264"/>
        </w:trPr>
        <w:tc>
          <w:tcPr>
            <w:tcW w:w="56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Certificates of deposit</w:t>
            </w: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247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247</w:t>
            </w: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securities sold, but not yet purchased</w:t>
            </w: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59,778</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319</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60,097</w:t>
            </w:r>
          </w:p>
        </w:tc>
      </w:tr>
      <w:tr>
        <w:trPr>
          <w:trHeight w:val="250"/>
        </w:trPr>
        <w:tc>
          <w:tcPr>
            <w:tcW w:w="5620" w:type="dxa"/>
            <w:vAlign w:val="bottom"/>
          </w:tcPr>
          <w:p>
            <w:pPr>
              <w:ind w:left="180"/>
              <w:spacing w:after="0"/>
              <w:rPr>
                <w:sz w:val="20"/>
                <w:szCs w:val="20"/>
                <w:color w:val="auto"/>
              </w:rPr>
            </w:pPr>
            <w:r>
              <w:rPr>
                <w:rFonts w:ascii="Arial" w:cs="Arial" w:eastAsia="Arial" w:hAnsi="Arial"/>
                <w:sz w:val="16"/>
                <w:szCs w:val="16"/>
                <w:color w:val="auto"/>
              </w:rPr>
              <w:t>Contingent consideration obligations</w:t>
            </w:r>
          </w:p>
        </w:tc>
        <w:tc>
          <w:tcPr>
            <w:tcW w:w="2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34,416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34,416</w:t>
            </w:r>
          </w:p>
        </w:tc>
      </w:tr>
      <w:tr>
        <w:trPr>
          <w:trHeight w:val="240"/>
        </w:trPr>
        <w:tc>
          <w:tcPr>
            <w:tcW w:w="562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liabilities at fair value</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59,778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34,416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94,513</w:t>
            </w: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Level 3 Recurring Fair Value Measurements</w:t>
      </w:r>
    </w:p>
    <w:p>
      <w:pPr>
        <w:spacing w:after="0" w:line="207" w:lineRule="exact"/>
        <w:rPr>
          <w:sz w:val="20"/>
          <w:szCs w:val="20"/>
          <w:color w:val="auto"/>
        </w:rPr>
      </w:pPr>
    </w:p>
    <w:p>
      <w:pPr>
        <w:ind w:right="420" w:firstLine="486"/>
        <w:spacing w:after="0" w:line="254" w:lineRule="auto"/>
        <w:rPr>
          <w:sz w:val="20"/>
          <w:szCs w:val="20"/>
          <w:color w:val="auto"/>
        </w:rPr>
      </w:pPr>
      <w:r>
        <w:rPr>
          <w:rFonts w:ascii="Arial" w:cs="Arial" w:eastAsia="Arial" w:hAnsi="Arial"/>
          <w:sz w:val="18"/>
          <w:szCs w:val="18"/>
          <w:color w:val="auto"/>
        </w:rPr>
        <w:t>The contingent consideration obligations result from the Company's 2011 acquisitions of NRP and Concord, and 2012 acquisition of Veritat, and represent future amounts that the Company may be required to pay upon the achievement of certain financial and operating targets. The contingent consideration obligations are recorded at their estimated fair value with any changes in fair value recognized in earnings. Fair value measurements are based on significant inputs unobservable in the market and thus represent Level 3 measurements.</w:t>
      </w:r>
    </w:p>
    <w:p>
      <w:pPr>
        <w:spacing w:after="0" w:line="164"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The contingent consideration obligation related to the acquisition of NRP is based on the achievement of certain revenue-based targets for the year ended December 31, 2013 (the "Measurement Period"), in aggregate for those advisors who joined LPL Financial from NRP and for advisors joining LPL Financial subsequent to the NRP acquisition for whom retirement plans comprise a significant part of their business. As a result of greater than expected recruitment of new advisors who serve retirement plans, which is expected to continue throughout the Measurement Period, the Company revised its revenue estimates during the third quarter of 2012 and made certain changes in the probability assumptions with respect to the likelihood of achieving the revenue targets. The revisions, combined with implied interest, resulted in a $15.3 million increase in the fair value of the contingent consideration obligation related to NRP during the nine months ended September 30, 2012 and are recorded in other expenses in the unaudited condensed consolidated statements of income.</w:t>
      </w:r>
    </w:p>
    <w:p>
      <w:pPr>
        <w:spacing w:after="0" w:line="16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contingent consideration obligation related to the acquisition of Concord is based on the achievement of targeted levels of gross margin from both the acquired Concord business and from revenue synergies arising from cross-selling opportunities between Concord and the Company for the twelve month period ending June 30, 2014. Gross margin is calculated as net revenues less commissions and advisory fees and brokerage, clearing and exchange expense and accordingly, the Company considers it to be a non-GAAP measure. The Company revised</w:t>
      </w:r>
    </w:p>
    <w:p>
      <w:pPr>
        <w:sectPr>
          <w:pgSz w:w="11900" w:h="16838" w:orient="portrait"/>
          <w:cols w:equalWidth="0" w:num="1">
            <w:col w:w="11420"/>
          </w:cols>
          <w:pgMar w:left="240" w:top="441" w:right="239"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441" w:right="2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amount and timing of gross margin estimates and made certain changes in the probability assumptions with respect to the likelihood of achieving these estimates as a result of delays in the timing of the expected realization of revenue synergies between Concord and the Company. The revision, offset by implied interest, resulted in a $5.4 million decrease in the fair value of the contingent consideration obligation related to Concord during the nine months ended September 30, 2012 and is recorded in other expenses in the unaudited condensed consolidated statements of income.</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Set forth below is a reconciliation of the contingent consideration for the nine months ended September 30, 2012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at December 31, 2011</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16,104</w:t>
            </w:r>
          </w:p>
        </w:tc>
      </w:tr>
      <w:tr>
        <w:trPr>
          <w:trHeight w:val="250"/>
        </w:trPr>
        <w:tc>
          <w:tcPr>
            <w:tcW w:w="9940" w:type="dxa"/>
            <w:vAlign w:val="bottom"/>
          </w:tcPr>
          <w:p>
            <w:pPr>
              <w:ind w:left="200"/>
              <w:spacing w:after="0"/>
              <w:rPr>
                <w:sz w:val="20"/>
                <w:szCs w:val="20"/>
                <w:color w:val="auto"/>
              </w:rPr>
            </w:pPr>
            <w:r>
              <w:rPr>
                <w:rFonts w:ascii="Arial" w:cs="Arial" w:eastAsia="Arial" w:hAnsi="Arial"/>
                <w:sz w:val="18"/>
                <w:szCs w:val="18"/>
                <w:color w:val="auto"/>
              </w:rPr>
              <w:t>Issuance of contingent consideration</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8,430</w:t>
            </w:r>
          </w:p>
        </w:tc>
      </w:tr>
      <w:tr>
        <w:trPr>
          <w:trHeight w:val="257"/>
        </w:trPr>
        <w:tc>
          <w:tcPr>
            <w:tcW w:w="9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estimated fair value of contingent consideration obligations</w:t>
            </w:r>
          </w:p>
        </w:tc>
        <w:tc>
          <w:tcPr>
            <w:tcW w:w="4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9,882</w:t>
            </w:r>
          </w:p>
        </w:tc>
      </w:tr>
      <w:tr>
        <w:trPr>
          <w:trHeight w:val="257"/>
        </w:trPr>
        <w:tc>
          <w:tcPr>
            <w:tcW w:w="9940" w:type="dxa"/>
            <w:vAlign w:val="bottom"/>
          </w:tcPr>
          <w:p>
            <w:pPr>
              <w:ind w:left="40"/>
              <w:spacing w:after="0"/>
              <w:rPr>
                <w:sz w:val="20"/>
                <w:szCs w:val="20"/>
                <w:color w:val="auto"/>
              </w:rPr>
            </w:pPr>
            <w:r>
              <w:rPr>
                <w:rFonts w:ascii="Arial" w:cs="Arial" w:eastAsia="Arial" w:hAnsi="Arial"/>
                <w:sz w:val="18"/>
                <w:szCs w:val="18"/>
                <w:color w:val="auto"/>
              </w:rPr>
              <w:t>Fair value at September 30, 2012</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34,416</w:t>
            </w:r>
          </w:p>
        </w:tc>
      </w:tr>
      <w:tr>
        <w:trPr>
          <w:trHeight w:val="20"/>
        </w:trPr>
        <w:tc>
          <w:tcPr>
            <w:tcW w:w="9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financial assets and financial liabilities measured at fair value on a recurring basis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Quoted</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Prices in</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Active</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Significant</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Markets for</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Significant</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Identical</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Observable</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Unobservable</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Inputs</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Inputs</w:t>
            </w:r>
          </w:p>
        </w:tc>
        <w:tc>
          <w:tcPr>
            <w:tcW w:w="140" w:type="dxa"/>
            <w:vAlign w:val="bottom"/>
          </w:tcPr>
          <w:p>
            <w:pPr>
              <w:spacing w:after="0"/>
              <w:rPr>
                <w:sz w:val="14"/>
                <w:szCs w:val="14"/>
                <w:color w:val="auto"/>
              </w:rPr>
            </w:pPr>
          </w:p>
        </w:tc>
        <w:tc>
          <w:tcPr>
            <w:tcW w:w="1220" w:type="dxa"/>
            <w:vAlign w:val="bottom"/>
          </w:tcPr>
          <w:p>
            <w:pPr>
              <w:jc w:val="right"/>
              <w:ind w:right="260"/>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5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7"/>
                <w:szCs w:val="17"/>
                <w:color w:val="auto"/>
              </w:rPr>
            </w:pPr>
          </w:p>
        </w:tc>
        <w:tc>
          <w:tcPr>
            <w:tcW w:w="1220" w:type="dxa"/>
            <w:vAlign w:val="bottom"/>
          </w:tcPr>
          <w:p>
            <w:pPr>
              <w:jc w:val="right"/>
              <w:ind w:right="100"/>
              <w:spacing w:after="0"/>
              <w:rPr>
                <w:sz w:val="20"/>
                <w:szCs w:val="20"/>
                <w:color w:val="auto"/>
              </w:rPr>
            </w:pPr>
            <w:r>
              <w:rPr>
                <w:rFonts w:ascii="Arial" w:cs="Arial" w:eastAsia="Arial" w:hAnsi="Arial"/>
                <w:sz w:val="14"/>
                <w:szCs w:val="14"/>
                <w:b w:val="1"/>
                <w:bCs w:val="1"/>
                <w:color w:val="auto"/>
              </w:rPr>
              <w:t>Measurements</w:t>
            </w:r>
          </w:p>
        </w:tc>
      </w:tr>
      <w:tr>
        <w:trPr>
          <w:trHeight w:val="256"/>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At December 31, 2011:</w:t>
            </w:r>
          </w:p>
        </w:tc>
        <w:tc>
          <w:tcPr>
            <w:tcW w:w="2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equivalents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575,243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575,243</w:t>
            </w:r>
          </w:p>
        </w:tc>
      </w:tr>
      <w:tr>
        <w:trPr>
          <w:trHeight w:val="260"/>
        </w:trPr>
        <w:tc>
          <w:tcPr>
            <w:tcW w:w="5620" w:type="dxa"/>
            <w:vAlign w:val="bottom"/>
          </w:tcPr>
          <w:p>
            <w:pPr>
              <w:ind w:left="180"/>
              <w:spacing w:after="0"/>
              <w:rPr>
                <w:sz w:val="20"/>
                <w:szCs w:val="20"/>
                <w:color w:val="auto"/>
              </w:rPr>
            </w:pPr>
            <w:r>
              <w:rPr>
                <w:rFonts w:ascii="Arial" w:cs="Arial" w:eastAsia="Arial" w:hAnsi="Arial"/>
                <w:sz w:val="16"/>
                <w:szCs w:val="16"/>
                <w:color w:val="auto"/>
              </w:rPr>
              <w:t>Securities owned — trading:</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Money market funds</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262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262</w:t>
            </w: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Mutual funds</w:t>
            </w:r>
          </w:p>
        </w:tc>
        <w:tc>
          <w:tcPr>
            <w:tcW w:w="200" w:type="dxa"/>
            <w:vAlign w:val="bottom"/>
          </w:tcPr>
          <w:p>
            <w:pPr>
              <w:spacing w:after="0"/>
              <w:rPr>
                <w:sz w:val="22"/>
                <w:szCs w:val="22"/>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4,966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4,966</w:t>
            </w: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 securities</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47</w:t>
            </w: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Debt securities</w:t>
            </w:r>
          </w:p>
        </w:tc>
        <w:tc>
          <w:tcPr>
            <w:tcW w:w="20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115</w:t>
            </w:r>
          </w:p>
        </w:tc>
      </w:tr>
      <w:tr>
        <w:trPr>
          <w:trHeight w:val="273"/>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Certificates of deposit</w:t>
            </w: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900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900</w:t>
            </w: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securities owned — trading</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6,175</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6,290</w:t>
            </w: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21,400</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21,400</w:t>
            </w:r>
          </w:p>
        </w:tc>
      </w:tr>
      <w:tr>
        <w:trPr>
          <w:trHeight w:val="280"/>
        </w:trPr>
        <w:tc>
          <w:tcPr>
            <w:tcW w:w="5620" w:type="dxa"/>
            <w:vAlign w:val="bottom"/>
          </w:tcPr>
          <w:p>
            <w:pPr>
              <w:ind w:left="380"/>
              <w:spacing w:after="0"/>
              <w:rPr>
                <w:sz w:val="20"/>
                <w:szCs w:val="20"/>
                <w:color w:val="auto"/>
              </w:rPr>
            </w:pPr>
            <w:r>
              <w:rPr>
                <w:rFonts w:ascii="Arial" w:cs="Arial" w:eastAsia="Arial" w:hAnsi="Arial"/>
                <w:sz w:val="16"/>
                <w:szCs w:val="16"/>
                <w:color w:val="auto"/>
              </w:rPr>
              <w:t>Total assets at fair value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602,818</w:t>
            </w:r>
          </w:p>
        </w:tc>
        <w:tc>
          <w:tcPr>
            <w:tcW w:w="12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602,933</w:t>
            </w:r>
          </w:p>
        </w:tc>
      </w:tr>
      <w:tr>
        <w:trPr>
          <w:trHeight w:val="227"/>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r>
      <w:tr>
        <w:trPr>
          <w:trHeight w:val="260"/>
        </w:trPr>
        <w:tc>
          <w:tcPr>
            <w:tcW w:w="5620" w:type="dxa"/>
            <w:vAlign w:val="bottom"/>
          </w:tcPr>
          <w:p>
            <w:pPr>
              <w:ind w:left="180"/>
              <w:spacing w:after="0"/>
              <w:rPr>
                <w:sz w:val="20"/>
                <w:szCs w:val="20"/>
                <w:color w:val="auto"/>
              </w:rPr>
            </w:pPr>
            <w:r>
              <w:rPr>
                <w:rFonts w:ascii="Arial" w:cs="Arial" w:eastAsia="Arial" w:hAnsi="Arial"/>
                <w:sz w:val="16"/>
                <w:szCs w:val="16"/>
                <w:color w:val="auto"/>
              </w:rPr>
              <w:t>Securities sold, but not yet purchased:</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 securities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134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134</w:t>
            </w: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Debt securities</w:t>
            </w:r>
          </w:p>
        </w:tc>
        <w:tc>
          <w:tcPr>
            <w:tcW w:w="20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w:t>
            </w:r>
          </w:p>
        </w:tc>
      </w:tr>
      <w:tr>
        <w:trPr>
          <w:trHeight w:val="273"/>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Certificates of deposit</w:t>
            </w: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securities sold, but not yet purchased</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134</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161</w:t>
            </w:r>
          </w:p>
        </w:tc>
      </w:tr>
      <w:tr>
        <w:trPr>
          <w:trHeight w:val="257"/>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Contingent consideration obligations</w:t>
            </w:r>
          </w:p>
        </w:tc>
        <w:tc>
          <w:tcPr>
            <w:tcW w:w="2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16,104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16,104</w:t>
            </w:r>
          </w:p>
        </w:tc>
      </w:tr>
      <w:tr>
        <w:trPr>
          <w:trHeight w:val="264"/>
        </w:trPr>
        <w:tc>
          <w:tcPr>
            <w:tcW w:w="5620" w:type="dxa"/>
            <w:vAlign w:val="bottom"/>
          </w:tcPr>
          <w:p>
            <w:pPr>
              <w:ind w:left="180"/>
              <w:spacing w:after="0"/>
              <w:rPr>
                <w:sz w:val="20"/>
                <w:szCs w:val="20"/>
                <w:color w:val="auto"/>
              </w:rPr>
            </w:pPr>
            <w:r>
              <w:rPr>
                <w:rFonts w:ascii="Arial" w:cs="Arial" w:eastAsia="Arial" w:hAnsi="Arial"/>
                <w:sz w:val="16"/>
                <w:szCs w:val="16"/>
                <w:color w:val="auto"/>
              </w:rPr>
              <w:t>Interest rate swap</w:t>
            </w:r>
          </w:p>
        </w:tc>
        <w:tc>
          <w:tcPr>
            <w:tcW w:w="20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1,377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1,377</w:t>
            </w:r>
          </w:p>
        </w:tc>
      </w:tr>
      <w:tr>
        <w:trPr>
          <w:trHeight w:val="240"/>
        </w:trPr>
        <w:tc>
          <w:tcPr>
            <w:tcW w:w="562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liabilities at fair value</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134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1,404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16,104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17,642</w:t>
            </w: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Held-to-Maturity Securities</w:t>
      </w:r>
    </w:p>
    <w:p>
      <w:pPr>
        <w:spacing w:after="0" w:line="247" w:lineRule="exact"/>
        <w:rPr>
          <w:sz w:val="20"/>
          <w:szCs w:val="20"/>
          <w:color w:val="auto"/>
        </w:rPr>
      </w:pPr>
    </w:p>
    <w:p>
      <w:pPr>
        <w:ind w:right="280" w:firstLine="486"/>
        <w:spacing w:after="0" w:line="253" w:lineRule="auto"/>
        <w:rPr>
          <w:sz w:val="20"/>
          <w:szCs w:val="20"/>
          <w:color w:val="auto"/>
        </w:rPr>
      </w:pPr>
      <w:r>
        <w:rPr>
          <w:rFonts w:ascii="Arial" w:cs="Arial" w:eastAsia="Arial" w:hAnsi="Arial"/>
          <w:sz w:val="18"/>
          <w:szCs w:val="18"/>
          <w:color w:val="auto"/>
        </w:rPr>
        <w:t>The Company holds certain investments in securities including U.S. government notes, which are recorded at amortized cost because the Company has both the intent and the ability to hold these investments to maturity. Interest income is accrued as earned. Premiums and discounts are amortized using a method that approximates the effective yield method over the term of the security and are recorded as an adjustment to the investment yield. The Company discloses the fair value of its securities held-to-maturity using quoted prices in active markets, which is a Level 1 fair value measurement.</w:t>
      </w:r>
    </w:p>
    <w:p>
      <w:pPr>
        <w:sectPr>
          <w:pgSz w:w="11900" w:h="16838" w:orient="portrait"/>
          <w:cols w:equalWidth="0" w:num="1">
            <w:col w:w="11420"/>
          </w:cols>
          <w:pgMar w:left="240" w:top="441" w:right="239" w:bottom="1440" w:gutter="0" w:footer="0" w:header="0"/>
        </w:sect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441" w:right="2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amortized cost, gross unrealized gains and fair value of securities held-to-maturity were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1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9"/>
              </w:rPr>
              <w:t>Gross</w:t>
            </w: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11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Amortized</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rPr>
              <w:t>Unrealized</w:t>
            </w: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8"/>
        </w:trPr>
        <w:tc>
          <w:tcPr>
            <w:tcW w:w="11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Cost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rPr>
              <w:t>Gains</w:t>
            </w:r>
          </w:p>
        </w:tc>
        <w:tc>
          <w:tcPr>
            <w:tcW w:w="280" w:type="dxa"/>
            <w:vAlign w:val="bottom"/>
          </w:tcPr>
          <w:p>
            <w:pPr>
              <w:spacing w:after="0"/>
              <w:rPr>
                <w:sz w:val="19"/>
                <w:szCs w:val="19"/>
                <w:color w:val="auto"/>
              </w:rPr>
            </w:pPr>
          </w:p>
        </w:tc>
        <w:tc>
          <w:tcPr>
            <w:tcW w:w="1100" w:type="dxa"/>
            <w:vAlign w:val="bottom"/>
          </w:tcPr>
          <w:p>
            <w:pPr>
              <w:jc w:val="right"/>
              <w:ind w:right="213"/>
              <w:spacing w:after="0"/>
              <w:rPr>
                <w:sz w:val="20"/>
                <w:szCs w:val="20"/>
                <w:color w:val="auto"/>
              </w:rPr>
            </w:pPr>
            <w:r>
              <w:rPr>
                <w:rFonts w:ascii="Arial" w:cs="Arial" w:eastAsia="Arial" w:hAnsi="Arial"/>
                <w:sz w:val="16"/>
                <w:szCs w:val="16"/>
                <w:b w:val="1"/>
                <w:bCs w:val="1"/>
                <w:color w:val="auto"/>
              </w:rPr>
              <w:t>Fair Value</w:t>
            </w:r>
          </w:p>
        </w:tc>
      </w:tr>
      <w:tr>
        <w:trPr>
          <w:trHeight w:val="257"/>
        </w:trPr>
        <w:tc>
          <w:tcPr>
            <w:tcW w:w="708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At September 30, 2012:</w:t>
            </w:r>
          </w:p>
        </w:tc>
        <w:tc>
          <w:tcPr>
            <w:tcW w:w="20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r>
      <w:tr>
        <w:trPr>
          <w:trHeight w:val="257"/>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U.S. government notes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7,676</w:t>
            </w:r>
          </w:p>
        </w:tc>
        <w:tc>
          <w:tcPr>
            <w:tcW w:w="120" w:type="dxa"/>
            <w:vAlign w:val="bottom"/>
          </w:tcPr>
          <w:p>
            <w:pPr>
              <w:spacing w:after="0"/>
              <w:rPr>
                <w:sz w:val="22"/>
                <w:szCs w:val="22"/>
                <w:color w:val="auto"/>
              </w:rPr>
            </w:pP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7,683</w:t>
            </w:r>
          </w:p>
        </w:tc>
      </w:tr>
      <w:tr>
        <w:trPr>
          <w:trHeight w:val="20"/>
        </w:trPr>
        <w:tc>
          <w:tcPr>
            <w:tcW w:w="11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78"/>
        </w:trPr>
        <w:tc>
          <w:tcPr>
            <w:tcW w:w="11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70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At December 31, 2011:</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57"/>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U.S. government notes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11,167</w:t>
            </w:r>
          </w:p>
        </w:tc>
        <w:tc>
          <w:tcPr>
            <w:tcW w:w="120" w:type="dxa"/>
            <w:vAlign w:val="bottom"/>
          </w:tcPr>
          <w:p>
            <w:pPr>
              <w:spacing w:after="0"/>
              <w:rPr>
                <w:sz w:val="22"/>
                <w:szCs w:val="22"/>
                <w:color w:val="auto"/>
              </w:rPr>
            </w:pP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11,194</w:t>
            </w:r>
          </w:p>
        </w:tc>
      </w:tr>
      <w:tr>
        <w:trPr>
          <w:trHeight w:val="20"/>
        </w:trPr>
        <w:tc>
          <w:tcPr>
            <w:tcW w:w="11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13"/>
        </w:trPr>
        <w:tc>
          <w:tcPr>
            <w:tcW w:w="8560" w:type="dxa"/>
            <w:vAlign w:val="bottom"/>
            <w:gridSpan w:val="5"/>
          </w:tcPr>
          <w:p>
            <w:pPr>
              <w:ind w:left="500"/>
              <w:spacing w:after="0"/>
              <w:rPr>
                <w:sz w:val="20"/>
                <w:szCs w:val="20"/>
                <w:color w:val="auto"/>
              </w:rPr>
            </w:pPr>
            <w:r>
              <w:rPr>
                <w:rFonts w:ascii="Arial" w:cs="Arial" w:eastAsia="Arial" w:hAnsi="Arial"/>
                <w:sz w:val="18"/>
                <w:szCs w:val="18"/>
                <w:color w:val="auto"/>
              </w:rPr>
              <w:t>At September 30, 2012, the securities held-to-maturity were scheduled to mature within one year.</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32"/>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7.  Goodwill and Intangible Assets</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78"/>
        </w:trPr>
        <w:tc>
          <w:tcPr>
            <w:tcW w:w="7080" w:type="dxa"/>
            <w:vAlign w:val="bottom"/>
            <w:gridSpan w:val="2"/>
          </w:tcPr>
          <w:p>
            <w:pPr>
              <w:ind w:left="500"/>
              <w:spacing w:after="0"/>
              <w:rPr>
                <w:sz w:val="20"/>
                <w:szCs w:val="20"/>
                <w:color w:val="auto"/>
              </w:rPr>
            </w:pPr>
            <w:r>
              <w:rPr>
                <w:rFonts w:ascii="Arial" w:cs="Arial" w:eastAsia="Arial" w:hAnsi="Arial"/>
                <w:sz w:val="18"/>
                <w:szCs w:val="18"/>
                <w:color w:val="auto"/>
              </w:rPr>
              <w:t>A summary of the activity in goodwill is presented below (in thousands):</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35"/>
        </w:trPr>
        <w:tc>
          <w:tcPr>
            <w:tcW w:w="112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270"/>
        </w:trPr>
        <w:tc>
          <w:tcPr>
            <w:tcW w:w="1120" w:type="dxa"/>
            <w:vAlign w:val="bottom"/>
          </w:tcPr>
          <w:p>
            <w:pPr>
              <w:spacing w:after="0"/>
              <w:rPr>
                <w:sz w:val="23"/>
                <w:szCs w:val="23"/>
                <w:color w:val="auto"/>
              </w:rPr>
            </w:pPr>
          </w:p>
        </w:tc>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2011</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1,334,086</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1120" w:type="dxa"/>
            <w:vAlign w:val="bottom"/>
          </w:tcPr>
          <w:p>
            <w:pPr>
              <w:spacing w:after="0"/>
              <w:rPr>
                <w:sz w:val="21"/>
                <w:szCs w:val="21"/>
                <w:color w:val="auto"/>
              </w:rPr>
            </w:pPr>
          </w:p>
        </w:tc>
        <w:tc>
          <w:tcPr>
            <w:tcW w:w="5960" w:type="dxa"/>
            <w:vAlign w:val="bottom"/>
          </w:tcPr>
          <w:p>
            <w:pPr>
              <w:ind w:left="180"/>
              <w:spacing w:after="0"/>
              <w:rPr>
                <w:sz w:val="20"/>
                <w:szCs w:val="20"/>
                <w:color w:val="auto"/>
              </w:rPr>
            </w:pPr>
            <w:r>
              <w:rPr>
                <w:rFonts w:ascii="Arial" w:cs="Arial" w:eastAsia="Arial" w:hAnsi="Arial"/>
                <w:sz w:val="18"/>
                <w:szCs w:val="18"/>
                <w:color w:val="auto"/>
              </w:rPr>
              <w:t>Acquisition of Fortigent (Note 3)</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28,067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(1)</w:t>
            </w:r>
          </w:p>
        </w:tc>
        <w:tc>
          <w:tcPr>
            <w:tcW w:w="1100" w:type="dxa"/>
            <w:vAlign w:val="bottom"/>
          </w:tcPr>
          <w:p>
            <w:pPr>
              <w:spacing w:after="0"/>
              <w:rPr>
                <w:sz w:val="21"/>
                <w:szCs w:val="21"/>
                <w:color w:val="auto"/>
              </w:rPr>
            </w:pPr>
          </w:p>
        </w:tc>
      </w:tr>
      <w:tr>
        <w:trPr>
          <w:trHeight w:val="257"/>
        </w:trPr>
        <w:tc>
          <w:tcPr>
            <w:tcW w:w="1120" w:type="dxa"/>
            <w:vAlign w:val="bottom"/>
          </w:tcPr>
          <w:p>
            <w:pPr>
              <w:spacing w:after="0"/>
              <w:rPr>
                <w:sz w:val="22"/>
                <w:szCs w:val="22"/>
                <w:color w:val="auto"/>
              </w:rPr>
            </w:pPr>
          </w:p>
        </w:tc>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of Veritat (Note 3)</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10,834</w:t>
            </w:r>
          </w:p>
        </w:tc>
        <w:tc>
          <w:tcPr>
            <w:tcW w:w="40" w:type="dxa"/>
            <w:vAlign w:val="bottom"/>
            <w:tcBorders>
              <w:bottom w:val="single" w:sz="8" w:color="auto"/>
            </w:tcBorders>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w:t>
            </w:r>
          </w:p>
        </w:tc>
        <w:tc>
          <w:tcPr>
            <w:tcW w:w="1100" w:type="dxa"/>
            <w:vAlign w:val="bottom"/>
          </w:tcPr>
          <w:p>
            <w:pPr>
              <w:spacing w:after="0"/>
              <w:rPr>
                <w:sz w:val="22"/>
                <w:szCs w:val="22"/>
                <w:color w:val="auto"/>
              </w:rPr>
            </w:pPr>
          </w:p>
        </w:tc>
      </w:tr>
      <w:tr>
        <w:trPr>
          <w:trHeight w:val="257"/>
        </w:trPr>
        <w:tc>
          <w:tcPr>
            <w:tcW w:w="1120" w:type="dxa"/>
            <w:vAlign w:val="bottom"/>
          </w:tcPr>
          <w:p>
            <w:pPr>
              <w:spacing w:after="0"/>
              <w:rPr>
                <w:sz w:val="22"/>
                <w:szCs w:val="22"/>
                <w:color w:val="auto"/>
              </w:rPr>
            </w:pPr>
          </w:p>
        </w:tc>
        <w:tc>
          <w:tcPr>
            <w:tcW w:w="5960" w:type="dxa"/>
            <w:vAlign w:val="bottom"/>
          </w:tcPr>
          <w:p>
            <w:pPr>
              <w:ind w:left="20"/>
              <w:spacing w:after="0"/>
              <w:rPr>
                <w:sz w:val="20"/>
                <w:szCs w:val="20"/>
                <w:color w:val="auto"/>
              </w:rPr>
            </w:pPr>
            <w:r>
              <w:rPr>
                <w:rFonts w:ascii="Arial" w:cs="Arial" w:eastAsia="Arial" w:hAnsi="Arial"/>
                <w:sz w:val="18"/>
                <w:szCs w:val="18"/>
                <w:color w:val="auto"/>
              </w:rPr>
              <w:t>Balance at September 30, 2012</w:t>
            </w: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1,372,987</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5476240</wp:posOffset>
            </wp:positionH>
            <wp:positionV relativeFrom="paragraph">
              <wp:posOffset>0</wp:posOffset>
            </wp:positionV>
            <wp:extent cx="8578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57885" cy="8890"/>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17145</wp:posOffset>
            </wp:positionV>
            <wp:extent cx="8578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is a provisional amount and is subject to change (see Note 3).</w:t>
      </w:r>
    </w:p>
    <w:p>
      <w:pPr>
        <w:spacing w:after="0" w:line="171"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The components of intangible assets as of September 30, 2012 and December 31, 2011 are as follows (dollars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Weighted</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5160" w:type="dxa"/>
            <w:vAlign w:val="bottom"/>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Average Life</w:t>
            </w:r>
          </w:p>
        </w:tc>
        <w:tc>
          <w:tcPr>
            <w:tcW w:w="28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Gross</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92"/>
              <w:spacing w:after="0"/>
              <w:rPr>
                <w:sz w:val="20"/>
                <w:szCs w:val="20"/>
                <w:color w:val="auto"/>
              </w:rPr>
            </w:pPr>
            <w:r>
              <w:rPr>
                <w:rFonts w:ascii="Arial" w:cs="Arial" w:eastAsia="Arial" w:hAnsi="Arial"/>
                <w:sz w:val="16"/>
                <w:szCs w:val="16"/>
                <w:b w:val="1"/>
                <w:bCs w:val="1"/>
                <w:color w:val="auto"/>
              </w:rPr>
              <w:t>Net</w:t>
            </w:r>
          </w:p>
        </w:tc>
      </w:tr>
      <w:tr>
        <w:trPr>
          <w:trHeight w:val="189"/>
        </w:trPr>
        <w:tc>
          <w:tcPr>
            <w:tcW w:w="516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w:t>
            </w:r>
          </w:p>
        </w:tc>
        <w:tc>
          <w:tcPr>
            <w:tcW w:w="28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Carrying</w:t>
            </w:r>
          </w:p>
        </w:tc>
        <w:tc>
          <w:tcPr>
            <w:tcW w:w="18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260" w:type="dxa"/>
            <w:vAlign w:val="bottom"/>
          </w:tcPr>
          <w:p>
            <w:pPr>
              <w:spacing w:after="0"/>
              <w:rPr>
                <w:sz w:val="16"/>
                <w:szCs w:val="16"/>
                <w:color w:val="auto"/>
              </w:rPr>
            </w:pPr>
          </w:p>
        </w:tc>
        <w:tc>
          <w:tcPr>
            <w:tcW w:w="1220" w:type="dxa"/>
            <w:vAlign w:val="bottom"/>
          </w:tcPr>
          <w:p>
            <w:pPr>
              <w:jc w:val="center"/>
              <w:ind w:right="172"/>
              <w:spacing w:after="0"/>
              <w:rPr>
                <w:sz w:val="20"/>
                <w:szCs w:val="20"/>
                <w:color w:val="auto"/>
              </w:rPr>
            </w:pPr>
            <w:r>
              <w:rPr>
                <w:rFonts w:ascii="Arial" w:cs="Arial" w:eastAsia="Arial" w:hAnsi="Arial"/>
                <w:sz w:val="16"/>
                <w:szCs w:val="16"/>
                <w:b w:val="1"/>
                <w:bCs w:val="1"/>
                <w:color w:val="auto"/>
              </w:rPr>
              <w:t>Carrying</w:t>
            </w:r>
          </w:p>
        </w:tc>
      </w:tr>
      <w:tr>
        <w:trPr>
          <w:trHeight w:val="228"/>
        </w:trPr>
        <w:tc>
          <w:tcPr>
            <w:tcW w:w="5160" w:type="dxa"/>
            <w:vAlign w:val="bottom"/>
          </w:tcPr>
          <w:p>
            <w:pPr>
              <w:spacing w:after="0"/>
              <w:rPr>
                <w:sz w:val="19"/>
                <w:szCs w:val="19"/>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(in years)</w:t>
            </w:r>
          </w:p>
        </w:tc>
        <w:tc>
          <w:tcPr>
            <w:tcW w:w="280" w:type="dxa"/>
            <w:vAlign w:val="bottom"/>
          </w:tcPr>
          <w:p>
            <w:pPr>
              <w:spacing w:after="0"/>
              <w:rPr>
                <w:sz w:val="19"/>
                <w:szCs w:val="19"/>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8"/>
              </w:rPr>
              <w:t>Value</w:t>
            </w:r>
          </w:p>
        </w:tc>
        <w:tc>
          <w:tcPr>
            <w:tcW w:w="18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260" w:type="dxa"/>
            <w:vAlign w:val="bottom"/>
          </w:tcPr>
          <w:p>
            <w:pPr>
              <w:spacing w:after="0"/>
              <w:rPr>
                <w:sz w:val="19"/>
                <w:szCs w:val="19"/>
                <w:color w:val="auto"/>
              </w:rPr>
            </w:pPr>
          </w:p>
        </w:tc>
        <w:tc>
          <w:tcPr>
            <w:tcW w:w="1220" w:type="dxa"/>
            <w:vAlign w:val="bottom"/>
          </w:tcPr>
          <w:p>
            <w:pPr>
              <w:jc w:val="center"/>
              <w:ind w:right="192"/>
              <w:spacing w:after="0"/>
              <w:rPr>
                <w:sz w:val="20"/>
                <w:szCs w:val="20"/>
                <w:color w:val="auto"/>
              </w:rPr>
            </w:pPr>
            <w:r>
              <w:rPr>
                <w:rFonts w:ascii="Arial" w:cs="Arial" w:eastAsia="Arial" w:hAnsi="Arial"/>
                <w:sz w:val="16"/>
                <w:szCs w:val="16"/>
                <w:b w:val="1"/>
                <w:bCs w:val="1"/>
                <w:color w:val="auto"/>
                <w:w w:val="98"/>
              </w:rPr>
              <w:t>Value</w:t>
            </w:r>
          </w:p>
        </w:tc>
      </w:tr>
      <w:tr>
        <w:trPr>
          <w:trHeight w:val="27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At September 30, 2012:</w:t>
            </w:r>
          </w:p>
        </w:tc>
        <w:tc>
          <w:tcPr>
            <w:tcW w:w="14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Definite-lived intangible assets:</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Advisor and financial institution relationships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450,164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(151,365)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298,799</w:t>
            </w:r>
          </w:p>
        </w:tc>
      </w:tr>
      <w:tr>
        <w:trPr>
          <w:trHeight w:val="263"/>
        </w:trPr>
        <w:tc>
          <w:tcPr>
            <w:tcW w:w="5160" w:type="dxa"/>
            <w:vAlign w:val="bottom"/>
          </w:tcPr>
          <w:p>
            <w:pPr>
              <w:ind w:left="180"/>
              <w:spacing w:after="0"/>
              <w:rPr>
                <w:sz w:val="20"/>
                <w:szCs w:val="20"/>
                <w:color w:val="auto"/>
              </w:rPr>
            </w:pPr>
            <w:r>
              <w:rPr>
                <w:rFonts w:ascii="Arial" w:cs="Arial" w:eastAsia="Arial" w:hAnsi="Arial"/>
                <w:sz w:val="18"/>
                <w:szCs w:val="18"/>
                <w:color w:val="auto"/>
              </w:rPr>
              <w:t>Product sponsor relationships</w:t>
            </w:r>
          </w:p>
        </w:tc>
        <w:tc>
          <w:tcPr>
            <w:tcW w:w="1480" w:type="dxa"/>
            <w:vAlign w:val="bottom"/>
          </w:tcPr>
          <w:p>
            <w:pPr>
              <w:jc w:val="center"/>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230,916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(73,100)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157,816</w:t>
            </w:r>
          </w:p>
        </w:tc>
      </w:tr>
      <w:tr>
        <w:trPr>
          <w:trHeight w:val="27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Client relationships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19,110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15,735</w:t>
            </w:r>
          </w:p>
        </w:tc>
      </w:tr>
      <w:tr>
        <w:trPr>
          <w:trHeight w:val="26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Trade names</w:t>
            </w:r>
          </w:p>
        </w:tc>
        <w:tc>
          <w:tcPr>
            <w:tcW w:w="14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5"/>
              </w:rPr>
              <w:t>9.6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1,150</w:t>
            </w:r>
          </w:p>
        </w:tc>
      </w:tr>
      <w:tr>
        <w:trPr>
          <w:trHeight w:val="297"/>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definite-lived intangible assets</w:t>
            </w:r>
          </w:p>
        </w:tc>
        <w:tc>
          <w:tcPr>
            <w:tcW w:w="14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701,390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(227,890)</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473,500</w:t>
            </w: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Indefinite-lived intangible assets: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Trademark and trade name</w:t>
            </w: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39,819</w:t>
            </w:r>
          </w:p>
        </w:tc>
      </w:tr>
      <w:tr>
        <w:trPr>
          <w:trHeight w:val="297"/>
        </w:trPr>
        <w:tc>
          <w:tcPr>
            <w:tcW w:w="51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intangible assets</w:t>
            </w:r>
          </w:p>
        </w:tc>
        <w:tc>
          <w:tcPr>
            <w:tcW w:w="14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513,319</w:t>
            </w:r>
          </w:p>
        </w:tc>
      </w:tr>
      <w:tr>
        <w:trPr>
          <w:trHeight w:val="278"/>
        </w:trPr>
        <w:tc>
          <w:tcPr>
            <w:tcW w:w="51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At December 31, 2011:</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Definite-lived intangible assets:</w:t>
            </w: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3"/>
        </w:trPr>
        <w:tc>
          <w:tcPr>
            <w:tcW w:w="5160" w:type="dxa"/>
            <w:vAlign w:val="bottom"/>
          </w:tcPr>
          <w:p>
            <w:pPr>
              <w:ind w:left="180"/>
              <w:spacing w:after="0"/>
              <w:rPr>
                <w:sz w:val="20"/>
                <w:szCs w:val="20"/>
                <w:color w:val="auto"/>
              </w:rPr>
            </w:pPr>
            <w:r>
              <w:rPr>
                <w:rFonts w:ascii="Arial" w:cs="Arial" w:eastAsia="Arial" w:hAnsi="Arial"/>
                <w:sz w:val="18"/>
                <w:szCs w:val="18"/>
                <w:color w:val="auto"/>
              </w:rPr>
              <w:t>Advisor and financial institution relationships</w:t>
            </w:r>
          </w:p>
        </w:tc>
        <w:tc>
          <w:tcPr>
            <w:tcW w:w="1480" w:type="dxa"/>
            <w:vAlign w:val="bottom"/>
          </w:tcPr>
          <w:p>
            <w:pPr>
              <w:jc w:val="center"/>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2"/>
                <w:szCs w:val="22"/>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450,164</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(132,503)</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317,661</w:t>
            </w:r>
          </w:p>
        </w:tc>
      </w:tr>
      <w:tr>
        <w:trPr>
          <w:trHeight w:val="27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 sponsor relationships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230,916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(63,710)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167,206</w:t>
            </w:r>
          </w:p>
        </w:tc>
      </w:tr>
      <w:tr>
        <w:trPr>
          <w:trHeight w:val="26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Client relationships</w:t>
            </w:r>
          </w:p>
        </w:tc>
        <w:tc>
          <w:tcPr>
            <w:tcW w:w="14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14,910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12,984</w:t>
            </w:r>
          </w:p>
        </w:tc>
      </w:tr>
      <w:tr>
        <w:trPr>
          <w:trHeight w:val="297"/>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definite-lived intangible assets</w:t>
            </w:r>
          </w:p>
        </w:tc>
        <w:tc>
          <w:tcPr>
            <w:tcW w:w="14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695,990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(198,139)</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497,851</w:t>
            </w: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Indefinite-lived intangible assets: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Trademark and trade name</w:t>
            </w: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39,819</w:t>
            </w:r>
          </w:p>
        </w:tc>
      </w:tr>
      <w:tr>
        <w:trPr>
          <w:trHeight w:val="257"/>
        </w:trPr>
        <w:tc>
          <w:tcPr>
            <w:tcW w:w="5160" w:type="dxa"/>
            <w:vAlign w:val="bottom"/>
          </w:tcPr>
          <w:p>
            <w:pPr>
              <w:ind w:left="380"/>
              <w:spacing w:after="0"/>
              <w:rPr>
                <w:sz w:val="20"/>
                <w:szCs w:val="20"/>
                <w:color w:val="auto"/>
              </w:rPr>
            </w:pPr>
            <w:r>
              <w:rPr>
                <w:rFonts w:ascii="Arial" w:cs="Arial" w:eastAsia="Arial" w:hAnsi="Arial"/>
                <w:sz w:val="18"/>
                <w:szCs w:val="18"/>
                <w:color w:val="auto"/>
              </w:rPr>
              <w:t>Total intangible assets</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537,670</w:t>
            </w:r>
          </w:p>
        </w:tc>
      </w:tr>
      <w:tr>
        <w:trPr>
          <w:trHeight w:val="20"/>
        </w:trPr>
        <w:tc>
          <w:tcPr>
            <w:tcW w:w="5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41" w:right="239" w:bottom="1440" w:gutter="0" w:footer="0" w:header="0"/>
        </w:sect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441" w:right="2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90" w:lineRule="exact"/>
        <w:rPr>
          <w:sz w:val="20"/>
          <w:szCs w:val="20"/>
          <w:color w:val="auto"/>
        </w:rPr>
      </w:pPr>
    </w:p>
    <w:p>
      <w:pPr>
        <w:ind w:right="200" w:firstLine="486"/>
        <w:spacing w:after="0" w:line="278" w:lineRule="auto"/>
        <w:rPr>
          <w:sz w:val="20"/>
          <w:szCs w:val="20"/>
          <w:color w:val="auto"/>
        </w:rPr>
      </w:pPr>
      <w:r>
        <w:rPr>
          <w:rFonts w:ascii="Arial" w:cs="Arial" w:eastAsia="Arial" w:hAnsi="Arial"/>
          <w:sz w:val="17"/>
          <w:szCs w:val="17"/>
          <w:color w:val="auto"/>
        </w:rPr>
        <w:t>Total amortization expense of intangible assets was $10.0 million and $9.9 million for the three months ended September 30, 2012 and 2011, respectively, and $29.8 million and $ 29.1 million for the nine months ended September 30, 2012 and 2011, respectively. Amortization expense for each of the fiscal years ended December 31, 2012 through 2016 and thereafter is estimated as follows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2012 - remainder</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9,791</w:t>
            </w: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2013</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39,006</w:t>
            </w:r>
          </w:p>
        </w:tc>
      </w:tr>
      <w:tr>
        <w:trPr>
          <w:trHeight w:val="263"/>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38,680</w:t>
            </w: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2015</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37,775</w:t>
            </w:r>
          </w:p>
        </w:tc>
      </w:tr>
      <w:tr>
        <w:trPr>
          <w:trHeight w:val="263"/>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37,619</w:t>
            </w:r>
          </w:p>
        </w:tc>
      </w:tr>
      <w:tr>
        <w:trPr>
          <w:trHeight w:val="250"/>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310,629</w:t>
            </w: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473,500</w:t>
            </w:r>
          </w:p>
        </w:tc>
      </w:tr>
      <w:tr>
        <w:trPr>
          <w:trHeight w:val="20"/>
        </w:trPr>
        <w:tc>
          <w:tcPr>
            <w:tcW w:w="9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80"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auto"/>
        </w:rPr>
        <w:t>The Company’s effective income tax rate differs from the federal corporate tax rate of 35.0%, primarily as a result of state taxes, settlement contingencies and expenses that are not deductible for tax purposes. Deferred income taxes reflect the net tax effects of temporary differences between the carrying amounts of assets and liabilities for financial reporting purposes and the amounts used for income tax purposes.</w:t>
      </w:r>
    </w:p>
    <w:p>
      <w:pPr>
        <w:spacing w:after="0" w:line="177" w:lineRule="exact"/>
        <w:rPr>
          <w:sz w:val="20"/>
          <w:szCs w:val="20"/>
          <w:color w:val="auto"/>
        </w:rPr>
      </w:pPr>
    </w:p>
    <w:p>
      <w:pPr>
        <w:ind w:right="140" w:firstLine="405"/>
        <w:spacing w:after="0" w:line="268" w:lineRule="auto"/>
        <w:rPr>
          <w:sz w:val="20"/>
          <w:szCs w:val="20"/>
          <w:color w:val="auto"/>
        </w:rPr>
      </w:pPr>
      <w:r>
        <w:rPr>
          <w:rFonts w:ascii="Arial" w:cs="Arial" w:eastAsia="Arial" w:hAnsi="Arial"/>
          <w:sz w:val="18"/>
          <w:szCs w:val="18"/>
          <w:color w:val="auto"/>
        </w:rPr>
        <w:t>The effective tax rates were 36.8% and 41.3% for the three months ended September 30, 2012 and 2011, respectively, and 39.0% and 40.2% for the nine months ended September 30, 2012 and 2011, respectively. For the three and nine months ended September 30, 2012, the Company's effective tax rate was impacted by two matters related to its stock acquisition of Concord that together lowered the rate by approximately 3.0% for the three months ended September 30, 2012: a change in the fair value of contingent consideration that is not recognizable for tax purposes and the recognition of a deferred tax asset and related income tax benefit from pre-acquisition net operating losses that were recorded during the quarter.</w:t>
      </w:r>
    </w:p>
    <w:p>
      <w:pPr>
        <w:spacing w:after="0" w:line="171"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Indebtedness</w:t>
      </w:r>
    </w:p>
    <w:p>
      <w:pPr>
        <w:spacing w:after="0" w:line="225"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b w:val="1"/>
          <w:bCs w:val="1"/>
          <w:i w:val="1"/>
          <w:iCs w:val="1"/>
          <w:color w:val="auto"/>
        </w:rPr>
        <w:t xml:space="preserve">Senior Secured Credit Facilities </w:t>
      </w:r>
      <w:r>
        <w:rPr>
          <w:rFonts w:ascii="Arial" w:cs="Arial" w:eastAsia="Arial" w:hAnsi="Arial"/>
          <w:sz w:val="18"/>
          <w:szCs w:val="18"/>
          <w:color w:val="auto"/>
        </w:rPr>
        <w:t>— On March 29, 2012, the Company entered into a Credit Agreement (the “Credit Agreement”) with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wholly owned subsidiary, LPL Holdings, Inc., the other Credit Parties signatory thereto, the Several Lenders signatory thereto, and Bank of America, N.A. as Administrative Agent, Collateral Agent, Letter of Credit Issuer, and Swingline Lender. The Credit Agreement refinanced and replaced the Company’s Third Amended and Restated Credit Agreement, dated as of May 24, 2010 (the "Original Credit Agreement").</w:t>
      </w:r>
    </w:p>
    <w:p>
      <w:pPr>
        <w:spacing w:after="0" w:line="199"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Pursuant to the Credit Agreement, the Company established a Term Loan A of $735.0 million maturing on March 29, 2017 (the "Term Loan A"), a Term Loan B of $615.0 million maturing on March 29, 2019 (the "Term Loan B") and a revolving credit facility with borrowing capacity of $250.0 million maturing on March 29, 2017 (the "Revolving Credit Facility"). In connection with the Credit Agreement, the Company incurred $23.7 million in costs that are capitalized as debt issuance costs in the unaudited condensed consolidated statements of financial condition.</w:t>
      </w:r>
    </w:p>
    <w:p>
      <w:pPr>
        <w:spacing w:after="0" w:line="206"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The Revolving Credit Facility was undrawn at September 30, 2012 and at closing. As of September 30, 2012, the Revolving Credit Facility was being used to support the issuance of $31.3 million of irrevocable letters of credit for the construction of the Company's future San Diego office building, the Company's subsidiary The Private Trust Company N.A. ("PTC") and other items.</w:t>
      </w:r>
    </w:p>
    <w:p>
      <w:pPr>
        <w:spacing w:after="0" w:line="202"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Quarterly repayments of the principal for Term Loan A will total 5.0% per year for years one and two, and 10.0% per year for years three, four, and five, with the remaining principal due upon maturity. Quarterly repayments of the principal for Term Loan B will total 1.0% per year with the remaining principal due upon maturity. Any outstanding principal under the Revolving Credit Facility will be due upon maturity.</w:t>
      </w:r>
    </w:p>
    <w:p>
      <w:pPr>
        <w:spacing w:after="0" w:line="202" w:lineRule="exact"/>
        <w:rPr>
          <w:sz w:val="20"/>
          <w:szCs w:val="20"/>
          <w:color w:val="auto"/>
        </w:rPr>
      </w:pPr>
    </w:p>
    <w:p>
      <w:pPr>
        <w:ind w:right="80" w:firstLine="486"/>
        <w:spacing w:after="0" w:line="262" w:lineRule="auto"/>
        <w:rPr>
          <w:sz w:val="20"/>
          <w:szCs w:val="20"/>
          <w:color w:val="auto"/>
        </w:rPr>
      </w:pPr>
      <w:r>
        <w:rPr>
          <w:rFonts w:ascii="Arial" w:cs="Arial" w:eastAsia="Arial" w:hAnsi="Arial"/>
          <w:sz w:val="18"/>
          <w:szCs w:val="18"/>
          <w:color w:val="auto"/>
        </w:rPr>
        <w:t>Borrowings under the Credit Agreement bear interest at a base rate equal to either one, two, three, six, nine or twelve-month LIBOR (the "Eurodollar Rate") plus the applicable margin, or an alternative base rate (“ABR”) plus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41" w:right="239" w:bottom="1440" w:gutter="0" w:footer="0" w:header="0"/>
        </w:sectPr>
      </w:pPr>
    </w:p>
    <w:bookmarkStart w:id="19" w:name="page20"/>
    <w:bookmarkEnd w:id="19"/>
    <w:p>
      <w:pPr>
        <w:jc w:val="center"/>
        <w:ind w:right="-3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9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applicable margin. The ABR is equal to the greatest of (a) the prime rate in effect on such day, (b) the effective federal funds rate in effect on such day plus 0.50%, (c) the Eurodollar Rate plus 1.00% and (d) solely in the case of Term Loan B, 2.00%. The Company may voluntarily repay outstanding loans under its Credit Agreement at any time without premium or penalty, other than customary breakage costs with respect to LIBOR loans and with the exception of certain repricing transactions in respect of the Term Loan B consummated before March 29, 2013, which will be subject to a premium of 1.0% of the principal amount of Term Loan B subject to such repricing transaction.</w:t>
      </w:r>
    </w:p>
    <w:p>
      <w:pPr>
        <w:spacing w:after="0" w:line="206" w:lineRule="exact"/>
        <w:rPr>
          <w:sz w:val="20"/>
          <w:szCs w:val="20"/>
          <w:color w:val="auto"/>
        </w:rPr>
      </w:pPr>
    </w:p>
    <w:p>
      <w:pPr>
        <w:ind w:right="120" w:firstLine="486"/>
        <w:spacing w:after="0" w:line="262" w:lineRule="auto"/>
        <w:rPr>
          <w:sz w:val="20"/>
          <w:szCs w:val="20"/>
          <w:color w:val="auto"/>
        </w:rPr>
      </w:pPr>
      <w:r>
        <w:rPr>
          <w:rFonts w:ascii="Arial" w:cs="Arial" w:eastAsia="Arial" w:hAnsi="Arial"/>
          <w:sz w:val="18"/>
          <w:szCs w:val="18"/>
          <w:color w:val="auto"/>
        </w:rPr>
        <w:t>The Credit Agreement subjects the Company to certain financial and non-financial covenants. As of September 30, 2012, the Company was in compliance with such covenants.</w:t>
      </w:r>
    </w:p>
    <w:p>
      <w:pPr>
        <w:spacing w:after="0" w:line="196" w:lineRule="exact"/>
        <w:rPr>
          <w:sz w:val="20"/>
          <w:szCs w:val="20"/>
          <w:color w:val="auto"/>
        </w:rPr>
      </w:pPr>
    </w:p>
    <w:p>
      <w:pPr>
        <w:ind w:right="240" w:firstLine="486"/>
        <w:spacing w:after="0" w:line="254" w:lineRule="auto"/>
        <w:rPr>
          <w:sz w:val="20"/>
          <w:szCs w:val="20"/>
          <w:color w:val="auto"/>
        </w:rPr>
      </w:pPr>
      <w:r>
        <w:rPr>
          <w:rFonts w:ascii="Arial" w:cs="Arial" w:eastAsia="Arial" w:hAnsi="Arial"/>
          <w:sz w:val="18"/>
          <w:szCs w:val="18"/>
          <w:color w:val="auto"/>
        </w:rPr>
        <w:t>The applicable margin for borrowings with respect to the (a) Term Loan A is currently 1.50% for base rate borrowings and 2.50% for LIBOR borrowings; and (b) Term Loan B is currently 2.00% for base rate borrowings and 3.00% for LIBOR borrowings. The LIBOR rate with respect to the Term Loan B shall in no event be less than 1.00%. The applicable margin for borrowings under the Revolving Credit Facility is currently 1.50% for base rate borrowings and 2.50% for LIBOR borrowings with a commitment fee of 0.50%.</w:t>
      </w:r>
    </w:p>
    <w:p>
      <w:pPr>
        <w:spacing w:after="0" w:line="204"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On March 29, 2012, the Company used proceeds from borrowings under the Credit Agreement to repay all outstanding principal borrowings under the Original Credit Agreement. Accordingly, in the first quarter of 2012, the Company accelerated the recognition of $16.5 million of debt issuance costs related to borrowings under the Original Credit Agreement, which has been recorded as loss on extinguishment of debt within the unaudited condensed consolidated statements of income. Prior to the repayment, the Original Credit Agreement consisted of three term loan tranches: a $ 302.5 million term loan facility with a maturity of June 18, 2013 (the "2013 Term Loans"), a $476.9 million term loan facility with a maturity of June 25, 2015 (the "2015 Term Loans") and a $553.2 million term loan facility with a maturity of June 28, 2017 (the "2017 Term Loans"). The Original Credit Agreement also subjected the Company to certain financial and non-financial covenants. As of December 31, 2011 the Company was in compliance with all such covenants.</w:t>
      </w:r>
    </w:p>
    <w:p>
      <w:pPr>
        <w:spacing w:after="0" w:line="206"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The Original Credit Agreement included a revolving credit facility of $163.5 million, which had a maturity date of June 28, 2013, with a commitment fee of 0.75%. Borrowings were priced at LIBOR + 3.50%. Such facility had no outstanding balance at December 31, 2011 and has been replaced by the Revolving Credit Facility.</w:t>
      </w:r>
    </w:p>
    <w:p>
      <w:pPr>
        <w:spacing w:after="0" w:line="202"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The applicable margin for borrowings under the Original Credit Agreement with respect to the (a) 2013 Term Loans was 0.75% for base rate borrowings and 1.75% for LIBOR borrowings, (b) 2015 Term Loans was 1.75% for base rate borrowings and 2.75% for LIBOR borrowings, and (c) 2017 Term Loans was 2.75% for base rate borrowings and 3.75% for LIBOR borrowings. The LIBOR Rate with respect to the 2015 Term Loans and the 2017 Term Loans had a floor of 1.50%.</w:t>
      </w:r>
    </w:p>
    <w:p>
      <w:pPr>
        <w:spacing w:after="0" w:line="182" w:lineRule="exact"/>
        <w:rPr>
          <w:sz w:val="20"/>
          <w:szCs w:val="20"/>
          <w:color w:val="auto"/>
        </w:rPr>
      </w:pPr>
    </w:p>
    <w:p>
      <w:pPr>
        <w:ind w:right="180" w:firstLine="486"/>
        <w:spacing w:after="0" w:line="262" w:lineRule="auto"/>
        <w:rPr>
          <w:sz w:val="20"/>
          <w:szCs w:val="20"/>
          <w:color w:val="auto"/>
        </w:rPr>
      </w:pPr>
      <w:r>
        <w:rPr>
          <w:rFonts w:ascii="Arial" w:cs="Arial" w:eastAsia="Arial" w:hAnsi="Arial"/>
          <w:sz w:val="18"/>
          <w:szCs w:val="18"/>
          <w:b w:val="1"/>
          <w:bCs w:val="1"/>
          <w:i w:val="1"/>
          <w:iCs w:val="1"/>
          <w:color w:val="auto"/>
        </w:rPr>
        <w:t xml:space="preserve">Bank Loans Payable </w:t>
      </w:r>
      <w:r>
        <w:rPr>
          <w:rFonts w:ascii="Arial" w:cs="Arial" w:eastAsia="Arial" w:hAnsi="Arial"/>
          <w:sz w:val="18"/>
          <w:szCs w:val="18"/>
          <w:color w:val="auto"/>
        </w:rPr>
        <w:t>— The Company maintains three uncommitted lines of credit. Two of the lines have an unspecified limit, and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dependent on the Company’s ability to provide sufficient collateral. The other line has a $150.0 million limit and allows for both collateralized and uncollateralized borrowings. Certain lines were utilized in 2012 and 2011; however, there were no balances outstanding at September 30, 2012 or December 31, 2011.</w:t>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41" w:right="27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outstanding borrowings were as follows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6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September 30, 2012</w:t>
            </w:r>
          </w:p>
        </w:tc>
        <w:tc>
          <w:tcPr>
            <w:tcW w:w="5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December 31, 2011</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6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Interest</w:t>
            </w: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Interest</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3620" w:type="dxa"/>
            <w:vAlign w:val="bottom"/>
          </w:tcPr>
          <w:p>
            <w:pPr>
              <w:spacing w:after="0"/>
              <w:rPr>
                <w:sz w:val="21"/>
                <w:szCs w:val="21"/>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Maturity</w:t>
            </w:r>
          </w:p>
        </w:tc>
        <w:tc>
          <w:tcPr>
            <w:tcW w:w="180" w:type="dxa"/>
            <w:vAlign w:val="bottom"/>
          </w:tcPr>
          <w:p>
            <w:pPr>
              <w:spacing w:after="0"/>
              <w:rPr>
                <w:sz w:val="21"/>
                <w:szCs w:val="21"/>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rPr>
              <w:t>Balance</w:t>
            </w:r>
          </w:p>
        </w:tc>
        <w:tc>
          <w:tcPr>
            <w:tcW w:w="120" w:type="dxa"/>
            <w:vAlign w:val="bottom"/>
          </w:tcPr>
          <w:p>
            <w:pPr>
              <w:spacing w:after="0"/>
              <w:rPr>
                <w:sz w:val="21"/>
                <w:szCs w:val="21"/>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rPr>
              <w:t>Rate</w:t>
            </w: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rPr>
              <w:t>Balance</w:t>
            </w:r>
          </w:p>
        </w:tc>
        <w:tc>
          <w:tcPr>
            <w:tcW w:w="100" w:type="dxa"/>
            <w:vAlign w:val="bottom"/>
          </w:tcPr>
          <w:p>
            <w:pPr>
              <w:spacing w:after="0"/>
              <w:rPr>
                <w:sz w:val="21"/>
                <w:szCs w:val="21"/>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rPr>
              <w:t>Rate</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620" w:type="dxa"/>
            <w:vAlign w:val="bottom"/>
          </w:tcPr>
          <w:p>
            <w:pPr>
              <w:ind w:left="80"/>
              <w:spacing w:after="0"/>
              <w:rPr>
                <w:sz w:val="20"/>
                <w:szCs w:val="20"/>
                <w:color w:val="auto"/>
              </w:rPr>
            </w:pPr>
            <w:r>
              <w:rPr>
                <w:rFonts w:ascii="Arial" w:cs="Arial" w:eastAsia="Arial" w:hAnsi="Arial"/>
                <w:sz w:val="18"/>
                <w:szCs w:val="18"/>
                <w:color w:val="auto"/>
              </w:rPr>
              <w:t>Senior secured term loans:</w:t>
            </w:r>
          </w:p>
        </w:tc>
        <w:tc>
          <w:tcPr>
            <w:tcW w:w="13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Hedged with an interest rate swap(1)</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6/28/2013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65,000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63"/>
        </w:trPr>
        <w:tc>
          <w:tcPr>
            <w:tcW w:w="3620" w:type="dxa"/>
            <w:vAlign w:val="bottom"/>
          </w:tcPr>
          <w:p>
            <w:pPr>
              <w:ind w:left="360"/>
              <w:spacing w:after="0"/>
              <w:rPr>
                <w:sz w:val="20"/>
                <w:szCs w:val="20"/>
                <w:color w:val="auto"/>
              </w:rPr>
            </w:pPr>
            <w:r>
              <w:rPr>
                <w:rFonts w:ascii="Arial" w:cs="Arial" w:eastAsia="Arial" w:hAnsi="Arial"/>
                <w:sz w:val="18"/>
                <w:szCs w:val="18"/>
                <w:color w:val="auto"/>
              </w:rPr>
              <w:t>Unhedged:</w:t>
            </w: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6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2013 Term Loans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6/28/2013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237,489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63"/>
        </w:trPr>
        <w:tc>
          <w:tcPr>
            <w:tcW w:w="3620" w:type="dxa"/>
            <w:vAlign w:val="bottom"/>
          </w:tcPr>
          <w:p>
            <w:pPr>
              <w:ind w:left="540"/>
              <w:spacing w:after="0"/>
              <w:rPr>
                <w:sz w:val="20"/>
                <w:szCs w:val="20"/>
                <w:color w:val="auto"/>
              </w:rPr>
            </w:pPr>
            <w:r>
              <w:rPr>
                <w:rFonts w:ascii="Arial" w:cs="Arial" w:eastAsia="Arial" w:hAnsi="Arial"/>
                <w:sz w:val="18"/>
                <w:szCs w:val="18"/>
                <w:color w:val="auto"/>
              </w:rPr>
              <w:t>2015 Term Loans</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6/25/2015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476,935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4.25%</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7"/>
        </w:trPr>
        <w:tc>
          <w:tcPr>
            <w:tcW w:w="36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2017 Term Loans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6/28/2017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553,244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63"/>
        </w:trPr>
        <w:tc>
          <w:tcPr>
            <w:tcW w:w="3620" w:type="dxa"/>
            <w:vAlign w:val="bottom"/>
          </w:tcPr>
          <w:p>
            <w:pPr>
              <w:jc w:val="center"/>
              <w:ind w:right="830"/>
              <w:spacing w:after="0"/>
              <w:rPr>
                <w:sz w:val="20"/>
                <w:szCs w:val="20"/>
                <w:color w:val="auto"/>
              </w:rPr>
            </w:pPr>
            <w:r>
              <w:rPr>
                <w:rFonts w:ascii="Arial" w:cs="Arial" w:eastAsia="Arial" w:hAnsi="Arial"/>
                <w:sz w:val="18"/>
                <w:szCs w:val="18"/>
                <w:color w:val="auto"/>
                <w:w w:val="97"/>
              </w:rPr>
              <w:t>Term Loan A</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3/29/2017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716,625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2.72%</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620" w:type="dxa"/>
            <w:vAlign w:val="bottom"/>
            <w:shd w:val="clear" w:color="auto" w:fill="CCEEFF"/>
          </w:tcPr>
          <w:p>
            <w:pPr>
              <w:jc w:val="center"/>
              <w:ind w:right="830"/>
              <w:spacing w:after="0"/>
              <w:rPr>
                <w:sz w:val="20"/>
                <w:szCs w:val="20"/>
                <w:color w:val="auto"/>
              </w:rPr>
            </w:pPr>
            <w:r>
              <w:rPr>
                <w:rFonts w:ascii="Arial" w:cs="Arial" w:eastAsia="Arial" w:hAnsi="Arial"/>
                <w:sz w:val="18"/>
                <w:szCs w:val="18"/>
                <w:color w:val="auto"/>
                <w:w w:val="97"/>
              </w:rPr>
              <w:t>Term Loan B</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3/29/2019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611,925</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5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620" w:type="dxa"/>
            <w:vAlign w:val="bottom"/>
          </w:tcPr>
          <w:p>
            <w:pPr>
              <w:jc w:val="center"/>
              <w:ind w:right="850"/>
              <w:spacing w:after="0"/>
              <w:rPr>
                <w:sz w:val="20"/>
                <w:szCs w:val="20"/>
                <w:color w:val="auto"/>
              </w:rPr>
            </w:pPr>
            <w:r>
              <w:rPr>
                <w:rFonts w:ascii="Arial" w:cs="Arial" w:eastAsia="Arial" w:hAnsi="Arial"/>
                <w:sz w:val="18"/>
                <w:szCs w:val="18"/>
                <w:color w:val="auto"/>
                <w:w w:val="99"/>
              </w:rPr>
              <w:t>Total borrowings</w:t>
            </w: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1,328,550</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1,332,668</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3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current borrowings (maturities</w:t>
            </w: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within 12 months)</w:t>
            </w: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42,900</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13,971</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620" w:type="dxa"/>
            <w:vAlign w:val="bottom"/>
          </w:tcPr>
          <w:p>
            <w:pPr>
              <w:ind w:left="180"/>
              <w:spacing w:after="0"/>
              <w:rPr>
                <w:sz w:val="20"/>
                <w:szCs w:val="20"/>
                <w:color w:val="auto"/>
              </w:rPr>
            </w:pPr>
            <w:r>
              <w:rPr>
                <w:rFonts w:ascii="Arial" w:cs="Arial" w:eastAsia="Arial" w:hAnsi="Arial"/>
                <w:sz w:val="18"/>
                <w:szCs w:val="18"/>
                <w:color w:val="auto"/>
              </w:rPr>
              <w:t>Long-term borrowings — net of current</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1,285,650</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color w:val="auto"/>
              </w:rPr>
              <w:t>1,318,697</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20" w:type="dxa"/>
            <w:vAlign w:val="bottom"/>
          </w:tcPr>
          <w:p>
            <w:pPr>
              <w:ind w:left="180"/>
              <w:spacing w:after="0"/>
              <w:rPr>
                <w:sz w:val="20"/>
                <w:szCs w:val="20"/>
                <w:color w:val="auto"/>
              </w:rPr>
            </w:pPr>
            <w:r>
              <w:rPr>
                <w:rFonts w:ascii="Arial" w:cs="Arial" w:eastAsia="Arial" w:hAnsi="Arial"/>
                <w:sz w:val="18"/>
                <w:szCs w:val="18"/>
                <w:color w:val="auto"/>
              </w:rPr>
              <w:t>portion</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0</wp:posOffset>
            </wp:positionV>
            <wp:extent cx="7715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71525" cy="8890"/>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17145</wp:posOffset>
            </wp:positionV>
            <wp:extent cx="7715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71525" cy="8890"/>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0</wp:posOffset>
            </wp:positionV>
            <wp:extent cx="7715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71525" cy="8890"/>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17145</wp:posOffset>
            </wp:positionV>
            <wp:extent cx="7715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9"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had an interest rate swap with a notional balance of $65.0 million that matured on June 30, 2012.</w:t>
      </w:r>
    </w:p>
    <w:p>
      <w:pPr>
        <w:spacing w:after="0" w:line="117" w:lineRule="exact"/>
        <w:rPr>
          <w:rFonts w:ascii="Arial" w:cs="Arial" w:eastAsia="Arial" w:hAnsi="Arial"/>
          <w:sz w:val="18"/>
          <w:szCs w:val="18"/>
          <w:color w:val="auto"/>
        </w:rPr>
      </w:pPr>
    </w:p>
    <w:p>
      <w:pPr>
        <w:ind w:left="660" w:right="180" w:hanging="652"/>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of September 30, 2012, the variable interest rate for Term Loan A is based on the one-month LIBOR of 0.22%, plus the applicable interest rate margin of 2.50%.</w:t>
      </w:r>
    </w:p>
    <w:p>
      <w:pPr>
        <w:spacing w:after="0" w:line="88" w:lineRule="exact"/>
        <w:rPr>
          <w:rFonts w:ascii="Arial" w:cs="Arial" w:eastAsia="Arial" w:hAnsi="Arial"/>
          <w:sz w:val="18"/>
          <w:szCs w:val="18"/>
          <w:color w:val="auto"/>
        </w:rPr>
      </w:pPr>
    </w:p>
    <w:p>
      <w:pPr>
        <w:ind w:left="660" w:right="440" w:hanging="652"/>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of September 30, 2012, the variable interest rate for Term Loan B is based on the greater of the one-month LIBOR of 0.22% or 1.00%, plus the applicable interest rate margin of 3.00%.</w:t>
      </w:r>
    </w:p>
    <w:p>
      <w:pPr>
        <w:spacing w:after="0" w:line="88" w:lineRule="exact"/>
        <w:rPr>
          <w:rFonts w:ascii="Arial" w:cs="Arial" w:eastAsia="Arial" w:hAnsi="Arial"/>
          <w:sz w:val="18"/>
          <w:szCs w:val="18"/>
          <w:color w:val="auto"/>
        </w:rPr>
      </w:pPr>
    </w:p>
    <w:p>
      <w:pPr>
        <w:ind w:left="660" w:right="60" w:hanging="652"/>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of December 31, 2011, the variable interest rate for the hedged portion of the 2013 Term Loans is based on the three-month LIBOR of 0.58%, plus the applicable interest rate margin of 1.75%.</w:t>
      </w:r>
    </w:p>
    <w:p>
      <w:pPr>
        <w:spacing w:after="0" w:line="88" w:lineRule="exact"/>
        <w:rPr>
          <w:rFonts w:ascii="Arial" w:cs="Arial" w:eastAsia="Arial" w:hAnsi="Arial"/>
          <w:sz w:val="18"/>
          <w:szCs w:val="18"/>
          <w:color w:val="auto"/>
        </w:rPr>
      </w:pPr>
    </w:p>
    <w:p>
      <w:pPr>
        <w:ind w:left="660" w:right="560" w:hanging="652"/>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of December 31, 2011, the variable interest rate for the unhedged portion of the 2013 Term Loans is based on the one-month LIBOR of 0.30%, plus the applicable interest rate margin of 1.75%.</w:t>
      </w:r>
    </w:p>
    <w:p>
      <w:pPr>
        <w:spacing w:after="0" w:line="88" w:lineRule="exact"/>
        <w:rPr>
          <w:rFonts w:ascii="Arial" w:cs="Arial" w:eastAsia="Arial" w:hAnsi="Arial"/>
          <w:sz w:val="18"/>
          <w:szCs w:val="18"/>
          <w:color w:val="auto"/>
        </w:rPr>
      </w:pPr>
    </w:p>
    <w:p>
      <w:pPr>
        <w:ind w:left="660" w:right="340" w:hanging="652"/>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of December 31, 2011, the variable interest rate for the unhedged portion of the 2015 Term Loans is based on the greater of the one-month LIBOR of 0.30% or 1.50%, plus the applicable interest rate margin of 2.75%.</w:t>
      </w:r>
    </w:p>
    <w:p>
      <w:pPr>
        <w:spacing w:after="0" w:line="88" w:lineRule="exact"/>
        <w:rPr>
          <w:rFonts w:ascii="Arial" w:cs="Arial" w:eastAsia="Arial" w:hAnsi="Arial"/>
          <w:sz w:val="18"/>
          <w:szCs w:val="18"/>
          <w:color w:val="auto"/>
        </w:rPr>
      </w:pPr>
    </w:p>
    <w:p>
      <w:pPr>
        <w:ind w:left="660" w:right="340" w:hanging="652"/>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of December 31, 2011, the variable interest rate for the unhedged portion of the 2017 Term Loans is based on the greater of the one-month LIBOR of 0.30% or 1.50%, plus the applicable interest rate margin of 3.75%.</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combined average balance outstanding in the uncommitted line of credit facilities was approximately eleven thousand dollars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$0.4 million for the three months ended September 30, 2012 and 2011, respectively, and $0.1 million for the nine months ended September 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2012 and 2011, respectively. The weighted-average interest rate was 4.50% and 1.00% for the three months ended September 30, 2012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2011, respectively, and 1.63% and 1.00% for the nine months ended September 30, 2012 and 2011, respectively.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4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90" w:lineRule="exact"/>
        <w:rPr>
          <w:sz w:val="20"/>
          <w:szCs w:val="20"/>
          <w:color w:val="auto"/>
        </w:rPr>
      </w:pPr>
    </w:p>
    <w:p>
      <w:pPr>
        <w:ind w:right="500" w:firstLine="486"/>
        <w:spacing w:after="0" w:line="262" w:lineRule="auto"/>
        <w:rPr>
          <w:sz w:val="20"/>
          <w:szCs w:val="20"/>
          <w:color w:val="auto"/>
        </w:rPr>
      </w:pPr>
      <w:r>
        <w:rPr>
          <w:rFonts w:ascii="Arial" w:cs="Arial" w:eastAsia="Arial" w:hAnsi="Arial"/>
          <w:sz w:val="18"/>
          <w:szCs w:val="18"/>
          <w:color w:val="auto"/>
        </w:rPr>
        <w:t>The minimum calendar year payments and maturities of the senior secured borrowings as of September 30, 2012 are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2012 — remainder</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10,725</w:t>
            </w:r>
          </w:p>
        </w:tc>
      </w:tr>
      <w:tr>
        <w:trPr>
          <w:trHeight w:val="250"/>
        </w:trPr>
        <w:tc>
          <w:tcPr>
            <w:tcW w:w="9940" w:type="dxa"/>
            <w:vAlign w:val="bottom"/>
          </w:tcPr>
          <w:p>
            <w:pPr>
              <w:ind w:left="80"/>
              <w:spacing w:after="0"/>
              <w:rPr>
                <w:sz w:val="20"/>
                <w:szCs w:val="20"/>
                <w:color w:val="auto"/>
              </w:rPr>
            </w:pPr>
            <w:r>
              <w:rPr>
                <w:rFonts w:ascii="Arial" w:cs="Arial" w:eastAsia="Arial" w:hAnsi="Arial"/>
                <w:sz w:val="18"/>
                <w:szCs w:val="18"/>
                <w:color w:val="auto"/>
              </w:rPr>
              <w:t>2013</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42,900</w:t>
            </w:r>
          </w:p>
        </w:tc>
      </w:tr>
      <w:tr>
        <w:trPr>
          <w:trHeight w:val="263"/>
        </w:trPr>
        <w:tc>
          <w:tcPr>
            <w:tcW w:w="9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2014</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70,463</w:t>
            </w:r>
          </w:p>
        </w:tc>
      </w:tr>
      <w:tr>
        <w:trPr>
          <w:trHeight w:val="250"/>
        </w:trPr>
        <w:tc>
          <w:tcPr>
            <w:tcW w:w="9940" w:type="dxa"/>
            <w:vAlign w:val="bottom"/>
          </w:tcPr>
          <w:p>
            <w:pPr>
              <w:ind w:left="80"/>
              <w:spacing w:after="0"/>
              <w:rPr>
                <w:sz w:val="20"/>
                <w:szCs w:val="20"/>
                <w:color w:val="auto"/>
              </w:rPr>
            </w:pPr>
            <w:r>
              <w:rPr>
                <w:rFonts w:ascii="Arial" w:cs="Arial" w:eastAsia="Arial" w:hAnsi="Arial"/>
                <w:sz w:val="18"/>
                <w:szCs w:val="18"/>
                <w:color w:val="auto"/>
              </w:rPr>
              <w:t>2015</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79,650</w:t>
            </w:r>
          </w:p>
        </w:tc>
      </w:tr>
      <w:tr>
        <w:trPr>
          <w:trHeight w:val="263"/>
        </w:trPr>
        <w:tc>
          <w:tcPr>
            <w:tcW w:w="9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2016</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79,650</w:t>
            </w:r>
          </w:p>
        </w:tc>
      </w:tr>
      <w:tr>
        <w:trPr>
          <w:trHeight w:val="250"/>
        </w:trPr>
        <w:tc>
          <w:tcPr>
            <w:tcW w:w="99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Thereafter</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1,045,162</w:t>
            </w:r>
          </w:p>
        </w:tc>
      </w:tr>
      <w:tr>
        <w:trPr>
          <w:trHeight w:val="257"/>
        </w:trPr>
        <w:tc>
          <w:tcPr>
            <w:tcW w:w="9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1,328,550</w:t>
            </w:r>
          </w:p>
        </w:tc>
      </w:tr>
      <w:tr>
        <w:trPr>
          <w:trHeight w:val="20"/>
        </w:trPr>
        <w:tc>
          <w:tcPr>
            <w:tcW w:w="9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5" w:lineRule="exact"/>
        <w:rPr>
          <w:sz w:val="20"/>
          <w:szCs w:val="20"/>
          <w:color w:val="auto"/>
        </w:rPr>
      </w:pPr>
    </w:p>
    <w:p>
      <w:pPr>
        <w:ind w:right="100" w:firstLine="486"/>
        <w:spacing w:after="0" w:line="287" w:lineRule="auto"/>
        <w:rPr>
          <w:sz w:val="20"/>
          <w:szCs w:val="20"/>
          <w:color w:val="auto"/>
        </w:rPr>
      </w:pPr>
      <w:r>
        <w:rPr>
          <w:rFonts w:ascii="Arial" w:cs="Arial" w:eastAsia="Arial" w:hAnsi="Arial"/>
          <w:sz w:val="18"/>
          <w:szCs w:val="18"/>
          <w:b w:val="1"/>
          <w:bCs w:val="1"/>
          <w:i w:val="1"/>
          <w:iCs w:val="1"/>
          <w:color w:val="auto"/>
        </w:rPr>
        <w:t xml:space="preserve">Leases </w:t>
      </w:r>
      <w:r>
        <w:rPr>
          <w:rFonts w:ascii="Arial" w:cs="Arial" w:eastAsia="Arial" w:hAnsi="Arial"/>
          <w:sz w:val="18"/>
          <w:szCs w:val="18"/>
          <w:color w:val="auto"/>
        </w:rPr>
        <w:t>— The Company leases certain office space and equipment under various operating leases. These leases are generally subject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scheduled base rent and maintenance cost increases, which are recognized on a straight-line basis over the period of the leases.</w:t>
      </w:r>
    </w:p>
    <w:p>
      <w:pPr>
        <w:spacing w:after="0" w:line="153" w:lineRule="exact"/>
        <w:rPr>
          <w:sz w:val="20"/>
          <w:szCs w:val="20"/>
          <w:color w:val="auto"/>
        </w:rPr>
      </w:pPr>
    </w:p>
    <w:p>
      <w:pPr>
        <w:ind w:right="640" w:firstLine="486"/>
        <w:spacing w:after="0" w:line="287" w:lineRule="auto"/>
        <w:rPr>
          <w:sz w:val="20"/>
          <w:szCs w:val="20"/>
          <w:color w:val="auto"/>
        </w:rPr>
      </w:pPr>
      <w:r>
        <w:rPr>
          <w:rFonts w:ascii="Arial" w:cs="Arial" w:eastAsia="Arial" w:hAnsi="Arial"/>
          <w:sz w:val="18"/>
          <w:szCs w:val="18"/>
          <w:b w:val="1"/>
          <w:bCs w:val="1"/>
          <w:i w:val="1"/>
          <w:iCs w:val="1"/>
          <w:color w:val="auto"/>
        </w:rPr>
        <w:t xml:space="preserve">Service Contracts </w:t>
      </w:r>
      <w:r>
        <w:rPr>
          <w:rFonts w:ascii="Arial" w:cs="Arial" w:eastAsia="Arial" w:hAnsi="Arial"/>
          <w:sz w:val="18"/>
          <w:szCs w:val="18"/>
          <w:color w:val="auto"/>
        </w:rPr>
        <w:t>— The Company is party to certain long-term contracts for systems and services that enable back office trade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processing and clearing for its product and service offerings.</w:t>
      </w:r>
    </w:p>
    <w:p>
      <w:pPr>
        <w:spacing w:after="0" w:line="175" w:lineRule="exact"/>
        <w:rPr>
          <w:sz w:val="20"/>
          <w:szCs w:val="20"/>
          <w:color w:val="auto"/>
        </w:rPr>
      </w:pPr>
    </w:p>
    <w:p>
      <w:pPr>
        <w:ind w:right="460" w:firstLine="486"/>
        <w:spacing w:after="0" w:line="262" w:lineRule="auto"/>
        <w:rPr>
          <w:sz w:val="20"/>
          <w:szCs w:val="20"/>
          <w:color w:val="auto"/>
        </w:rPr>
      </w:pPr>
      <w:r>
        <w:rPr>
          <w:rFonts w:ascii="Arial" w:cs="Arial" w:eastAsia="Arial" w:hAnsi="Arial"/>
          <w:sz w:val="18"/>
          <w:szCs w:val="18"/>
          <w:color w:val="auto"/>
        </w:rPr>
        <w:t>Future minimum payments under leases, lease commitments and other noncancellable contractual obligations with remaining terms greater than one year as of September 30, 2012, are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2012 - remainder</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6,893</w:t>
            </w:r>
          </w:p>
        </w:tc>
        <w:tc>
          <w:tcPr>
            <w:tcW w:w="0" w:type="dxa"/>
            <w:vAlign w:val="bottom"/>
          </w:tcPr>
          <w:p>
            <w:pPr>
              <w:spacing w:after="0"/>
              <w:rPr>
                <w:sz w:val="1"/>
                <w:szCs w:val="1"/>
                <w:color w:val="auto"/>
              </w:rPr>
            </w:pPr>
          </w:p>
        </w:tc>
      </w:tr>
      <w:tr>
        <w:trPr>
          <w:trHeight w:val="250"/>
        </w:trPr>
        <w:tc>
          <w:tcPr>
            <w:tcW w:w="9940" w:type="dxa"/>
            <w:vAlign w:val="bottom"/>
          </w:tcPr>
          <w:p>
            <w:pPr>
              <w:ind w:left="80"/>
              <w:spacing w:after="0"/>
              <w:rPr>
                <w:sz w:val="20"/>
                <w:szCs w:val="20"/>
                <w:color w:val="auto"/>
              </w:rPr>
            </w:pPr>
            <w:r>
              <w:rPr>
                <w:rFonts w:ascii="Arial" w:cs="Arial" w:eastAsia="Arial" w:hAnsi="Arial"/>
                <w:sz w:val="18"/>
                <w:szCs w:val="18"/>
                <w:color w:val="auto"/>
              </w:rPr>
              <w:t>2013</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27,339</w:t>
            </w:r>
          </w:p>
        </w:tc>
        <w:tc>
          <w:tcPr>
            <w:tcW w:w="0" w:type="dxa"/>
            <w:vAlign w:val="bottom"/>
          </w:tcPr>
          <w:p>
            <w:pPr>
              <w:spacing w:after="0"/>
              <w:rPr>
                <w:sz w:val="1"/>
                <w:szCs w:val="1"/>
                <w:color w:val="auto"/>
              </w:rPr>
            </w:pPr>
          </w:p>
        </w:tc>
      </w:tr>
      <w:tr>
        <w:trPr>
          <w:trHeight w:val="263"/>
        </w:trPr>
        <w:tc>
          <w:tcPr>
            <w:tcW w:w="9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2014</w:t>
            </w: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28,497</w:t>
            </w:r>
          </w:p>
        </w:tc>
        <w:tc>
          <w:tcPr>
            <w:tcW w:w="0" w:type="dxa"/>
            <w:vAlign w:val="bottom"/>
          </w:tcPr>
          <w:p>
            <w:pPr>
              <w:spacing w:after="0"/>
              <w:rPr>
                <w:sz w:val="1"/>
                <w:szCs w:val="1"/>
                <w:color w:val="auto"/>
              </w:rPr>
            </w:pPr>
          </w:p>
        </w:tc>
      </w:tr>
      <w:tr>
        <w:trPr>
          <w:trHeight w:val="250"/>
        </w:trPr>
        <w:tc>
          <w:tcPr>
            <w:tcW w:w="9940" w:type="dxa"/>
            <w:vAlign w:val="bottom"/>
          </w:tcPr>
          <w:p>
            <w:pPr>
              <w:ind w:left="80"/>
              <w:spacing w:after="0"/>
              <w:rPr>
                <w:sz w:val="20"/>
                <w:szCs w:val="20"/>
                <w:color w:val="auto"/>
              </w:rPr>
            </w:pPr>
            <w:r>
              <w:rPr>
                <w:rFonts w:ascii="Arial" w:cs="Arial" w:eastAsia="Arial" w:hAnsi="Arial"/>
                <w:sz w:val="18"/>
                <w:szCs w:val="18"/>
                <w:color w:val="auto"/>
              </w:rPr>
              <w:t>2015</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27,461</w:t>
            </w:r>
          </w:p>
        </w:tc>
        <w:tc>
          <w:tcPr>
            <w:tcW w:w="0" w:type="dxa"/>
            <w:vAlign w:val="bottom"/>
          </w:tcPr>
          <w:p>
            <w:pPr>
              <w:spacing w:after="0"/>
              <w:rPr>
                <w:sz w:val="1"/>
                <w:szCs w:val="1"/>
                <w:color w:val="auto"/>
              </w:rPr>
            </w:pPr>
          </w:p>
        </w:tc>
      </w:tr>
      <w:tr>
        <w:trPr>
          <w:trHeight w:val="263"/>
        </w:trPr>
        <w:tc>
          <w:tcPr>
            <w:tcW w:w="9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2016</w:t>
            </w: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27,319</w:t>
            </w:r>
          </w:p>
        </w:tc>
        <w:tc>
          <w:tcPr>
            <w:tcW w:w="0" w:type="dxa"/>
            <w:vAlign w:val="bottom"/>
          </w:tcPr>
          <w:p>
            <w:pPr>
              <w:spacing w:after="0"/>
              <w:rPr>
                <w:sz w:val="1"/>
                <w:szCs w:val="1"/>
                <w:color w:val="auto"/>
              </w:rPr>
            </w:pPr>
          </w:p>
        </w:tc>
      </w:tr>
      <w:tr>
        <w:trPr>
          <w:trHeight w:val="250"/>
        </w:trPr>
        <w:tc>
          <w:tcPr>
            <w:tcW w:w="99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264,726</w:t>
            </w:r>
          </w:p>
        </w:tc>
        <w:tc>
          <w:tcPr>
            <w:tcW w:w="0" w:type="dxa"/>
            <w:vAlign w:val="bottom"/>
          </w:tcPr>
          <w:p>
            <w:pPr>
              <w:spacing w:after="0"/>
              <w:rPr>
                <w:sz w:val="1"/>
                <w:szCs w:val="1"/>
                <w:color w:val="auto"/>
              </w:rPr>
            </w:pPr>
          </w:p>
        </w:tc>
      </w:tr>
      <w:tr>
        <w:trPr>
          <w:trHeight w:val="257"/>
        </w:trPr>
        <w:tc>
          <w:tcPr>
            <w:tcW w:w="9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Total(1)</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382,235</w:t>
            </w:r>
          </w:p>
        </w:tc>
        <w:tc>
          <w:tcPr>
            <w:tcW w:w="0" w:type="dxa"/>
            <w:vAlign w:val="bottom"/>
          </w:tcPr>
          <w:p>
            <w:pPr>
              <w:spacing w:after="0"/>
              <w:rPr>
                <w:sz w:val="1"/>
                <w:szCs w:val="1"/>
                <w:color w:val="auto"/>
              </w:rPr>
            </w:pPr>
          </w:p>
        </w:tc>
      </w:tr>
      <w:tr>
        <w:trPr>
          <w:trHeight w:val="20"/>
        </w:trPr>
        <w:tc>
          <w:tcPr>
            <w:tcW w:w="994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9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120" w:hanging="652"/>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Minimum payments have not been reduced by minimum sublease rental income of $5.2 million due in the future under noncancellable subleases.</w:t>
      </w:r>
    </w:p>
    <w:p>
      <w:pPr>
        <w:spacing w:after="0" w:line="196"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Included in the schedule of future minimum payments above is a fifteen-year lease commitment that was executed in December 2011 for the Company's future San Diego office building with a lease commencement date of May 1, 2014. Future minimum payments for this lease commitment are $9.6 million, $14.8 million, $15.4 million and $236.8 million for the years 2014, 2015, 2016 and thereafter, respectively.</w:t>
      </w:r>
    </w:p>
    <w:p>
      <w:pPr>
        <w:spacing w:after="0" w:line="202" w:lineRule="exact"/>
        <w:rPr>
          <w:sz w:val="20"/>
          <w:szCs w:val="20"/>
          <w:color w:val="auto"/>
        </w:rPr>
      </w:pPr>
    </w:p>
    <w:p>
      <w:pPr>
        <w:ind w:right="200" w:firstLine="486"/>
        <w:spacing w:after="0" w:line="262" w:lineRule="auto"/>
        <w:rPr>
          <w:sz w:val="20"/>
          <w:szCs w:val="20"/>
          <w:color w:val="auto"/>
        </w:rPr>
      </w:pPr>
      <w:r>
        <w:rPr>
          <w:rFonts w:ascii="Arial" w:cs="Arial" w:eastAsia="Arial" w:hAnsi="Arial"/>
          <w:sz w:val="18"/>
          <w:szCs w:val="18"/>
          <w:color w:val="auto"/>
        </w:rPr>
        <w:t>Total rental expense for all operating leases was approximately $5.0 million and $4.2 million for the three months ended September 30, 2012 and 2011, respectively, and $14.1 million and $12.9 million for the nine months ended September 30, 2012 and 2011, respectively.</w:t>
      </w:r>
    </w:p>
    <w:p>
      <w:pPr>
        <w:spacing w:after="0" w:line="174" w:lineRule="exact"/>
        <w:rPr>
          <w:sz w:val="20"/>
          <w:szCs w:val="20"/>
          <w:color w:val="auto"/>
        </w:rPr>
      </w:pPr>
    </w:p>
    <w:p>
      <w:pPr>
        <w:jc w:val="both"/>
        <w:ind w:right="240" w:firstLine="486"/>
        <w:spacing w:after="0" w:line="269" w:lineRule="auto"/>
        <w:rPr>
          <w:sz w:val="20"/>
          <w:szCs w:val="20"/>
          <w:color w:val="auto"/>
        </w:rPr>
      </w:pPr>
      <w:r>
        <w:rPr>
          <w:rFonts w:ascii="Arial" w:cs="Arial" w:eastAsia="Arial" w:hAnsi="Arial"/>
          <w:sz w:val="18"/>
          <w:szCs w:val="18"/>
          <w:b w:val="1"/>
          <w:bCs w:val="1"/>
          <w:i w:val="1"/>
          <w:iCs w:val="1"/>
          <w:color w:val="auto"/>
        </w:rPr>
        <w:t xml:space="preserve">Guarantees </w:t>
      </w:r>
      <w:r>
        <w:rPr>
          <w:rFonts w:ascii="Arial" w:cs="Arial" w:eastAsia="Arial" w:hAnsi="Arial"/>
          <w:sz w:val="18"/>
          <w:szCs w:val="18"/>
          <w:color w:val="auto"/>
        </w:rPr>
        <w:t>— The Company occasionally enters into certain types of contracts that contingently require it to indemnify certain parties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against third-party claims. The terms of these obligations vary and, because a maximum obligation is not explicitly stated, the Company has determined that it is not possible to make an estimate of the amount that it could be obligated to pay under such contracts.</w:t>
      </w:r>
    </w:p>
    <w:p>
      <w:pPr>
        <w:spacing w:after="0" w:line="190"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Company’s subsidiary, LPL Financial, provides guarantees to securities clearing houses and exchanges under their standard membership agreements, which require a member to guarantee the performance of other members. Under these agreements, if a member becomes unable to satisfy its obligations to the clearing houses and exchanges, all other members would be required to meet any shortfall. The Company’s liability under these arrangements is not quantifiable and may exceed the cash and securities it has posted as collateral. However, the potential requirement for the Company to make payments under these agreements is remote. Accordingly, no liability has been recognized for these transactions.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41" w:right="2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firstLine="486"/>
        <w:spacing w:after="0" w:line="262" w:lineRule="auto"/>
        <w:rPr>
          <w:sz w:val="20"/>
          <w:szCs w:val="20"/>
          <w:color w:val="auto"/>
        </w:rPr>
      </w:pPr>
      <w:r>
        <w:rPr>
          <w:rFonts w:ascii="Arial" w:cs="Arial" w:eastAsia="Arial" w:hAnsi="Arial"/>
          <w:sz w:val="18"/>
          <w:szCs w:val="18"/>
          <w:b w:val="1"/>
          <w:bCs w:val="1"/>
          <w:i w:val="1"/>
          <w:iCs w:val="1"/>
          <w:color w:val="auto"/>
        </w:rPr>
        <w:t xml:space="preserve">Loan Commitments </w:t>
      </w:r>
      <w:r>
        <w:rPr>
          <w:rFonts w:ascii="Arial" w:cs="Arial" w:eastAsia="Arial" w:hAnsi="Arial"/>
          <w:sz w:val="18"/>
          <w:szCs w:val="18"/>
          <w:color w:val="auto"/>
        </w:rPr>
        <w:t>— From time to time, LPL Financial makes loans to its advisors which may be forgivable, primarily to newly signed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advisors to assist in the transition process. Due to timing differences, LPL Financial may make commitments to issue such loans prior to actually funding them. These commitments are generally contingent upon certain events occurring, including but not limited to the advisor joining LPL Financial. LPL Financial had no significant unfunded commitments at September 30, 2012.</w:t>
      </w:r>
    </w:p>
    <w:p>
      <w:pPr>
        <w:spacing w:after="0" w:line="177"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b w:val="1"/>
          <w:bCs w:val="1"/>
          <w:i w:val="1"/>
          <w:iCs w:val="1"/>
          <w:color w:val="auto"/>
        </w:rPr>
        <w:t xml:space="preserve">Litigation </w:t>
      </w:r>
      <w:r>
        <w:rPr>
          <w:rFonts w:ascii="Arial" w:cs="Arial" w:eastAsia="Arial" w:hAnsi="Arial"/>
          <w:sz w:val="18"/>
          <w:szCs w:val="18"/>
          <w:color w:val="auto"/>
        </w:rPr>
        <w:t>— The Company has been named as a defendant in various legal actions, substantially all of which are arbitrations. In view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inherent difficulty of predicting the outcome of such matters, particularly in cases in which claimants seek substantial or indeterminate damages, the Company cannot predict with certainty what the eventual loss or range of loss related to such matters will be. The Company recognizes a legal liability when it believes it is probable a liability has occurred and the amount can be reasonably estimated. If some amount within a range of loss appears at the time to be a better estimate than any other amount within the range, the Company accrues that amount. When no amount within the range is a better estimate than any other amount, however, the Company accrues the minimum amount in the range.</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records legal reserves and related insurance recoveries for significant or unusual cases on a gross basis.</w:t>
      </w:r>
    </w:p>
    <w:p>
      <w:pPr>
        <w:spacing w:after="0" w:line="225" w:lineRule="exact"/>
        <w:rPr>
          <w:sz w:val="20"/>
          <w:szCs w:val="20"/>
          <w:color w:val="auto"/>
        </w:rPr>
      </w:pPr>
    </w:p>
    <w:p>
      <w:pPr>
        <w:ind w:right="420" w:firstLine="486"/>
        <w:spacing w:after="0" w:line="254" w:lineRule="auto"/>
        <w:rPr>
          <w:sz w:val="20"/>
          <w:szCs w:val="20"/>
          <w:color w:val="auto"/>
        </w:rPr>
      </w:pPr>
      <w:r>
        <w:rPr>
          <w:rFonts w:ascii="Arial" w:cs="Arial" w:eastAsia="Arial" w:hAnsi="Arial"/>
          <w:sz w:val="18"/>
          <w:szCs w:val="18"/>
          <w:color w:val="auto"/>
        </w:rPr>
        <w:t>The Company is subject to and maintains insurance coverage for claims and lawsuits in the ordinary course of business, such as customer complaints or disclosures about risks with securities purchased, as well as various arbitrations and other litigation matters. With respect to these matters, the estimated losses on the majority of pending matters are less than the applicable deductibles of the insurance policies, and matters with estimated losses in excess of the applicable deductibles are not, in the aggregate, material.</w:t>
      </w:r>
    </w:p>
    <w:p>
      <w:pPr>
        <w:spacing w:after="0" w:line="204"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Defense costs are expensed as incurred and classified as professional services within the unaudited condensed consolidated statements of income. When there is indemnification or insurance, the Company may engage in defense or settlement and subsequently seek reimbursement for such matters. In connection with various acquisitions, and pursuant to the purchase and sale agreements, the Company has received third-party indemnification for certain legal proceedings and claims. Some of these matters have been defended and paid directly by the indemnifying party.</w:t>
      </w:r>
    </w:p>
    <w:p>
      <w:pPr>
        <w:spacing w:after="0" w:line="206"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The Company believes, based on the information available at this time, after consultation with counsel, consideration of insurance, if any, and indemnifications provided by the third-party indemnitors, that the outcomes of any legal proceedings will not have a material adverse impact on the unaudited condensed consolidated statements of income, comprehensive income, financial condition or cash flows.</w:t>
      </w:r>
    </w:p>
    <w:p>
      <w:pPr>
        <w:spacing w:after="0" w:line="180" w:lineRule="exact"/>
        <w:rPr>
          <w:sz w:val="20"/>
          <w:szCs w:val="20"/>
          <w:color w:val="auto"/>
        </w:rPr>
      </w:pPr>
    </w:p>
    <w:p>
      <w:pPr>
        <w:ind w:right="260" w:firstLine="486"/>
        <w:spacing w:after="0" w:line="255" w:lineRule="auto"/>
        <w:rPr>
          <w:sz w:val="20"/>
          <w:szCs w:val="20"/>
          <w:color w:val="auto"/>
        </w:rPr>
      </w:pPr>
      <w:r>
        <w:rPr>
          <w:rFonts w:ascii="Arial" w:cs="Arial" w:eastAsia="Arial" w:hAnsi="Arial"/>
          <w:sz w:val="18"/>
          <w:szCs w:val="18"/>
          <w:b w:val="1"/>
          <w:bCs w:val="1"/>
          <w:i w:val="1"/>
          <w:iCs w:val="1"/>
          <w:color w:val="auto"/>
        </w:rPr>
        <w:t xml:space="preserve">Regulatory </w:t>
      </w:r>
      <w:r>
        <w:rPr>
          <w:rFonts w:ascii="Arial" w:cs="Arial" w:eastAsia="Arial" w:hAnsi="Arial"/>
          <w:sz w:val="18"/>
          <w:szCs w:val="18"/>
          <w:color w:val="auto"/>
        </w:rPr>
        <w:t>— On July 20, 2012, the Internal Revenue Service (the “IRS”) issued a Notice of Proposed Adjustment (the “Notice”)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asserting that the Company is subject to a penalty with respect to an alleged untimely deposit of withholding taxes related to the exercise of certain non-qualified stock options in connection with the Company's initial public offering in 2010. The Company has been engaged in discussions with the IRS regarding the Notice. As a result of these discussions, the Company believes the outcome will not be material to its unaudited condensed consolidated statements of income, comprehensive income, financial condition or cash flows. The Company has recorded an estimate of the probable loss within other expense in the unaudited condensed consolidated statements of income for the three and nine months ended September 30, 2012 and within accounts payable and accrued liabilities in the unaudited condensed consolidated statement of financial condition as of September 30, 2012.</w:t>
      </w:r>
    </w:p>
    <w:p>
      <w:pPr>
        <w:spacing w:after="0" w:line="185"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b w:val="1"/>
          <w:bCs w:val="1"/>
          <w:i w:val="1"/>
          <w:iCs w:val="1"/>
          <w:color w:val="auto"/>
        </w:rPr>
        <w:t xml:space="preserve">Other Commitments </w:t>
      </w:r>
      <w:r>
        <w:rPr>
          <w:rFonts w:ascii="Arial" w:cs="Arial" w:eastAsia="Arial" w:hAnsi="Arial"/>
          <w:sz w:val="18"/>
          <w:szCs w:val="18"/>
          <w:color w:val="auto"/>
        </w:rPr>
        <w:t>— As of September 30, 2012, LPL Financial had received collateral primarily in connection with client margin loans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 market value of approximately $353.4 million, which it can sell or re-pledge. Of this amount, approximately $42.3 million has been pledged or sold as of September 30, 2012; $23.1 million was pledged with client-owned securities to the Options Clearing Corporation ("OCC") as collateral to secure client obligations related to options positions, and $19.2 million was loaned to the National Securities Clearing Corporation ("NSCC") through participation in its Stock Borrow Program. Additionally, approximately $140.5 million are held at banks in connection with unutilized secured margin lines of credit; these securities may be used as collateral for loans from these banks. The remainder of $170.6 million has not been re-pledged or sold, and as of</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41" w:right="259" w:bottom="1440" w:gutter="0" w:footer="0" w:header="0"/>
        </w:sectPr>
      </w:pPr>
    </w:p>
    <w:bookmarkStart w:id="23" w:name="page24"/>
    <w:bookmarkEnd w:id="23"/>
    <w:p>
      <w:pPr>
        <w:jc w:val="center"/>
        <w:ind w:right="-3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9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September 30, 2012 there are no restrictions that materially limit the Company's ability to re-pledge or sell the remaining $311.1 million of client collateral.</w:t>
      </w:r>
    </w:p>
    <w:p>
      <w:pPr>
        <w:spacing w:after="0" w:line="196" w:lineRule="exact"/>
        <w:rPr>
          <w:sz w:val="20"/>
          <w:szCs w:val="20"/>
          <w:color w:val="auto"/>
        </w:rPr>
      </w:pPr>
    </w:p>
    <w:p>
      <w:pPr>
        <w:ind w:right="260" w:firstLine="486"/>
        <w:spacing w:after="0" w:line="252" w:lineRule="auto"/>
        <w:rPr>
          <w:sz w:val="20"/>
          <w:szCs w:val="20"/>
          <w:color w:val="auto"/>
        </w:rPr>
      </w:pPr>
      <w:r>
        <w:rPr>
          <w:rFonts w:ascii="Arial" w:cs="Arial" w:eastAsia="Arial" w:hAnsi="Arial"/>
          <w:sz w:val="18"/>
          <w:szCs w:val="18"/>
          <w:color w:val="auto"/>
        </w:rPr>
        <w:t>As of December 31, 2011, LPL Financial had received collateral primarily in connection with client margin loans with a market value of approximately $350.2 million, which it can sell or repledge. Of this amount, approximately $32.7 million has been pledged or sold as of December 31, 2011; $ 18.4 million was pledged with client-owned securities to the OCC as collateral to secure client obligations related to options positions, and $14.3 million was loaned to the NSCC through participation in its Stock Borrow Program. Additionally, approximately $145.0 million are held at banks in connection with unutilized secured margin lines of credit; these securities may be used as collateral for loans from these banks. The remainder of $172.5 million had not been re-pledged or sold, and as of December 31, 2011 there are no restrictions that materially limited the Company's ability to re-pledge or sell the remaining $317.5 million of client collateral.</w:t>
      </w:r>
    </w:p>
    <w:p>
      <w:pPr>
        <w:spacing w:after="0" w:line="207" w:lineRule="exact"/>
        <w:rPr>
          <w:sz w:val="20"/>
          <w:szCs w:val="20"/>
          <w:color w:val="auto"/>
        </w:rPr>
      </w:pPr>
    </w:p>
    <w:p>
      <w:pPr>
        <w:ind w:right="260" w:firstLine="486"/>
        <w:spacing w:after="0" w:line="262" w:lineRule="auto"/>
        <w:rPr>
          <w:sz w:val="20"/>
          <w:szCs w:val="20"/>
          <w:color w:val="auto"/>
        </w:rPr>
      </w:pPr>
      <w:r>
        <w:rPr>
          <w:rFonts w:ascii="Arial" w:cs="Arial" w:eastAsia="Arial" w:hAnsi="Arial"/>
          <w:sz w:val="18"/>
          <w:szCs w:val="18"/>
          <w:color w:val="auto"/>
        </w:rPr>
        <w:t>Trading securities on the unaudited condensed consolidated statements of financial condition includes $0.9 million pledged to clearing organizations at September 30, 2012 and December 31, 2011, respectively.</w:t>
      </w:r>
    </w:p>
    <w:p>
      <w:pPr>
        <w:spacing w:after="0" w:line="19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LPL Financial provides brokerage, clearing and custody services on a fully disclosed basis; offers its investment advisory programs and platforms; and provides technology and additional processing and related services to the advisors of the broker-dealer subsidiary of a large global insurance company and their clients under a multi-year agreement. Termination fees may be payable by a terminating or breaching party depending on the specific cause of termination.</w:t>
      </w:r>
    </w:p>
    <w:p>
      <w:pPr>
        <w:spacing w:after="0" w:line="182"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47"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The Company's stock incentive plan provides for granting stock options to certain employees, officers and advisors, warrants to certain financial institutions and restricted stock to non-employee directors. Beginning in the third quarter of 2012, certain employees participate in the 2012 Employee Stock Purchase Plan. Stock options and warrants generally vest in equal increments over a three- to five-year period and expire on the tenth anniversary following the date of grant. Restricted stock awards cliff vest after a two-year period.</w:t>
      </w:r>
    </w:p>
    <w:p>
      <w:pPr>
        <w:spacing w:after="0" w:line="204"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The Company recognizes share-based compensation expense for stock options awarded to employees and officers, and restricted stock awarded to non-employee directors, based on the grant date fair value over the requisite service period of the award, which generally equals the vesting period. The Company recognized share-based compensation related to the vesting of these awards of $4.3 million and $3.8 million during the three months ended September 30, 2012 and 2011, respectively, and $12.8 million and $10.9 million during the nine months ended September 30, 2012 and 2011, respectively, which is included in compensation and benefits on the unaudited condensed consolidated statements of income. As of September 30, 2012, total unrecognized compensation cost related to non -vested share-based compensation arrangements granted was $42.2 million, which is expected to be recognized over a weighted-average period of 3.44 years.</w:t>
      </w:r>
    </w:p>
    <w:p>
      <w:pPr>
        <w:spacing w:after="0" w:line="207"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The Company recognizes share-based compensation expense for stock options and warrants awarded to its advisors and financial institutions based on the fair value of the awards at each interim reporting period. The Company recognized share-based compensation of $2.9 million and $1.4 million during the nine months ended September 30, 2012 and 2011, respectively, related to the vesting of stock options and warrants awarded to its advisors and financial institutions, which is classified within commissions and advisory fee expense on the unaudited condensed consolidated statements of income. As of September 30, 2012, total unrecognized compensation cost related to non-vested share-based compensation arrangements granted was $10.0 million for advisors and financial institutions, which is expected to be recognized over a weighted-average period of 3.15 years.</w:t>
      </w:r>
    </w:p>
    <w:p>
      <w:pPr>
        <w:spacing w:after="0" w:line="207" w:lineRule="exact"/>
        <w:rPr>
          <w:sz w:val="20"/>
          <w:szCs w:val="20"/>
          <w:color w:val="auto"/>
        </w:rPr>
      </w:pPr>
    </w:p>
    <w:p>
      <w:pPr>
        <w:ind w:right="320" w:firstLine="486"/>
        <w:spacing w:after="0" w:line="262" w:lineRule="auto"/>
        <w:rPr>
          <w:sz w:val="20"/>
          <w:szCs w:val="20"/>
          <w:color w:val="auto"/>
        </w:rPr>
      </w:pPr>
      <w:r>
        <w:rPr>
          <w:rFonts w:ascii="Arial" w:cs="Arial" w:eastAsia="Arial" w:hAnsi="Arial"/>
          <w:sz w:val="18"/>
          <w:szCs w:val="18"/>
          <w:color w:val="auto"/>
        </w:rPr>
        <w:t>On May 8, 2012, the Company awarded 22,092 shares of common stock in conjunction with the acquisition of Fortigent, at a price of $33.95 per share, which resulted in share-based compensation expense of $0.8 million during the nine months ended September 30, 2012.</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41" w:right="25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2008 Nonqualified Deferred Compensation Plan</w:t>
      </w:r>
    </w:p>
    <w:p>
      <w:pPr>
        <w:spacing w:after="0" w:line="247"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On November 19, 2008, the Company established an unfunded, unsecured deferred compensation plan to permit employees and former employees who held non-qualified stock options issued under the 2005 Stock Option Plan for Incentive Stock Options and 2005 Stock Option Plan for Non-qualified Stock Options that were to expire in 2009 and 2010, to receive stock units under the 2008 Nonqualified Deferred Compensation Plan ("Deferred Compensation Plan"). On February 22, 2012, the Company distributed 1,673,556 shares, net of shares withheld to satisfy withholding tax requirements, pursuant to the terms of the Deferred Compensation Plan. Distributions to participants were made in the form of whole shares of common stock equal to the number of stock units allocated to the participant's account, with fractional shares paid out in cash. Participants authorized the Company to withhold shares from their distribution of common stock to satisfy their withholding tax obligations. Accordingly on February 22, 2012, the Company repurchased 1,149,896 shares and paid $37.5 million of cash consideration related to tax withholdings. The repurchase of shares was executed under the share repurchase program approved by the Board of Directors on August 16, 2011.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47" w:lineRule="exact"/>
        <w:rPr>
          <w:sz w:val="20"/>
          <w:szCs w:val="20"/>
          <w:color w:val="auto"/>
        </w:rPr>
      </w:pPr>
    </w:p>
    <w:p>
      <w:pPr>
        <w:ind w:right="360" w:firstLine="486"/>
        <w:spacing w:after="0" w:line="262" w:lineRule="auto"/>
        <w:rPr>
          <w:sz w:val="20"/>
          <w:szCs w:val="20"/>
          <w:color w:val="auto"/>
        </w:rPr>
      </w:pPr>
      <w:r>
        <w:rPr>
          <w:rFonts w:ascii="Arial" w:cs="Arial" w:eastAsia="Arial" w:hAnsi="Arial"/>
          <w:sz w:val="18"/>
          <w:szCs w:val="18"/>
          <w:color w:val="auto"/>
        </w:rPr>
        <w:t>On March 30, 2012, the Company's Board of Directors approved a special dividend of $2.00 per share to common stockholders. The dividend of $222.6 million was paid on May 25, 2012 to stockholders of record as of May 15, 2012.</w:t>
      </w:r>
    </w:p>
    <w:p>
      <w:pPr>
        <w:spacing w:after="0" w:line="156"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color w:val="auto"/>
        </w:rPr>
        <w:t>On July 30, 2012, the Board of Directors declared a cash dividend of $0.12 per share on the Company's outstanding common stock. The dividend of $13.2 million was paid on August 30, 2012 to stockholders of record as of August 15, 2012.</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24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The Board of Directors has approved several share repurchase programs pursuant to which the Company may repurchase its issued and outstanding shares of common stock from time to time. Repurchased shares are included in treasury stock on the unaudited condensed consolidated statements of financial condition. Purchases may be effected in open market or privately negotiated transactions, including transactions with affiliates, with the timing of purchases and the amount of stock purchased generally determined at the discretion of the Company's management.</w:t>
      </w:r>
    </w:p>
    <w:p>
      <w:pPr>
        <w:spacing w:after="0" w:line="206"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color w:val="auto"/>
        </w:rPr>
        <w:t>For the three months ended September 30, 2012 and 2011, the Company had the following activity under its approved share repurchase plans (in millions, except share and per share data):</w:t>
      </w:r>
    </w:p>
    <w:p>
      <w:pPr>
        <w:spacing w:after="0" w:line="184" w:lineRule="exact"/>
        <w:rPr>
          <w:sz w:val="20"/>
          <w:szCs w:val="20"/>
          <w:color w:val="auto"/>
        </w:rPr>
      </w:pPr>
    </w:p>
    <w:tbl>
      <w:tblPr>
        <w:tblLayout w:type="fixed"/>
        <w:tblInd w:w="1120" w:type="dxa"/>
        <w:tblCellMar>
          <w:top w:w="0" w:type="dxa"/>
          <w:left w:w="0" w:type="dxa"/>
          <w:bottom w:w="0" w:type="dxa"/>
          <w:right w:w="0" w:type="dxa"/>
        </w:tblCellMar>
      </w:tblPr>
      <w:tr>
        <w:trPr>
          <w:trHeight w:val="196"/>
        </w:trPr>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r>
      <w:tr>
        <w:trPr>
          <w:trHeight w:val="175"/>
        </w:trPr>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Amount</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62"/>
        </w:trPr>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Authorized</w:t>
            </w: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Remaining at</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2"/>
        </w:trPr>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Repurchase</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September</w:t>
            </w:r>
          </w:p>
        </w:tc>
        <w:tc>
          <w:tcPr>
            <w:tcW w:w="880" w:type="dxa"/>
            <w:vAlign w:val="bottom"/>
          </w:tcPr>
          <w:p>
            <w:pPr>
              <w:jc w:val="right"/>
              <w:ind w:right="12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Price Paid</w:t>
            </w:r>
          </w:p>
        </w:tc>
        <w:tc>
          <w:tcPr>
            <w:tcW w:w="14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860" w:type="dxa"/>
            <w:vAlign w:val="bottom"/>
          </w:tcPr>
          <w:p>
            <w:pPr>
              <w:jc w:val="right"/>
              <w:ind w:right="12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Price Paid</w:t>
            </w:r>
          </w:p>
        </w:tc>
        <w:tc>
          <w:tcPr>
            <w:tcW w:w="120" w:type="dxa"/>
            <w:vAlign w:val="bottom"/>
          </w:tcPr>
          <w:p>
            <w:pPr>
              <w:spacing w:after="0"/>
              <w:rPr>
                <w:sz w:val="14"/>
                <w:szCs w:val="14"/>
                <w:color w:val="auto"/>
              </w:rPr>
            </w:pPr>
          </w:p>
        </w:tc>
        <w:tc>
          <w:tcPr>
            <w:tcW w:w="540" w:type="dxa"/>
            <w:vAlign w:val="bottom"/>
          </w:tcPr>
          <w:p>
            <w:pPr>
              <w:jc w:val="right"/>
              <w:ind w:right="102"/>
              <w:spacing w:after="0"/>
              <w:rPr>
                <w:sz w:val="20"/>
                <w:szCs w:val="20"/>
                <w:color w:val="auto"/>
              </w:rPr>
            </w:pPr>
            <w:r>
              <w:rPr>
                <w:rFonts w:ascii="Arial" w:cs="Arial" w:eastAsia="Arial" w:hAnsi="Arial"/>
                <w:sz w:val="14"/>
                <w:szCs w:val="14"/>
                <w:b w:val="1"/>
                <w:bCs w:val="1"/>
                <w:color w:val="auto"/>
              </w:rPr>
              <w:t>Total</w:t>
            </w:r>
          </w:p>
        </w:tc>
      </w:tr>
      <w:tr>
        <w:trPr>
          <w:trHeight w:val="196"/>
        </w:trPr>
        <w:tc>
          <w:tcPr>
            <w:tcW w:w="14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Approval Date</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30, 2012</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Purchased</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Per Share</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Purchased</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rPr>
              <w:t>Per Share</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Cost</w:t>
            </w:r>
          </w:p>
        </w:tc>
      </w:tr>
      <w:tr>
        <w:trPr>
          <w:trHeight w:val="256"/>
        </w:trPr>
        <w:tc>
          <w:tcPr>
            <w:tcW w:w="1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May 25, 2011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13,869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60"/>
        </w:trPr>
        <w:tc>
          <w:tcPr>
            <w:tcW w:w="1560" w:type="dxa"/>
            <w:vAlign w:val="bottom"/>
            <w:gridSpan w:val="2"/>
          </w:tcPr>
          <w:p>
            <w:pPr>
              <w:ind w:left="20"/>
              <w:spacing w:after="0"/>
              <w:rPr>
                <w:sz w:val="20"/>
                <w:szCs w:val="20"/>
                <w:color w:val="auto"/>
              </w:rPr>
            </w:pPr>
            <w:r>
              <w:rPr>
                <w:rFonts w:ascii="Arial" w:cs="Arial" w:eastAsia="Arial" w:hAnsi="Arial"/>
                <w:sz w:val="16"/>
                <w:szCs w:val="16"/>
                <w:color w:val="auto"/>
              </w:rPr>
              <w:t>August 16, 2011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70.0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186,190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27.56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319,906</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28.11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80"/>
        </w:trPr>
        <w:tc>
          <w:tcPr>
            <w:tcW w:w="1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May 25, 2012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1,719,739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8"/>
        </w:trPr>
        <w:tc>
          <w:tcPr>
            <w:tcW w:w="1560" w:type="dxa"/>
            <w:vAlign w:val="bottom"/>
            <w:gridSpan w:val="2"/>
          </w:tcPr>
          <w:p>
            <w:pPr>
              <w:ind w:left="20"/>
              <w:spacing w:after="0"/>
              <w:rPr>
                <w:sz w:val="20"/>
                <w:szCs w:val="20"/>
                <w:color w:val="auto"/>
              </w:rPr>
            </w:pPr>
            <w:r>
              <w:rPr>
                <w:rFonts w:ascii="Arial" w:cs="Arial" w:eastAsia="Arial" w:hAnsi="Arial"/>
                <w:sz w:val="16"/>
                <w:szCs w:val="16"/>
                <w:color w:val="auto"/>
              </w:rPr>
              <w:t>September 27,</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08"/>
        </w:trPr>
        <w:tc>
          <w:tcPr>
            <w:tcW w:w="1460" w:type="dxa"/>
            <w:vAlign w:val="bottom"/>
          </w:tcPr>
          <w:p>
            <w:pPr>
              <w:ind w:left="20"/>
              <w:spacing w:after="0"/>
              <w:rPr>
                <w:sz w:val="20"/>
                <w:szCs w:val="20"/>
                <w:color w:val="auto"/>
              </w:rPr>
            </w:pPr>
            <w:r>
              <w:rPr>
                <w:rFonts w:ascii="Arial" w:cs="Arial" w:eastAsia="Arial" w:hAnsi="Arial"/>
                <w:sz w:val="16"/>
                <w:szCs w:val="16"/>
                <w:color w:val="auto"/>
              </w:rPr>
              <w:t>2012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0"/>
        </w:trPr>
        <w:tc>
          <w:tcPr>
            <w:tcW w:w="14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1,905,929</w:t>
            </w:r>
          </w:p>
        </w:tc>
        <w:tc>
          <w:tcPr>
            <w:tcW w:w="2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333,775</w:t>
            </w:r>
          </w:p>
        </w:tc>
        <w:tc>
          <w:tcPr>
            <w:tcW w:w="2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0"/>
        </w:trPr>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41" w:right="259" w:bottom="1440" w:gutter="0" w:footer="0" w:header="0"/>
        </w:sectPr>
      </w:pPr>
    </w:p>
    <w:bookmarkStart w:id="25" w:name="page26"/>
    <w:bookmarkEnd w:id="25"/>
    <w:p>
      <w:pPr>
        <w:jc w:val="center"/>
        <w:ind w:right="-3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90" w:lineRule="exact"/>
        <w:rPr>
          <w:sz w:val="20"/>
          <w:szCs w:val="20"/>
          <w:color w:val="auto"/>
        </w:rPr>
      </w:pPr>
    </w:p>
    <w:p>
      <w:pPr>
        <w:ind w:right="100" w:firstLine="486"/>
        <w:spacing w:after="0" w:line="262" w:lineRule="auto"/>
        <w:rPr>
          <w:sz w:val="20"/>
          <w:szCs w:val="20"/>
          <w:color w:val="auto"/>
        </w:rPr>
      </w:pPr>
      <w:r>
        <w:rPr>
          <w:rFonts w:ascii="Arial" w:cs="Arial" w:eastAsia="Arial" w:hAnsi="Arial"/>
          <w:sz w:val="18"/>
          <w:szCs w:val="18"/>
          <w:color w:val="auto"/>
        </w:rPr>
        <w:t>For the nine months ended September 30, 2012 and 2011, the Company had the following activity under its approved share repurchase plans (in millions, except share and per share data):</w:t>
      </w:r>
    </w:p>
    <w:p>
      <w:pPr>
        <w:spacing w:after="0" w:line="184" w:lineRule="exact"/>
        <w:rPr>
          <w:sz w:val="20"/>
          <w:szCs w:val="20"/>
          <w:color w:val="auto"/>
        </w:rPr>
      </w:pPr>
    </w:p>
    <w:tbl>
      <w:tblPr>
        <w:tblLayout w:type="fixed"/>
        <w:tblInd w:w="1120" w:type="dxa"/>
        <w:tblCellMar>
          <w:top w:w="0" w:type="dxa"/>
          <w:left w:w="0" w:type="dxa"/>
          <w:bottom w:w="0" w:type="dxa"/>
          <w:right w:w="0" w:type="dxa"/>
        </w:tblCellMar>
      </w:tblPr>
      <w:tr>
        <w:trPr>
          <w:trHeight w:val="196"/>
        </w:trPr>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r>
      <w:tr>
        <w:trPr>
          <w:trHeight w:val="175"/>
        </w:trPr>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Amount</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62"/>
        </w:trPr>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Authorized</w:t>
            </w: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Remaining at</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Repurchase</w:t>
            </w: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September</w:t>
            </w:r>
          </w:p>
        </w:tc>
        <w:tc>
          <w:tcPr>
            <w:tcW w:w="880" w:type="dxa"/>
            <w:vAlign w:val="bottom"/>
          </w:tcPr>
          <w:p>
            <w:pPr>
              <w:jc w:val="right"/>
              <w:ind w:right="12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Price Paid</w:t>
            </w:r>
          </w:p>
        </w:tc>
        <w:tc>
          <w:tcPr>
            <w:tcW w:w="16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860" w:type="dxa"/>
            <w:vAlign w:val="bottom"/>
          </w:tcPr>
          <w:p>
            <w:pPr>
              <w:jc w:val="right"/>
              <w:ind w:right="12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Price Paid</w:t>
            </w:r>
          </w:p>
        </w:tc>
        <w:tc>
          <w:tcPr>
            <w:tcW w:w="140" w:type="dxa"/>
            <w:vAlign w:val="bottom"/>
          </w:tcPr>
          <w:p>
            <w:pPr>
              <w:spacing w:after="0"/>
              <w:rPr>
                <w:sz w:val="14"/>
                <w:szCs w:val="14"/>
                <w:color w:val="auto"/>
              </w:rPr>
            </w:pPr>
          </w:p>
        </w:tc>
        <w:tc>
          <w:tcPr>
            <w:tcW w:w="540" w:type="dxa"/>
            <w:vAlign w:val="bottom"/>
          </w:tcPr>
          <w:p>
            <w:pPr>
              <w:jc w:val="right"/>
              <w:ind w:right="102"/>
              <w:spacing w:after="0"/>
              <w:rPr>
                <w:sz w:val="20"/>
                <w:szCs w:val="20"/>
                <w:color w:val="auto"/>
              </w:rPr>
            </w:pPr>
            <w:r>
              <w:rPr>
                <w:rFonts w:ascii="Arial" w:cs="Arial" w:eastAsia="Arial" w:hAnsi="Arial"/>
                <w:sz w:val="14"/>
                <w:szCs w:val="14"/>
                <w:b w:val="1"/>
                <w:bCs w:val="1"/>
                <w:color w:val="auto"/>
              </w:rPr>
              <w:t>Total</w:t>
            </w:r>
          </w:p>
        </w:tc>
      </w:tr>
      <w:tr>
        <w:trPr>
          <w:trHeight w:val="196"/>
        </w:trPr>
        <w:tc>
          <w:tcPr>
            <w:tcW w:w="14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Approval Date</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30, 2012</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rPr>
              <w:t>Per Share</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Cost</w:t>
            </w:r>
          </w:p>
        </w:tc>
      </w:tr>
      <w:tr>
        <w:trPr>
          <w:trHeight w:val="256"/>
        </w:trPr>
        <w:tc>
          <w:tcPr>
            <w:tcW w:w="1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May 25, 2011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2,297,723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r>
      <w:tr>
        <w:trPr>
          <w:trHeight w:val="260"/>
        </w:trPr>
        <w:tc>
          <w:tcPr>
            <w:tcW w:w="1540" w:type="dxa"/>
            <w:vAlign w:val="bottom"/>
            <w:gridSpan w:val="2"/>
          </w:tcPr>
          <w:p>
            <w:pPr>
              <w:ind w:left="20"/>
              <w:spacing w:after="0"/>
              <w:rPr>
                <w:sz w:val="20"/>
                <w:szCs w:val="20"/>
                <w:color w:val="auto"/>
              </w:rPr>
            </w:pPr>
            <w:r>
              <w:rPr>
                <w:rFonts w:ascii="Arial" w:cs="Arial" w:eastAsia="Arial" w:hAnsi="Arial"/>
                <w:sz w:val="16"/>
                <w:szCs w:val="16"/>
                <w:color w:val="auto"/>
              </w:rPr>
              <w:t>August 16, 2011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70.0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1,891,072</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32.27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2"/>
              <w:spacing w:after="0"/>
              <w:rPr>
                <w:sz w:val="20"/>
                <w:szCs w:val="20"/>
                <w:color w:val="auto"/>
              </w:rPr>
            </w:pPr>
            <w:r>
              <w:rPr>
                <w:rFonts w:ascii="Arial" w:cs="Arial" w:eastAsia="Arial" w:hAnsi="Arial"/>
                <w:sz w:val="16"/>
                <w:szCs w:val="16"/>
                <w:color w:val="auto"/>
              </w:rPr>
              <w:t>61.0</w:t>
            </w: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319,906</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28.11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80"/>
        </w:trPr>
        <w:tc>
          <w:tcPr>
            <w:tcW w:w="1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May 25, 2012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1,719,739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49.5</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8"/>
        </w:trPr>
        <w:tc>
          <w:tcPr>
            <w:tcW w:w="1540" w:type="dxa"/>
            <w:vAlign w:val="bottom"/>
            <w:gridSpan w:val="2"/>
          </w:tcPr>
          <w:p>
            <w:pPr>
              <w:ind w:left="20"/>
              <w:spacing w:after="0"/>
              <w:rPr>
                <w:sz w:val="20"/>
                <w:szCs w:val="20"/>
                <w:color w:val="auto"/>
              </w:rPr>
            </w:pPr>
            <w:r>
              <w:rPr>
                <w:rFonts w:ascii="Arial" w:cs="Arial" w:eastAsia="Arial" w:hAnsi="Arial"/>
                <w:sz w:val="16"/>
                <w:szCs w:val="16"/>
                <w:color w:val="auto"/>
              </w:rPr>
              <w:t>September 27,</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08"/>
        </w:trPr>
        <w:tc>
          <w:tcPr>
            <w:tcW w:w="1440" w:type="dxa"/>
            <w:vAlign w:val="bottom"/>
          </w:tcPr>
          <w:p>
            <w:pPr>
              <w:ind w:left="20"/>
              <w:spacing w:after="0"/>
              <w:rPr>
                <w:sz w:val="20"/>
                <w:szCs w:val="20"/>
                <w:color w:val="auto"/>
              </w:rPr>
            </w:pPr>
            <w:r>
              <w:rPr>
                <w:rFonts w:ascii="Arial" w:cs="Arial" w:eastAsia="Arial" w:hAnsi="Arial"/>
                <w:sz w:val="16"/>
                <w:szCs w:val="16"/>
                <w:color w:val="auto"/>
              </w:rPr>
              <w:t>2012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150.0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0"/>
        </w:trPr>
        <w:tc>
          <w:tcPr>
            <w:tcW w:w="14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3,610,811</w:t>
            </w:r>
          </w:p>
        </w:tc>
        <w:tc>
          <w:tcPr>
            <w:tcW w:w="2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2,617,629</w:t>
            </w:r>
          </w:p>
        </w:tc>
        <w:tc>
          <w:tcPr>
            <w:tcW w:w="2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89.0</w:t>
            </w: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0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Prior to February 22, 2012, the Company was required to calculate earnings per share using the two-class method by allocating a portion of its earnings to employees who held stock units containing non -forfeitable rights to dividends or dividend equivalents under its Deferred Compensation Plan. Basic earnings per share was computed by dividing income less earnings attributable to employees that held stock units under the Deferred Compensation Plan by the basic weighted average number of shares outstanding. Diluted earnings per share was computed in a manner similar to basic earnings per share, except the weighted average number of shares outstanding was increased to include the dilutive effect of outstanding stock options, warrants and other stock-based awards. After the distribution of shares on February 22, 2012 pursuant to the Deferred Compensation Plan, the two-class method was no longer applicable.</w:t>
      </w:r>
    </w:p>
    <w:p>
      <w:pPr>
        <w:spacing w:after="0" w:line="207"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color w:val="auto"/>
        </w:rPr>
        <w:t>A reconciliation of the income used to compute basic and diluted earnings per share for the three and nine months ended September 30, 2012 and 2011 is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9"/>
              </w:rPr>
              <w:t>For the Three</w:t>
            </w:r>
          </w:p>
        </w:tc>
        <w:tc>
          <w:tcPr>
            <w:tcW w:w="280" w:type="dxa"/>
            <w:vAlign w:val="bottom"/>
          </w:tcPr>
          <w:p>
            <w:pPr>
              <w:spacing w:after="0"/>
              <w:rPr>
                <w:sz w:val="18"/>
                <w:szCs w:val="18"/>
                <w:color w:val="auto"/>
              </w:rPr>
            </w:pPr>
          </w:p>
        </w:tc>
        <w:tc>
          <w:tcPr>
            <w:tcW w:w="232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For the Nine</w:t>
            </w:r>
          </w:p>
        </w:tc>
        <w:tc>
          <w:tcPr>
            <w:tcW w:w="0" w:type="dxa"/>
            <w:vAlign w:val="bottom"/>
          </w:tcPr>
          <w:p>
            <w:pPr>
              <w:spacing w:after="0"/>
              <w:rPr>
                <w:sz w:val="1"/>
                <w:szCs w:val="1"/>
                <w:color w:val="auto"/>
              </w:rPr>
            </w:pPr>
          </w:p>
        </w:tc>
      </w:tr>
      <w:tr>
        <w:trPr>
          <w:trHeight w:val="203"/>
        </w:trPr>
        <w:tc>
          <w:tcPr>
            <w:tcW w:w="5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20" w:type="dxa"/>
            <w:vAlign w:val="bottom"/>
            <w:gridSpan w:val="5"/>
          </w:tcPr>
          <w:p>
            <w:pPr>
              <w:jc w:val="center"/>
              <w:ind w:right="340"/>
              <w:spacing w:after="0" w:line="202" w:lineRule="exact"/>
              <w:rPr>
                <w:sz w:val="20"/>
                <w:szCs w:val="20"/>
                <w:color w:val="auto"/>
              </w:rPr>
            </w:pPr>
            <w:r>
              <w:rPr>
                <w:rFonts w:ascii="Arial" w:cs="Arial" w:eastAsia="Arial" w:hAnsi="Arial"/>
                <w:sz w:val="18"/>
                <w:szCs w:val="18"/>
                <w:b w:val="1"/>
                <w:bCs w:val="1"/>
                <w:color w:val="auto"/>
                <w:w w:val="99"/>
              </w:rPr>
              <w:t>Months Ended</w:t>
            </w:r>
          </w:p>
        </w:tc>
        <w:tc>
          <w:tcPr>
            <w:tcW w:w="280" w:type="dxa"/>
            <w:vAlign w:val="bottom"/>
          </w:tcPr>
          <w:p>
            <w:pPr>
              <w:spacing w:after="0"/>
              <w:rPr>
                <w:sz w:val="17"/>
                <w:szCs w:val="17"/>
                <w:color w:val="auto"/>
              </w:rPr>
            </w:pPr>
          </w:p>
        </w:tc>
        <w:tc>
          <w:tcPr>
            <w:tcW w:w="2320" w:type="dxa"/>
            <w:vAlign w:val="bottom"/>
            <w:gridSpan w:val="4"/>
          </w:tcPr>
          <w:p>
            <w:pPr>
              <w:jc w:val="right"/>
              <w:ind w:right="570"/>
              <w:spacing w:after="0" w:line="202" w:lineRule="exact"/>
              <w:rPr>
                <w:sz w:val="20"/>
                <w:szCs w:val="20"/>
                <w:color w:val="auto"/>
              </w:rPr>
            </w:pPr>
            <w:r>
              <w:rPr>
                <w:rFonts w:ascii="Arial" w:cs="Arial" w:eastAsia="Arial" w:hAnsi="Arial"/>
                <w:sz w:val="18"/>
                <w:szCs w:val="18"/>
                <w:b w:val="1"/>
                <w:bCs w:val="1"/>
                <w:color w:val="auto"/>
              </w:rPr>
              <w:t>Months Ended</w:t>
            </w:r>
          </w:p>
        </w:tc>
        <w:tc>
          <w:tcPr>
            <w:tcW w:w="0" w:type="dxa"/>
            <w:vAlign w:val="bottom"/>
          </w:tcPr>
          <w:p>
            <w:pPr>
              <w:spacing w:after="0"/>
              <w:rPr>
                <w:sz w:val="1"/>
                <w:szCs w:val="1"/>
                <w:color w:val="auto"/>
              </w:rPr>
            </w:pPr>
          </w:p>
        </w:tc>
      </w:tr>
      <w:tr>
        <w:trPr>
          <w:trHeight w:val="246"/>
        </w:trPr>
        <w:tc>
          <w:tcPr>
            <w:tcW w:w="50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9"/>
              </w:rPr>
              <w:t>September 30,</w:t>
            </w:r>
          </w:p>
        </w:tc>
        <w:tc>
          <w:tcPr>
            <w:tcW w:w="280" w:type="dxa"/>
            <w:vAlign w:val="bottom"/>
          </w:tcPr>
          <w:p>
            <w:pPr>
              <w:spacing w:after="0"/>
              <w:rPr>
                <w:sz w:val="21"/>
                <w:szCs w:val="21"/>
                <w:color w:val="auto"/>
              </w:rPr>
            </w:pPr>
          </w:p>
        </w:tc>
        <w:tc>
          <w:tcPr>
            <w:tcW w:w="232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64"/>
        </w:trPr>
        <w:tc>
          <w:tcPr>
            <w:tcW w:w="500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0"/>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9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000" w:type="dxa"/>
            <w:vAlign w:val="bottom"/>
          </w:tcPr>
          <w:p>
            <w:pPr>
              <w:ind w:left="180"/>
              <w:spacing w:after="0"/>
              <w:rPr>
                <w:sz w:val="20"/>
                <w:szCs w:val="20"/>
                <w:color w:val="auto"/>
              </w:rPr>
            </w:pPr>
            <w:r>
              <w:rPr>
                <w:rFonts w:ascii="Arial" w:cs="Arial" w:eastAsia="Arial" w:hAnsi="Arial"/>
                <w:sz w:val="18"/>
                <w:szCs w:val="18"/>
                <w:color w:val="auto"/>
              </w:rPr>
              <w:t>Net income, as reported</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34,299</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36,428</w:t>
            </w:r>
          </w:p>
        </w:tc>
        <w:tc>
          <w:tcPr>
            <w:tcW w:w="100" w:type="dxa"/>
            <w:vAlign w:val="bottom"/>
          </w:tcPr>
          <w:p>
            <w:pPr>
              <w:spacing w:after="0"/>
              <w:rPr>
                <w:sz w:val="22"/>
                <w:szCs w:val="22"/>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114,980</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130,934</w:t>
            </w:r>
          </w:p>
        </w:tc>
        <w:tc>
          <w:tcPr>
            <w:tcW w:w="0" w:type="dxa"/>
            <w:vAlign w:val="bottom"/>
          </w:tcPr>
          <w:p>
            <w:pPr>
              <w:spacing w:after="0"/>
              <w:rPr>
                <w:sz w:val="1"/>
                <w:szCs w:val="1"/>
                <w:color w:val="auto"/>
              </w:rPr>
            </w:pPr>
          </w:p>
        </w:tc>
      </w:tr>
      <w:tr>
        <w:trPr>
          <w:trHeight w:val="270"/>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Allocation of undistributed earnings to stock units</w:t>
            </w:r>
          </w:p>
        </w:tc>
        <w:tc>
          <w:tcPr>
            <w:tcW w:w="96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297"/>
        </w:trPr>
        <w:tc>
          <w:tcPr>
            <w:tcW w:w="5000" w:type="dxa"/>
            <w:vAlign w:val="bottom"/>
          </w:tcPr>
          <w:p>
            <w:pPr>
              <w:ind w:left="180"/>
              <w:spacing w:after="0"/>
              <w:rPr>
                <w:sz w:val="20"/>
                <w:szCs w:val="20"/>
                <w:color w:val="auto"/>
              </w:rPr>
            </w:pPr>
            <w:r>
              <w:rPr>
                <w:rFonts w:ascii="Arial" w:cs="Arial" w:eastAsia="Arial" w:hAnsi="Arial"/>
                <w:sz w:val="18"/>
                <w:szCs w:val="18"/>
                <w:color w:val="auto"/>
              </w:rPr>
              <w:t>Net income, for computing basic earnings per share</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34,299</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35,963</w:t>
            </w:r>
          </w:p>
        </w:tc>
        <w:tc>
          <w:tcPr>
            <w:tcW w:w="100" w:type="dxa"/>
            <w:vAlign w:val="bottom"/>
          </w:tcPr>
          <w:p>
            <w:pPr>
              <w:spacing w:after="0"/>
              <w:rPr>
                <w:sz w:val="24"/>
                <w:szCs w:val="24"/>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114,980</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129,258</w:t>
            </w:r>
          </w:p>
        </w:tc>
        <w:tc>
          <w:tcPr>
            <w:tcW w:w="0" w:type="dxa"/>
            <w:vAlign w:val="bottom"/>
          </w:tcPr>
          <w:p>
            <w:pPr>
              <w:spacing w:after="0"/>
              <w:rPr>
                <w:sz w:val="1"/>
                <w:szCs w:val="1"/>
                <w:color w:val="auto"/>
              </w:rPr>
            </w:pPr>
          </w:p>
        </w:tc>
      </w:tr>
      <w:tr>
        <w:trPr>
          <w:trHeight w:val="251"/>
        </w:trPr>
        <w:tc>
          <w:tcPr>
            <w:tcW w:w="5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96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00" w:type="dxa"/>
            <w:vAlign w:val="bottom"/>
          </w:tcPr>
          <w:p>
            <w:pPr>
              <w:ind w:left="180"/>
              <w:spacing w:after="0"/>
              <w:rPr>
                <w:sz w:val="20"/>
                <w:szCs w:val="20"/>
                <w:color w:val="auto"/>
              </w:rPr>
            </w:pPr>
            <w:r>
              <w:rPr>
                <w:rFonts w:ascii="Arial" w:cs="Arial" w:eastAsia="Arial" w:hAnsi="Arial"/>
                <w:sz w:val="18"/>
                <w:szCs w:val="18"/>
                <w:color w:val="auto"/>
              </w:rPr>
              <w:t>Net income, as reported</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34,299</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36,428</w:t>
            </w:r>
          </w:p>
        </w:tc>
        <w:tc>
          <w:tcPr>
            <w:tcW w:w="100" w:type="dxa"/>
            <w:vAlign w:val="bottom"/>
          </w:tcPr>
          <w:p>
            <w:pPr>
              <w:spacing w:after="0"/>
              <w:rPr>
                <w:sz w:val="22"/>
                <w:szCs w:val="22"/>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114,980</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130,934</w:t>
            </w:r>
          </w:p>
        </w:tc>
        <w:tc>
          <w:tcPr>
            <w:tcW w:w="0" w:type="dxa"/>
            <w:vAlign w:val="bottom"/>
          </w:tcPr>
          <w:p>
            <w:pPr>
              <w:spacing w:after="0"/>
              <w:rPr>
                <w:sz w:val="1"/>
                <w:szCs w:val="1"/>
                <w:color w:val="auto"/>
              </w:rPr>
            </w:pPr>
          </w:p>
        </w:tc>
      </w:tr>
      <w:tr>
        <w:trPr>
          <w:trHeight w:val="270"/>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Allocation of undistributed earnings to stock units</w:t>
            </w:r>
          </w:p>
        </w:tc>
        <w:tc>
          <w:tcPr>
            <w:tcW w:w="96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57"/>
        </w:trPr>
        <w:tc>
          <w:tcPr>
            <w:tcW w:w="5000" w:type="dxa"/>
            <w:vAlign w:val="bottom"/>
          </w:tcPr>
          <w:p>
            <w:pPr>
              <w:ind w:left="180"/>
              <w:spacing w:after="0"/>
              <w:rPr>
                <w:sz w:val="20"/>
                <w:szCs w:val="20"/>
                <w:color w:val="auto"/>
              </w:rPr>
            </w:pPr>
            <w:r>
              <w:rPr>
                <w:rFonts w:ascii="Arial" w:cs="Arial" w:eastAsia="Arial" w:hAnsi="Arial"/>
                <w:sz w:val="18"/>
                <w:szCs w:val="18"/>
                <w:color w:val="auto"/>
              </w:rPr>
              <w:t>Net income, for computing diluted earnings per share</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34,299</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35,977</w:t>
            </w:r>
          </w:p>
        </w:tc>
        <w:tc>
          <w:tcPr>
            <w:tcW w:w="100" w:type="dxa"/>
            <w:vAlign w:val="bottom"/>
          </w:tcPr>
          <w:p>
            <w:pPr>
              <w:spacing w:after="0"/>
              <w:rPr>
                <w:sz w:val="22"/>
                <w:szCs w:val="22"/>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114,980</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129,316</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960" w:type="dxa"/>
            <w:vAlign w:val="bottom"/>
            <w:vMerge w:val="restart"/>
          </w:tcPr>
          <w:p>
            <w:pPr>
              <w:jc w:val="right"/>
              <w:ind w:right="50"/>
              <w:spacing w:after="0"/>
              <w:rPr>
                <w:sz w:val="20"/>
                <w:szCs w:val="20"/>
                <w:color w:val="auto"/>
              </w:rPr>
            </w:pPr>
            <w:r>
              <w:rPr>
                <w:rFonts w:ascii="Arial" w:cs="Arial" w:eastAsia="Arial" w:hAnsi="Arial"/>
                <w:sz w:val="18"/>
                <w:szCs w:val="18"/>
                <w:color w:val="auto"/>
              </w:rPr>
              <w:t>23</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00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41" w:right="25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90" w:lineRule="exact"/>
        <w:rPr>
          <w:sz w:val="20"/>
          <w:szCs w:val="20"/>
          <w:color w:val="auto"/>
        </w:rPr>
      </w:pPr>
    </w:p>
    <w:p>
      <w:pPr>
        <w:ind w:right="400" w:firstLine="486"/>
        <w:spacing w:after="0" w:line="262" w:lineRule="auto"/>
        <w:rPr>
          <w:sz w:val="20"/>
          <w:szCs w:val="20"/>
          <w:color w:val="auto"/>
        </w:rPr>
      </w:pPr>
      <w:r>
        <w:rPr>
          <w:rFonts w:ascii="Arial" w:cs="Arial" w:eastAsia="Arial" w:hAnsi="Arial"/>
          <w:sz w:val="18"/>
          <w:szCs w:val="18"/>
          <w:color w:val="auto"/>
        </w:rPr>
        <w:t>A reconciliation of the weighted average number of shares outstanding used to compute basic and diluted earnings per share for the three and nine months ended September 30, 2012 and 2011 is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20" w:type="dxa"/>
            <w:vAlign w:val="bottom"/>
          </w:tcPr>
          <w:p>
            <w:pPr>
              <w:spacing w:after="0"/>
              <w:rPr>
                <w:sz w:val="17"/>
                <w:szCs w:val="17"/>
                <w:color w:val="auto"/>
              </w:rPr>
            </w:pPr>
          </w:p>
        </w:tc>
        <w:tc>
          <w:tcPr>
            <w:tcW w:w="274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9"/>
              </w:rPr>
              <w:t>For the Three</w:t>
            </w:r>
          </w:p>
        </w:tc>
        <w:tc>
          <w:tcPr>
            <w:tcW w:w="256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For the Nine</w:t>
            </w:r>
          </w:p>
        </w:tc>
        <w:tc>
          <w:tcPr>
            <w:tcW w:w="0" w:type="dxa"/>
            <w:vAlign w:val="bottom"/>
          </w:tcPr>
          <w:p>
            <w:pPr>
              <w:spacing w:after="0"/>
              <w:rPr>
                <w:sz w:val="1"/>
                <w:szCs w:val="1"/>
                <w:color w:val="auto"/>
              </w:rPr>
            </w:pPr>
          </w:p>
        </w:tc>
      </w:tr>
      <w:tr>
        <w:trPr>
          <w:trHeight w:val="203"/>
        </w:trPr>
        <w:tc>
          <w:tcPr>
            <w:tcW w:w="6020" w:type="dxa"/>
            <w:vAlign w:val="bottom"/>
          </w:tcPr>
          <w:p>
            <w:pPr>
              <w:spacing w:after="0"/>
              <w:rPr>
                <w:sz w:val="17"/>
                <w:szCs w:val="17"/>
                <w:color w:val="auto"/>
              </w:rPr>
            </w:pPr>
          </w:p>
        </w:tc>
        <w:tc>
          <w:tcPr>
            <w:tcW w:w="2740" w:type="dxa"/>
            <w:vAlign w:val="bottom"/>
            <w:gridSpan w:val="4"/>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Months Ended</w:t>
            </w:r>
          </w:p>
        </w:tc>
        <w:tc>
          <w:tcPr>
            <w:tcW w:w="2560" w:type="dxa"/>
            <w:vAlign w:val="bottom"/>
            <w:gridSpan w:val="3"/>
          </w:tcPr>
          <w:p>
            <w:pPr>
              <w:jc w:val="right"/>
              <w:ind w:right="550"/>
              <w:spacing w:after="0" w:line="202" w:lineRule="exact"/>
              <w:rPr>
                <w:sz w:val="20"/>
                <w:szCs w:val="20"/>
                <w:color w:val="auto"/>
              </w:rPr>
            </w:pPr>
            <w:r>
              <w:rPr>
                <w:rFonts w:ascii="Arial" w:cs="Arial" w:eastAsia="Arial" w:hAnsi="Arial"/>
                <w:sz w:val="18"/>
                <w:szCs w:val="18"/>
                <w:b w:val="1"/>
                <w:bCs w:val="1"/>
                <w:color w:val="auto"/>
              </w:rPr>
              <w:t>Months Ended</w:t>
            </w:r>
          </w:p>
        </w:tc>
        <w:tc>
          <w:tcPr>
            <w:tcW w:w="0" w:type="dxa"/>
            <w:vAlign w:val="bottom"/>
          </w:tcPr>
          <w:p>
            <w:pPr>
              <w:spacing w:after="0"/>
              <w:rPr>
                <w:sz w:val="1"/>
                <w:szCs w:val="1"/>
                <w:color w:val="auto"/>
              </w:rPr>
            </w:pPr>
          </w:p>
        </w:tc>
      </w:tr>
      <w:tr>
        <w:trPr>
          <w:trHeight w:val="246"/>
        </w:trPr>
        <w:tc>
          <w:tcPr>
            <w:tcW w:w="6020" w:type="dxa"/>
            <w:vAlign w:val="bottom"/>
          </w:tcPr>
          <w:p>
            <w:pPr>
              <w:spacing w:after="0"/>
              <w:rPr>
                <w:sz w:val="21"/>
                <w:szCs w:val="21"/>
                <w:color w:val="auto"/>
              </w:rPr>
            </w:pPr>
          </w:p>
        </w:tc>
        <w:tc>
          <w:tcPr>
            <w:tcW w:w="274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9"/>
              </w:rPr>
              <w:t>September 30,</w:t>
            </w:r>
          </w:p>
        </w:tc>
        <w:tc>
          <w:tcPr>
            <w:tcW w:w="256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64"/>
        </w:trPr>
        <w:tc>
          <w:tcPr>
            <w:tcW w:w="6020" w:type="dxa"/>
            <w:vAlign w:val="bottom"/>
            <w:tcBorders>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top w:val="single" w:sz="8" w:color="auto"/>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CCEEFF"/>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top w:val="single" w:sz="8" w:color="auto"/>
              <w:bottom w:val="single" w:sz="8" w:color="CCEEFF"/>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57"/>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weighted average number of shares outstanding</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110,213</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107,835</w:t>
            </w: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109,997</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108,559</w:t>
            </w:r>
          </w:p>
        </w:tc>
        <w:tc>
          <w:tcPr>
            <w:tcW w:w="0" w:type="dxa"/>
            <w:vAlign w:val="bottom"/>
          </w:tcPr>
          <w:p>
            <w:pPr>
              <w:spacing w:after="0"/>
              <w:rPr>
                <w:sz w:val="1"/>
                <w:szCs w:val="1"/>
                <w:color w:val="auto"/>
              </w:rPr>
            </w:pPr>
          </w:p>
        </w:tc>
      </w:tr>
      <w:tr>
        <w:trPr>
          <w:trHeight w:val="264"/>
        </w:trPr>
        <w:tc>
          <w:tcPr>
            <w:tcW w:w="6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Dilutive common share equivalents</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1,664</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3,338</w:t>
            </w: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2,439</w:t>
            </w: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3,924</w:t>
            </w:r>
          </w:p>
        </w:tc>
        <w:tc>
          <w:tcPr>
            <w:tcW w:w="0" w:type="dxa"/>
            <w:vAlign w:val="bottom"/>
          </w:tcPr>
          <w:p>
            <w:pPr>
              <w:spacing w:after="0"/>
              <w:rPr>
                <w:sz w:val="1"/>
                <w:szCs w:val="1"/>
                <w:color w:val="auto"/>
              </w:rPr>
            </w:pPr>
          </w:p>
        </w:tc>
      </w:tr>
      <w:tr>
        <w:trPr>
          <w:trHeight w:val="257"/>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number of shares outstanding(1)</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111,877</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111,173</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112,436</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112,483</w:t>
            </w:r>
          </w:p>
        </w:tc>
        <w:tc>
          <w:tcPr>
            <w:tcW w:w="0" w:type="dxa"/>
            <w:vAlign w:val="bottom"/>
          </w:tcPr>
          <w:p>
            <w:pPr>
              <w:spacing w:after="0"/>
              <w:rPr>
                <w:sz w:val="1"/>
                <w:szCs w:val="1"/>
                <w:color w:val="auto"/>
              </w:rPr>
            </w:pPr>
          </w:p>
        </w:tc>
      </w:tr>
      <w:tr>
        <w:trPr>
          <w:trHeight w:val="20"/>
        </w:trPr>
        <w:tc>
          <w:tcPr>
            <w:tcW w:w="6020" w:type="dxa"/>
            <w:vAlign w:val="bottom"/>
            <w:vMerge w:val="restart"/>
          </w:tcPr>
          <w:p>
            <w:pPr>
              <w:jc w:val="right"/>
              <w:ind w:right="3999"/>
              <w:spacing w:after="0"/>
              <w:rPr>
                <w:sz w:val="20"/>
                <w:szCs w:val="20"/>
                <w:color w:val="auto"/>
              </w:rPr>
            </w:pPr>
            <w:r>
              <w:rPr>
                <w:rFonts w:ascii="Arial" w:cs="Arial" w:eastAsia="Arial" w:hAnsi="Arial"/>
                <w:sz w:val="11"/>
                <w:szCs w:val="11"/>
                <w:color w:val="auto"/>
                <w:w w:val="98"/>
              </w:rPr>
              <w:t>________________________________</w:t>
            </w: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602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340" w:right="280" w:hanging="332"/>
        <w:spacing w:after="0" w:line="256"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Included within the weighted average share count for the three and nine months ended September 30, 2012, are approximately 850,000 shares resulting from the distribution pursuant to the Deferred Compensation Plan (see Note 11) that were not included in the weighted average share count for the three and nine months ended September 30, 2011.</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Basic and diluted earnings per share for the three and nine months ended September 30, 2012 and 2011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rPr>
              <w:t>For the Three</w:t>
            </w:r>
          </w:p>
        </w:tc>
        <w:tc>
          <w:tcPr>
            <w:tcW w:w="280" w:type="dxa"/>
            <w:vAlign w:val="bottom"/>
          </w:tcPr>
          <w:p>
            <w:pPr>
              <w:spacing w:after="0"/>
              <w:rPr>
                <w:sz w:val="17"/>
                <w:szCs w:val="17"/>
                <w:color w:val="auto"/>
              </w:rPr>
            </w:pPr>
          </w:p>
        </w:tc>
        <w:tc>
          <w:tcPr>
            <w:tcW w:w="2360" w:type="dxa"/>
            <w:vAlign w:val="bottom"/>
            <w:gridSpan w:val="4"/>
          </w:tcPr>
          <w:p>
            <w:pPr>
              <w:ind w:left="520"/>
              <w:spacing w:after="0"/>
              <w:rPr>
                <w:sz w:val="20"/>
                <w:szCs w:val="20"/>
                <w:color w:val="auto"/>
              </w:rPr>
            </w:pPr>
            <w:r>
              <w:rPr>
                <w:rFonts w:ascii="Arial" w:cs="Arial" w:eastAsia="Arial" w:hAnsi="Arial"/>
                <w:sz w:val="18"/>
                <w:szCs w:val="18"/>
                <w:b w:val="1"/>
                <w:bCs w:val="1"/>
                <w:color w:val="auto"/>
              </w:rPr>
              <w:t>For the Nine</w:t>
            </w:r>
          </w:p>
        </w:tc>
      </w:tr>
      <w:tr>
        <w:trPr>
          <w:trHeight w:val="203"/>
        </w:trPr>
        <w:tc>
          <w:tcPr>
            <w:tcW w:w="6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5"/>
          </w:tcPr>
          <w:p>
            <w:pPr>
              <w:jc w:val="center"/>
              <w:ind w:right="360"/>
              <w:spacing w:after="0" w:line="202" w:lineRule="exact"/>
              <w:rPr>
                <w:sz w:val="20"/>
                <w:szCs w:val="20"/>
                <w:color w:val="auto"/>
              </w:rPr>
            </w:pPr>
            <w:r>
              <w:rPr>
                <w:rFonts w:ascii="Arial" w:cs="Arial" w:eastAsia="Arial" w:hAnsi="Arial"/>
                <w:sz w:val="18"/>
                <w:szCs w:val="18"/>
                <w:b w:val="1"/>
                <w:bCs w:val="1"/>
                <w:color w:val="auto"/>
                <w:w w:val="99"/>
              </w:rPr>
              <w:t>Months Ended</w:t>
            </w:r>
          </w:p>
        </w:tc>
        <w:tc>
          <w:tcPr>
            <w:tcW w:w="280" w:type="dxa"/>
            <w:vAlign w:val="bottom"/>
          </w:tcPr>
          <w:p>
            <w:pPr>
              <w:spacing w:after="0"/>
              <w:rPr>
                <w:sz w:val="17"/>
                <w:szCs w:val="17"/>
                <w:color w:val="auto"/>
              </w:rPr>
            </w:pPr>
          </w:p>
        </w:tc>
        <w:tc>
          <w:tcPr>
            <w:tcW w:w="2360" w:type="dxa"/>
            <w:vAlign w:val="bottom"/>
            <w:gridSpan w:val="4"/>
          </w:tcPr>
          <w:p>
            <w:pPr>
              <w:ind w:left="440"/>
              <w:spacing w:after="0" w:line="202" w:lineRule="exact"/>
              <w:rPr>
                <w:sz w:val="20"/>
                <w:szCs w:val="20"/>
                <w:color w:val="auto"/>
              </w:rPr>
            </w:pPr>
            <w:r>
              <w:rPr>
                <w:rFonts w:ascii="Arial" w:cs="Arial" w:eastAsia="Arial" w:hAnsi="Arial"/>
                <w:sz w:val="18"/>
                <w:szCs w:val="18"/>
                <w:b w:val="1"/>
                <w:bCs w:val="1"/>
                <w:color w:val="auto"/>
              </w:rPr>
              <w:t>Months Ended</w:t>
            </w:r>
          </w:p>
        </w:tc>
      </w:tr>
      <w:tr>
        <w:trPr>
          <w:trHeight w:val="246"/>
        </w:trPr>
        <w:tc>
          <w:tcPr>
            <w:tcW w:w="6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21"/>
                <w:szCs w:val="21"/>
                <w:color w:val="auto"/>
              </w:rPr>
            </w:pPr>
          </w:p>
        </w:tc>
        <w:tc>
          <w:tcPr>
            <w:tcW w:w="2360" w:type="dxa"/>
            <w:vAlign w:val="bottom"/>
            <w:gridSpan w:val="4"/>
          </w:tcPr>
          <w:p>
            <w:pPr>
              <w:ind w:left="440"/>
              <w:spacing w:after="0"/>
              <w:rPr>
                <w:sz w:val="20"/>
                <w:szCs w:val="20"/>
                <w:color w:val="auto"/>
              </w:rPr>
            </w:pPr>
            <w:r>
              <w:rPr>
                <w:rFonts w:ascii="Arial" w:cs="Arial" w:eastAsia="Arial" w:hAnsi="Arial"/>
                <w:sz w:val="18"/>
                <w:szCs w:val="18"/>
                <w:b w:val="1"/>
                <w:bCs w:val="1"/>
                <w:color w:val="auto"/>
              </w:rPr>
              <w:t>September 30,</w:t>
            </w:r>
          </w:p>
        </w:tc>
      </w:tr>
      <w:tr>
        <w:trPr>
          <w:trHeight w:val="264"/>
        </w:trPr>
        <w:tc>
          <w:tcPr>
            <w:tcW w:w="60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r>
      <w:tr>
        <w:trPr>
          <w:trHeight w:val="257"/>
        </w:trPr>
        <w:tc>
          <w:tcPr>
            <w:tcW w:w="6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 earnings per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r>
      <w:tr>
        <w:trPr>
          <w:trHeight w:val="257"/>
        </w:trPr>
        <w:tc>
          <w:tcPr>
            <w:tcW w:w="6020" w:type="dxa"/>
            <w:vAlign w:val="bottom"/>
          </w:tcPr>
          <w:p>
            <w:pPr>
              <w:ind w:left="80"/>
              <w:spacing w:after="0"/>
              <w:rPr>
                <w:sz w:val="20"/>
                <w:szCs w:val="20"/>
                <w:color w:val="auto"/>
              </w:rPr>
            </w:pPr>
            <w:r>
              <w:rPr>
                <w:rFonts w:ascii="Arial" w:cs="Arial" w:eastAsia="Arial" w:hAnsi="Arial"/>
                <w:sz w:val="18"/>
                <w:szCs w:val="18"/>
                <w:color w:val="auto"/>
              </w:rPr>
              <w:t>Diluted earnings per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0.32</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ind w:left="5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1.15</w:t>
            </w:r>
          </w:p>
        </w:tc>
      </w:tr>
    </w:tbl>
    <w:p>
      <w:pPr>
        <w:spacing w:after="0" w:line="229"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The computation of diluted earnings per share excluded stock options and warrants to purchase 4,307,637 shares and 3,953,455 shares for the three months ended September 30, 2012 and 2011, respectively, and 4,120,953 shares and 3,930,723 shares for the nine months ended September 30, 2012 and 2011, respectively, because the effect would have been anti-dilutive.</w:t>
      </w:r>
    </w:p>
    <w:p>
      <w:pPr>
        <w:spacing w:after="0" w:line="180"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47" w:lineRule="exact"/>
        <w:rPr>
          <w:sz w:val="20"/>
          <w:szCs w:val="20"/>
          <w:color w:val="auto"/>
        </w:rPr>
      </w:pPr>
    </w:p>
    <w:p>
      <w:pPr>
        <w:ind w:right="320" w:firstLine="486"/>
        <w:spacing w:after="0" w:line="253" w:lineRule="auto"/>
        <w:rPr>
          <w:sz w:val="20"/>
          <w:szCs w:val="20"/>
          <w:color w:val="auto"/>
        </w:rPr>
      </w:pPr>
      <w:r>
        <w:rPr>
          <w:rFonts w:ascii="Arial" w:cs="Arial" w:eastAsia="Arial" w:hAnsi="Arial"/>
          <w:sz w:val="18"/>
          <w:szCs w:val="18"/>
          <w:color w:val="auto"/>
        </w:rPr>
        <w:t>One of the Company’s significant stockholders owns a minority interest in Artisan Partners Limited Partnership (“Artisan”), which pays fees in exchange for product distribution and record-keeping services. During the nine months ended September 30, 2012 and 2011, the Company earned $2.6 million and $2.2 million, respectively, in fees from Artisan. Additionally, as of September 30, 2012 and December 31, 2011, Artisan owed the Company $0.8 million and $0.7 million, respectively, which is included in receivables from product sponsors, broker-dealers and clearing organizations on the unaudited condensed consolidated statements of financial condition.</w:t>
      </w:r>
    </w:p>
    <w:p>
      <w:pPr>
        <w:spacing w:after="0" w:line="206" w:lineRule="exact"/>
        <w:rPr>
          <w:sz w:val="20"/>
          <w:szCs w:val="20"/>
          <w:color w:val="auto"/>
        </w:rPr>
      </w:pPr>
    </w:p>
    <w:p>
      <w:pPr>
        <w:ind w:right="80" w:firstLine="486"/>
        <w:spacing w:after="0" w:line="256" w:lineRule="auto"/>
        <w:rPr>
          <w:sz w:val="20"/>
          <w:szCs w:val="20"/>
          <w:color w:val="auto"/>
        </w:rPr>
      </w:pPr>
      <w:r>
        <w:rPr>
          <w:rFonts w:ascii="Arial" w:cs="Arial" w:eastAsia="Arial" w:hAnsi="Arial"/>
          <w:sz w:val="18"/>
          <w:szCs w:val="18"/>
          <w:color w:val="auto"/>
        </w:rPr>
        <w:t>American Beacon Advisor, Inc. (“American Beacon”), a company majority-owned by one of the Company’s significant stockholders, pays fees in exchange for product distribution and record-keeping services. During the nine months ended September 30, 2012, the Company earned $0.3 million in fees from American Beacon.</w:t>
      </w: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One of the Company’s significant stockholders owns a minority interest in XOJET, Inc. (“XOJET”), which provides chartered aircraft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services. The Company paid $0.5 million and $1.3 million to XOJET during the nine months ended September 30, 2012 and 2011, respectively.</w:t>
      </w:r>
    </w:p>
    <w:p>
      <w:pPr>
        <w:spacing w:after="0" w:line="225" w:lineRule="exact"/>
        <w:rPr>
          <w:sz w:val="20"/>
          <w:szCs w:val="20"/>
          <w:color w:val="auto"/>
        </w:rPr>
      </w:pPr>
    </w:p>
    <w:p>
      <w:pPr>
        <w:jc w:val="both"/>
        <w:ind w:right="200" w:firstLine="486"/>
        <w:spacing w:after="0" w:line="256" w:lineRule="auto"/>
        <w:rPr>
          <w:sz w:val="20"/>
          <w:szCs w:val="20"/>
          <w:color w:val="auto"/>
        </w:rPr>
      </w:pPr>
      <w:r>
        <w:rPr>
          <w:rFonts w:ascii="Arial" w:cs="Arial" w:eastAsia="Arial" w:hAnsi="Arial"/>
          <w:sz w:val="18"/>
          <w:szCs w:val="18"/>
          <w:color w:val="auto"/>
        </w:rPr>
        <w:t>Aplifi, Inc. ("Aplifi"), a privately held technology company in which the Company holds an equity interest, provides software licensing for annuity order entry and compliance. The Company paid $0.5 million and $1.1 million to Aplifi for such services during the nine months ended September 30, 2012 and 2011, respectively.</w:t>
      </w:r>
    </w:p>
    <w:p>
      <w:pPr>
        <w:spacing w:after="0" w:line="202" w:lineRule="exact"/>
        <w:rPr>
          <w:sz w:val="20"/>
          <w:szCs w:val="20"/>
          <w:color w:val="auto"/>
        </w:rPr>
      </w:pPr>
    </w:p>
    <w:p>
      <w:pPr>
        <w:ind w:right="100" w:firstLine="486"/>
        <w:spacing w:after="0" w:line="278" w:lineRule="auto"/>
        <w:rPr>
          <w:sz w:val="20"/>
          <w:szCs w:val="20"/>
          <w:color w:val="auto"/>
        </w:rPr>
      </w:pPr>
      <w:r>
        <w:rPr>
          <w:rFonts w:ascii="Arial" w:cs="Arial" w:eastAsia="Arial" w:hAnsi="Arial"/>
          <w:sz w:val="17"/>
          <w:szCs w:val="17"/>
          <w:color w:val="auto"/>
        </w:rPr>
        <w:t>An immediate family member of one of the Company’s executive officers is an executive officer of CresaPartners LLC (“CresaPartners”). CresaPartners provides the Company and its subsidiaries real estate advisory, transaction and project management services. The Company paid $0.6 million and $0.4 million to CresaPartners during the nine months ended September 30, 2012 and 2011, respectively.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41" w:right="2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400" w:firstLine="486"/>
        <w:spacing w:after="0" w:line="262" w:lineRule="auto"/>
        <w:rPr>
          <w:sz w:val="20"/>
          <w:szCs w:val="20"/>
          <w:color w:val="auto"/>
        </w:rPr>
      </w:pPr>
      <w:r>
        <w:rPr>
          <w:rFonts w:ascii="Arial" w:cs="Arial" w:eastAsia="Arial" w:hAnsi="Arial"/>
          <w:sz w:val="18"/>
          <w:szCs w:val="18"/>
          <w:color w:val="auto"/>
        </w:rPr>
        <w:t>One of the Company's stockholders, TPG Capital ("TPG") provided the Company with procurement-related services. During the nine months ended September 30, 2012, the Company paid $0.2 million to TPG.</w:t>
      </w:r>
    </w:p>
    <w:p>
      <w:pPr>
        <w:spacing w:after="0" w:line="196"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Certain entities affiliated with SunGard Data Systems Inc. ("SunGard"), a company minority-owned by one of the Company's significant stockholders, provide data center recovery services. The Company paid $0.2 million to SunGard during the nine months ended September 30, 2012.</w:t>
      </w:r>
    </w:p>
    <w:p>
      <w:pPr>
        <w:spacing w:after="0" w:line="180"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Net Capital and Regulatory Requirements</w:t>
      </w:r>
    </w:p>
    <w:p>
      <w:pPr>
        <w:spacing w:after="0" w:line="207"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The Company operates in a highly regulated industry. Applicable laws and regulations restrict permissible activities and investments. These policies require compliance with various financial and customer-related regulations. The consequences of noncompliance can include substantial monetary and non-monetary sanctions. In addition, the Company is also subject to comprehensive examinations and supervision by various governmental and self-regulatory agencies. These regulatory agencies generally have broad discretion to prescribe greater limitations on the operations of a regulated entity for the protection of investors or public interest. Furthermore, where the agencies determine that such operations are unsafe or unsound, fail to comply with applicable law, or are otherwise inconsistent with the laws and regulations or with the supervisory policies, greater restrictions may be imposed.</w:t>
      </w:r>
    </w:p>
    <w:p>
      <w:pPr>
        <w:spacing w:after="0" w:line="16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Company’s registered broker-dealer, LPL Financial, is subject to the SEC’s Uniform Net Capital Rule (Rule 15c3-1 under the Exchange Act), which requires the maintenance of minimum net capital, as defined. Net capital and the related net capital requirement may fluctuate on a daily basis. LPL Financial is a clearing broker-dealer and had net capital of $128.7 million with a minimum net capital requirement of $7.0 million and net capital in excess of the minimum requirement of $121.7 million as of September 30, 2012.</w:t>
      </w:r>
    </w:p>
    <w:p>
      <w:pPr>
        <w:spacing w:after="0" w:line="164"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PTC is also subject to various regulatory capital requirements. Failure to meet minimum capital requirements can initiate certain mandatory and possible additional discretionary actions by regulators that, if undertaken, could have a direct material effect on the Company’s unaudited condensed consolidated financial statements.</w:t>
      </w:r>
    </w:p>
    <w:p>
      <w:pPr>
        <w:spacing w:after="0" w:line="161" w:lineRule="exact"/>
        <w:rPr>
          <w:sz w:val="20"/>
          <w:szCs w:val="20"/>
          <w:color w:val="auto"/>
        </w:rPr>
      </w:pPr>
    </w:p>
    <w:p>
      <w:pPr>
        <w:ind w:right="280" w:firstLine="486"/>
        <w:spacing w:after="0" w:line="262" w:lineRule="auto"/>
        <w:rPr>
          <w:sz w:val="20"/>
          <w:szCs w:val="20"/>
          <w:color w:val="auto"/>
        </w:rPr>
      </w:pPr>
      <w:r>
        <w:rPr>
          <w:rFonts w:ascii="Arial" w:cs="Arial" w:eastAsia="Arial" w:hAnsi="Arial"/>
          <w:sz w:val="18"/>
          <w:szCs w:val="18"/>
          <w:color w:val="auto"/>
        </w:rPr>
        <w:t>As of September 30, 2012 and December 31, 2011, LPL Financial and PTC have met all capital adequacy requirements to which they are subject.</w:t>
      </w:r>
    </w:p>
    <w:p>
      <w:pPr>
        <w:spacing w:after="0" w:line="156" w:lineRule="exact"/>
        <w:rPr>
          <w:sz w:val="20"/>
          <w:szCs w:val="20"/>
          <w:color w:val="auto"/>
        </w:rPr>
      </w:pPr>
    </w:p>
    <w:p>
      <w:pPr>
        <w:ind w:right="620" w:firstLine="486"/>
        <w:spacing w:after="0" w:line="262" w:lineRule="auto"/>
        <w:rPr>
          <w:sz w:val="20"/>
          <w:szCs w:val="20"/>
          <w:color w:val="auto"/>
        </w:rPr>
      </w:pPr>
      <w:r>
        <w:rPr>
          <w:rFonts w:ascii="Arial" w:cs="Arial" w:eastAsia="Arial" w:hAnsi="Arial"/>
          <w:sz w:val="18"/>
          <w:szCs w:val="18"/>
          <w:color w:val="auto"/>
        </w:rPr>
        <w:t>UVEST was an introducing broker-dealer until it withdrew its registration with FINRA effective July 16, 2012 in connection with the Company's 2011 initiative to consolidate UVEST with LPL Financial. UVEST is no longer subject to net capital filing requirements.</w:t>
      </w:r>
    </w:p>
    <w:p>
      <w:pPr>
        <w:spacing w:after="0" w:line="174"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with Off-Balance-Sheet Credit Risk and Concentrations of Credit Risk</w:t>
      </w:r>
    </w:p>
    <w:p>
      <w:pPr>
        <w:spacing w:after="0" w:line="207"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LPL Financial’s client securities activities are transacted on either a cash or margin basis. In margin transactions, LPL Financial extends credit to the advisor's client, subject to various regulatory and internal margin requirements, collateralized by cash and securities in the client’s account. As clients write options contracts or sell securities short, LPL Financial may incur losses if the clients do not fulfill their obligations and the collateral in the clients’ accounts is not sufficient to fully cover losses that clients may incur from these strategies. To control this risk, LPL Financial monitors margin levels daily and clients are required to deposit additional collateral, or reduce positions, when necessary.</w:t>
      </w:r>
    </w:p>
    <w:p>
      <w:pPr>
        <w:spacing w:after="0" w:line="165"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LPL Financial is obligated to settle transactions with brokers and other financial institutions even if its advisor's clients fail to meet their obligation to LPL Financial. Clients are required to complete their transactions on the settlement date, generally three business days after the trade date. If clients do not fulfill their contractual obligations, LPL Financial may incur losses. In addition, the Company occasionally enters into certain types of contracts to fulfill its sale of when, as, and if issued securities. When, as, and if issued securities have been authorized but are contingent upon the actual issuance of the security. LPL Financial has established procedures to reduce this risk by generally requiring that clients deposit cash and/or securities into their account prior to placing an order.</w:t>
      </w:r>
    </w:p>
    <w:p>
      <w:pPr>
        <w:spacing w:after="0" w:line="168" w:lineRule="exact"/>
        <w:rPr>
          <w:sz w:val="20"/>
          <w:szCs w:val="20"/>
          <w:color w:val="auto"/>
        </w:rPr>
      </w:pPr>
    </w:p>
    <w:p>
      <w:pPr>
        <w:ind w:right="820" w:firstLine="486"/>
        <w:spacing w:after="0" w:line="262" w:lineRule="auto"/>
        <w:rPr>
          <w:sz w:val="20"/>
          <w:szCs w:val="20"/>
          <w:color w:val="auto"/>
        </w:rPr>
      </w:pPr>
      <w:r>
        <w:rPr>
          <w:rFonts w:ascii="Arial" w:cs="Arial" w:eastAsia="Arial" w:hAnsi="Arial"/>
          <w:sz w:val="18"/>
          <w:szCs w:val="18"/>
          <w:color w:val="auto"/>
        </w:rPr>
        <w:t>LPL Financial may at times hold equity securities on both a long and short basis that are recorded on the unaudited condensed consolidated statements of financial condition at market value. While long inventory positions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41" w:right="239" w:bottom="1440" w:gutter="0" w:footer="0" w:header="0"/>
        </w:sectPr>
      </w:pPr>
    </w:p>
    <w:bookmarkStart w:id="28" w:name="page29"/>
    <w:bookmarkEnd w:id="28"/>
    <w:p>
      <w:pPr>
        <w:jc w:val="center"/>
        <w:ind w:right="-5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represent LPL Financial’s ownership of securities, short inventory positions represent obligations of LPL Financial to deliver specified securities at a contracted price, which may differ from market prices prevailing at the time of completion of the transaction. Accordingly, both long and short inventory positions may result in losses or gains to LPL Financial as market values of securities fluctuate. To mitigate the risk of losses, long and short positions are marked-to-market daily and are continuously monitored by LPL Financial.</w:t>
      </w:r>
    </w:p>
    <w:p>
      <w:pPr>
        <w:spacing w:after="0" w:line="236"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47" w:lineRule="exact"/>
        <w:rPr>
          <w:sz w:val="20"/>
          <w:szCs w:val="20"/>
          <w:color w:val="auto"/>
        </w:rPr>
      </w:pPr>
    </w:p>
    <w:p>
      <w:pPr>
        <w:ind w:right="120" w:firstLine="486"/>
        <w:spacing w:after="0" w:line="262" w:lineRule="auto"/>
        <w:rPr>
          <w:sz w:val="20"/>
          <w:szCs w:val="20"/>
          <w:color w:val="auto"/>
        </w:rPr>
      </w:pPr>
      <w:r>
        <w:rPr>
          <w:rFonts w:ascii="Arial" w:cs="Arial" w:eastAsia="Arial" w:hAnsi="Arial"/>
          <w:sz w:val="18"/>
          <w:szCs w:val="18"/>
          <w:color w:val="auto"/>
        </w:rPr>
        <w:t>On October 29, 2012, the Board of Directors declared a cash dividend of $0.12 per share on the Company's outstanding common stock to be paid on November 30, 2012 to all stockholders of record on November 15, 2012.</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41" w:right="2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7"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auto"/>
        </w:rPr>
        <w:t>We are the nation's largest independent broker-dealer, a top custodian for registered investment advisors ("RIAs"), and a leading independent consultant to retirement plans. We provide an integrated platform of brokerage and investment advisory services to more than 13,100 independent financial advisors and financial advisors at approximately 685 financial institutions (our "advisors") across the country, enabling them to provide their retail investors (their "clients") with objective, conflict-free financial advice. We also support approximately 4,500 financial advisors who are affiliated and licensed with insurance companies with customized clearing, advisory platforms and technology solutions.</w:t>
      </w:r>
    </w:p>
    <w:p>
      <w:pPr>
        <w:spacing w:after="0" w:line="209"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In addition, through our subsidiary companies, we support a diverse client base. Fortigent Holdings Company, Inc. is a leading provider of solutions and consulting services to RIAs, banks and trust companies servicing high net worth clients, while The Private Trust Company N.A. manages trusts and family assets for high net worth clients in all 50 states. Our newest subsidiary, NestWise LLC, supports the recruitment and development of new-to-the-industry financial advisors dedicated to serving the mass market under the fee-based, independent model.</w:t>
      </w:r>
    </w:p>
    <w:p>
      <w:pPr>
        <w:spacing w:after="0" w:line="204" w:lineRule="exact"/>
        <w:rPr>
          <w:sz w:val="20"/>
          <w:szCs w:val="20"/>
          <w:color w:val="auto"/>
        </w:rPr>
      </w:pPr>
    </w:p>
    <w:p>
      <w:pPr>
        <w:ind w:right="260" w:firstLine="486"/>
        <w:spacing w:after="0" w:line="254" w:lineRule="auto"/>
        <w:rPr>
          <w:sz w:val="20"/>
          <w:szCs w:val="20"/>
          <w:color w:val="auto"/>
        </w:rPr>
      </w:pPr>
      <w:r>
        <w:rPr>
          <w:rFonts w:ascii="Arial" w:cs="Arial" w:eastAsia="Arial" w:hAnsi="Arial"/>
          <w:sz w:val="18"/>
          <w:szCs w:val="18"/>
          <w:color w:val="auto"/>
        </w:rPr>
        <w:t>Our singular focus is to provide our advisors with the front-, middle- and back-office support they need to serve the large and growing market for independent investment advice. We believe we are the only company that offers advisors the unique combination of an integrated technology platform, comprehensive self-clearing services and open-architecture access to leading financial products, all delivered in an environment unencumbered by conflicts from product manufacturing, underwriting or market making.</w:t>
      </w:r>
    </w:p>
    <w:p>
      <w:pPr>
        <w:spacing w:after="0" w:line="164" w:lineRule="exact"/>
        <w:rPr>
          <w:sz w:val="20"/>
          <w:szCs w:val="20"/>
          <w:color w:val="auto"/>
        </w:rPr>
      </w:pPr>
    </w:p>
    <w:p>
      <w:pPr>
        <w:ind w:right="200" w:firstLine="486"/>
        <w:spacing w:after="0" w:line="252" w:lineRule="auto"/>
        <w:rPr>
          <w:sz w:val="20"/>
          <w:szCs w:val="20"/>
          <w:color w:val="auto"/>
        </w:rPr>
      </w:pPr>
      <w:r>
        <w:rPr>
          <w:rFonts w:ascii="Arial" w:cs="Arial" w:eastAsia="Arial" w:hAnsi="Arial"/>
          <w:sz w:val="18"/>
          <w:szCs w:val="18"/>
          <w:color w:val="auto"/>
        </w:rPr>
        <w:t>For over 20 years, we have served the independent advisor market. We currently support the largest independent advisor base and we believe we have the fourth largest overall advisor base in the United States based on the information available as of the date this Quarterly Report on Form 10-Q was issued. Through our advisors, we are also one of the largest distributors of financial products in the United States. Our scale is a substantial competitive advantage and enables us to more effectively attract and retain advisors. Our unique business model allows us to invest in more resources for our advisors, increasing their revenues and creating a virtuous cycle of growth. We have approximately 2,900 employees with primary offices in Boston, Charlotte and San Diego.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Sources of Revenue</w:t>
      </w:r>
    </w:p>
    <w:p>
      <w:pPr>
        <w:spacing w:after="0" w:line="247" w:lineRule="exact"/>
        <w:rPr>
          <w:sz w:val="20"/>
          <w:szCs w:val="20"/>
          <w:color w:val="auto"/>
        </w:rPr>
      </w:pPr>
    </w:p>
    <w:p>
      <w:pPr>
        <w:ind w:right="160" w:firstLine="486"/>
        <w:spacing w:after="0" w:line="252" w:lineRule="auto"/>
        <w:rPr>
          <w:sz w:val="20"/>
          <w:szCs w:val="20"/>
          <w:color w:val="auto"/>
        </w:rPr>
      </w:pPr>
      <w:r>
        <w:rPr>
          <w:rFonts w:ascii="Arial" w:cs="Arial" w:eastAsia="Arial" w:hAnsi="Arial"/>
          <w:sz w:val="18"/>
          <w:szCs w:val="18"/>
          <w:color w:val="auto"/>
        </w:rPr>
        <w:t>Our revenues are derived primarily from fees and commissions from products and advisory services offered by our advisors to their clients, a substantial portion of which we pay out to our advisors, as well as fees we receive from our advisors for use of our technology, custody, clearing, trust and reporting platforms. We also generate asset-based fees through the distribution of financial products for a broad range of product manufacturers. Under our self-clearing platform, we custody the majority of client assets invested in these financial products, which includes providing statements, transaction processing and ongoing account management. In return for these services, mutual funds, insurance companies, banks and other financial product manufacturers pay us fees based on asset levels or number of accounts managed. We also earn interest from margin loans made to our advisors’ clients.</w:t>
      </w:r>
    </w:p>
    <w:p>
      <w:pPr>
        <w:spacing w:after="0" w:line="20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We track recurring revenue, a characterization of net revenue and statistical measure, which we define to include our revenues from asset-based fees, advisory fees, trailing commissions, cash sweep programs and certain other fees that are based upon accounts and advisors. Because certain recurring revenues are associated with asset balances, they will fluctuate depending on the market value of the asset balances and current interest rates. These asset balances, specifically related to advisory fee revenues and asset-based revenues, have approximately a 60% correlation to market fluctuations. Accordingly, recurring revenue can be negatively impacted by adverse external market conditions. However, recurring revenue is meaningful to us despite these fluctuations because it is not based on transaction volumes or other activity-based fees, which are more difficult to predict, particularly in declining or volatile markets.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76" w:right="239" w:bottom="1440" w:gutter="0" w:footer="0" w:header="0"/>
        </w:sectPr>
      </w:pPr>
    </w:p>
    <w:bookmarkStart w:id="30" w:name="page31"/>
    <w:bookmarkEnd w:id="30"/>
    <w:p>
      <w:pPr>
        <w:ind w:right="640" w:firstLine="486"/>
        <w:spacing w:after="0" w:line="262" w:lineRule="auto"/>
        <w:rPr>
          <w:sz w:val="20"/>
          <w:szCs w:val="20"/>
          <w:color w:val="auto"/>
        </w:rPr>
      </w:pPr>
      <w:r>
        <w:rPr>
          <w:rFonts w:ascii="Arial" w:cs="Arial" w:eastAsia="Arial" w:hAnsi="Arial"/>
          <w:sz w:val="18"/>
          <w:szCs w:val="18"/>
          <w:color w:val="auto"/>
        </w:rPr>
        <w:t>The table below summarizes the sources of our revenue, the primary drivers of each revenue source and the percentage of each revenue source that represents recurring revenue, a characterization of revenue and a statistical measure:</w:t>
      </w:r>
    </w:p>
    <w:p>
      <w:pPr>
        <w:spacing w:after="0" w:line="116" w:lineRule="exact"/>
        <w:rPr>
          <w:sz w:val="20"/>
          <w:szCs w:val="20"/>
          <w:color w:val="auto"/>
        </w:rPr>
      </w:pPr>
    </w:p>
    <w:tbl>
      <w:tblPr>
        <w:tblLayout w:type="fixed"/>
        <w:tblInd w:w="1110" w:type="dxa"/>
        <w:tblCellMar>
          <w:top w:w="0" w:type="dxa"/>
          <w:left w:w="0" w:type="dxa"/>
          <w:bottom w:w="0" w:type="dxa"/>
          <w:right w:w="0" w:type="dxa"/>
        </w:tblCellMar>
      </w:tblPr>
      <w:tr>
        <w:trPr>
          <w:trHeight w:val="207"/>
        </w:trPr>
        <w:tc>
          <w:tcPr>
            <w:tcW w:w="1500" w:type="dxa"/>
            <w:vAlign w:val="bottom"/>
            <w:tcBorders>
              <w:right w:val="single" w:sz="8" w:color="A5A5A5"/>
            </w:tcBorders>
          </w:tcPr>
          <w:p>
            <w:pPr>
              <w:spacing w:after="0"/>
              <w:rPr>
                <w:sz w:val="18"/>
                <w:szCs w:val="18"/>
                <w:color w:val="auto"/>
              </w:rPr>
            </w:pPr>
          </w:p>
        </w:tc>
        <w:tc>
          <w:tcPr>
            <w:tcW w:w="2420" w:type="dxa"/>
            <w:vAlign w:val="bottom"/>
            <w:tcBorders>
              <w:right w:val="single" w:sz="8" w:color="A5A5A5"/>
            </w:tcBorders>
            <w:shd w:val="clear" w:color="auto" w:fill="000000"/>
          </w:tcPr>
          <w:p>
            <w:pPr>
              <w:spacing w:after="0"/>
              <w:rPr>
                <w:sz w:val="18"/>
                <w:szCs w:val="18"/>
                <w:color w:val="auto"/>
              </w:rPr>
            </w:pPr>
          </w:p>
        </w:tc>
        <w:tc>
          <w:tcPr>
            <w:tcW w:w="2400" w:type="dxa"/>
            <w:vAlign w:val="bottom"/>
            <w:tcBorders>
              <w:right w:val="single" w:sz="8" w:color="A5A5A5"/>
            </w:tcBorders>
            <w:shd w:val="clear" w:color="auto" w:fill="000000"/>
          </w:tcPr>
          <w:p>
            <w:pPr>
              <w:spacing w:after="0"/>
              <w:rPr>
                <w:sz w:val="18"/>
                <w:szCs w:val="18"/>
                <w:color w:val="auto"/>
              </w:rPr>
            </w:pPr>
          </w:p>
        </w:tc>
        <w:tc>
          <w:tcPr>
            <w:tcW w:w="2940" w:type="dxa"/>
            <w:vAlign w:val="bottom"/>
            <w:tcBorders>
              <w:right w:val="single" w:sz="8" w:color="A5A5A5"/>
            </w:tcBorders>
            <w:gridSpan w:val="4"/>
            <w:shd w:val="clear" w:color="auto" w:fill="000000"/>
          </w:tcPr>
          <w:p>
            <w:pPr>
              <w:jc w:val="center"/>
              <w:spacing w:after="0"/>
              <w:rPr>
                <w:sz w:val="20"/>
                <w:szCs w:val="20"/>
                <w:color w:val="auto"/>
              </w:rPr>
            </w:pPr>
            <w:r>
              <w:rPr>
                <w:rFonts w:ascii="Arial" w:cs="Arial" w:eastAsia="Arial" w:hAnsi="Arial"/>
                <w:sz w:val="14"/>
                <w:szCs w:val="14"/>
                <w:color w:val="FFFFFF"/>
              </w:rPr>
              <w:t>For the Nine Months Ended</w:t>
            </w:r>
          </w:p>
        </w:tc>
        <w:tc>
          <w:tcPr>
            <w:tcW w:w="0" w:type="dxa"/>
            <w:vAlign w:val="bottom"/>
          </w:tcPr>
          <w:p>
            <w:pPr>
              <w:spacing w:after="0"/>
              <w:rPr>
                <w:sz w:val="1"/>
                <w:szCs w:val="1"/>
                <w:color w:val="auto"/>
              </w:rPr>
            </w:pPr>
          </w:p>
        </w:tc>
      </w:tr>
      <w:tr>
        <w:trPr>
          <w:trHeight w:val="188"/>
        </w:trPr>
        <w:tc>
          <w:tcPr>
            <w:tcW w:w="1500" w:type="dxa"/>
            <w:vAlign w:val="bottom"/>
            <w:tcBorders>
              <w:right w:val="single" w:sz="8" w:color="A5A5A5"/>
            </w:tcBorders>
          </w:tcPr>
          <w:p>
            <w:pPr>
              <w:spacing w:after="0"/>
              <w:rPr>
                <w:sz w:val="16"/>
                <w:szCs w:val="16"/>
                <w:color w:val="auto"/>
              </w:rPr>
            </w:pPr>
          </w:p>
        </w:tc>
        <w:tc>
          <w:tcPr>
            <w:tcW w:w="2420" w:type="dxa"/>
            <w:vAlign w:val="bottom"/>
            <w:tcBorders>
              <w:right w:val="single" w:sz="8" w:color="A5A5A5"/>
            </w:tcBorders>
            <w:shd w:val="clear" w:color="auto" w:fill="000000"/>
          </w:tcPr>
          <w:p>
            <w:pPr>
              <w:spacing w:after="0"/>
              <w:rPr>
                <w:sz w:val="16"/>
                <w:szCs w:val="16"/>
                <w:color w:val="auto"/>
              </w:rPr>
            </w:pPr>
          </w:p>
        </w:tc>
        <w:tc>
          <w:tcPr>
            <w:tcW w:w="2400" w:type="dxa"/>
            <w:vAlign w:val="bottom"/>
            <w:tcBorders>
              <w:right w:val="single" w:sz="8" w:color="A5A5A5"/>
            </w:tcBorders>
            <w:shd w:val="clear" w:color="auto" w:fill="000000"/>
          </w:tcPr>
          <w:p>
            <w:pPr>
              <w:spacing w:after="0"/>
              <w:rPr>
                <w:sz w:val="16"/>
                <w:szCs w:val="16"/>
                <w:color w:val="auto"/>
              </w:rPr>
            </w:pPr>
          </w:p>
        </w:tc>
        <w:tc>
          <w:tcPr>
            <w:tcW w:w="780" w:type="dxa"/>
            <w:vAlign w:val="bottom"/>
            <w:shd w:val="clear" w:color="auto" w:fill="000000"/>
          </w:tcPr>
          <w:p>
            <w:pPr>
              <w:spacing w:after="0"/>
              <w:rPr>
                <w:sz w:val="16"/>
                <w:szCs w:val="16"/>
                <w:color w:val="auto"/>
              </w:rPr>
            </w:pPr>
          </w:p>
        </w:tc>
        <w:tc>
          <w:tcPr>
            <w:tcW w:w="2160" w:type="dxa"/>
            <w:vAlign w:val="bottom"/>
            <w:tcBorders>
              <w:right w:val="single" w:sz="8" w:color="A5A5A5"/>
            </w:tcBorders>
            <w:gridSpan w:val="3"/>
            <w:shd w:val="clear" w:color="auto" w:fill="000000"/>
          </w:tcPr>
          <w:p>
            <w:pPr>
              <w:jc w:val="center"/>
              <w:ind w:right="748"/>
              <w:spacing w:after="0"/>
              <w:rPr>
                <w:sz w:val="20"/>
                <w:szCs w:val="20"/>
                <w:color w:val="auto"/>
              </w:rPr>
            </w:pPr>
            <w:r>
              <w:rPr>
                <w:rFonts w:ascii="Arial" w:cs="Arial" w:eastAsia="Arial" w:hAnsi="Arial"/>
                <w:sz w:val="14"/>
                <w:szCs w:val="14"/>
                <w:color w:val="FFFFFF"/>
              </w:rPr>
              <w:t>September 30, 2012</w:t>
            </w:r>
          </w:p>
        </w:tc>
        <w:tc>
          <w:tcPr>
            <w:tcW w:w="0" w:type="dxa"/>
            <w:vAlign w:val="bottom"/>
          </w:tcPr>
          <w:p>
            <w:pPr>
              <w:spacing w:after="0"/>
              <w:rPr>
                <w:sz w:val="1"/>
                <w:szCs w:val="1"/>
                <w:color w:val="auto"/>
              </w:rPr>
            </w:pPr>
          </w:p>
        </w:tc>
      </w:tr>
      <w:tr>
        <w:trPr>
          <w:trHeight w:val="204"/>
        </w:trPr>
        <w:tc>
          <w:tcPr>
            <w:tcW w:w="1500" w:type="dxa"/>
            <w:vAlign w:val="bottom"/>
            <w:tcBorders>
              <w:right w:val="single" w:sz="8" w:color="A5A5A5"/>
            </w:tcBorders>
          </w:tcPr>
          <w:p>
            <w:pPr>
              <w:spacing w:after="0"/>
              <w:rPr>
                <w:sz w:val="17"/>
                <w:szCs w:val="17"/>
                <w:color w:val="auto"/>
              </w:rPr>
            </w:pPr>
          </w:p>
        </w:tc>
        <w:tc>
          <w:tcPr>
            <w:tcW w:w="2420" w:type="dxa"/>
            <w:vAlign w:val="bottom"/>
            <w:tcBorders>
              <w:right w:val="single" w:sz="8" w:color="A5A5A5"/>
            </w:tcBorders>
            <w:shd w:val="clear" w:color="auto" w:fill="000000"/>
          </w:tcPr>
          <w:p>
            <w:pPr>
              <w:spacing w:after="0"/>
              <w:rPr>
                <w:sz w:val="17"/>
                <w:szCs w:val="17"/>
                <w:color w:val="auto"/>
              </w:rPr>
            </w:pPr>
          </w:p>
        </w:tc>
        <w:tc>
          <w:tcPr>
            <w:tcW w:w="2400" w:type="dxa"/>
            <w:vAlign w:val="bottom"/>
            <w:tcBorders>
              <w:right w:val="single" w:sz="8" w:color="A5A5A5"/>
            </w:tcBorders>
            <w:shd w:val="clear" w:color="auto" w:fill="000000"/>
          </w:tcPr>
          <w:p>
            <w:pPr>
              <w:spacing w:after="0"/>
              <w:rPr>
                <w:sz w:val="17"/>
                <w:szCs w:val="17"/>
                <w:color w:val="auto"/>
              </w:rPr>
            </w:pPr>
          </w:p>
        </w:tc>
        <w:tc>
          <w:tcPr>
            <w:tcW w:w="780" w:type="dxa"/>
            <w:vAlign w:val="bottom"/>
            <w:shd w:val="clear" w:color="auto" w:fill="000000"/>
          </w:tcPr>
          <w:p>
            <w:pPr>
              <w:jc w:val="center"/>
              <w:ind w:left="128"/>
              <w:spacing w:after="0"/>
              <w:rPr>
                <w:sz w:val="20"/>
                <w:szCs w:val="20"/>
                <w:color w:val="auto"/>
              </w:rPr>
            </w:pPr>
            <w:r>
              <w:rPr>
                <w:rFonts w:ascii="Arial" w:cs="Arial" w:eastAsia="Arial" w:hAnsi="Arial"/>
                <w:sz w:val="14"/>
                <w:szCs w:val="14"/>
                <w:color w:val="FFFFFF"/>
                <w:w w:val="96"/>
              </w:rPr>
              <w:t>Total</w:t>
            </w:r>
          </w:p>
        </w:tc>
        <w:tc>
          <w:tcPr>
            <w:tcW w:w="220" w:type="dxa"/>
            <w:vAlign w:val="bottom"/>
            <w:tcBorders>
              <w:right w:val="single" w:sz="8" w:color="A5A5A5"/>
            </w:tcBorders>
            <w:shd w:val="clear" w:color="auto" w:fill="000000"/>
          </w:tcPr>
          <w:p>
            <w:pPr>
              <w:spacing w:after="0"/>
              <w:rPr>
                <w:sz w:val="17"/>
                <w:szCs w:val="17"/>
                <w:color w:val="auto"/>
              </w:rPr>
            </w:pPr>
          </w:p>
        </w:tc>
        <w:tc>
          <w:tcPr>
            <w:tcW w:w="920" w:type="dxa"/>
            <w:vAlign w:val="bottom"/>
            <w:tcBorders>
              <w:right w:val="single" w:sz="8" w:color="A5A5A5"/>
            </w:tcBorders>
            <w:shd w:val="clear" w:color="auto" w:fill="000000"/>
          </w:tcPr>
          <w:p>
            <w:pPr>
              <w:jc w:val="center"/>
              <w:spacing w:after="0"/>
              <w:rPr>
                <w:sz w:val="20"/>
                <w:szCs w:val="20"/>
                <w:color w:val="auto"/>
              </w:rPr>
            </w:pPr>
            <w:r>
              <w:rPr>
                <w:rFonts w:ascii="Arial" w:cs="Arial" w:eastAsia="Arial" w:hAnsi="Arial"/>
                <w:sz w:val="14"/>
                <w:szCs w:val="14"/>
                <w:color w:val="FFFFFF"/>
                <w:w w:val="98"/>
              </w:rPr>
              <w:t>% of Total</w:t>
            </w:r>
          </w:p>
        </w:tc>
        <w:tc>
          <w:tcPr>
            <w:tcW w:w="1020" w:type="dxa"/>
            <w:vAlign w:val="bottom"/>
            <w:tcBorders>
              <w:right w:val="single" w:sz="8" w:color="A5A5A5"/>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500" w:type="dxa"/>
            <w:vAlign w:val="bottom"/>
            <w:tcBorders>
              <w:bottom w:val="single" w:sz="8" w:color="999999"/>
              <w:right w:val="single" w:sz="8" w:color="A5A5A5"/>
            </w:tcBorders>
          </w:tcPr>
          <w:p>
            <w:pPr>
              <w:spacing w:after="0"/>
              <w:rPr>
                <w:sz w:val="15"/>
                <w:szCs w:val="15"/>
                <w:color w:val="auto"/>
              </w:rPr>
            </w:pPr>
          </w:p>
        </w:tc>
        <w:tc>
          <w:tcPr>
            <w:tcW w:w="2420" w:type="dxa"/>
            <w:vAlign w:val="bottom"/>
            <w:tcBorders>
              <w:bottom w:val="single" w:sz="8" w:color="A5A5A5"/>
              <w:right w:val="single" w:sz="8" w:color="A5A5A5"/>
            </w:tcBorders>
            <w:shd w:val="clear" w:color="auto" w:fill="000000"/>
          </w:tcPr>
          <w:p>
            <w:pPr>
              <w:ind w:left="540"/>
              <w:spacing w:after="0"/>
              <w:rPr>
                <w:sz w:val="20"/>
                <w:szCs w:val="20"/>
                <w:color w:val="auto"/>
              </w:rPr>
            </w:pPr>
            <w:r>
              <w:rPr>
                <w:rFonts w:ascii="Arial" w:cs="Arial" w:eastAsia="Arial" w:hAnsi="Arial"/>
                <w:sz w:val="14"/>
                <w:szCs w:val="14"/>
                <w:color w:val="FFFFFF"/>
              </w:rPr>
              <w:t>Sources of Revenue</w:t>
            </w:r>
          </w:p>
        </w:tc>
        <w:tc>
          <w:tcPr>
            <w:tcW w:w="2400" w:type="dxa"/>
            <w:vAlign w:val="bottom"/>
            <w:tcBorders>
              <w:bottom w:val="single" w:sz="8" w:color="A5A5A5"/>
              <w:right w:val="single" w:sz="8" w:color="A5A5A5"/>
            </w:tcBorders>
            <w:shd w:val="clear" w:color="auto" w:fill="000000"/>
          </w:tcPr>
          <w:p>
            <w:pPr>
              <w:ind w:left="680"/>
              <w:spacing w:after="0"/>
              <w:rPr>
                <w:sz w:val="20"/>
                <w:szCs w:val="20"/>
                <w:color w:val="auto"/>
              </w:rPr>
            </w:pPr>
            <w:r>
              <w:rPr>
                <w:rFonts w:ascii="Arial" w:cs="Arial" w:eastAsia="Arial" w:hAnsi="Arial"/>
                <w:sz w:val="14"/>
                <w:szCs w:val="14"/>
                <w:color w:val="FFFFFF"/>
              </w:rPr>
              <w:t>Primary Drivers</w:t>
            </w:r>
          </w:p>
        </w:tc>
        <w:tc>
          <w:tcPr>
            <w:tcW w:w="780" w:type="dxa"/>
            <w:vAlign w:val="bottom"/>
            <w:tcBorders>
              <w:bottom w:val="single" w:sz="8" w:color="A5A5A5"/>
            </w:tcBorders>
            <w:shd w:val="clear" w:color="auto" w:fill="000000"/>
          </w:tcPr>
          <w:p>
            <w:pPr>
              <w:jc w:val="center"/>
              <w:ind w:left="108"/>
              <w:spacing w:after="0"/>
              <w:rPr>
                <w:sz w:val="20"/>
                <w:szCs w:val="20"/>
                <w:color w:val="auto"/>
              </w:rPr>
            </w:pPr>
            <w:r>
              <w:rPr>
                <w:rFonts w:ascii="Arial" w:cs="Arial" w:eastAsia="Arial" w:hAnsi="Arial"/>
                <w:sz w:val="14"/>
                <w:szCs w:val="14"/>
                <w:color w:val="FFFFFF"/>
                <w:w w:val="99"/>
              </w:rPr>
              <w:t>(millions)</w:t>
            </w:r>
          </w:p>
        </w:tc>
        <w:tc>
          <w:tcPr>
            <w:tcW w:w="220" w:type="dxa"/>
            <w:vAlign w:val="bottom"/>
            <w:tcBorders>
              <w:bottom w:val="single" w:sz="8" w:color="A5A5A5"/>
              <w:right w:val="single" w:sz="8" w:color="A5A5A5"/>
            </w:tcBorders>
            <w:shd w:val="clear" w:color="auto" w:fill="000000"/>
          </w:tcPr>
          <w:p>
            <w:pPr>
              <w:spacing w:after="0"/>
              <w:rPr>
                <w:sz w:val="15"/>
                <w:szCs w:val="15"/>
                <w:color w:val="auto"/>
              </w:rPr>
            </w:pPr>
          </w:p>
        </w:tc>
        <w:tc>
          <w:tcPr>
            <w:tcW w:w="920" w:type="dxa"/>
            <w:vAlign w:val="bottom"/>
            <w:tcBorders>
              <w:bottom w:val="single" w:sz="8" w:color="A5A5A5"/>
              <w:right w:val="single" w:sz="8" w:color="A5A5A5"/>
            </w:tcBorders>
            <w:shd w:val="clear" w:color="auto" w:fill="000000"/>
          </w:tcPr>
          <w:p>
            <w:pPr>
              <w:jc w:val="center"/>
              <w:spacing w:after="0"/>
              <w:rPr>
                <w:sz w:val="20"/>
                <w:szCs w:val="20"/>
                <w:color w:val="auto"/>
              </w:rPr>
            </w:pPr>
            <w:r>
              <w:rPr>
                <w:rFonts w:ascii="Arial" w:cs="Arial" w:eastAsia="Arial" w:hAnsi="Arial"/>
                <w:sz w:val="14"/>
                <w:szCs w:val="14"/>
                <w:color w:val="FFFFFF"/>
              </w:rPr>
              <w:t>Net Revenue</w:t>
            </w:r>
          </w:p>
        </w:tc>
        <w:tc>
          <w:tcPr>
            <w:tcW w:w="1020" w:type="dxa"/>
            <w:vAlign w:val="bottom"/>
            <w:tcBorders>
              <w:bottom w:val="single" w:sz="8" w:color="A5A5A5"/>
              <w:right w:val="single" w:sz="8" w:color="A5A5A5"/>
            </w:tcBorders>
            <w:shd w:val="clear" w:color="auto" w:fill="000000"/>
          </w:tcPr>
          <w:p>
            <w:pPr>
              <w:ind w:left="100"/>
              <w:spacing w:after="0"/>
              <w:rPr>
                <w:sz w:val="20"/>
                <w:szCs w:val="20"/>
                <w:color w:val="auto"/>
              </w:rPr>
            </w:pPr>
            <w:r>
              <w:rPr>
                <w:rFonts w:ascii="Arial" w:cs="Arial" w:eastAsia="Arial" w:hAnsi="Arial"/>
                <w:sz w:val="14"/>
                <w:szCs w:val="14"/>
                <w:color w:val="FFFFFF"/>
              </w:rPr>
              <w:t>% Recurring</w:t>
            </w:r>
          </w:p>
        </w:tc>
        <w:tc>
          <w:tcPr>
            <w:tcW w:w="0" w:type="dxa"/>
            <w:vAlign w:val="bottom"/>
          </w:tcPr>
          <w:p>
            <w:pPr>
              <w:spacing w:after="0"/>
              <w:rPr>
                <w:sz w:val="1"/>
                <w:szCs w:val="1"/>
                <w:color w:val="auto"/>
              </w:rPr>
            </w:pPr>
          </w:p>
        </w:tc>
      </w:tr>
      <w:tr>
        <w:trPr>
          <w:trHeight w:val="193"/>
        </w:trPr>
        <w:tc>
          <w:tcPr>
            <w:tcW w:w="1500" w:type="dxa"/>
            <w:vAlign w:val="bottom"/>
            <w:tcBorders>
              <w:left w:val="single" w:sz="8" w:color="999999"/>
              <w:right w:val="single" w:sz="8" w:color="A5A5A5"/>
            </w:tcBorders>
          </w:tcPr>
          <w:p>
            <w:pPr>
              <w:jc w:val="center"/>
              <w:spacing w:after="0"/>
              <w:rPr>
                <w:sz w:val="20"/>
                <w:szCs w:val="20"/>
                <w:color w:val="auto"/>
              </w:rPr>
            </w:pPr>
            <w:r>
              <w:rPr>
                <w:rFonts w:ascii="Arial" w:cs="Arial" w:eastAsia="Arial" w:hAnsi="Arial"/>
                <w:sz w:val="14"/>
                <w:szCs w:val="14"/>
                <w:color w:val="1F497D"/>
              </w:rPr>
              <w:t>Advisor-driven</w:t>
            </w: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1F497D"/>
              </w:rPr>
              <w:t>Commissions</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003399"/>
              </w:rPr>
              <w:t>- Transactions</w:t>
            </w:r>
          </w:p>
        </w:tc>
        <w:tc>
          <w:tcPr>
            <w:tcW w:w="780" w:type="dxa"/>
            <w:vAlign w:val="bottom"/>
            <w:vMerge w:val="restart"/>
          </w:tcPr>
          <w:p>
            <w:pPr>
              <w:jc w:val="center"/>
              <w:ind w:left="108"/>
              <w:spacing w:after="0"/>
              <w:rPr>
                <w:sz w:val="20"/>
                <w:szCs w:val="20"/>
                <w:color w:val="auto"/>
              </w:rPr>
            </w:pPr>
            <w:r>
              <w:rPr>
                <w:rFonts w:ascii="Arial" w:cs="Arial" w:eastAsia="Arial" w:hAnsi="Arial"/>
                <w:sz w:val="14"/>
                <w:szCs w:val="14"/>
                <w:color w:val="1F497D"/>
              </w:rPr>
              <w:t>$1,353</w:t>
            </w:r>
          </w:p>
        </w:tc>
        <w:tc>
          <w:tcPr>
            <w:tcW w:w="220" w:type="dxa"/>
            <w:vAlign w:val="bottom"/>
            <w:tcBorders>
              <w:right w:val="single" w:sz="8" w:color="A5A5A5"/>
            </w:tcBorders>
          </w:tcPr>
          <w:p>
            <w:pPr>
              <w:spacing w:after="0"/>
              <w:rPr>
                <w:sz w:val="16"/>
                <w:szCs w:val="16"/>
                <w:color w:val="auto"/>
              </w:rPr>
            </w:pPr>
          </w:p>
        </w:tc>
        <w:tc>
          <w:tcPr>
            <w:tcW w:w="9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50%</w:t>
            </w:r>
          </w:p>
        </w:tc>
        <w:tc>
          <w:tcPr>
            <w:tcW w:w="10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39%</w:t>
            </w:r>
          </w:p>
        </w:tc>
        <w:tc>
          <w:tcPr>
            <w:tcW w:w="0" w:type="dxa"/>
            <w:vAlign w:val="bottom"/>
          </w:tcPr>
          <w:p>
            <w:pPr>
              <w:spacing w:after="0"/>
              <w:rPr>
                <w:sz w:val="1"/>
                <w:szCs w:val="1"/>
                <w:color w:val="auto"/>
              </w:rPr>
            </w:pPr>
          </w:p>
        </w:tc>
      </w:tr>
      <w:tr>
        <w:trPr>
          <w:trHeight w:val="118"/>
        </w:trPr>
        <w:tc>
          <w:tcPr>
            <w:tcW w:w="1500" w:type="dxa"/>
            <w:vAlign w:val="bottom"/>
            <w:tcBorders>
              <w:left w:val="single" w:sz="8" w:color="999999"/>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revenue with</w:t>
            </w:r>
          </w:p>
        </w:tc>
        <w:tc>
          <w:tcPr>
            <w:tcW w:w="2420" w:type="dxa"/>
            <w:vAlign w:val="bottom"/>
            <w:tcBorders>
              <w:right w:val="single" w:sz="8" w:color="A5A5A5"/>
            </w:tcBorders>
          </w:tcPr>
          <w:p>
            <w:pPr>
              <w:spacing w:after="0"/>
              <w:rPr>
                <w:sz w:val="10"/>
                <w:szCs w:val="10"/>
                <w:color w:val="auto"/>
              </w:rPr>
            </w:pPr>
          </w:p>
        </w:tc>
        <w:tc>
          <w:tcPr>
            <w:tcW w:w="2400" w:type="dxa"/>
            <w:vAlign w:val="bottom"/>
            <w:tcBorders>
              <w:right w:val="single" w:sz="8" w:color="A5A5A5"/>
            </w:tcBorders>
            <w:vMerge w:val="restart"/>
          </w:tcPr>
          <w:p>
            <w:pPr>
              <w:spacing w:after="0"/>
              <w:rPr>
                <w:sz w:val="20"/>
                <w:szCs w:val="20"/>
                <w:color w:val="auto"/>
              </w:rPr>
            </w:pPr>
            <w:r>
              <w:rPr>
                <w:rFonts w:ascii="Arial" w:cs="Arial" w:eastAsia="Arial" w:hAnsi="Arial"/>
                <w:sz w:val="14"/>
                <w:szCs w:val="14"/>
                <w:color w:val="003399"/>
              </w:rPr>
              <w:t>- Brokerage asset levels</w:t>
            </w:r>
          </w:p>
        </w:tc>
        <w:tc>
          <w:tcPr>
            <w:tcW w:w="780" w:type="dxa"/>
            <w:vAlign w:val="bottom"/>
            <w:vMerge w:val="continue"/>
          </w:tcPr>
          <w:p>
            <w:pPr>
              <w:spacing w:after="0"/>
              <w:rPr>
                <w:sz w:val="10"/>
                <w:szCs w:val="10"/>
                <w:color w:val="auto"/>
              </w:rPr>
            </w:pPr>
          </w:p>
        </w:tc>
        <w:tc>
          <w:tcPr>
            <w:tcW w:w="220" w:type="dxa"/>
            <w:vAlign w:val="bottom"/>
            <w:tcBorders>
              <w:right w:val="single" w:sz="8" w:color="A5A5A5"/>
            </w:tcBorders>
          </w:tcPr>
          <w:p>
            <w:pPr>
              <w:spacing w:after="0"/>
              <w:rPr>
                <w:sz w:val="10"/>
                <w:szCs w:val="10"/>
                <w:color w:val="auto"/>
              </w:rPr>
            </w:pPr>
          </w:p>
        </w:tc>
        <w:tc>
          <w:tcPr>
            <w:tcW w:w="920" w:type="dxa"/>
            <w:vAlign w:val="bottom"/>
            <w:tcBorders>
              <w:right w:val="single" w:sz="8" w:color="A5A5A5"/>
            </w:tcBorders>
            <w:vMerge w:val="continue"/>
          </w:tcPr>
          <w:p>
            <w:pPr>
              <w:spacing w:after="0"/>
              <w:rPr>
                <w:sz w:val="10"/>
                <w:szCs w:val="10"/>
                <w:color w:val="auto"/>
              </w:rPr>
            </w:pPr>
          </w:p>
        </w:tc>
        <w:tc>
          <w:tcPr>
            <w:tcW w:w="1020" w:type="dxa"/>
            <w:vAlign w:val="bottom"/>
            <w:tcBorders>
              <w:right w:val="single" w:sz="8" w:color="A5A5A5"/>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1500" w:type="dxa"/>
            <w:vAlign w:val="bottom"/>
            <w:tcBorders>
              <w:left w:val="single" w:sz="8" w:color="999999"/>
              <w:right w:val="single" w:sz="8" w:color="A5A5A5"/>
            </w:tcBorders>
            <w:vMerge w:val="continue"/>
          </w:tcPr>
          <w:p>
            <w:pPr>
              <w:spacing w:after="0"/>
              <w:rPr>
                <w:sz w:val="3"/>
                <w:szCs w:val="3"/>
                <w:color w:val="auto"/>
              </w:rPr>
            </w:pPr>
          </w:p>
        </w:tc>
        <w:tc>
          <w:tcPr>
            <w:tcW w:w="2420" w:type="dxa"/>
            <w:vAlign w:val="bottom"/>
            <w:tcBorders>
              <w:right w:val="single" w:sz="8" w:color="A5A5A5"/>
            </w:tcBorders>
          </w:tcPr>
          <w:p>
            <w:pPr>
              <w:spacing w:after="0"/>
              <w:rPr>
                <w:sz w:val="3"/>
                <w:szCs w:val="3"/>
                <w:color w:val="auto"/>
              </w:rPr>
            </w:pPr>
          </w:p>
        </w:tc>
        <w:tc>
          <w:tcPr>
            <w:tcW w:w="2400" w:type="dxa"/>
            <w:vAlign w:val="bottom"/>
            <w:tcBorders>
              <w:right w:val="single" w:sz="8" w:color="A5A5A5"/>
            </w:tcBorders>
            <w:vMerge w:val="continue"/>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Borders>
              <w:right w:val="single" w:sz="8" w:color="A5A5A5"/>
            </w:tcBorders>
          </w:tcPr>
          <w:p>
            <w:pPr>
              <w:spacing w:after="0"/>
              <w:rPr>
                <w:sz w:val="3"/>
                <w:szCs w:val="3"/>
                <w:color w:val="auto"/>
              </w:rPr>
            </w:pPr>
          </w:p>
        </w:tc>
        <w:tc>
          <w:tcPr>
            <w:tcW w:w="920" w:type="dxa"/>
            <w:vAlign w:val="bottom"/>
            <w:tcBorders>
              <w:right w:val="single" w:sz="8" w:color="A5A5A5"/>
            </w:tcBorders>
          </w:tcPr>
          <w:p>
            <w:pPr>
              <w:spacing w:after="0"/>
              <w:rPr>
                <w:sz w:val="3"/>
                <w:szCs w:val="3"/>
                <w:color w:val="auto"/>
              </w:rPr>
            </w:pPr>
          </w:p>
        </w:tc>
        <w:tc>
          <w:tcPr>
            <w:tcW w:w="1020" w:type="dxa"/>
            <w:vAlign w:val="bottom"/>
            <w:tcBorders>
              <w:right w:val="single" w:sz="8" w:color="A5A5A5"/>
            </w:tcBorders>
          </w:tcPr>
          <w:p>
            <w:pPr>
              <w:spacing w:after="0"/>
              <w:rPr>
                <w:sz w:val="3"/>
                <w:szCs w:val="3"/>
                <w:color w:val="auto"/>
              </w:rPr>
            </w:pPr>
          </w:p>
        </w:tc>
        <w:tc>
          <w:tcPr>
            <w:tcW w:w="0" w:type="dxa"/>
            <w:vAlign w:val="bottom"/>
          </w:tcPr>
          <w:p>
            <w:pPr>
              <w:spacing w:after="0"/>
              <w:rPr>
                <w:sz w:val="1"/>
                <w:szCs w:val="1"/>
                <w:color w:val="auto"/>
              </w:rPr>
            </w:pPr>
          </w:p>
        </w:tc>
      </w:tr>
      <w:tr>
        <w:trPr>
          <w:trHeight w:val="76"/>
        </w:trPr>
        <w:tc>
          <w:tcPr>
            <w:tcW w:w="1500" w:type="dxa"/>
            <w:vAlign w:val="bottom"/>
            <w:tcBorders>
              <w:left w:val="single" w:sz="8" w:color="999999"/>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~85%-90% payout</w:t>
            </w:r>
          </w:p>
        </w:tc>
        <w:tc>
          <w:tcPr>
            <w:tcW w:w="2420" w:type="dxa"/>
            <w:vAlign w:val="bottom"/>
            <w:tcBorders>
              <w:bottom w:val="single" w:sz="8" w:color="A5A5A5"/>
              <w:right w:val="single" w:sz="8" w:color="A5A5A5"/>
            </w:tcBorders>
          </w:tcPr>
          <w:p>
            <w:pPr>
              <w:spacing w:after="0"/>
              <w:rPr>
                <w:sz w:val="6"/>
                <w:szCs w:val="6"/>
                <w:color w:val="auto"/>
              </w:rPr>
            </w:pPr>
          </w:p>
        </w:tc>
        <w:tc>
          <w:tcPr>
            <w:tcW w:w="2400" w:type="dxa"/>
            <w:vAlign w:val="bottom"/>
            <w:tcBorders>
              <w:bottom w:val="single" w:sz="8" w:color="A5A5A5"/>
              <w:right w:val="single" w:sz="8" w:color="A5A5A5"/>
            </w:tcBorders>
          </w:tcPr>
          <w:p>
            <w:pPr>
              <w:spacing w:after="0"/>
              <w:rPr>
                <w:sz w:val="6"/>
                <w:szCs w:val="6"/>
                <w:color w:val="auto"/>
              </w:rPr>
            </w:pPr>
          </w:p>
        </w:tc>
        <w:tc>
          <w:tcPr>
            <w:tcW w:w="780" w:type="dxa"/>
            <w:vAlign w:val="bottom"/>
            <w:tcBorders>
              <w:bottom w:val="single" w:sz="8" w:color="A5A5A5"/>
            </w:tcBorders>
          </w:tcPr>
          <w:p>
            <w:pPr>
              <w:spacing w:after="0"/>
              <w:rPr>
                <w:sz w:val="6"/>
                <w:szCs w:val="6"/>
                <w:color w:val="auto"/>
              </w:rPr>
            </w:pPr>
          </w:p>
        </w:tc>
        <w:tc>
          <w:tcPr>
            <w:tcW w:w="220" w:type="dxa"/>
            <w:vAlign w:val="bottom"/>
            <w:tcBorders>
              <w:bottom w:val="single" w:sz="8" w:color="A5A5A5"/>
              <w:right w:val="single" w:sz="8" w:color="A5A5A5"/>
            </w:tcBorders>
          </w:tcPr>
          <w:p>
            <w:pPr>
              <w:spacing w:after="0"/>
              <w:rPr>
                <w:sz w:val="6"/>
                <w:szCs w:val="6"/>
                <w:color w:val="auto"/>
              </w:rPr>
            </w:pPr>
          </w:p>
        </w:tc>
        <w:tc>
          <w:tcPr>
            <w:tcW w:w="920" w:type="dxa"/>
            <w:vAlign w:val="bottom"/>
            <w:tcBorders>
              <w:bottom w:val="single" w:sz="8" w:color="A5A5A5"/>
              <w:right w:val="single" w:sz="8" w:color="A5A5A5"/>
            </w:tcBorders>
          </w:tcPr>
          <w:p>
            <w:pPr>
              <w:spacing w:after="0"/>
              <w:rPr>
                <w:sz w:val="6"/>
                <w:szCs w:val="6"/>
                <w:color w:val="auto"/>
              </w:rPr>
            </w:pPr>
          </w:p>
        </w:tc>
        <w:tc>
          <w:tcPr>
            <w:tcW w:w="1020" w:type="dxa"/>
            <w:vAlign w:val="bottom"/>
            <w:tcBorders>
              <w:bottom w:val="single" w:sz="8" w:color="A5A5A5"/>
              <w:right w:val="single" w:sz="8" w:color="A5A5A5"/>
            </w:tcBorders>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1500" w:type="dxa"/>
            <w:vAlign w:val="bottom"/>
            <w:tcBorders>
              <w:left w:val="single" w:sz="8" w:color="999999"/>
              <w:right w:val="single" w:sz="8" w:color="A5A5A5"/>
            </w:tcBorders>
            <w:vMerge w:val="continue"/>
          </w:tcPr>
          <w:p>
            <w:pPr>
              <w:spacing w:after="0"/>
              <w:rPr>
                <w:sz w:val="5"/>
                <w:szCs w:val="5"/>
                <w:color w:val="auto"/>
              </w:rPr>
            </w:pPr>
          </w:p>
        </w:tc>
        <w:tc>
          <w:tcPr>
            <w:tcW w:w="242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4"/>
                <w:szCs w:val="14"/>
                <w:b w:val="1"/>
                <w:bCs w:val="1"/>
                <w:color w:val="1F497D"/>
              </w:rPr>
              <w:t>Advisory Fees</w:t>
            </w:r>
          </w:p>
        </w:tc>
        <w:tc>
          <w:tcPr>
            <w:tcW w:w="2400" w:type="dxa"/>
            <w:vAlign w:val="bottom"/>
            <w:tcBorders>
              <w:right w:val="single" w:sz="8" w:color="A5A5A5"/>
            </w:tcBorders>
            <w:vMerge w:val="restart"/>
          </w:tcPr>
          <w:p>
            <w:pPr>
              <w:spacing w:after="0"/>
              <w:rPr>
                <w:sz w:val="20"/>
                <w:szCs w:val="20"/>
                <w:color w:val="auto"/>
              </w:rPr>
            </w:pPr>
            <w:r>
              <w:rPr>
                <w:rFonts w:ascii="Arial" w:cs="Arial" w:eastAsia="Arial" w:hAnsi="Arial"/>
                <w:sz w:val="14"/>
                <w:szCs w:val="14"/>
                <w:color w:val="1F497D"/>
              </w:rPr>
              <w:t>- Advisory asset levels</w:t>
            </w:r>
          </w:p>
        </w:tc>
        <w:tc>
          <w:tcPr>
            <w:tcW w:w="780" w:type="dxa"/>
            <w:vAlign w:val="bottom"/>
            <w:vMerge w:val="restart"/>
          </w:tcPr>
          <w:p>
            <w:pPr>
              <w:jc w:val="center"/>
              <w:ind w:left="108"/>
              <w:spacing w:after="0"/>
              <w:rPr>
                <w:sz w:val="20"/>
                <w:szCs w:val="20"/>
                <w:color w:val="auto"/>
              </w:rPr>
            </w:pPr>
            <w:r>
              <w:rPr>
                <w:rFonts w:ascii="Arial" w:cs="Arial" w:eastAsia="Arial" w:hAnsi="Arial"/>
                <w:sz w:val="14"/>
                <w:szCs w:val="14"/>
                <w:color w:val="1F497D"/>
              </w:rPr>
              <w:t>$787</w:t>
            </w:r>
          </w:p>
        </w:tc>
        <w:tc>
          <w:tcPr>
            <w:tcW w:w="220" w:type="dxa"/>
            <w:vAlign w:val="bottom"/>
            <w:tcBorders>
              <w:right w:val="single" w:sz="8" w:color="A5A5A5"/>
            </w:tcBorders>
          </w:tcPr>
          <w:p>
            <w:pPr>
              <w:spacing w:after="0"/>
              <w:rPr>
                <w:sz w:val="5"/>
                <w:szCs w:val="5"/>
                <w:color w:val="auto"/>
              </w:rPr>
            </w:pPr>
          </w:p>
        </w:tc>
        <w:tc>
          <w:tcPr>
            <w:tcW w:w="9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29%</w:t>
            </w:r>
          </w:p>
        </w:tc>
        <w:tc>
          <w:tcPr>
            <w:tcW w:w="10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99%</w:t>
            </w:r>
          </w:p>
        </w:tc>
        <w:tc>
          <w:tcPr>
            <w:tcW w:w="0" w:type="dxa"/>
            <w:vAlign w:val="bottom"/>
          </w:tcPr>
          <w:p>
            <w:pPr>
              <w:spacing w:after="0"/>
              <w:rPr>
                <w:sz w:val="1"/>
                <w:szCs w:val="1"/>
                <w:color w:val="auto"/>
              </w:rPr>
            </w:pPr>
          </w:p>
        </w:tc>
      </w:tr>
      <w:tr>
        <w:trPr>
          <w:trHeight w:val="178"/>
        </w:trPr>
        <w:tc>
          <w:tcPr>
            <w:tcW w:w="1500" w:type="dxa"/>
            <w:vAlign w:val="bottom"/>
            <w:tcBorders>
              <w:left w:val="single" w:sz="8" w:color="999999"/>
              <w:bottom w:val="single" w:sz="8" w:color="999999"/>
              <w:right w:val="single" w:sz="8" w:color="A5A5A5"/>
            </w:tcBorders>
          </w:tcPr>
          <w:p>
            <w:pPr>
              <w:jc w:val="center"/>
              <w:spacing w:after="0"/>
              <w:rPr>
                <w:sz w:val="20"/>
                <w:szCs w:val="20"/>
                <w:color w:val="auto"/>
              </w:rPr>
            </w:pPr>
            <w:r>
              <w:rPr>
                <w:rFonts w:ascii="Arial" w:cs="Arial" w:eastAsia="Arial" w:hAnsi="Arial"/>
                <w:sz w:val="14"/>
                <w:szCs w:val="14"/>
                <w:color w:val="1F497D"/>
              </w:rPr>
              <w:t>ratio</w:t>
            </w:r>
          </w:p>
        </w:tc>
        <w:tc>
          <w:tcPr>
            <w:tcW w:w="2420" w:type="dxa"/>
            <w:vAlign w:val="bottom"/>
            <w:tcBorders>
              <w:bottom w:val="single" w:sz="8" w:color="A5A5A5"/>
              <w:right w:val="single" w:sz="8" w:color="A5A5A5"/>
            </w:tcBorders>
            <w:vMerge w:val="continue"/>
          </w:tcPr>
          <w:p>
            <w:pPr>
              <w:spacing w:after="0"/>
              <w:rPr>
                <w:sz w:val="15"/>
                <w:szCs w:val="15"/>
                <w:color w:val="auto"/>
              </w:rPr>
            </w:pPr>
          </w:p>
        </w:tc>
        <w:tc>
          <w:tcPr>
            <w:tcW w:w="2400" w:type="dxa"/>
            <w:vAlign w:val="bottom"/>
            <w:tcBorders>
              <w:bottom w:val="single" w:sz="8" w:color="A5A5A5"/>
              <w:right w:val="single" w:sz="8" w:color="A5A5A5"/>
            </w:tcBorders>
            <w:vMerge w:val="continue"/>
          </w:tcPr>
          <w:p>
            <w:pPr>
              <w:spacing w:after="0"/>
              <w:rPr>
                <w:sz w:val="15"/>
                <w:szCs w:val="15"/>
                <w:color w:val="auto"/>
              </w:rPr>
            </w:pPr>
          </w:p>
        </w:tc>
        <w:tc>
          <w:tcPr>
            <w:tcW w:w="780" w:type="dxa"/>
            <w:vAlign w:val="bottom"/>
            <w:tcBorders>
              <w:bottom w:val="single" w:sz="8" w:color="A5A5A5"/>
            </w:tcBorders>
            <w:vMerge w:val="continue"/>
          </w:tcPr>
          <w:p>
            <w:pPr>
              <w:spacing w:after="0"/>
              <w:rPr>
                <w:sz w:val="15"/>
                <w:szCs w:val="15"/>
                <w:color w:val="auto"/>
              </w:rPr>
            </w:pPr>
          </w:p>
        </w:tc>
        <w:tc>
          <w:tcPr>
            <w:tcW w:w="220" w:type="dxa"/>
            <w:vAlign w:val="bottom"/>
            <w:tcBorders>
              <w:bottom w:val="single" w:sz="8" w:color="A5A5A5"/>
              <w:right w:val="single" w:sz="8" w:color="A5A5A5"/>
            </w:tcBorders>
          </w:tcPr>
          <w:p>
            <w:pPr>
              <w:spacing w:after="0"/>
              <w:rPr>
                <w:sz w:val="15"/>
                <w:szCs w:val="15"/>
                <w:color w:val="auto"/>
              </w:rPr>
            </w:pPr>
          </w:p>
        </w:tc>
        <w:tc>
          <w:tcPr>
            <w:tcW w:w="920" w:type="dxa"/>
            <w:vAlign w:val="bottom"/>
            <w:tcBorders>
              <w:bottom w:val="single" w:sz="8" w:color="A5A5A5"/>
              <w:right w:val="single" w:sz="8" w:color="A5A5A5"/>
            </w:tcBorders>
            <w:vMerge w:val="continue"/>
          </w:tcPr>
          <w:p>
            <w:pPr>
              <w:spacing w:after="0"/>
              <w:rPr>
                <w:sz w:val="15"/>
                <w:szCs w:val="15"/>
                <w:color w:val="auto"/>
              </w:rPr>
            </w:pPr>
          </w:p>
        </w:tc>
        <w:tc>
          <w:tcPr>
            <w:tcW w:w="1020" w:type="dxa"/>
            <w:vAlign w:val="bottom"/>
            <w:tcBorders>
              <w:bottom w:val="single" w:sz="8" w:color="A5A5A5"/>
              <w:right w:val="single" w:sz="8" w:color="A5A5A5"/>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500" w:type="dxa"/>
            <w:vAlign w:val="bottom"/>
            <w:tcBorders>
              <w:left w:val="single" w:sz="8" w:color="999999"/>
              <w:right w:val="single" w:sz="8" w:color="A5A5A5"/>
            </w:tcBorders>
          </w:tcPr>
          <w:p>
            <w:pPr>
              <w:spacing w:after="0"/>
              <w:rPr>
                <w:sz w:val="16"/>
                <w:szCs w:val="16"/>
                <w:color w:val="auto"/>
              </w:rPr>
            </w:pP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1F497D"/>
              </w:rPr>
              <w:t>Asset-Based Fees</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1F497D"/>
              </w:rPr>
              <w:t>- Cash balances</w:t>
            </w:r>
          </w:p>
        </w:tc>
        <w:tc>
          <w:tcPr>
            <w:tcW w:w="780" w:type="dxa"/>
            <w:vAlign w:val="bottom"/>
          </w:tcPr>
          <w:p>
            <w:pPr>
              <w:spacing w:after="0"/>
              <w:rPr>
                <w:sz w:val="16"/>
                <w:szCs w:val="16"/>
                <w:color w:val="auto"/>
              </w:rPr>
            </w:pPr>
          </w:p>
        </w:tc>
        <w:tc>
          <w:tcPr>
            <w:tcW w:w="220" w:type="dxa"/>
            <w:vAlign w:val="bottom"/>
            <w:tcBorders>
              <w:right w:val="single" w:sz="8" w:color="A5A5A5"/>
            </w:tcBorders>
          </w:tcPr>
          <w:p>
            <w:pPr>
              <w:spacing w:after="0"/>
              <w:rPr>
                <w:sz w:val="16"/>
                <w:szCs w:val="16"/>
                <w:color w:val="auto"/>
              </w:rPr>
            </w:pPr>
          </w:p>
        </w:tc>
        <w:tc>
          <w:tcPr>
            <w:tcW w:w="920" w:type="dxa"/>
            <w:vAlign w:val="bottom"/>
            <w:tcBorders>
              <w:right w:val="single" w:sz="8" w:color="A5A5A5"/>
            </w:tcBorders>
          </w:tcPr>
          <w:p>
            <w:pPr>
              <w:spacing w:after="0"/>
              <w:rPr>
                <w:sz w:val="16"/>
                <w:szCs w:val="16"/>
                <w:color w:val="auto"/>
              </w:rPr>
            </w:pPr>
          </w:p>
        </w:tc>
        <w:tc>
          <w:tcPr>
            <w:tcW w:w="1020" w:type="dxa"/>
            <w:vAlign w:val="bottom"/>
            <w:tcBorders>
              <w:right w:val="single" w:sz="8" w:color="A5A5A5"/>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500" w:type="dxa"/>
            <w:vAlign w:val="bottom"/>
            <w:tcBorders>
              <w:left w:val="single" w:sz="8" w:color="999999"/>
              <w:right w:val="single" w:sz="8" w:color="A5A5A5"/>
            </w:tcBorders>
          </w:tcPr>
          <w:p>
            <w:pPr>
              <w:spacing w:after="0"/>
              <w:rPr>
                <w:sz w:val="14"/>
                <w:szCs w:val="14"/>
                <w:color w:val="auto"/>
              </w:rPr>
            </w:pP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1F497D"/>
              </w:rPr>
              <w:t>- Cash Sweep Fees</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1F497D"/>
              </w:rPr>
              <w:t>- Interest rates</w:t>
            </w:r>
          </w:p>
        </w:tc>
        <w:tc>
          <w:tcPr>
            <w:tcW w:w="780" w:type="dxa"/>
            <w:vAlign w:val="bottom"/>
            <w:vMerge w:val="restart"/>
          </w:tcPr>
          <w:p>
            <w:pPr>
              <w:jc w:val="center"/>
              <w:ind w:left="108"/>
              <w:spacing w:after="0"/>
              <w:rPr>
                <w:sz w:val="20"/>
                <w:szCs w:val="20"/>
                <w:color w:val="auto"/>
              </w:rPr>
            </w:pPr>
            <w:r>
              <w:rPr>
                <w:rFonts w:ascii="Arial" w:cs="Arial" w:eastAsia="Arial" w:hAnsi="Arial"/>
                <w:sz w:val="14"/>
                <w:szCs w:val="14"/>
                <w:color w:val="1F497D"/>
              </w:rPr>
              <w:t>$300</w:t>
            </w:r>
          </w:p>
        </w:tc>
        <w:tc>
          <w:tcPr>
            <w:tcW w:w="220" w:type="dxa"/>
            <w:vAlign w:val="bottom"/>
            <w:tcBorders>
              <w:right w:val="single" w:sz="8" w:color="A5A5A5"/>
            </w:tcBorders>
          </w:tcPr>
          <w:p>
            <w:pPr>
              <w:spacing w:after="0"/>
              <w:rPr>
                <w:sz w:val="14"/>
                <w:szCs w:val="14"/>
                <w:color w:val="auto"/>
              </w:rPr>
            </w:pPr>
          </w:p>
        </w:tc>
        <w:tc>
          <w:tcPr>
            <w:tcW w:w="9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11%</w:t>
            </w:r>
          </w:p>
        </w:tc>
        <w:tc>
          <w:tcPr>
            <w:tcW w:w="10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100%</w:t>
            </w:r>
          </w:p>
        </w:tc>
        <w:tc>
          <w:tcPr>
            <w:tcW w:w="0" w:type="dxa"/>
            <w:vAlign w:val="bottom"/>
          </w:tcPr>
          <w:p>
            <w:pPr>
              <w:spacing w:after="0"/>
              <w:rPr>
                <w:sz w:val="1"/>
                <w:szCs w:val="1"/>
                <w:color w:val="auto"/>
              </w:rPr>
            </w:pPr>
          </w:p>
        </w:tc>
      </w:tr>
      <w:tr>
        <w:trPr>
          <w:trHeight w:val="91"/>
        </w:trPr>
        <w:tc>
          <w:tcPr>
            <w:tcW w:w="1500" w:type="dxa"/>
            <w:vAlign w:val="bottom"/>
            <w:tcBorders>
              <w:left w:val="single" w:sz="8" w:color="999999"/>
              <w:right w:val="single" w:sz="8" w:color="A5A5A5"/>
            </w:tcBorders>
          </w:tcPr>
          <w:p>
            <w:pPr>
              <w:spacing w:after="0"/>
              <w:rPr>
                <w:sz w:val="7"/>
                <w:szCs w:val="7"/>
                <w:color w:val="auto"/>
              </w:rPr>
            </w:pPr>
          </w:p>
        </w:tc>
        <w:tc>
          <w:tcPr>
            <w:tcW w:w="242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4"/>
                <w:szCs w:val="14"/>
                <w:color w:val="1F497D"/>
              </w:rPr>
              <w:t>- Sponsorship Fees</w:t>
            </w:r>
          </w:p>
        </w:tc>
        <w:tc>
          <w:tcPr>
            <w:tcW w:w="2400" w:type="dxa"/>
            <w:vAlign w:val="bottom"/>
            <w:tcBorders>
              <w:right w:val="single" w:sz="8" w:color="A5A5A5"/>
            </w:tcBorders>
            <w:vMerge w:val="restart"/>
          </w:tcPr>
          <w:p>
            <w:pPr>
              <w:spacing w:after="0"/>
              <w:rPr>
                <w:sz w:val="20"/>
                <w:szCs w:val="20"/>
                <w:color w:val="auto"/>
              </w:rPr>
            </w:pPr>
            <w:r>
              <w:rPr>
                <w:rFonts w:ascii="Arial" w:cs="Arial" w:eastAsia="Arial" w:hAnsi="Arial"/>
                <w:sz w:val="14"/>
                <w:szCs w:val="14"/>
                <w:color w:val="1F497D"/>
              </w:rPr>
              <w:t>- Number of accounts</w:t>
            </w:r>
          </w:p>
        </w:tc>
        <w:tc>
          <w:tcPr>
            <w:tcW w:w="780" w:type="dxa"/>
            <w:vAlign w:val="bottom"/>
            <w:vMerge w:val="continue"/>
          </w:tcPr>
          <w:p>
            <w:pPr>
              <w:spacing w:after="0"/>
              <w:rPr>
                <w:sz w:val="7"/>
                <w:szCs w:val="7"/>
                <w:color w:val="auto"/>
              </w:rPr>
            </w:pPr>
          </w:p>
        </w:tc>
        <w:tc>
          <w:tcPr>
            <w:tcW w:w="220" w:type="dxa"/>
            <w:vAlign w:val="bottom"/>
            <w:tcBorders>
              <w:right w:val="single" w:sz="8" w:color="A5A5A5"/>
            </w:tcBorders>
          </w:tcPr>
          <w:p>
            <w:pPr>
              <w:spacing w:after="0"/>
              <w:rPr>
                <w:sz w:val="7"/>
                <w:szCs w:val="7"/>
                <w:color w:val="auto"/>
              </w:rPr>
            </w:pPr>
          </w:p>
        </w:tc>
        <w:tc>
          <w:tcPr>
            <w:tcW w:w="920" w:type="dxa"/>
            <w:vAlign w:val="bottom"/>
            <w:tcBorders>
              <w:right w:val="single" w:sz="8" w:color="A5A5A5"/>
            </w:tcBorders>
            <w:vMerge w:val="continue"/>
          </w:tcPr>
          <w:p>
            <w:pPr>
              <w:spacing w:after="0"/>
              <w:rPr>
                <w:sz w:val="7"/>
                <w:szCs w:val="7"/>
                <w:color w:val="auto"/>
              </w:rPr>
            </w:pPr>
          </w:p>
        </w:tc>
        <w:tc>
          <w:tcPr>
            <w:tcW w:w="1020" w:type="dxa"/>
            <w:vAlign w:val="bottom"/>
            <w:tcBorders>
              <w:right w:val="single" w:sz="8" w:color="A5A5A5"/>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500" w:type="dxa"/>
            <w:vAlign w:val="bottom"/>
            <w:tcBorders>
              <w:left w:val="single" w:sz="8" w:color="999999"/>
              <w:right w:val="single" w:sz="8" w:color="A5A5A5"/>
            </w:tcBorders>
          </w:tcPr>
          <w:p>
            <w:pPr>
              <w:spacing w:after="0"/>
              <w:rPr>
                <w:sz w:val="6"/>
                <w:szCs w:val="6"/>
                <w:color w:val="auto"/>
              </w:rPr>
            </w:pPr>
          </w:p>
        </w:tc>
        <w:tc>
          <w:tcPr>
            <w:tcW w:w="2420" w:type="dxa"/>
            <w:vAlign w:val="bottom"/>
            <w:tcBorders>
              <w:right w:val="single" w:sz="8" w:color="A5A5A5"/>
            </w:tcBorders>
            <w:vMerge w:val="continue"/>
          </w:tcPr>
          <w:p>
            <w:pPr>
              <w:spacing w:after="0"/>
              <w:rPr>
                <w:sz w:val="6"/>
                <w:szCs w:val="6"/>
                <w:color w:val="auto"/>
              </w:rPr>
            </w:pPr>
          </w:p>
        </w:tc>
        <w:tc>
          <w:tcPr>
            <w:tcW w:w="2400" w:type="dxa"/>
            <w:vAlign w:val="bottom"/>
            <w:tcBorders>
              <w:right w:val="single" w:sz="8" w:color="A5A5A5"/>
            </w:tcBorders>
            <w:vMerge w:val="continue"/>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Borders>
              <w:right w:val="single" w:sz="8" w:color="A5A5A5"/>
            </w:tcBorders>
          </w:tcPr>
          <w:p>
            <w:pPr>
              <w:spacing w:after="0"/>
              <w:rPr>
                <w:sz w:val="6"/>
                <w:szCs w:val="6"/>
                <w:color w:val="auto"/>
              </w:rPr>
            </w:pPr>
          </w:p>
        </w:tc>
        <w:tc>
          <w:tcPr>
            <w:tcW w:w="920" w:type="dxa"/>
            <w:vAlign w:val="bottom"/>
            <w:tcBorders>
              <w:right w:val="single" w:sz="8" w:color="A5A5A5"/>
            </w:tcBorders>
          </w:tcPr>
          <w:p>
            <w:pPr>
              <w:spacing w:after="0"/>
              <w:rPr>
                <w:sz w:val="6"/>
                <w:szCs w:val="6"/>
                <w:color w:val="auto"/>
              </w:rPr>
            </w:pPr>
          </w:p>
        </w:tc>
        <w:tc>
          <w:tcPr>
            <w:tcW w:w="1020" w:type="dxa"/>
            <w:vAlign w:val="bottom"/>
            <w:tcBorders>
              <w:right w:val="single" w:sz="8" w:color="A5A5A5"/>
            </w:tcBorders>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1500" w:type="dxa"/>
            <w:vAlign w:val="bottom"/>
            <w:tcBorders>
              <w:left w:val="single" w:sz="8" w:color="999999"/>
              <w:right w:val="single" w:sz="8" w:color="A5A5A5"/>
            </w:tcBorders>
          </w:tcPr>
          <w:p>
            <w:pPr>
              <w:spacing w:after="0"/>
              <w:rPr>
                <w:sz w:val="15"/>
                <w:szCs w:val="15"/>
                <w:color w:val="auto"/>
              </w:rPr>
            </w:pPr>
          </w:p>
        </w:tc>
        <w:tc>
          <w:tcPr>
            <w:tcW w:w="2420" w:type="dxa"/>
            <w:vAlign w:val="bottom"/>
            <w:tcBorders>
              <w:bottom w:val="single" w:sz="8" w:color="A5A5A5"/>
              <w:right w:val="single" w:sz="8" w:color="A5A5A5"/>
            </w:tcBorders>
          </w:tcPr>
          <w:p>
            <w:pPr>
              <w:ind w:left="20"/>
              <w:spacing w:after="0"/>
              <w:rPr>
                <w:sz w:val="20"/>
                <w:szCs w:val="20"/>
                <w:color w:val="auto"/>
              </w:rPr>
            </w:pPr>
            <w:r>
              <w:rPr>
                <w:rFonts w:ascii="Arial" w:cs="Arial" w:eastAsia="Arial" w:hAnsi="Arial"/>
                <w:sz w:val="14"/>
                <w:szCs w:val="14"/>
                <w:color w:val="1F497D"/>
              </w:rPr>
              <w:t>- Record Keeping</w:t>
            </w:r>
          </w:p>
        </w:tc>
        <w:tc>
          <w:tcPr>
            <w:tcW w:w="2400" w:type="dxa"/>
            <w:vAlign w:val="bottom"/>
            <w:tcBorders>
              <w:bottom w:val="single" w:sz="8" w:color="A5A5A5"/>
              <w:right w:val="single" w:sz="8" w:color="A5A5A5"/>
            </w:tcBorders>
          </w:tcPr>
          <w:p>
            <w:pPr>
              <w:spacing w:after="0"/>
              <w:rPr>
                <w:sz w:val="20"/>
                <w:szCs w:val="20"/>
                <w:color w:val="auto"/>
              </w:rPr>
            </w:pPr>
            <w:r>
              <w:rPr>
                <w:rFonts w:ascii="Arial" w:cs="Arial" w:eastAsia="Arial" w:hAnsi="Arial"/>
                <w:sz w:val="14"/>
                <w:szCs w:val="14"/>
                <w:color w:val="1F497D"/>
              </w:rPr>
              <w:t>- Client asset levels</w:t>
            </w:r>
          </w:p>
        </w:tc>
        <w:tc>
          <w:tcPr>
            <w:tcW w:w="780" w:type="dxa"/>
            <w:vAlign w:val="bottom"/>
            <w:tcBorders>
              <w:bottom w:val="single" w:sz="8" w:color="A5A5A5"/>
            </w:tcBorders>
          </w:tcPr>
          <w:p>
            <w:pPr>
              <w:spacing w:after="0"/>
              <w:rPr>
                <w:sz w:val="15"/>
                <w:szCs w:val="15"/>
                <w:color w:val="auto"/>
              </w:rPr>
            </w:pPr>
          </w:p>
        </w:tc>
        <w:tc>
          <w:tcPr>
            <w:tcW w:w="220" w:type="dxa"/>
            <w:vAlign w:val="bottom"/>
            <w:tcBorders>
              <w:bottom w:val="single" w:sz="8" w:color="A5A5A5"/>
              <w:right w:val="single" w:sz="8" w:color="A5A5A5"/>
            </w:tcBorders>
          </w:tcPr>
          <w:p>
            <w:pPr>
              <w:spacing w:after="0"/>
              <w:rPr>
                <w:sz w:val="15"/>
                <w:szCs w:val="15"/>
                <w:color w:val="auto"/>
              </w:rPr>
            </w:pPr>
          </w:p>
        </w:tc>
        <w:tc>
          <w:tcPr>
            <w:tcW w:w="920" w:type="dxa"/>
            <w:vAlign w:val="bottom"/>
            <w:tcBorders>
              <w:bottom w:val="single" w:sz="8" w:color="A5A5A5"/>
              <w:right w:val="single" w:sz="8" w:color="A5A5A5"/>
            </w:tcBorders>
          </w:tcPr>
          <w:p>
            <w:pPr>
              <w:spacing w:after="0"/>
              <w:rPr>
                <w:sz w:val="15"/>
                <w:szCs w:val="15"/>
                <w:color w:val="auto"/>
              </w:rPr>
            </w:pPr>
          </w:p>
        </w:tc>
        <w:tc>
          <w:tcPr>
            <w:tcW w:w="1020" w:type="dxa"/>
            <w:vAlign w:val="bottom"/>
            <w:tcBorders>
              <w:bottom w:val="single" w:sz="8" w:color="A5A5A5"/>
              <w:right w:val="single" w:sz="8" w:color="A5A5A5"/>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500" w:type="dxa"/>
            <w:vAlign w:val="bottom"/>
            <w:tcBorders>
              <w:left w:val="single" w:sz="8" w:color="999999"/>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Attachment revenue</w:t>
            </w: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1F497D"/>
              </w:rPr>
              <w:t>Transaction and Other Fees</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1F497D"/>
              </w:rPr>
              <w:t>- Client activity</w:t>
            </w:r>
          </w:p>
        </w:tc>
        <w:tc>
          <w:tcPr>
            <w:tcW w:w="780" w:type="dxa"/>
            <w:vAlign w:val="bottom"/>
          </w:tcPr>
          <w:p>
            <w:pPr>
              <w:spacing w:after="0"/>
              <w:rPr>
                <w:sz w:val="16"/>
                <w:szCs w:val="16"/>
                <w:color w:val="auto"/>
              </w:rPr>
            </w:pPr>
          </w:p>
        </w:tc>
        <w:tc>
          <w:tcPr>
            <w:tcW w:w="220" w:type="dxa"/>
            <w:vAlign w:val="bottom"/>
            <w:tcBorders>
              <w:right w:val="single" w:sz="8" w:color="A5A5A5"/>
            </w:tcBorders>
          </w:tcPr>
          <w:p>
            <w:pPr>
              <w:spacing w:after="0"/>
              <w:rPr>
                <w:sz w:val="16"/>
                <w:szCs w:val="16"/>
                <w:color w:val="auto"/>
              </w:rPr>
            </w:pPr>
          </w:p>
        </w:tc>
        <w:tc>
          <w:tcPr>
            <w:tcW w:w="920" w:type="dxa"/>
            <w:vAlign w:val="bottom"/>
            <w:tcBorders>
              <w:right w:val="single" w:sz="8" w:color="A5A5A5"/>
            </w:tcBorders>
          </w:tcPr>
          <w:p>
            <w:pPr>
              <w:spacing w:after="0"/>
              <w:rPr>
                <w:sz w:val="16"/>
                <w:szCs w:val="16"/>
                <w:color w:val="auto"/>
              </w:rPr>
            </w:pPr>
          </w:p>
        </w:tc>
        <w:tc>
          <w:tcPr>
            <w:tcW w:w="1020" w:type="dxa"/>
            <w:vAlign w:val="bottom"/>
            <w:tcBorders>
              <w:right w:val="single" w:sz="8" w:color="A5A5A5"/>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500" w:type="dxa"/>
            <w:vAlign w:val="bottom"/>
            <w:tcBorders>
              <w:left w:val="single" w:sz="8" w:color="999999"/>
              <w:right w:val="single" w:sz="8" w:color="A5A5A5"/>
            </w:tcBorders>
            <w:vMerge w:val="continue"/>
          </w:tcPr>
          <w:p>
            <w:pPr>
              <w:spacing w:after="0"/>
              <w:rPr>
                <w:sz w:val="11"/>
                <w:szCs w:val="11"/>
                <w:color w:val="auto"/>
              </w:rPr>
            </w:pPr>
          </w:p>
        </w:tc>
        <w:tc>
          <w:tcPr>
            <w:tcW w:w="2420" w:type="dxa"/>
            <w:vAlign w:val="bottom"/>
            <w:tcBorders>
              <w:right w:val="single" w:sz="8" w:color="A5A5A5"/>
            </w:tcBorders>
          </w:tcPr>
          <w:p>
            <w:pPr>
              <w:ind w:left="20"/>
              <w:spacing w:after="0" w:line="131" w:lineRule="exact"/>
              <w:rPr>
                <w:sz w:val="20"/>
                <w:szCs w:val="20"/>
                <w:color w:val="auto"/>
              </w:rPr>
            </w:pPr>
            <w:r>
              <w:rPr>
                <w:rFonts w:ascii="Arial" w:cs="Arial" w:eastAsia="Arial" w:hAnsi="Arial"/>
                <w:sz w:val="14"/>
                <w:szCs w:val="14"/>
                <w:color w:val="1F497D"/>
              </w:rPr>
              <w:t>- Transactions</w:t>
            </w:r>
          </w:p>
        </w:tc>
        <w:tc>
          <w:tcPr>
            <w:tcW w:w="2400" w:type="dxa"/>
            <w:vAlign w:val="bottom"/>
            <w:tcBorders>
              <w:right w:val="single" w:sz="8" w:color="A5A5A5"/>
            </w:tcBorders>
          </w:tcPr>
          <w:p>
            <w:pPr>
              <w:spacing w:after="0" w:line="131" w:lineRule="exact"/>
              <w:rPr>
                <w:sz w:val="20"/>
                <w:szCs w:val="20"/>
                <w:color w:val="auto"/>
              </w:rPr>
            </w:pPr>
            <w:r>
              <w:rPr>
                <w:rFonts w:ascii="Arial" w:cs="Arial" w:eastAsia="Arial" w:hAnsi="Arial"/>
                <w:sz w:val="14"/>
                <w:szCs w:val="14"/>
                <w:color w:val="1F497D"/>
              </w:rPr>
              <w:t>- Number of clients</w:t>
            </w:r>
          </w:p>
        </w:tc>
        <w:tc>
          <w:tcPr>
            <w:tcW w:w="780" w:type="dxa"/>
            <w:vAlign w:val="bottom"/>
          </w:tcPr>
          <w:p>
            <w:pPr>
              <w:spacing w:after="0"/>
              <w:rPr>
                <w:sz w:val="11"/>
                <w:szCs w:val="11"/>
                <w:color w:val="auto"/>
              </w:rPr>
            </w:pPr>
          </w:p>
        </w:tc>
        <w:tc>
          <w:tcPr>
            <w:tcW w:w="220" w:type="dxa"/>
            <w:vAlign w:val="bottom"/>
            <w:tcBorders>
              <w:right w:val="single" w:sz="8" w:color="A5A5A5"/>
            </w:tcBorders>
          </w:tcPr>
          <w:p>
            <w:pPr>
              <w:spacing w:after="0"/>
              <w:rPr>
                <w:sz w:val="11"/>
                <w:szCs w:val="11"/>
                <w:color w:val="auto"/>
              </w:rPr>
            </w:pPr>
          </w:p>
        </w:tc>
        <w:tc>
          <w:tcPr>
            <w:tcW w:w="920" w:type="dxa"/>
            <w:vAlign w:val="bottom"/>
            <w:tcBorders>
              <w:right w:val="single" w:sz="8" w:color="A5A5A5"/>
            </w:tcBorders>
          </w:tcPr>
          <w:p>
            <w:pPr>
              <w:spacing w:after="0"/>
              <w:rPr>
                <w:sz w:val="11"/>
                <w:szCs w:val="11"/>
                <w:color w:val="auto"/>
              </w:rPr>
            </w:pPr>
          </w:p>
        </w:tc>
        <w:tc>
          <w:tcPr>
            <w:tcW w:w="1020" w:type="dxa"/>
            <w:vAlign w:val="bottom"/>
            <w:tcBorders>
              <w:right w:val="single" w:sz="8" w:color="A5A5A5"/>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500" w:type="dxa"/>
            <w:vAlign w:val="bottom"/>
            <w:tcBorders>
              <w:left w:val="single" w:sz="8" w:color="999999"/>
              <w:right w:val="single" w:sz="8" w:color="A5A5A5"/>
            </w:tcBorders>
          </w:tcPr>
          <w:p>
            <w:pPr>
              <w:jc w:val="center"/>
              <w:spacing w:after="0"/>
              <w:rPr>
                <w:sz w:val="20"/>
                <w:szCs w:val="20"/>
                <w:color w:val="auto"/>
              </w:rPr>
            </w:pPr>
            <w:r>
              <w:rPr>
                <w:rFonts w:ascii="Arial" w:cs="Arial" w:eastAsia="Arial" w:hAnsi="Arial"/>
                <w:sz w:val="14"/>
                <w:szCs w:val="14"/>
                <w:color w:val="1F497D"/>
              </w:rPr>
              <w:t>retained by us</w:t>
            </w:r>
          </w:p>
        </w:tc>
        <w:tc>
          <w:tcPr>
            <w:tcW w:w="242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4"/>
                <w:szCs w:val="14"/>
                <w:color w:val="1F497D"/>
              </w:rPr>
              <w:t>- Client (Investor) Accounts</w:t>
            </w:r>
          </w:p>
        </w:tc>
        <w:tc>
          <w:tcPr>
            <w:tcW w:w="2400" w:type="dxa"/>
            <w:vAlign w:val="bottom"/>
            <w:tcBorders>
              <w:right w:val="single" w:sz="8" w:color="A5A5A5"/>
            </w:tcBorders>
            <w:vMerge w:val="restart"/>
          </w:tcPr>
          <w:p>
            <w:pPr>
              <w:spacing w:after="0"/>
              <w:rPr>
                <w:sz w:val="20"/>
                <w:szCs w:val="20"/>
                <w:color w:val="auto"/>
              </w:rPr>
            </w:pPr>
            <w:r>
              <w:rPr>
                <w:rFonts w:ascii="Arial" w:cs="Arial" w:eastAsia="Arial" w:hAnsi="Arial"/>
                <w:sz w:val="14"/>
                <w:szCs w:val="14"/>
                <w:color w:val="1F497D"/>
              </w:rPr>
              <w:t>- Number of advisors</w:t>
            </w:r>
          </w:p>
        </w:tc>
        <w:tc>
          <w:tcPr>
            <w:tcW w:w="780" w:type="dxa"/>
            <w:vAlign w:val="bottom"/>
            <w:vMerge w:val="restart"/>
          </w:tcPr>
          <w:p>
            <w:pPr>
              <w:jc w:val="center"/>
              <w:ind w:left="108"/>
              <w:spacing w:after="0"/>
              <w:rPr>
                <w:sz w:val="20"/>
                <w:szCs w:val="20"/>
                <w:color w:val="auto"/>
              </w:rPr>
            </w:pPr>
            <w:r>
              <w:rPr>
                <w:rFonts w:ascii="Arial" w:cs="Arial" w:eastAsia="Arial" w:hAnsi="Arial"/>
                <w:sz w:val="14"/>
                <w:szCs w:val="14"/>
                <w:color w:val="1F497D"/>
              </w:rPr>
              <w:t>$238</w:t>
            </w:r>
          </w:p>
        </w:tc>
        <w:tc>
          <w:tcPr>
            <w:tcW w:w="220" w:type="dxa"/>
            <w:vAlign w:val="bottom"/>
            <w:tcBorders>
              <w:right w:val="single" w:sz="8" w:color="A5A5A5"/>
            </w:tcBorders>
          </w:tcPr>
          <w:p>
            <w:pPr>
              <w:spacing w:after="0"/>
              <w:rPr>
                <w:sz w:val="14"/>
                <w:szCs w:val="14"/>
                <w:color w:val="auto"/>
              </w:rPr>
            </w:pPr>
          </w:p>
        </w:tc>
        <w:tc>
          <w:tcPr>
            <w:tcW w:w="9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9%</w:t>
            </w:r>
          </w:p>
        </w:tc>
        <w:tc>
          <w:tcPr>
            <w:tcW w:w="10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63%</w:t>
            </w:r>
          </w:p>
        </w:tc>
        <w:tc>
          <w:tcPr>
            <w:tcW w:w="0" w:type="dxa"/>
            <w:vAlign w:val="bottom"/>
          </w:tcPr>
          <w:p>
            <w:pPr>
              <w:spacing w:after="0"/>
              <w:rPr>
                <w:sz w:val="1"/>
                <w:szCs w:val="1"/>
                <w:color w:val="auto"/>
              </w:rPr>
            </w:pPr>
          </w:p>
        </w:tc>
      </w:tr>
      <w:tr>
        <w:trPr>
          <w:trHeight w:val="32"/>
        </w:trPr>
        <w:tc>
          <w:tcPr>
            <w:tcW w:w="1500" w:type="dxa"/>
            <w:vAlign w:val="bottom"/>
            <w:tcBorders>
              <w:left w:val="single" w:sz="8" w:color="999999"/>
              <w:right w:val="single" w:sz="8" w:color="A5A5A5"/>
            </w:tcBorders>
          </w:tcPr>
          <w:p>
            <w:pPr>
              <w:spacing w:after="0"/>
              <w:rPr>
                <w:sz w:val="2"/>
                <w:szCs w:val="2"/>
                <w:color w:val="auto"/>
              </w:rPr>
            </w:pPr>
          </w:p>
        </w:tc>
        <w:tc>
          <w:tcPr>
            <w:tcW w:w="2420" w:type="dxa"/>
            <w:vAlign w:val="bottom"/>
            <w:tcBorders>
              <w:right w:val="single" w:sz="8" w:color="A5A5A5"/>
            </w:tcBorders>
            <w:vMerge w:val="continue"/>
          </w:tcPr>
          <w:p>
            <w:pPr>
              <w:spacing w:after="0"/>
              <w:rPr>
                <w:sz w:val="2"/>
                <w:szCs w:val="2"/>
                <w:color w:val="auto"/>
              </w:rPr>
            </w:pPr>
          </w:p>
        </w:tc>
        <w:tc>
          <w:tcPr>
            <w:tcW w:w="2400" w:type="dxa"/>
            <w:vAlign w:val="bottom"/>
            <w:tcBorders>
              <w:right w:val="single" w:sz="8" w:color="A5A5A5"/>
            </w:tcBorders>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20" w:type="dxa"/>
            <w:vAlign w:val="bottom"/>
            <w:tcBorders>
              <w:right w:val="single" w:sz="8" w:color="A5A5A5"/>
            </w:tcBorders>
          </w:tcPr>
          <w:p>
            <w:pPr>
              <w:spacing w:after="0"/>
              <w:rPr>
                <w:sz w:val="2"/>
                <w:szCs w:val="2"/>
                <w:color w:val="auto"/>
              </w:rPr>
            </w:pPr>
          </w:p>
        </w:tc>
        <w:tc>
          <w:tcPr>
            <w:tcW w:w="920" w:type="dxa"/>
            <w:vAlign w:val="bottom"/>
            <w:tcBorders>
              <w:right w:val="single" w:sz="8" w:color="A5A5A5"/>
            </w:tcBorders>
            <w:vMerge w:val="continue"/>
          </w:tcPr>
          <w:p>
            <w:pPr>
              <w:spacing w:after="0"/>
              <w:rPr>
                <w:sz w:val="2"/>
                <w:szCs w:val="2"/>
                <w:color w:val="auto"/>
              </w:rPr>
            </w:pPr>
          </w:p>
        </w:tc>
        <w:tc>
          <w:tcPr>
            <w:tcW w:w="1020" w:type="dxa"/>
            <w:vAlign w:val="bottom"/>
            <w:tcBorders>
              <w:right w:val="single" w:sz="8" w:color="A5A5A5"/>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500" w:type="dxa"/>
            <w:vAlign w:val="bottom"/>
            <w:tcBorders>
              <w:left w:val="single" w:sz="8" w:color="999999"/>
              <w:right w:val="single" w:sz="8" w:color="A5A5A5"/>
            </w:tcBorders>
          </w:tcPr>
          <w:p>
            <w:pPr>
              <w:spacing w:after="0"/>
              <w:rPr>
                <w:sz w:val="14"/>
                <w:szCs w:val="14"/>
                <w:color w:val="auto"/>
              </w:rPr>
            </w:pP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1F497D"/>
              </w:rPr>
              <w:t>- Advisor Seat and Technology</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1F497D"/>
              </w:rPr>
              <w:t>- Number of accounts</w:t>
            </w:r>
          </w:p>
        </w:tc>
        <w:tc>
          <w:tcPr>
            <w:tcW w:w="780" w:type="dxa"/>
            <w:vAlign w:val="bottom"/>
          </w:tcPr>
          <w:p>
            <w:pPr>
              <w:spacing w:after="0"/>
              <w:rPr>
                <w:sz w:val="14"/>
                <w:szCs w:val="14"/>
                <w:color w:val="auto"/>
              </w:rPr>
            </w:pPr>
          </w:p>
        </w:tc>
        <w:tc>
          <w:tcPr>
            <w:tcW w:w="220" w:type="dxa"/>
            <w:vAlign w:val="bottom"/>
            <w:tcBorders>
              <w:right w:val="single" w:sz="8" w:color="A5A5A5"/>
            </w:tcBorders>
          </w:tcPr>
          <w:p>
            <w:pPr>
              <w:spacing w:after="0"/>
              <w:rPr>
                <w:sz w:val="14"/>
                <w:szCs w:val="14"/>
                <w:color w:val="auto"/>
              </w:rPr>
            </w:pPr>
          </w:p>
        </w:tc>
        <w:tc>
          <w:tcPr>
            <w:tcW w:w="920" w:type="dxa"/>
            <w:vAlign w:val="bottom"/>
            <w:tcBorders>
              <w:right w:val="single" w:sz="8" w:color="A5A5A5"/>
            </w:tcBorders>
          </w:tcPr>
          <w:p>
            <w:pPr>
              <w:spacing w:after="0"/>
              <w:rPr>
                <w:sz w:val="14"/>
                <w:szCs w:val="14"/>
                <w:color w:val="auto"/>
              </w:rPr>
            </w:pPr>
          </w:p>
        </w:tc>
        <w:tc>
          <w:tcPr>
            <w:tcW w:w="1020" w:type="dxa"/>
            <w:vAlign w:val="bottom"/>
            <w:tcBorders>
              <w:right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500" w:type="dxa"/>
            <w:vAlign w:val="bottom"/>
            <w:tcBorders>
              <w:left w:val="single" w:sz="8" w:color="999999"/>
              <w:right w:val="single" w:sz="8" w:color="A5A5A5"/>
            </w:tcBorders>
          </w:tcPr>
          <w:p>
            <w:pPr>
              <w:spacing w:after="0"/>
              <w:rPr>
                <w:sz w:val="15"/>
                <w:szCs w:val="15"/>
                <w:color w:val="auto"/>
              </w:rPr>
            </w:pPr>
          </w:p>
        </w:tc>
        <w:tc>
          <w:tcPr>
            <w:tcW w:w="2420" w:type="dxa"/>
            <w:vAlign w:val="bottom"/>
            <w:tcBorders>
              <w:bottom w:val="single" w:sz="8" w:color="A5A5A5"/>
              <w:right w:val="single" w:sz="8" w:color="A5A5A5"/>
            </w:tcBorders>
          </w:tcPr>
          <w:p>
            <w:pPr>
              <w:spacing w:after="0"/>
              <w:rPr>
                <w:sz w:val="15"/>
                <w:szCs w:val="15"/>
                <w:color w:val="auto"/>
              </w:rPr>
            </w:pPr>
          </w:p>
        </w:tc>
        <w:tc>
          <w:tcPr>
            <w:tcW w:w="2400" w:type="dxa"/>
            <w:vAlign w:val="bottom"/>
            <w:tcBorders>
              <w:bottom w:val="single" w:sz="8" w:color="A5A5A5"/>
              <w:right w:val="single" w:sz="8" w:color="A5A5A5"/>
            </w:tcBorders>
          </w:tcPr>
          <w:p>
            <w:pPr>
              <w:spacing w:after="0"/>
              <w:rPr>
                <w:sz w:val="20"/>
                <w:szCs w:val="20"/>
                <w:color w:val="auto"/>
              </w:rPr>
            </w:pPr>
            <w:r>
              <w:rPr>
                <w:rFonts w:ascii="Arial" w:cs="Arial" w:eastAsia="Arial" w:hAnsi="Arial"/>
                <w:sz w:val="14"/>
                <w:szCs w:val="14"/>
                <w:color w:val="1F497D"/>
              </w:rPr>
              <w:t>- Premium technology subscribers</w:t>
            </w:r>
          </w:p>
        </w:tc>
        <w:tc>
          <w:tcPr>
            <w:tcW w:w="780" w:type="dxa"/>
            <w:vAlign w:val="bottom"/>
            <w:tcBorders>
              <w:bottom w:val="single" w:sz="8" w:color="A5A5A5"/>
            </w:tcBorders>
          </w:tcPr>
          <w:p>
            <w:pPr>
              <w:spacing w:after="0"/>
              <w:rPr>
                <w:sz w:val="15"/>
                <w:szCs w:val="15"/>
                <w:color w:val="auto"/>
              </w:rPr>
            </w:pPr>
          </w:p>
        </w:tc>
        <w:tc>
          <w:tcPr>
            <w:tcW w:w="220" w:type="dxa"/>
            <w:vAlign w:val="bottom"/>
            <w:tcBorders>
              <w:bottom w:val="single" w:sz="8" w:color="A5A5A5"/>
              <w:right w:val="single" w:sz="8" w:color="A5A5A5"/>
            </w:tcBorders>
          </w:tcPr>
          <w:p>
            <w:pPr>
              <w:spacing w:after="0"/>
              <w:rPr>
                <w:sz w:val="15"/>
                <w:szCs w:val="15"/>
                <w:color w:val="auto"/>
              </w:rPr>
            </w:pPr>
          </w:p>
        </w:tc>
        <w:tc>
          <w:tcPr>
            <w:tcW w:w="920" w:type="dxa"/>
            <w:vAlign w:val="bottom"/>
            <w:tcBorders>
              <w:bottom w:val="single" w:sz="8" w:color="A5A5A5"/>
              <w:right w:val="single" w:sz="8" w:color="A5A5A5"/>
            </w:tcBorders>
          </w:tcPr>
          <w:p>
            <w:pPr>
              <w:spacing w:after="0"/>
              <w:rPr>
                <w:sz w:val="15"/>
                <w:szCs w:val="15"/>
                <w:color w:val="auto"/>
              </w:rPr>
            </w:pPr>
          </w:p>
        </w:tc>
        <w:tc>
          <w:tcPr>
            <w:tcW w:w="1020" w:type="dxa"/>
            <w:vAlign w:val="bottom"/>
            <w:tcBorders>
              <w:bottom w:val="single" w:sz="8" w:color="A5A5A5"/>
              <w:right w:val="single" w:sz="8" w:color="A5A5A5"/>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500" w:type="dxa"/>
            <w:vAlign w:val="bottom"/>
            <w:tcBorders>
              <w:left w:val="single" w:sz="8" w:color="999999"/>
              <w:right w:val="single" w:sz="8" w:color="A5A5A5"/>
            </w:tcBorders>
          </w:tcPr>
          <w:p>
            <w:pPr>
              <w:spacing w:after="0"/>
              <w:rPr>
                <w:sz w:val="16"/>
                <w:szCs w:val="16"/>
                <w:color w:val="auto"/>
              </w:rPr>
            </w:pP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1F497D"/>
              </w:rPr>
              <w:t>Interest and Other Revenue</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1F497D"/>
              </w:rPr>
              <w:t>- Margin accounts</w:t>
            </w:r>
          </w:p>
        </w:tc>
        <w:tc>
          <w:tcPr>
            <w:tcW w:w="780" w:type="dxa"/>
            <w:vAlign w:val="bottom"/>
            <w:vMerge w:val="restart"/>
          </w:tcPr>
          <w:p>
            <w:pPr>
              <w:jc w:val="center"/>
              <w:ind w:left="108"/>
              <w:spacing w:after="0"/>
              <w:rPr>
                <w:sz w:val="20"/>
                <w:szCs w:val="20"/>
                <w:color w:val="auto"/>
              </w:rPr>
            </w:pPr>
            <w:r>
              <w:rPr>
                <w:rFonts w:ascii="Arial" w:cs="Arial" w:eastAsia="Arial" w:hAnsi="Arial"/>
                <w:sz w:val="14"/>
                <w:szCs w:val="14"/>
                <w:color w:val="1F497D"/>
              </w:rPr>
              <w:t>$39</w:t>
            </w:r>
          </w:p>
        </w:tc>
        <w:tc>
          <w:tcPr>
            <w:tcW w:w="220" w:type="dxa"/>
            <w:vAlign w:val="bottom"/>
            <w:tcBorders>
              <w:right w:val="single" w:sz="8" w:color="A5A5A5"/>
            </w:tcBorders>
          </w:tcPr>
          <w:p>
            <w:pPr>
              <w:spacing w:after="0"/>
              <w:rPr>
                <w:sz w:val="16"/>
                <w:szCs w:val="16"/>
                <w:color w:val="auto"/>
              </w:rPr>
            </w:pPr>
          </w:p>
        </w:tc>
        <w:tc>
          <w:tcPr>
            <w:tcW w:w="9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1%</w:t>
            </w:r>
          </w:p>
        </w:tc>
        <w:tc>
          <w:tcPr>
            <w:tcW w:w="10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44%</w:t>
            </w:r>
          </w:p>
        </w:tc>
        <w:tc>
          <w:tcPr>
            <w:tcW w:w="0" w:type="dxa"/>
            <w:vAlign w:val="bottom"/>
          </w:tcPr>
          <w:p>
            <w:pPr>
              <w:spacing w:after="0"/>
              <w:rPr>
                <w:sz w:val="1"/>
                <w:szCs w:val="1"/>
                <w:color w:val="auto"/>
              </w:rPr>
            </w:pPr>
          </w:p>
        </w:tc>
      </w:tr>
      <w:tr>
        <w:trPr>
          <w:trHeight w:val="91"/>
        </w:trPr>
        <w:tc>
          <w:tcPr>
            <w:tcW w:w="1500" w:type="dxa"/>
            <w:vAlign w:val="bottom"/>
            <w:tcBorders>
              <w:left w:val="single" w:sz="8" w:color="999999"/>
              <w:right w:val="single" w:sz="8" w:color="A5A5A5"/>
            </w:tcBorders>
          </w:tcPr>
          <w:p>
            <w:pPr>
              <w:spacing w:after="0"/>
              <w:rPr>
                <w:sz w:val="7"/>
                <w:szCs w:val="7"/>
                <w:color w:val="auto"/>
              </w:rPr>
            </w:pPr>
          </w:p>
        </w:tc>
        <w:tc>
          <w:tcPr>
            <w:tcW w:w="2420" w:type="dxa"/>
            <w:vAlign w:val="bottom"/>
            <w:tcBorders>
              <w:right w:val="single" w:sz="8" w:color="A5A5A5"/>
            </w:tcBorders>
          </w:tcPr>
          <w:p>
            <w:pPr>
              <w:spacing w:after="0"/>
              <w:rPr>
                <w:sz w:val="7"/>
                <w:szCs w:val="7"/>
                <w:color w:val="auto"/>
              </w:rPr>
            </w:pPr>
          </w:p>
        </w:tc>
        <w:tc>
          <w:tcPr>
            <w:tcW w:w="2400" w:type="dxa"/>
            <w:vAlign w:val="bottom"/>
            <w:tcBorders>
              <w:right w:val="single" w:sz="8" w:color="A5A5A5"/>
            </w:tcBorders>
            <w:vMerge w:val="restart"/>
          </w:tcPr>
          <w:p>
            <w:pPr>
              <w:spacing w:after="0"/>
              <w:rPr>
                <w:sz w:val="20"/>
                <w:szCs w:val="20"/>
                <w:color w:val="auto"/>
              </w:rPr>
            </w:pPr>
            <w:r>
              <w:rPr>
                <w:rFonts w:ascii="Arial" w:cs="Arial" w:eastAsia="Arial" w:hAnsi="Arial"/>
                <w:sz w:val="14"/>
                <w:szCs w:val="14"/>
                <w:color w:val="1F497D"/>
              </w:rPr>
              <w:t>- Alternative investment transactions</w:t>
            </w:r>
          </w:p>
        </w:tc>
        <w:tc>
          <w:tcPr>
            <w:tcW w:w="780" w:type="dxa"/>
            <w:vAlign w:val="bottom"/>
            <w:vMerge w:val="continue"/>
          </w:tcPr>
          <w:p>
            <w:pPr>
              <w:spacing w:after="0"/>
              <w:rPr>
                <w:sz w:val="7"/>
                <w:szCs w:val="7"/>
                <w:color w:val="auto"/>
              </w:rPr>
            </w:pPr>
          </w:p>
        </w:tc>
        <w:tc>
          <w:tcPr>
            <w:tcW w:w="220" w:type="dxa"/>
            <w:vAlign w:val="bottom"/>
            <w:tcBorders>
              <w:right w:val="single" w:sz="8" w:color="A5A5A5"/>
            </w:tcBorders>
          </w:tcPr>
          <w:p>
            <w:pPr>
              <w:spacing w:after="0"/>
              <w:rPr>
                <w:sz w:val="7"/>
                <w:szCs w:val="7"/>
                <w:color w:val="auto"/>
              </w:rPr>
            </w:pPr>
          </w:p>
        </w:tc>
        <w:tc>
          <w:tcPr>
            <w:tcW w:w="920" w:type="dxa"/>
            <w:vAlign w:val="bottom"/>
            <w:tcBorders>
              <w:right w:val="single" w:sz="8" w:color="A5A5A5"/>
            </w:tcBorders>
            <w:vMerge w:val="continue"/>
          </w:tcPr>
          <w:p>
            <w:pPr>
              <w:spacing w:after="0"/>
              <w:rPr>
                <w:sz w:val="7"/>
                <w:szCs w:val="7"/>
                <w:color w:val="auto"/>
              </w:rPr>
            </w:pPr>
          </w:p>
        </w:tc>
        <w:tc>
          <w:tcPr>
            <w:tcW w:w="1020" w:type="dxa"/>
            <w:vAlign w:val="bottom"/>
            <w:tcBorders>
              <w:right w:val="single" w:sz="8" w:color="A5A5A5"/>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00" w:type="dxa"/>
            <w:vAlign w:val="bottom"/>
            <w:tcBorders>
              <w:left w:val="single" w:sz="8" w:color="999999"/>
              <w:bottom w:val="single" w:sz="8" w:color="999999"/>
              <w:right w:val="single" w:sz="8" w:color="A5A5A5"/>
            </w:tcBorders>
          </w:tcPr>
          <w:p>
            <w:pPr>
              <w:spacing w:after="0"/>
              <w:rPr>
                <w:sz w:val="7"/>
                <w:szCs w:val="7"/>
                <w:color w:val="auto"/>
              </w:rPr>
            </w:pPr>
          </w:p>
        </w:tc>
        <w:tc>
          <w:tcPr>
            <w:tcW w:w="2420" w:type="dxa"/>
            <w:vAlign w:val="bottom"/>
            <w:tcBorders>
              <w:bottom w:val="single" w:sz="8" w:color="A5A5A5"/>
              <w:right w:val="single" w:sz="8" w:color="A5A5A5"/>
            </w:tcBorders>
          </w:tcPr>
          <w:p>
            <w:pPr>
              <w:spacing w:after="0"/>
              <w:rPr>
                <w:sz w:val="7"/>
                <w:szCs w:val="7"/>
                <w:color w:val="auto"/>
              </w:rPr>
            </w:pPr>
          </w:p>
        </w:tc>
        <w:tc>
          <w:tcPr>
            <w:tcW w:w="2400" w:type="dxa"/>
            <w:vAlign w:val="bottom"/>
            <w:tcBorders>
              <w:bottom w:val="single" w:sz="8" w:color="A5A5A5"/>
              <w:right w:val="single" w:sz="8" w:color="A5A5A5"/>
            </w:tcBorders>
            <w:vMerge w:val="continue"/>
          </w:tcPr>
          <w:p>
            <w:pPr>
              <w:spacing w:after="0"/>
              <w:rPr>
                <w:sz w:val="7"/>
                <w:szCs w:val="7"/>
                <w:color w:val="auto"/>
              </w:rPr>
            </w:pPr>
          </w:p>
        </w:tc>
        <w:tc>
          <w:tcPr>
            <w:tcW w:w="780" w:type="dxa"/>
            <w:vAlign w:val="bottom"/>
            <w:tcBorders>
              <w:bottom w:val="single" w:sz="8" w:color="A5A5A5"/>
            </w:tcBorders>
          </w:tcPr>
          <w:p>
            <w:pPr>
              <w:spacing w:after="0"/>
              <w:rPr>
                <w:sz w:val="7"/>
                <w:szCs w:val="7"/>
                <w:color w:val="auto"/>
              </w:rPr>
            </w:pPr>
          </w:p>
        </w:tc>
        <w:tc>
          <w:tcPr>
            <w:tcW w:w="220" w:type="dxa"/>
            <w:vAlign w:val="bottom"/>
            <w:tcBorders>
              <w:bottom w:val="single" w:sz="8" w:color="A5A5A5"/>
              <w:right w:val="single" w:sz="8" w:color="A5A5A5"/>
            </w:tcBorders>
          </w:tcPr>
          <w:p>
            <w:pPr>
              <w:spacing w:after="0"/>
              <w:rPr>
                <w:sz w:val="7"/>
                <w:szCs w:val="7"/>
                <w:color w:val="auto"/>
              </w:rPr>
            </w:pPr>
          </w:p>
        </w:tc>
        <w:tc>
          <w:tcPr>
            <w:tcW w:w="920" w:type="dxa"/>
            <w:vAlign w:val="bottom"/>
            <w:tcBorders>
              <w:bottom w:val="single" w:sz="8" w:color="A5A5A5"/>
              <w:right w:val="single" w:sz="8" w:color="A5A5A5"/>
            </w:tcBorders>
          </w:tcPr>
          <w:p>
            <w:pPr>
              <w:spacing w:after="0"/>
              <w:rPr>
                <w:sz w:val="7"/>
                <w:szCs w:val="7"/>
                <w:color w:val="auto"/>
              </w:rPr>
            </w:pPr>
          </w:p>
        </w:tc>
        <w:tc>
          <w:tcPr>
            <w:tcW w:w="1020" w:type="dxa"/>
            <w:vAlign w:val="bottom"/>
            <w:tcBorders>
              <w:bottom w:val="single" w:sz="8" w:color="A5A5A5"/>
              <w:right w:val="single" w:sz="8" w:color="A5A5A5"/>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1500" w:type="dxa"/>
            <w:vAlign w:val="bottom"/>
            <w:tcBorders>
              <w:right w:val="single" w:sz="8" w:color="A5A5A5"/>
            </w:tcBorders>
          </w:tcPr>
          <w:p>
            <w:pPr>
              <w:spacing w:after="0"/>
              <w:rPr>
                <w:sz w:val="20"/>
                <w:szCs w:val="20"/>
                <w:color w:val="auto"/>
              </w:rPr>
            </w:pPr>
          </w:p>
        </w:tc>
        <w:tc>
          <w:tcPr>
            <w:tcW w:w="2420" w:type="dxa"/>
            <w:vAlign w:val="bottom"/>
          </w:tcPr>
          <w:p>
            <w:pPr>
              <w:ind w:left="20"/>
              <w:spacing w:after="0"/>
              <w:rPr>
                <w:sz w:val="20"/>
                <w:szCs w:val="20"/>
                <w:color w:val="auto"/>
              </w:rPr>
            </w:pPr>
            <w:r>
              <w:rPr>
                <w:rFonts w:ascii="Arial" w:cs="Arial" w:eastAsia="Arial" w:hAnsi="Arial"/>
                <w:sz w:val="14"/>
                <w:szCs w:val="14"/>
                <w:b w:val="1"/>
                <w:bCs w:val="1"/>
                <w:color w:val="1F497D"/>
              </w:rPr>
              <w:t>Total Net Revenue</w:t>
            </w:r>
          </w:p>
        </w:tc>
        <w:tc>
          <w:tcPr>
            <w:tcW w:w="2400" w:type="dxa"/>
            <w:vAlign w:val="bottom"/>
            <w:tcBorders>
              <w:right w:val="single" w:sz="8" w:color="A5A5A5"/>
            </w:tcBorders>
          </w:tcPr>
          <w:p>
            <w:pPr>
              <w:spacing w:after="0"/>
              <w:rPr>
                <w:sz w:val="20"/>
                <w:szCs w:val="20"/>
                <w:color w:val="auto"/>
              </w:rPr>
            </w:pPr>
          </w:p>
        </w:tc>
        <w:tc>
          <w:tcPr>
            <w:tcW w:w="780" w:type="dxa"/>
            <w:vAlign w:val="bottom"/>
          </w:tcPr>
          <w:p>
            <w:pPr>
              <w:jc w:val="center"/>
              <w:ind w:left="108"/>
              <w:spacing w:after="0"/>
              <w:rPr>
                <w:sz w:val="20"/>
                <w:szCs w:val="20"/>
                <w:color w:val="auto"/>
              </w:rPr>
            </w:pPr>
            <w:r>
              <w:rPr>
                <w:rFonts w:ascii="Arial" w:cs="Arial" w:eastAsia="Arial" w:hAnsi="Arial"/>
                <w:sz w:val="14"/>
                <w:szCs w:val="14"/>
                <w:color w:val="1F497D"/>
              </w:rPr>
              <w:t>$2,717</w:t>
            </w:r>
          </w:p>
        </w:tc>
        <w:tc>
          <w:tcPr>
            <w:tcW w:w="220" w:type="dxa"/>
            <w:vAlign w:val="bottom"/>
            <w:tcBorders>
              <w:right w:val="single" w:sz="8" w:color="A5A5A5"/>
            </w:tcBorders>
          </w:tcPr>
          <w:p>
            <w:pPr>
              <w:spacing w:after="0"/>
              <w:rPr>
                <w:sz w:val="20"/>
                <w:szCs w:val="20"/>
                <w:color w:val="auto"/>
              </w:rPr>
            </w:pPr>
          </w:p>
        </w:tc>
        <w:tc>
          <w:tcPr>
            <w:tcW w:w="9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1F497D"/>
              </w:rPr>
              <w:t>100%</w:t>
            </w:r>
          </w:p>
        </w:tc>
        <w:tc>
          <w:tcPr>
            <w:tcW w:w="10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1F497D"/>
              </w:rPr>
              <w:t>65%</w:t>
            </w:r>
          </w:p>
        </w:tc>
        <w:tc>
          <w:tcPr>
            <w:tcW w:w="0" w:type="dxa"/>
            <w:vAlign w:val="bottom"/>
          </w:tcPr>
          <w:p>
            <w:pPr>
              <w:spacing w:after="0"/>
              <w:rPr>
                <w:sz w:val="1"/>
                <w:szCs w:val="1"/>
                <w:color w:val="auto"/>
              </w:rPr>
            </w:pPr>
          </w:p>
        </w:tc>
      </w:tr>
      <w:tr>
        <w:trPr>
          <w:trHeight w:val="39"/>
        </w:trPr>
        <w:tc>
          <w:tcPr>
            <w:tcW w:w="1500" w:type="dxa"/>
            <w:vAlign w:val="bottom"/>
            <w:tcBorders>
              <w:right w:val="single" w:sz="8" w:color="A5A5A5"/>
            </w:tcBorders>
          </w:tcPr>
          <w:p>
            <w:pPr>
              <w:spacing w:after="0"/>
              <w:rPr>
                <w:sz w:val="3"/>
                <w:szCs w:val="3"/>
                <w:color w:val="auto"/>
              </w:rPr>
            </w:pPr>
          </w:p>
        </w:tc>
        <w:tc>
          <w:tcPr>
            <w:tcW w:w="2420" w:type="dxa"/>
            <w:vAlign w:val="bottom"/>
            <w:tcBorders>
              <w:bottom w:val="single" w:sz="8" w:color="A5A5A5"/>
            </w:tcBorders>
          </w:tcPr>
          <w:p>
            <w:pPr>
              <w:spacing w:after="0"/>
              <w:rPr>
                <w:sz w:val="3"/>
                <w:szCs w:val="3"/>
                <w:color w:val="auto"/>
              </w:rPr>
            </w:pPr>
          </w:p>
        </w:tc>
        <w:tc>
          <w:tcPr>
            <w:tcW w:w="2400" w:type="dxa"/>
            <w:vAlign w:val="bottom"/>
            <w:tcBorders>
              <w:bottom w:val="single" w:sz="8" w:color="A5A5A5"/>
              <w:right w:val="single" w:sz="8" w:color="A5A5A5"/>
            </w:tcBorders>
          </w:tcPr>
          <w:p>
            <w:pPr>
              <w:spacing w:after="0"/>
              <w:rPr>
                <w:sz w:val="3"/>
                <w:szCs w:val="3"/>
                <w:color w:val="auto"/>
              </w:rPr>
            </w:pPr>
          </w:p>
        </w:tc>
        <w:tc>
          <w:tcPr>
            <w:tcW w:w="780" w:type="dxa"/>
            <w:vAlign w:val="bottom"/>
            <w:tcBorders>
              <w:bottom w:val="single" w:sz="8" w:color="A5A5A5"/>
            </w:tcBorders>
          </w:tcPr>
          <w:p>
            <w:pPr>
              <w:spacing w:after="0"/>
              <w:rPr>
                <w:sz w:val="3"/>
                <w:szCs w:val="3"/>
                <w:color w:val="auto"/>
              </w:rPr>
            </w:pPr>
          </w:p>
        </w:tc>
        <w:tc>
          <w:tcPr>
            <w:tcW w:w="220" w:type="dxa"/>
            <w:vAlign w:val="bottom"/>
            <w:tcBorders>
              <w:bottom w:val="single" w:sz="8" w:color="A5A5A5"/>
              <w:right w:val="single" w:sz="8" w:color="A5A5A5"/>
            </w:tcBorders>
          </w:tcPr>
          <w:p>
            <w:pPr>
              <w:spacing w:after="0"/>
              <w:rPr>
                <w:sz w:val="3"/>
                <w:szCs w:val="3"/>
                <w:color w:val="auto"/>
              </w:rPr>
            </w:pPr>
          </w:p>
        </w:tc>
        <w:tc>
          <w:tcPr>
            <w:tcW w:w="920" w:type="dxa"/>
            <w:vAlign w:val="bottom"/>
            <w:tcBorders>
              <w:bottom w:val="single" w:sz="8" w:color="A5A5A5"/>
              <w:right w:val="single" w:sz="8" w:color="A5A5A5"/>
            </w:tcBorders>
          </w:tcPr>
          <w:p>
            <w:pPr>
              <w:spacing w:after="0"/>
              <w:rPr>
                <w:sz w:val="3"/>
                <w:szCs w:val="3"/>
                <w:color w:val="auto"/>
              </w:rPr>
            </w:pPr>
          </w:p>
        </w:tc>
        <w:tc>
          <w:tcPr>
            <w:tcW w:w="1020" w:type="dxa"/>
            <w:vAlign w:val="bottom"/>
            <w:tcBorders>
              <w:bottom w:val="single" w:sz="8" w:color="A5A5A5"/>
              <w:right w:val="single" w:sz="8" w:color="A5A5A5"/>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1500" w:type="dxa"/>
            <w:vAlign w:val="bottom"/>
            <w:tcBorders>
              <w:right w:val="single" w:sz="8" w:color="A5A5A5"/>
            </w:tcBorders>
          </w:tcPr>
          <w:p>
            <w:pPr>
              <w:spacing w:after="0"/>
              <w:rPr>
                <w:sz w:val="19"/>
                <w:szCs w:val="19"/>
                <w:color w:val="auto"/>
              </w:rPr>
            </w:pPr>
          </w:p>
        </w:tc>
        <w:tc>
          <w:tcPr>
            <w:tcW w:w="2420" w:type="dxa"/>
            <w:vAlign w:val="bottom"/>
          </w:tcPr>
          <w:p>
            <w:pPr>
              <w:ind w:left="20"/>
              <w:spacing w:after="0"/>
              <w:rPr>
                <w:sz w:val="20"/>
                <w:szCs w:val="20"/>
                <w:color w:val="auto"/>
              </w:rPr>
            </w:pPr>
            <w:r>
              <w:rPr>
                <w:rFonts w:ascii="Arial" w:cs="Arial" w:eastAsia="Arial" w:hAnsi="Arial"/>
                <w:sz w:val="14"/>
                <w:szCs w:val="14"/>
                <w:b w:val="1"/>
                <w:bCs w:val="1"/>
                <w:color w:val="1F497D"/>
              </w:rPr>
              <w:t>Total Recurring Revenue</w:t>
            </w:r>
          </w:p>
        </w:tc>
        <w:tc>
          <w:tcPr>
            <w:tcW w:w="2400" w:type="dxa"/>
            <w:vAlign w:val="bottom"/>
            <w:tcBorders>
              <w:right w:val="single" w:sz="8" w:color="A5A5A5"/>
            </w:tcBorders>
          </w:tcPr>
          <w:p>
            <w:pPr>
              <w:spacing w:after="0"/>
              <w:rPr>
                <w:sz w:val="19"/>
                <w:szCs w:val="19"/>
                <w:color w:val="auto"/>
              </w:rPr>
            </w:pPr>
          </w:p>
        </w:tc>
        <w:tc>
          <w:tcPr>
            <w:tcW w:w="780" w:type="dxa"/>
            <w:vAlign w:val="bottom"/>
          </w:tcPr>
          <w:p>
            <w:pPr>
              <w:jc w:val="center"/>
              <w:ind w:left="108"/>
              <w:spacing w:after="0"/>
              <w:rPr>
                <w:sz w:val="20"/>
                <w:szCs w:val="20"/>
                <w:color w:val="auto"/>
              </w:rPr>
            </w:pPr>
            <w:r>
              <w:rPr>
                <w:rFonts w:ascii="Arial" w:cs="Arial" w:eastAsia="Arial" w:hAnsi="Arial"/>
                <w:sz w:val="14"/>
                <w:szCs w:val="14"/>
                <w:color w:val="1F497D"/>
              </w:rPr>
              <w:t>$1,760</w:t>
            </w:r>
          </w:p>
        </w:tc>
        <w:tc>
          <w:tcPr>
            <w:tcW w:w="220" w:type="dxa"/>
            <w:vAlign w:val="bottom"/>
            <w:tcBorders>
              <w:right w:val="single" w:sz="8" w:color="A5A5A5"/>
            </w:tcBorders>
          </w:tcPr>
          <w:p>
            <w:pPr>
              <w:spacing w:after="0"/>
              <w:rPr>
                <w:sz w:val="19"/>
                <w:szCs w:val="19"/>
                <w:color w:val="auto"/>
              </w:rPr>
            </w:pPr>
          </w:p>
        </w:tc>
        <w:tc>
          <w:tcPr>
            <w:tcW w:w="9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1F497D"/>
              </w:rPr>
              <w:t>65%</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1500" w:type="dxa"/>
            <w:vAlign w:val="bottom"/>
            <w:tcBorders>
              <w:right w:val="single" w:sz="8" w:color="A5A5A5"/>
            </w:tcBorders>
          </w:tcPr>
          <w:p>
            <w:pPr>
              <w:spacing w:after="0"/>
              <w:rPr>
                <w:sz w:val="3"/>
                <w:szCs w:val="3"/>
                <w:color w:val="auto"/>
              </w:rPr>
            </w:pPr>
          </w:p>
        </w:tc>
        <w:tc>
          <w:tcPr>
            <w:tcW w:w="2420" w:type="dxa"/>
            <w:vAlign w:val="bottom"/>
            <w:tcBorders>
              <w:bottom w:val="single" w:sz="8" w:color="A5A5A5"/>
            </w:tcBorders>
          </w:tcPr>
          <w:p>
            <w:pPr>
              <w:spacing w:after="0"/>
              <w:rPr>
                <w:sz w:val="3"/>
                <w:szCs w:val="3"/>
                <w:color w:val="auto"/>
              </w:rPr>
            </w:pPr>
          </w:p>
        </w:tc>
        <w:tc>
          <w:tcPr>
            <w:tcW w:w="2400" w:type="dxa"/>
            <w:vAlign w:val="bottom"/>
            <w:tcBorders>
              <w:bottom w:val="single" w:sz="8" w:color="A5A5A5"/>
              <w:right w:val="single" w:sz="8" w:color="A5A5A5"/>
            </w:tcBorders>
          </w:tcPr>
          <w:p>
            <w:pPr>
              <w:spacing w:after="0"/>
              <w:rPr>
                <w:sz w:val="3"/>
                <w:szCs w:val="3"/>
                <w:color w:val="auto"/>
              </w:rPr>
            </w:pPr>
          </w:p>
        </w:tc>
        <w:tc>
          <w:tcPr>
            <w:tcW w:w="780" w:type="dxa"/>
            <w:vAlign w:val="bottom"/>
            <w:tcBorders>
              <w:bottom w:val="single" w:sz="8" w:color="A5A5A5"/>
            </w:tcBorders>
          </w:tcPr>
          <w:p>
            <w:pPr>
              <w:spacing w:after="0"/>
              <w:rPr>
                <w:sz w:val="3"/>
                <w:szCs w:val="3"/>
                <w:color w:val="auto"/>
              </w:rPr>
            </w:pPr>
          </w:p>
        </w:tc>
        <w:tc>
          <w:tcPr>
            <w:tcW w:w="220" w:type="dxa"/>
            <w:vAlign w:val="bottom"/>
            <w:tcBorders>
              <w:bottom w:val="single" w:sz="8" w:color="A5A5A5"/>
              <w:right w:val="single" w:sz="8" w:color="A5A5A5"/>
            </w:tcBorders>
          </w:tcPr>
          <w:p>
            <w:pPr>
              <w:spacing w:after="0"/>
              <w:rPr>
                <w:sz w:val="3"/>
                <w:szCs w:val="3"/>
                <w:color w:val="auto"/>
              </w:rPr>
            </w:pPr>
          </w:p>
        </w:tc>
        <w:tc>
          <w:tcPr>
            <w:tcW w:w="920" w:type="dxa"/>
            <w:vAlign w:val="bottom"/>
            <w:tcBorders>
              <w:bottom w:val="single" w:sz="8" w:color="A5A5A5"/>
              <w:right w:val="single" w:sz="8" w:color="A5A5A5"/>
            </w:tcBorders>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520" w:right="220" w:hanging="120"/>
        <w:spacing w:after="0" w:line="287"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Commissions and Advisory Fees. </w:t>
      </w:r>
      <w:r>
        <w:rPr>
          <w:rFonts w:ascii="Arial" w:cs="Arial" w:eastAsia="Arial" w:hAnsi="Arial"/>
          <w:sz w:val="18"/>
          <w:szCs w:val="18"/>
          <w:color w:val="auto"/>
        </w:rPr>
        <w:t>Commissions and advisory fees both represent advisor-generated revenue, generally 85-90%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is paid to advisors.</w:t>
      </w:r>
    </w:p>
    <w:p>
      <w:pPr>
        <w:spacing w:after="0" w:line="153" w:lineRule="exact"/>
        <w:rPr>
          <w:sz w:val="20"/>
          <w:szCs w:val="20"/>
          <w:color w:val="auto"/>
        </w:rPr>
      </w:pPr>
    </w:p>
    <w:p>
      <w:pPr>
        <w:ind w:left="1160"/>
        <w:spacing w:after="0" w:line="256" w:lineRule="auto"/>
        <w:rPr>
          <w:sz w:val="20"/>
          <w:szCs w:val="20"/>
          <w:color w:val="auto"/>
        </w:rPr>
      </w:pPr>
      <w:r>
        <w:rPr>
          <w:rFonts w:ascii="Arial" w:cs="Arial" w:eastAsia="Arial" w:hAnsi="Arial"/>
          <w:sz w:val="18"/>
          <w:szCs w:val="18"/>
          <w:b w:val="1"/>
          <w:bCs w:val="1"/>
          <w:i w:val="1"/>
          <w:iCs w:val="1"/>
          <w:color w:val="auto"/>
        </w:rPr>
        <w:t xml:space="preserve">Commissions. </w:t>
      </w:r>
      <w:r>
        <w:rPr>
          <w:rFonts w:ascii="Arial" w:cs="Arial" w:eastAsia="Arial" w:hAnsi="Arial"/>
          <w:sz w:val="18"/>
          <w:szCs w:val="18"/>
          <w:color w:val="auto"/>
        </w:rPr>
        <w:t>Transaction-based commission revenues primarily represent gross commissions generated by our advisors,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from commissions earned on the sale of various financial products such as variable and fixed annuities, mutual funds, alternative investments, general securities, fixed income, insurance and group annuities. The levels of transaction-based commissions can vary from period to period based on the overall economic environment, number of trading days in the reporting period and investment activity of our advisors' clients. We also earn trailing commission revenues (a commission that is paid over time, such as 12(b)-1 fees) on mutual funds and variable annuities held by clients of our advisors. Trailing commissions are recurring in nature and are earned based on the current market value of investment holdings in trail-eligible assets.</w:t>
      </w:r>
    </w:p>
    <w:p>
      <w:pPr>
        <w:spacing w:after="0" w:line="183" w:lineRule="exact"/>
        <w:rPr>
          <w:sz w:val="20"/>
          <w:szCs w:val="20"/>
          <w:color w:val="auto"/>
        </w:rPr>
      </w:pPr>
    </w:p>
    <w:p>
      <w:pPr>
        <w:ind w:left="1160" w:right="40"/>
        <w:spacing w:after="0" w:line="257" w:lineRule="auto"/>
        <w:rPr>
          <w:sz w:val="20"/>
          <w:szCs w:val="20"/>
          <w:color w:val="auto"/>
        </w:rPr>
      </w:pPr>
      <w:r>
        <w:rPr>
          <w:rFonts w:ascii="Arial" w:cs="Arial" w:eastAsia="Arial" w:hAnsi="Arial"/>
          <w:sz w:val="18"/>
          <w:szCs w:val="18"/>
          <w:b w:val="1"/>
          <w:bCs w:val="1"/>
          <w:i w:val="1"/>
          <w:iCs w:val="1"/>
          <w:color w:val="auto"/>
        </w:rPr>
        <w:t xml:space="preserve">Advisory Fees. </w:t>
      </w:r>
      <w:r>
        <w:rPr>
          <w:rFonts w:ascii="Arial" w:cs="Arial" w:eastAsia="Arial" w:hAnsi="Arial"/>
          <w:sz w:val="18"/>
          <w:szCs w:val="18"/>
          <w:color w:val="auto"/>
        </w:rPr>
        <w:t>Advisory fee revenues represent fees charged on our corporate RIA platform to clients of our advisors 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the value of advisory assets. Advisory fees are typically billed to clients quarterly, in advance, and are recognized as revenue ratably during the quarter. The value of the assets in the advisory account on the billing date determines the amount billed, and accordingly, the revenues earned in the following three month period. The majority of our accounts are billed using values as of the last business day of the calendar quarter. Generally, the advisory fees collected on our corporate RIA platform range from 0.5% to 3.0% of the underlying assets.</w:t>
      </w:r>
    </w:p>
    <w:p>
      <w:pPr>
        <w:spacing w:after="0" w:line="205" w:lineRule="exact"/>
        <w:rPr>
          <w:sz w:val="20"/>
          <w:szCs w:val="20"/>
          <w:color w:val="auto"/>
        </w:rPr>
      </w:pPr>
    </w:p>
    <w:p>
      <w:pPr>
        <w:ind w:left="1160"/>
        <w:spacing w:after="0" w:line="256" w:lineRule="auto"/>
        <w:rPr>
          <w:sz w:val="20"/>
          <w:szCs w:val="20"/>
          <w:color w:val="auto"/>
        </w:rPr>
      </w:pPr>
      <w:r>
        <w:rPr>
          <w:rFonts w:ascii="Arial" w:cs="Arial" w:eastAsia="Arial" w:hAnsi="Arial"/>
          <w:sz w:val="18"/>
          <w:szCs w:val="18"/>
          <w:color w:val="auto"/>
        </w:rPr>
        <w:t>In addition, we support independent RIAs who conduct their advisory business through separate entities by establishing their own RIA pursuant to the Investment Advisers Act of 1940, rather than using our corporate registered RIA. The assets held under these investment advisory accounts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598" w:right="279" w:bottom="1440" w:gutter="0" w:footer="0" w:header="0"/>
        </w:sectPr>
      </w:pPr>
    </w:p>
    <w:bookmarkStart w:id="31" w:name="page32"/>
    <w:bookmarkEnd w:id="31"/>
    <w:p>
      <w:pPr>
        <w:ind w:left="1160"/>
        <w:spacing w:after="0" w:line="253" w:lineRule="auto"/>
        <w:rPr>
          <w:sz w:val="20"/>
          <w:szCs w:val="20"/>
          <w:color w:val="auto"/>
        </w:rPr>
      </w:pPr>
      <w:r>
        <w:rPr>
          <w:rFonts w:ascii="Arial" w:cs="Arial" w:eastAsia="Arial" w:hAnsi="Arial"/>
          <w:sz w:val="18"/>
          <w:szCs w:val="18"/>
          <w:color w:val="auto"/>
        </w:rPr>
        <w:t>custodied with LPL Financial LLC (“LPL Financial”) are included in our advisory and brokerage assets, net new advisory assets and advisory assets under custody metrics. The fee-based production generated by the Independent RIA is earned by the advisor, and accordingly not included in our advisory fee revenue. However, there are administrative fees charged to Independent RIAs including custody and clearing and trading fees, based on the value of assets within these advisory accounts. The administrative fees collected on our Independent RIA platform vary, and can reach a maximum of 0.6%.</w:t>
      </w:r>
    </w:p>
    <w:p>
      <w:pPr>
        <w:spacing w:after="0" w:line="206" w:lineRule="exact"/>
        <w:rPr>
          <w:sz w:val="20"/>
          <w:szCs w:val="20"/>
          <w:color w:val="auto"/>
        </w:rPr>
      </w:pPr>
    </w:p>
    <w:p>
      <w:pPr>
        <w:ind w:left="1160"/>
        <w:spacing w:after="0" w:line="262" w:lineRule="auto"/>
        <w:rPr>
          <w:sz w:val="20"/>
          <w:szCs w:val="20"/>
          <w:color w:val="auto"/>
        </w:rPr>
      </w:pPr>
      <w:r>
        <w:rPr>
          <w:rFonts w:ascii="Arial" w:cs="Arial" w:eastAsia="Arial" w:hAnsi="Arial"/>
          <w:sz w:val="18"/>
          <w:szCs w:val="18"/>
          <w:color w:val="auto"/>
        </w:rPr>
        <w:t>Furthermore, we support certain financial advisors at broker-dealers affiliated with insurance companies through our customized advisory platforms and charge fees to these advisors based on the value of assets within these advisory accounts.</w:t>
      </w:r>
    </w:p>
    <w:p>
      <w:pPr>
        <w:spacing w:after="0" w:line="174" w:lineRule="exact"/>
        <w:rPr>
          <w:sz w:val="20"/>
          <w:szCs w:val="20"/>
          <w:color w:val="auto"/>
        </w:rPr>
      </w:pPr>
    </w:p>
    <w:p>
      <w:pPr>
        <w:ind w:left="520" w:right="40" w:hanging="120"/>
        <w:spacing w:after="0" w:line="255"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Asset-Based Fees. </w:t>
      </w:r>
      <w:r>
        <w:rPr>
          <w:rFonts w:ascii="Arial" w:cs="Arial" w:eastAsia="Arial" w:hAnsi="Arial"/>
          <w:sz w:val="18"/>
          <w:szCs w:val="18"/>
          <w:color w:val="auto"/>
        </w:rPr>
        <w:t>Asset-based fees are comprised of fees from cash sweep programs, our sponsorship programs with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 manufacturers, and omnibus processing and networking services. Pursuant to contractual arrangements, uninvested cash balances in our advisors’ client accounts are swept into either insured deposit accounts at various banks or third-party money market funds, for which we receive fees, including administrative and record-keeping fees based on account type and the invested balances. In addition, we receive fees from certain financial product manufacturers in connection with sponsorship programs that support our marketing and sales-force education and training efforts. Our omnibus and networking fees represent fees paid to us in exchange for administrative and record-keeping services that we provide to clients of our advisors. Omnibus fees, paid to us by mutual fund manufacturers, are generally correlated to assets served while networking fees, paid to us by mutual fund and annuity product manufacturers, are correlated to the number of positions we administer.</w:t>
      </w:r>
    </w:p>
    <w:p>
      <w:pPr>
        <w:spacing w:after="0" w:line="181" w:lineRule="exact"/>
        <w:rPr>
          <w:rFonts w:ascii="Arial" w:cs="Arial" w:eastAsia="Arial" w:hAnsi="Arial"/>
          <w:sz w:val="18"/>
          <w:szCs w:val="18"/>
          <w:color w:val="auto"/>
        </w:rPr>
      </w:pPr>
    </w:p>
    <w:p>
      <w:pPr>
        <w:ind w:left="520" w:hanging="120"/>
        <w:spacing w:after="0" w:line="255"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Transaction and Other Fees. </w:t>
      </w:r>
      <w:r>
        <w:rPr>
          <w:rFonts w:ascii="Arial" w:cs="Arial" w:eastAsia="Arial" w:hAnsi="Arial"/>
          <w:sz w:val="18"/>
          <w:szCs w:val="18"/>
          <w:color w:val="auto"/>
        </w:rPr>
        <w:t>Revenues earned from transaction and other fees primarily consist of transaction fees and ticket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charges, subscription fees, Individual Retirement Account ("IRA") custodian fees, contract and license fees, conference fees and other client account fees. We charge fees to our advisors and their clients for executing transactions in brokerage and fee-based advisory accounts. We earn subscription fees for various services provided to our advisors and on IRA custodial services that we provide for their client accounts. We charge monthly administrative fees to our advisors. We charge fees to advisors who subscribe to our reporting services. We charge fees to financial product manufacturers for participating in our training and marketing conferences. In addition, we host certain advisor conferences that serve as training, sales and marketing events. During the reporting periods that these conferences are held we anticipate higher transaction and other fees resulting from the collection of revenues from sponsors and advisors, in comparison to other periods.</w:t>
      </w:r>
    </w:p>
    <w:p>
      <w:pPr>
        <w:spacing w:after="0" w:line="181" w:lineRule="exact"/>
        <w:rPr>
          <w:rFonts w:ascii="Arial" w:cs="Arial" w:eastAsia="Arial" w:hAnsi="Arial"/>
          <w:sz w:val="18"/>
          <w:szCs w:val="18"/>
          <w:color w:val="auto"/>
        </w:rPr>
      </w:pPr>
    </w:p>
    <w:p>
      <w:pPr>
        <w:ind w:left="520" w:right="340" w:hanging="120"/>
        <w:spacing w:after="0" w:line="262"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Other Revenue. </w:t>
      </w:r>
      <w:r>
        <w:rPr>
          <w:rFonts w:ascii="Arial" w:cs="Arial" w:eastAsia="Arial" w:hAnsi="Arial"/>
          <w:sz w:val="18"/>
          <w:szCs w:val="18"/>
          <w:color w:val="auto"/>
        </w:rPr>
        <w:t>Other revenue includes marketing re-allowance fees from certain financial product manufacturers, mark-to-market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gains or losses on assets held by us for the advisors' non-qualified deferred compensation plan, fees from our retirement partner program, as well as interest income from client margin accounts and cash equivalents, net of operating interest expense, and other items.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Expenses</w:t>
      </w:r>
    </w:p>
    <w:p>
      <w:pPr>
        <w:spacing w:after="0" w:line="225" w:lineRule="exact"/>
        <w:rPr>
          <w:sz w:val="20"/>
          <w:szCs w:val="20"/>
          <w:color w:val="auto"/>
        </w:rPr>
      </w:pPr>
    </w:p>
    <w:p>
      <w:pPr>
        <w:ind w:left="520" w:right="40" w:hanging="120"/>
        <w:spacing w:after="0" w:line="255"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Production Expenses. </w:t>
      </w:r>
      <w:r>
        <w:rPr>
          <w:rFonts w:ascii="Arial" w:cs="Arial" w:eastAsia="Arial" w:hAnsi="Arial"/>
          <w:sz w:val="18"/>
          <w:szCs w:val="18"/>
          <w:color w:val="auto"/>
        </w:rPr>
        <w:t>Production expenses are comprised of the following: base payout amounts that are earned by and paid out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advisors based on commissions and advisory fees earned on each client's account (collectively, commissions and advisory fees earned are referred to as gross dealer concessions, or "GDC"); bonuses earned by advisors based on the levels of commissions and advisory fees they produce; the recognition of share-based compensation expense from stock options and warrants granted to advisors and financial institutions based on the fair value of the awards at each interim reporting period; a mark-to-market gain or loss on amounts designated by advisors as deferred commissions in a non-qualified deferred compensation plan at each interim reporting period; and brokerage, clearing and exchange fees. Our production payout ratio is calculated as production expenses excluding brokerage, clearing and exchange fees, divided by commissions and advisory revenues.</w:t>
      </w:r>
    </w:p>
    <w:p>
      <w:pPr>
        <w:spacing w:after="0" w:line="207" w:lineRule="exact"/>
        <w:rPr>
          <w:rFonts w:ascii="Arial" w:cs="Arial" w:eastAsia="Arial" w:hAnsi="Arial"/>
          <w:sz w:val="18"/>
          <w:szCs w:val="18"/>
          <w:color w:val="auto"/>
        </w:rPr>
      </w:pPr>
    </w:p>
    <w:p>
      <w:pPr>
        <w:ind w:left="520" w:right="60"/>
        <w:spacing w:after="0" w:line="254" w:lineRule="auto"/>
        <w:rPr>
          <w:rFonts w:ascii="Arial" w:cs="Arial" w:eastAsia="Arial" w:hAnsi="Arial"/>
          <w:sz w:val="18"/>
          <w:szCs w:val="18"/>
          <w:color w:val="auto"/>
        </w:rPr>
      </w:pPr>
      <w:r>
        <w:rPr>
          <w:rFonts w:ascii="Arial" w:cs="Arial" w:eastAsia="Arial" w:hAnsi="Arial"/>
          <w:sz w:val="18"/>
          <w:szCs w:val="18"/>
          <w:color w:val="auto"/>
        </w:rPr>
        <w:t>We characterize production payout, which includes all production expenses except brokerage, clearing and exchange fees, as either GDC sensitive or non-GDC sensitive. Base payout amounts and production bonuses earned by and paid to advisors are GDC sensitive because they are variable and highly correlated to the level of our commissions and advisory revenues in a particular reporting period. Non-GDC sensitive payout is correlated to market movement in addition to the value of our stock. Non-GDC sensitive payout</w:t>
      </w: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598" w:right="319" w:bottom="1440" w:gutter="0" w:footer="0" w:header="0"/>
        </w:sectPr>
      </w:pPr>
    </w:p>
    <w:bookmarkStart w:id="32" w:name="page33"/>
    <w:bookmarkEnd w:id="32"/>
    <w:p>
      <w:pPr>
        <w:ind w:left="520" w:right="60"/>
        <w:spacing w:after="0" w:line="256" w:lineRule="auto"/>
        <w:rPr>
          <w:sz w:val="20"/>
          <w:szCs w:val="20"/>
          <w:color w:val="auto"/>
        </w:rPr>
      </w:pPr>
      <w:r>
        <w:rPr>
          <w:rFonts w:ascii="Arial" w:cs="Arial" w:eastAsia="Arial" w:hAnsi="Arial"/>
          <w:sz w:val="18"/>
          <w:szCs w:val="18"/>
          <w:color w:val="auto"/>
        </w:rPr>
        <w:t>includes share-based compensation expense from stock options and warrants granted to advisors and financial institutions based on the fair value of the awards at each interim reporting period, and mark-to-market gains or losses on amounts designated by advisors as deferred commissions in a non-qualified deferred compensation plan.</w:t>
      </w:r>
    </w:p>
    <w:p>
      <w:pPr>
        <w:spacing w:after="0" w:line="202" w:lineRule="exact"/>
        <w:rPr>
          <w:sz w:val="20"/>
          <w:szCs w:val="20"/>
          <w:color w:val="auto"/>
        </w:rPr>
      </w:pPr>
    </w:p>
    <w:p>
      <w:pPr>
        <w:ind w:left="500" w:right="320"/>
        <w:spacing w:after="0" w:line="262" w:lineRule="auto"/>
        <w:rPr>
          <w:sz w:val="20"/>
          <w:szCs w:val="20"/>
          <w:color w:val="auto"/>
        </w:rPr>
      </w:pPr>
      <w:r>
        <w:rPr>
          <w:rFonts w:ascii="Arial" w:cs="Arial" w:eastAsia="Arial" w:hAnsi="Arial"/>
          <w:sz w:val="18"/>
          <w:szCs w:val="18"/>
          <w:color w:val="auto"/>
        </w:rPr>
        <w:t>The following table is presented as an illustration of how the aforementioned production expenses impact our payout ratio for the nine months ended September 30, 2012:</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Base payout rate</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84.20%</w:t>
            </w:r>
          </w:p>
        </w:tc>
        <w:tc>
          <w:tcPr>
            <w:tcW w:w="0" w:type="dxa"/>
            <w:vAlign w:val="bottom"/>
          </w:tcPr>
          <w:p>
            <w:pPr>
              <w:spacing w:after="0"/>
              <w:rPr>
                <w:sz w:val="1"/>
                <w:szCs w:val="1"/>
                <w:color w:val="auto"/>
              </w:rPr>
            </w:pPr>
          </w:p>
        </w:tc>
      </w:tr>
      <w:tr>
        <w:trPr>
          <w:trHeight w:val="250"/>
        </w:trPr>
        <w:tc>
          <w:tcPr>
            <w:tcW w:w="9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Production based bonuses</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57"/>
        </w:trPr>
        <w:tc>
          <w:tcPr>
            <w:tcW w:w="9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GDC sensitive payout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86.64%</w:t>
            </w:r>
          </w:p>
        </w:tc>
        <w:tc>
          <w:tcPr>
            <w:tcW w:w="0" w:type="dxa"/>
            <w:vAlign w:val="bottom"/>
          </w:tcPr>
          <w:p>
            <w:pPr>
              <w:spacing w:after="0"/>
              <w:rPr>
                <w:sz w:val="1"/>
                <w:szCs w:val="1"/>
                <w:color w:val="auto"/>
              </w:rPr>
            </w:pPr>
          </w:p>
        </w:tc>
      </w:tr>
      <w:tr>
        <w:trPr>
          <w:trHeight w:val="250"/>
        </w:trPr>
        <w:tc>
          <w:tcPr>
            <w:tcW w:w="9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Non-GDC sensitive payout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57"/>
        </w:trPr>
        <w:tc>
          <w:tcPr>
            <w:tcW w:w="9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Payout Ratio</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86.85%</w:t>
            </w:r>
          </w:p>
        </w:tc>
        <w:tc>
          <w:tcPr>
            <w:tcW w:w="0" w:type="dxa"/>
            <w:vAlign w:val="bottom"/>
          </w:tcPr>
          <w:p>
            <w:pPr>
              <w:spacing w:after="0"/>
              <w:rPr>
                <w:sz w:val="1"/>
                <w:szCs w:val="1"/>
                <w:color w:val="auto"/>
              </w:rPr>
            </w:pPr>
          </w:p>
        </w:tc>
      </w:tr>
      <w:tr>
        <w:trPr>
          <w:trHeight w:val="20"/>
        </w:trPr>
        <w:tc>
          <w:tcPr>
            <w:tcW w:w="9640" w:type="dxa"/>
            <w:vAlign w:val="bottom"/>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9640" w:type="dxa"/>
            <w:vAlign w:val="bottom"/>
            <w:vMerge w:val="continue"/>
          </w:tcPr>
          <w:p>
            <w:pPr>
              <w:spacing w:after="0"/>
              <w:rPr>
                <w:sz w:val="8"/>
                <w:szCs w:val="8"/>
                <w:color w:val="auto"/>
              </w:rPr>
            </w:pPr>
          </w:p>
        </w:tc>
        <w:tc>
          <w:tcPr>
            <w:tcW w:w="178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420" w:right="120" w:hanging="323"/>
        <w:spacing w:after="0" w:line="262" w:lineRule="auto"/>
        <w:rPr>
          <w:sz w:val="20"/>
          <w:szCs w:val="20"/>
          <w:color w:val="auto"/>
        </w:rPr>
      </w:pPr>
      <w:r>
        <w:rPr>
          <w:rFonts w:ascii="Arial" w:cs="Arial" w:eastAsia="Arial" w:hAnsi="Arial"/>
          <w:sz w:val="18"/>
          <w:szCs w:val="18"/>
          <w:color w:val="auto"/>
        </w:rPr>
        <w:t>See "Results of Operations" for the three and nine months ended September 30, 2012 and comparative 2011 periods' analyses of production payout ratio.</w:t>
      </w:r>
    </w:p>
    <w:p>
      <w:pPr>
        <w:spacing w:after="0" w:line="174" w:lineRule="exact"/>
        <w:rPr>
          <w:sz w:val="20"/>
          <w:szCs w:val="20"/>
          <w:color w:val="auto"/>
        </w:rPr>
      </w:pPr>
    </w:p>
    <w:p>
      <w:pPr>
        <w:ind w:left="520" w:right="400" w:hanging="120"/>
        <w:spacing w:after="0" w:line="269" w:lineRule="auto"/>
        <w:tabs>
          <w:tab w:leader="none" w:pos="520" w:val="left"/>
        </w:tabs>
        <w:numPr>
          <w:ilvl w:val="1"/>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Compensation and Benefits Expense. </w:t>
      </w:r>
      <w:r>
        <w:rPr>
          <w:rFonts w:ascii="Arial" w:cs="Arial" w:eastAsia="Arial" w:hAnsi="Arial"/>
          <w:sz w:val="18"/>
          <w:szCs w:val="18"/>
          <w:color w:val="auto"/>
        </w:rPr>
        <w:t>Compensation and benefits expense includes salaries and wages and related 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benefits and taxes for our employees (including share-based compensation), as well as compensation for temporary employees and consultants.</w:t>
      </w:r>
    </w:p>
    <w:p>
      <w:pPr>
        <w:spacing w:after="0" w:line="168" w:lineRule="exact"/>
        <w:rPr>
          <w:rFonts w:ascii="Arial" w:cs="Arial" w:eastAsia="Arial" w:hAnsi="Arial"/>
          <w:sz w:val="18"/>
          <w:szCs w:val="18"/>
          <w:color w:val="auto"/>
        </w:rPr>
      </w:pPr>
    </w:p>
    <w:p>
      <w:pPr>
        <w:ind w:left="520" w:right="180" w:hanging="120"/>
        <w:spacing w:after="0" w:line="262" w:lineRule="auto"/>
        <w:tabs>
          <w:tab w:leader="none" w:pos="520" w:val="left"/>
        </w:tabs>
        <w:numPr>
          <w:ilvl w:val="1"/>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include promotional fees, occupancy and equipment,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communications and data processing, regulatory fees, travel and entertainment, professional services and other expenses. We host certain advisor conferences that serve as training, sales and marketing events. During the reporting periods that these conferences are held, we anticipate higher general and administrative expenses in comparison to other periods.</w:t>
      </w:r>
    </w:p>
    <w:p>
      <w:pPr>
        <w:spacing w:after="0" w:line="176" w:lineRule="exact"/>
        <w:rPr>
          <w:rFonts w:ascii="Arial" w:cs="Arial" w:eastAsia="Arial" w:hAnsi="Arial"/>
          <w:sz w:val="18"/>
          <w:szCs w:val="18"/>
          <w:color w:val="auto"/>
        </w:rPr>
      </w:pPr>
    </w:p>
    <w:p>
      <w:pPr>
        <w:ind w:left="520" w:right="60" w:hanging="120"/>
        <w:spacing w:after="0" w:line="269" w:lineRule="auto"/>
        <w:tabs>
          <w:tab w:leader="none" w:pos="520" w:val="left"/>
        </w:tabs>
        <w:numPr>
          <w:ilvl w:val="1"/>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Depreciation and Amortization Expense. </w:t>
      </w:r>
      <w:r>
        <w:rPr>
          <w:rFonts w:ascii="Arial" w:cs="Arial" w:eastAsia="Arial" w:hAnsi="Arial"/>
          <w:sz w:val="18"/>
          <w:szCs w:val="18"/>
          <w:color w:val="auto"/>
        </w:rPr>
        <w:t>Depreciation and amortization expense represents the benefits received for using long-lived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Those assets represent significant intangible assets established through our acquisitions, as well as fixed assets which include internally developed software, hardware, leasehold improvements and other equipment.</w:t>
      </w:r>
    </w:p>
    <w:p>
      <w:pPr>
        <w:spacing w:after="0" w:line="168" w:lineRule="exact"/>
        <w:rPr>
          <w:rFonts w:ascii="Arial" w:cs="Arial" w:eastAsia="Arial" w:hAnsi="Arial"/>
          <w:sz w:val="18"/>
          <w:szCs w:val="18"/>
          <w:color w:val="auto"/>
        </w:rPr>
      </w:pPr>
    </w:p>
    <w:p>
      <w:pPr>
        <w:ind w:left="500" w:right="80" w:hanging="168"/>
        <w:spacing w:after="0" w:line="262"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Restructuring Charges. </w:t>
      </w:r>
      <w:r>
        <w:rPr>
          <w:rFonts w:ascii="Arial" w:cs="Arial" w:eastAsia="Arial" w:hAnsi="Arial"/>
          <w:sz w:val="18"/>
          <w:szCs w:val="18"/>
          <w:color w:val="auto"/>
        </w:rPr>
        <w:t>Restructuring charges represent expenses incurred as a result of our 2011 consolidation of UVEST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Group, Inc. ("UVEST") and our 2009 consolidation of Mutual Service Corporation, Associated Financial Group, Inc., Associated Securities Corp., Associated Planners Investment Advisory, Inc. and Waterstone Financial Group, Inc. (collectively referred to herein as the “Affiliated Entities”).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98"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How We Evaluate Our Business</w:t>
      </w:r>
    </w:p>
    <w:p>
      <w:pPr>
        <w:spacing w:after="0" w:line="247"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We focus on several business and key financial metrics in evaluating the success of our business relationships and our resulting financial position and operating performance. Our key metrics as of and for the three and nine months ended September 30, 2012 and 2011 are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560" w:type="dxa"/>
            <w:vAlign w:val="bottom"/>
            <w:gridSpan w:val="9"/>
          </w:tcPr>
          <w:p>
            <w:pPr>
              <w:ind w:left="260"/>
              <w:spacing w:after="0"/>
              <w:rPr>
                <w:sz w:val="20"/>
                <w:szCs w:val="20"/>
                <w:color w:val="auto"/>
              </w:rPr>
            </w:pPr>
            <w:r>
              <w:rPr>
                <w:rFonts w:ascii="Arial" w:cs="Arial" w:eastAsia="Arial" w:hAnsi="Arial"/>
                <w:sz w:val="16"/>
                <w:szCs w:val="16"/>
                <w:b w:val="1"/>
                <w:bCs w:val="1"/>
                <w:color w:val="auto"/>
              </w:rPr>
              <w:t>As of September 30,</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4"/>
        </w:trPr>
        <w:tc>
          <w:tcPr>
            <w:tcW w:w="4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2012</w:t>
            </w:r>
          </w:p>
        </w:tc>
        <w:tc>
          <w:tcPr>
            <w:tcW w:w="6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2011</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22"/>
                <w:szCs w:val="22"/>
                <w:color w:val="auto"/>
              </w:rPr>
            </w:pPr>
          </w:p>
        </w:tc>
      </w:tr>
      <w:tr>
        <w:trPr>
          <w:trHeight w:val="385"/>
        </w:trPr>
        <w:tc>
          <w:tcPr>
            <w:tcW w:w="40" w:type="dxa"/>
            <w:vAlign w:val="bottom"/>
          </w:tcPr>
          <w:p>
            <w:pPr>
              <w:spacing w:after="0"/>
              <w:rPr>
                <w:sz w:val="24"/>
                <w:szCs w:val="24"/>
                <w:color w:val="auto"/>
              </w:rPr>
            </w:pPr>
          </w:p>
        </w:tc>
        <w:tc>
          <w:tcPr>
            <w:tcW w:w="5320" w:type="dxa"/>
            <w:vAlign w:val="bottom"/>
          </w:tcPr>
          <w:p>
            <w:pPr>
              <w:ind w:left="80"/>
              <w:spacing w:after="0"/>
              <w:rPr>
                <w:sz w:val="20"/>
                <w:szCs w:val="20"/>
                <w:color w:val="auto"/>
              </w:rPr>
            </w:pPr>
            <w:r>
              <w:rPr>
                <w:rFonts w:ascii="Arial" w:cs="Arial" w:eastAsia="Arial" w:hAnsi="Arial"/>
                <w:sz w:val="18"/>
                <w:szCs w:val="18"/>
                <w:b w:val="1"/>
                <w:bCs w:val="1"/>
                <w:color w:val="auto"/>
              </w:rPr>
              <w:t xml:space="preserve">Business Metrics </w:t>
            </w:r>
            <w:r>
              <w:rPr>
                <w:rFonts w:ascii="Arial" w:cs="Arial" w:eastAsia="Arial" w:hAnsi="Arial"/>
                <w:sz w:val="16"/>
                <w:szCs w:val="16"/>
                <w:b w:val="1"/>
                <w:bCs w:val="1"/>
                <w:color w:val="auto"/>
              </w:rPr>
              <w:t>(unaudited)</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7"/>
        </w:trPr>
        <w:tc>
          <w:tcPr>
            <w:tcW w:w="40" w:type="dxa"/>
            <w:vAlign w:val="bottom"/>
          </w:tcPr>
          <w:p>
            <w:pPr>
              <w:spacing w:after="0"/>
              <w:rPr>
                <w:sz w:val="24"/>
                <w:szCs w:val="24"/>
                <w:color w:val="auto"/>
              </w:rPr>
            </w:pPr>
          </w:p>
        </w:tc>
        <w:tc>
          <w:tcPr>
            <w:tcW w:w="5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Advisors(1)</w:t>
            </w: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13,170</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12,799</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20" w:type="dxa"/>
            <w:vAlign w:val="bottom"/>
          </w:tcPr>
          <w:p>
            <w:pPr>
              <w:spacing w:after="0"/>
              <w:rPr>
                <w:sz w:val="24"/>
                <w:szCs w:val="24"/>
                <w:color w:val="auto"/>
              </w:rPr>
            </w:pPr>
          </w:p>
        </w:tc>
      </w:tr>
      <w:tr>
        <w:trPr>
          <w:trHeight w:val="263"/>
        </w:trPr>
        <w:tc>
          <w:tcPr>
            <w:tcW w:w="40" w:type="dxa"/>
            <w:vAlign w:val="bottom"/>
          </w:tcPr>
          <w:p>
            <w:pPr>
              <w:spacing w:after="0"/>
              <w:rPr>
                <w:sz w:val="22"/>
                <w:szCs w:val="22"/>
                <w:color w:val="auto"/>
              </w:rPr>
            </w:pPr>
          </w:p>
        </w:tc>
        <w:tc>
          <w:tcPr>
            <w:tcW w:w="5320" w:type="dxa"/>
            <w:vAlign w:val="bottom"/>
          </w:tcPr>
          <w:p>
            <w:pPr>
              <w:ind w:left="80"/>
              <w:spacing w:after="0"/>
              <w:rPr>
                <w:sz w:val="20"/>
                <w:szCs w:val="20"/>
                <w:color w:val="auto"/>
              </w:rPr>
            </w:pPr>
            <w:r>
              <w:rPr>
                <w:rFonts w:ascii="Arial" w:cs="Arial" w:eastAsia="Arial" w:hAnsi="Arial"/>
                <w:sz w:val="18"/>
                <w:szCs w:val="18"/>
                <w:color w:val="auto"/>
              </w:rPr>
              <w:t>Advisory and brokerage assets (in billions)(2)</w:t>
            </w: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371.4</w:t>
            </w:r>
          </w:p>
        </w:tc>
        <w:tc>
          <w:tcPr>
            <w:tcW w:w="60" w:type="dxa"/>
            <w:vAlign w:val="bottom"/>
          </w:tcPr>
          <w:p>
            <w:pPr>
              <w:spacing w:after="0"/>
              <w:rPr>
                <w:sz w:val="22"/>
                <w:szCs w:val="22"/>
                <w:color w:val="auto"/>
              </w:rPr>
            </w:pPr>
          </w:p>
        </w:tc>
        <w:tc>
          <w:tcPr>
            <w:tcW w:w="3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316.4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17.4 %</w:t>
            </w:r>
          </w:p>
        </w:tc>
        <w:tc>
          <w:tcPr>
            <w:tcW w:w="20" w:type="dxa"/>
            <w:vAlign w:val="bottom"/>
          </w:tcPr>
          <w:p>
            <w:pPr>
              <w:spacing w:after="0"/>
              <w:rPr>
                <w:sz w:val="22"/>
                <w:szCs w:val="22"/>
                <w:color w:val="auto"/>
              </w:rPr>
            </w:pPr>
          </w:p>
        </w:tc>
      </w:tr>
      <w:tr>
        <w:trPr>
          <w:trHeight w:val="277"/>
        </w:trPr>
        <w:tc>
          <w:tcPr>
            <w:tcW w:w="40" w:type="dxa"/>
            <w:vAlign w:val="bottom"/>
          </w:tcPr>
          <w:p>
            <w:pPr>
              <w:spacing w:after="0"/>
              <w:rPr>
                <w:sz w:val="24"/>
                <w:szCs w:val="24"/>
                <w:color w:val="auto"/>
              </w:rPr>
            </w:pPr>
          </w:p>
        </w:tc>
        <w:tc>
          <w:tcPr>
            <w:tcW w:w="5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Advisory assets under custody (in billions)(3)(4)</w:t>
            </w: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60" w:type="dxa"/>
            <w:vAlign w:val="bottom"/>
            <w:shd w:val="clear" w:color="auto" w:fill="CCEEFF"/>
          </w:tcPr>
          <w:p>
            <w:pPr>
              <w:spacing w:after="0"/>
              <w:rPr>
                <w:sz w:val="24"/>
                <w:szCs w:val="24"/>
                <w:color w:val="auto"/>
              </w:rPr>
            </w:pP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96.3</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23.2 %</w:t>
            </w:r>
          </w:p>
        </w:tc>
        <w:tc>
          <w:tcPr>
            <w:tcW w:w="20" w:type="dxa"/>
            <w:vAlign w:val="bottom"/>
          </w:tcPr>
          <w:p>
            <w:pPr>
              <w:spacing w:after="0"/>
              <w:rPr>
                <w:sz w:val="24"/>
                <w:szCs w:val="24"/>
                <w:color w:val="auto"/>
              </w:rPr>
            </w:pPr>
          </w:p>
        </w:tc>
      </w:tr>
      <w:tr>
        <w:trPr>
          <w:trHeight w:val="263"/>
        </w:trPr>
        <w:tc>
          <w:tcPr>
            <w:tcW w:w="40" w:type="dxa"/>
            <w:vAlign w:val="bottom"/>
          </w:tcPr>
          <w:p>
            <w:pPr>
              <w:spacing w:after="0"/>
              <w:rPr>
                <w:sz w:val="22"/>
                <w:szCs w:val="22"/>
                <w:color w:val="auto"/>
              </w:rPr>
            </w:pPr>
          </w:p>
        </w:tc>
        <w:tc>
          <w:tcPr>
            <w:tcW w:w="5320" w:type="dxa"/>
            <w:vAlign w:val="bottom"/>
          </w:tcPr>
          <w:p>
            <w:pPr>
              <w:ind w:left="80"/>
              <w:spacing w:after="0"/>
              <w:rPr>
                <w:sz w:val="20"/>
                <w:szCs w:val="20"/>
                <w:color w:val="auto"/>
              </w:rPr>
            </w:pPr>
            <w:r>
              <w:rPr>
                <w:rFonts w:ascii="Arial" w:cs="Arial" w:eastAsia="Arial" w:hAnsi="Arial"/>
                <w:sz w:val="18"/>
                <w:szCs w:val="18"/>
                <w:color w:val="auto"/>
              </w:rPr>
              <w:t>Net new advisory assets (in billions)(5)</w:t>
            </w: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22"/>
                <w:szCs w:val="22"/>
                <w:color w:val="auto"/>
              </w:rPr>
            </w:pPr>
          </w:p>
        </w:tc>
        <w:tc>
          <w:tcPr>
            <w:tcW w:w="3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22"/>
                <w:szCs w:val="22"/>
                <w:color w:val="auto"/>
              </w:rPr>
            </w:pPr>
          </w:p>
        </w:tc>
      </w:tr>
      <w:tr>
        <w:trPr>
          <w:trHeight w:val="277"/>
        </w:trPr>
        <w:tc>
          <w:tcPr>
            <w:tcW w:w="40" w:type="dxa"/>
            <w:vAlign w:val="bottom"/>
          </w:tcPr>
          <w:p>
            <w:pPr>
              <w:spacing w:after="0"/>
              <w:rPr>
                <w:sz w:val="24"/>
                <w:szCs w:val="24"/>
                <w:color w:val="auto"/>
              </w:rPr>
            </w:pPr>
          </w:p>
        </w:tc>
        <w:tc>
          <w:tcPr>
            <w:tcW w:w="5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Insured cash account balances (in billions)(4)</w:t>
            </w: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60" w:type="dxa"/>
            <w:vAlign w:val="bottom"/>
            <w:shd w:val="clear" w:color="auto" w:fill="CCEEFF"/>
          </w:tcPr>
          <w:p>
            <w:pPr>
              <w:spacing w:after="0"/>
              <w:rPr>
                <w:sz w:val="24"/>
                <w:szCs w:val="24"/>
                <w:color w:val="auto"/>
              </w:rPr>
            </w:pP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14.2</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24"/>
                <w:szCs w:val="24"/>
                <w:color w:val="auto"/>
              </w:rPr>
            </w:pPr>
          </w:p>
        </w:tc>
      </w:tr>
      <w:tr>
        <w:trPr>
          <w:trHeight w:val="257"/>
        </w:trPr>
        <w:tc>
          <w:tcPr>
            <w:tcW w:w="40" w:type="dxa"/>
            <w:vAlign w:val="bottom"/>
          </w:tcPr>
          <w:p>
            <w:pPr>
              <w:spacing w:after="0"/>
              <w:rPr>
                <w:sz w:val="22"/>
                <w:szCs w:val="22"/>
                <w:color w:val="auto"/>
              </w:rPr>
            </w:pPr>
          </w:p>
        </w:tc>
        <w:tc>
          <w:tcPr>
            <w:tcW w:w="5320" w:type="dxa"/>
            <w:vAlign w:val="bottom"/>
          </w:tcPr>
          <w:p>
            <w:pPr>
              <w:ind w:left="80"/>
              <w:spacing w:after="0"/>
              <w:rPr>
                <w:sz w:val="20"/>
                <w:szCs w:val="20"/>
                <w:color w:val="auto"/>
              </w:rPr>
            </w:pPr>
            <w:r>
              <w:rPr>
                <w:rFonts w:ascii="Arial" w:cs="Arial" w:eastAsia="Arial" w:hAnsi="Arial"/>
                <w:sz w:val="18"/>
                <w:szCs w:val="18"/>
                <w:color w:val="auto"/>
              </w:rPr>
              <w:t>Money market account balances (in billions)(4)</w:t>
            </w: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22"/>
                <w:szCs w:val="22"/>
                <w:color w:val="auto"/>
              </w:rPr>
            </w:pPr>
          </w:p>
        </w:tc>
        <w:tc>
          <w:tcPr>
            <w:tcW w:w="3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(16.9)%</w:t>
            </w:r>
          </w:p>
        </w:tc>
        <w:tc>
          <w:tcPr>
            <w:tcW w:w="20" w:type="dxa"/>
            <w:vAlign w:val="bottom"/>
          </w:tcPr>
          <w:p>
            <w:pPr>
              <w:spacing w:after="0"/>
              <w:rPr>
                <w:sz w:val="22"/>
                <w:szCs w:val="22"/>
                <w:color w:val="auto"/>
              </w:rPr>
            </w:pPr>
          </w:p>
        </w:tc>
      </w:tr>
      <w:tr>
        <w:trPr>
          <w:trHeight w:val="590"/>
        </w:trPr>
        <w:tc>
          <w:tcPr>
            <w:tcW w:w="4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gridSpan w:val="6"/>
          </w:tcPr>
          <w:p>
            <w:pPr>
              <w:ind w:left="140"/>
              <w:spacing w:after="0"/>
              <w:rPr>
                <w:sz w:val="20"/>
                <w:szCs w:val="20"/>
                <w:color w:val="auto"/>
              </w:rPr>
            </w:pPr>
            <w:r>
              <w:rPr>
                <w:rFonts w:ascii="Arial" w:cs="Arial" w:eastAsia="Arial" w:hAnsi="Arial"/>
                <w:sz w:val="16"/>
                <w:szCs w:val="16"/>
                <w:b w:val="1"/>
                <w:bCs w:val="1"/>
                <w:color w:val="auto"/>
              </w:rPr>
              <w:t>For the Three Months Ended</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40" w:type="dxa"/>
            <w:vAlign w:val="bottom"/>
            <w:gridSpan w:val="6"/>
          </w:tcPr>
          <w:p>
            <w:pPr>
              <w:jc w:val="right"/>
              <w:ind w:right="311"/>
              <w:spacing w:after="0"/>
              <w:rPr>
                <w:sz w:val="20"/>
                <w:szCs w:val="20"/>
                <w:color w:val="auto"/>
              </w:rPr>
            </w:pPr>
            <w:r>
              <w:rPr>
                <w:rFonts w:ascii="Arial" w:cs="Arial" w:eastAsia="Arial" w:hAnsi="Arial"/>
                <w:sz w:val="16"/>
                <w:szCs w:val="16"/>
                <w:b w:val="1"/>
                <w:bCs w:val="1"/>
                <w:color w:val="auto"/>
              </w:rPr>
              <w:t>For the Nine Months Ended</w:t>
            </w:r>
          </w:p>
        </w:tc>
        <w:tc>
          <w:tcPr>
            <w:tcW w:w="20" w:type="dxa"/>
            <w:vAlign w:val="bottom"/>
          </w:tcPr>
          <w:p>
            <w:pPr>
              <w:spacing w:after="0"/>
              <w:rPr>
                <w:sz w:val="24"/>
                <w:szCs w:val="24"/>
                <w:color w:val="auto"/>
              </w:rPr>
            </w:pPr>
          </w:p>
        </w:tc>
      </w:tr>
      <w:tr>
        <w:trPr>
          <w:trHeight w:val="228"/>
        </w:trPr>
        <w:tc>
          <w:tcPr>
            <w:tcW w:w="4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6"/>
          </w:tcPr>
          <w:p>
            <w:pPr>
              <w:jc w:val="right"/>
              <w:ind w:right="811"/>
              <w:spacing w:after="0"/>
              <w:rPr>
                <w:sz w:val="20"/>
                <w:szCs w:val="20"/>
                <w:color w:val="auto"/>
              </w:rPr>
            </w:pPr>
            <w:r>
              <w:rPr>
                <w:rFonts w:ascii="Arial" w:cs="Arial" w:eastAsia="Arial" w:hAnsi="Arial"/>
                <w:sz w:val="16"/>
                <w:szCs w:val="16"/>
                <w:b w:val="1"/>
                <w:bCs w:val="1"/>
                <w:color w:val="auto"/>
              </w:rPr>
              <w:t>September 30,</w:t>
            </w:r>
          </w:p>
        </w:tc>
        <w:tc>
          <w:tcPr>
            <w:tcW w:w="20" w:type="dxa"/>
            <w:vAlign w:val="bottom"/>
            <w:tcBorders>
              <w:bottom w:val="single" w:sz="8" w:color="auto"/>
            </w:tcBorders>
          </w:tcPr>
          <w:p>
            <w:pPr>
              <w:spacing w:after="0"/>
              <w:rPr>
                <w:sz w:val="19"/>
                <w:szCs w:val="19"/>
                <w:color w:val="auto"/>
              </w:rPr>
            </w:pPr>
          </w:p>
        </w:tc>
      </w:tr>
      <w:tr>
        <w:trPr>
          <w:trHeight w:val="264"/>
        </w:trPr>
        <w:tc>
          <w:tcPr>
            <w:tcW w:w="4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w w:val="95"/>
              </w:rPr>
              <w:t>2011</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2012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2011</w:t>
            </w:r>
          </w:p>
        </w:tc>
        <w:tc>
          <w:tcPr>
            <w:tcW w:w="20" w:type="dxa"/>
            <w:vAlign w:val="bottom"/>
            <w:tcBorders>
              <w:bottom w:val="single" w:sz="8" w:color="auto"/>
            </w:tcBorders>
          </w:tcPr>
          <w:p>
            <w:pPr>
              <w:spacing w:after="0"/>
              <w:rPr>
                <w:sz w:val="22"/>
                <w:szCs w:val="22"/>
                <w:color w:val="auto"/>
              </w:rPr>
            </w:pPr>
          </w:p>
        </w:tc>
      </w:tr>
      <w:tr>
        <w:trPr>
          <w:trHeight w:val="385"/>
        </w:trPr>
        <w:tc>
          <w:tcPr>
            <w:tcW w:w="40" w:type="dxa"/>
            <w:vAlign w:val="bottom"/>
          </w:tcPr>
          <w:p>
            <w:pPr>
              <w:spacing w:after="0"/>
              <w:rPr>
                <w:sz w:val="24"/>
                <w:szCs w:val="24"/>
                <w:color w:val="auto"/>
              </w:rPr>
            </w:pPr>
          </w:p>
        </w:tc>
        <w:tc>
          <w:tcPr>
            <w:tcW w:w="5320" w:type="dxa"/>
            <w:vAlign w:val="bottom"/>
          </w:tcPr>
          <w:p>
            <w:pPr>
              <w:ind w:left="40"/>
              <w:spacing w:after="0"/>
              <w:rPr>
                <w:sz w:val="20"/>
                <w:szCs w:val="20"/>
                <w:color w:val="auto"/>
              </w:rPr>
            </w:pPr>
            <w:r>
              <w:rPr>
                <w:rFonts w:ascii="Arial" w:cs="Arial" w:eastAsia="Arial" w:hAnsi="Arial"/>
                <w:sz w:val="18"/>
                <w:szCs w:val="18"/>
                <w:b w:val="1"/>
                <w:bCs w:val="1"/>
                <w:color w:val="auto"/>
              </w:rPr>
              <w:t xml:space="preserve">Financial Metrics </w:t>
            </w:r>
            <w:r>
              <w:rPr>
                <w:rFonts w:ascii="Arial" w:cs="Arial" w:eastAsia="Arial" w:hAnsi="Arial"/>
                <w:sz w:val="16"/>
                <w:szCs w:val="16"/>
                <w:b w:val="1"/>
                <w:bCs w:val="1"/>
                <w:color w:val="auto"/>
              </w:rPr>
              <w:t>(unaudited)</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7"/>
        </w:trPr>
        <w:tc>
          <w:tcPr>
            <w:tcW w:w="40" w:type="dxa"/>
            <w:vAlign w:val="bottom"/>
            <w:shd w:val="clear" w:color="auto" w:fill="CCEEFF"/>
          </w:tcPr>
          <w:p>
            <w:pPr>
              <w:spacing w:after="0"/>
              <w:rPr>
                <w:sz w:val="24"/>
                <w:szCs w:val="24"/>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Revenue growth from prior period</w:t>
            </w: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 w:type="dxa"/>
            <w:vAlign w:val="bottom"/>
            <w:shd w:val="clear" w:color="auto" w:fill="CCEEFF"/>
          </w:tcPr>
          <w:p>
            <w:pPr>
              <w:spacing w:after="0"/>
              <w:rPr>
                <w:sz w:val="24"/>
                <w:szCs w:val="24"/>
                <w:color w:val="auto"/>
              </w:rPr>
            </w:pPr>
          </w:p>
        </w:tc>
      </w:tr>
      <w:tr>
        <w:trPr>
          <w:trHeight w:val="263"/>
        </w:trPr>
        <w:tc>
          <w:tcPr>
            <w:tcW w:w="40" w:type="dxa"/>
            <w:vAlign w:val="bottom"/>
          </w:tcPr>
          <w:p>
            <w:pPr>
              <w:spacing w:after="0"/>
              <w:rPr>
                <w:sz w:val="22"/>
                <w:szCs w:val="22"/>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Recurring revenue as a % of net revenue(6)</w:t>
            </w: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63.1%</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61.9%</w:t>
            </w:r>
          </w:p>
        </w:tc>
        <w:tc>
          <w:tcPr>
            <w:tcW w:w="2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(in millions)</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36.4</w:t>
            </w:r>
          </w:p>
        </w:tc>
        <w:tc>
          <w:tcPr>
            <w:tcW w:w="60" w:type="dxa"/>
            <w:vAlign w:val="bottom"/>
            <w:shd w:val="clear" w:color="auto" w:fill="CCEEFF"/>
          </w:tcPr>
          <w:p>
            <w:pPr>
              <w:spacing w:after="0"/>
              <w:rPr>
                <w:sz w:val="24"/>
                <w:szCs w:val="24"/>
                <w:color w:val="auto"/>
              </w:rPr>
            </w:pPr>
          </w:p>
        </w:tc>
        <w:tc>
          <w:tcPr>
            <w:tcW w:w="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115.0</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130.9</w:t>
            </w:r>
          </w:p>
        </w:tc>
        <w:tc>
          <w:tcPr>
            <w:tcW w:w="20" w:type="dxa"/>
            <w:vAlign w:val="bottom"/>
            <w:shd w:val="clear" w:color="auto" w:fill="CCEEFF"/>
          </w:tcPr>
          <w:p>
            <w:pPr>
              <w:spacing w:after="0"/>
              <w:rPr>
                <w:sz w:val="24"/>
                <w:szCs w:val="24"/>
                <w:color w:val="auto"/>
              </w:rPr>
            </w:pPr>
          </w:p>
        </w:tc>
      </w:tr>
      <w:tr>
        <w:trPr>
          <w:trHeight w:val="263"/>
        </w:trPr>
        <w:tc>
          <w:tcPr>
            <w:tcW w:w="40" w:type="dxa"/>
            <w:vAlign w:val="bottom"/>
          </w:tcPr>
          <w:p>
            <w:pPr>
              <w:spacing w:after="0"/>
              <w:rPr>
                <w:sz w:val="22"/>
                <w:szCs w:val="22"/>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Earnings per share (diluted)</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0.32</w:t>
            </w:r>
          </w:p>
        </w:tc>
        <w:tc>
          <w:tcPr>
            <w:tcW w:w="60" w:type="dxa"/>
            <w:vAlign w:val="bottom"/>
          </w:tcPr>
          <w:p>
            <w:pPr>
              <w:spacing w:after="0"/>
              <w:rPr>
                <w:sz w:val="22"/>
                <w:szCs w:val="22"/>
                <w:color w:val="auto"/>
              </w:rPr>
            </w:pPr>
          </w:p>
        </w:tc>
        <w:tc>
          <w:tcPr>
            <w:tcW w:w="3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5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Non-GAAP Measures:</w:t>
            </w: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63"/>
        </w:trPr>
        <w:tc>
          <w:tcPr>
            <w:tcW w:w="40" w:type="dxa"/>
            <w:vAlign w:val="bottom"/>
          </w:tcPr>
          <w:p>
            <w:pPr>
              <w:spacing w:after="0"/>
              <w:rPr>
                <w:sz w:val="22"/>
                <w:szCs w:val="22"/>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Gross margin (in millions)(7)</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277.1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259.0</w:t>
            </w:r>
          </w:p>
        </w:tc>
        <w:tc>
          <w:tcPr>
            <w:tcW w:w="60" w:type="dxa"/>
            <w:vAlign w:val="bottom"/>
          </w:tcPr>
          <w:p>
            <w:pPr>
              <w:spacing w:after="0"/>
              <w:rPr>
                <w:sz w:val="22"/>
                <w:szCs w:val="22"/>
                <w:color w:val="auto"/>
              </w:rPr>
            </w:pPr>
          </w:p>
        </w:tc>
        <w:tc>
          <w:tcPr>
            <w:tcW w:w="3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829.7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788.4</w:t>
            </w:r>
          </w:p>
        </w:tc>
        <w:tc>
          <w:tcPr>
            <w:tcW w:w="2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margin as a % of net revenue(7)</w:t>
            </w: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0" w:type="dxa"/>
            <w:vAlign w:val="bottom"/>
            <w:shd w:val="clear" w:color="auto" w:fill="CCEEFF"/>
          </w:tcPr>
          <w:p>
            <w:pPr>
              <w:spacing w:after="0"/>
              <w:rPr>
                <w:sz w:val="24"/>
                <w:szCs w:val="24"/>
                <w:color w:val="auto"/>
              </w:rPr>
            </w:pPr>
          </w:p>
        </w:tc>
      </w:tr>
      <w:tr>
        <w:trPr>
          <w:trHeight w:val="263"/>
        </w:trPr>
        <w:tc>
          <w:tcPr>
            <w:tcW w:w="40" w:type="dxa"/>
            <w:vAlign w:val="bottom"/>
          </w:tcPr>
          <w:p>
            <w:pPr>
              <w:spacing w:after="0"/>
              <w:rPr>
                <w:sz w:val="22"/>
                <w:szCs w:val="22"/>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Adjusted EBITDA (in millions)</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111.6</w:t>
            </w:r>
          </w:p>
        </w:tc>
        <w:tc>
          <w:tcPr>
            <w:tcW w:w="60" w:type="dxa"/>
            <w:vAlign w:val="bottom"/>
          </w:tcPr>
          <w:p>
            <w:pPr>
              <w:spacing w:after="0"/>
              <w:rPr>
                <w:sz w:val="22"/>
                <w:szCs w:val="22"/>
                <w:color w:val="auto"/>
              </w:rPr>
            </w:pPr>
          </w:p>
        </w:tc>
        <w:tc>
          <w:tcPr>
            <w:tcW w:w="3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344.5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358.9</w:t>
            </w:r>
          </w:p>
        </w:tc>
        <w:tc>
          <w:tcPr>
            <w:tcW w:w="2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Adjusted EBITDA as a % of net revenue</w:t>
            </w: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 w:type="dxa"/>
            <w:vAlign w:val="bottom"/>
            <w:shd w:val="clear" w:color="auto" w:fill="CCEEFF"/>
          </w:tcPr>
          <w:p>
            <w:pPr>
              <w:spacing w:after="0"/>
              <w:rPr>
                <w:sz w:val="24"/>
                <w:szCs w:val="24"/>
                <w:color w:val="auto"/>
              </w:rPr>
            </w:pPr>
          </w:p>
        </w:tc>
      </w:tr>
      <w:tr>
        <w:trPr>
          <w:trHeight w:val="263"/>
        </w:trPr>
        <w:tc>
          <w:tcPr>
            <w:tcW w:w="40" w:type="dxa"/>
            <w:vAlign w:val="bottom"/>
          </w:tcPr>
          <w:p>
            <w:pPr>
              <w:spacing w:after="0"/>
              <w:rPr>
                <w:sz w:val="22"/>
                <w:szCs w:val="22"/>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Adjusted EBITDA as a % of gross margin(7)</w:t>
            </w: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43.1%</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45.5%</w:t>
            </w:r>
          </w:p>
        </w:tc>
        <w:tc>
          <w:tcPr>
            <w:tcW w:w="2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Adjusted Earnings (in millions)</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51.6</w:t>
            </w:r>
          </w:p>
        </w:tc>
        <w:tc>
          <w:tcPr>
            <w:tcW w:w="60" w:type="dxa"/>
            <w:vAlign w:val="bottom"/>
            <w:shd w:val="clear" w:color="auto" w:fill="CCEEFF"/>
          </w:tcPr>
          <w:p>
            <w:pPr>
              <w:spacing w:after="0"/>
              <w:rPr>
                <w:sz w:val="24"/>
                <w:szCs w:val="24"/>
                <w:color w:val="auto"/>
              </w:rPr>
            </w:pPr>
          </w:p>
        </w:tc>
        <w:tc>
          <w:tcPr>
            <w:tcW w:w="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171.2</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169.7</w:t>
            </w:r>
          </w:p>
        </w:tc>
        <w:tc>
          <w:tcPr>
            <w:tcW w:w="20" w:type="dxa"/>
            <w:vAlign w:val="bottom"/>
            <w:shd w:val="clear" w:color="auto" w:fill="CCEEFF"/>
          </w:tcPr>
          <w:p>
            <w:pPr>
              <w:spacing w:after="0"/>
              <w:rPr>
                <w:sz w:val="24"/>
                <w:szCs w:val="24"/>
                <w:color w:val="auto"/>
              </w:rPr>
            </w:pPr>
          </w:p>
        </w:tc>
      </w:tr>
      <w:tr>
        <w:trPr>
          <w:trHeight w:val="257"/>
        </w:trPr>
        <w:tc>
          <w:tcPr>
            <w:tcW w:w="40" w:type="dxa"/>
            <w:vAlign w:val="bottom"/>
          </w:tcPr>
          <w:p>
            <w:pPr>
              <w:spacing w:after="0"/>
              <w:rPr>
                <w:sz w:val="22"/>
                <w:szCs w:val="22"/>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Adjusted Earnings per share (diluted)</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0.46</w:t>
            </w:r>
          </w:p>
        </w:tc>
        <w:tc>
          <w:tcPr>
            <w:tcW w:w="60" w:type="dxa"/>
            <w:vAlign w:val="bottom"/>
          </w:tcPr>
          <w:p>
            <w:pPr>
              <w:spacing w:after="0"/>
              <w:rPr>
                <w:sz w:val="22"/>
                <w:szCs w:val="22"/>
                <w:color w:val="auto"/>
              </w:rPr>
            </w:pPr>
          </w:p>
        </w:tc>
        <w:tc>
          <w:tcPr>
            <w:tcW w:w="3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22"/>
                <w:szCs w:val="22"/>
                <w:color w:val="auto"/>
              </w:rPr>
            </w:pPr>
          </w:p>
        </w:tc>
      </w:tr>
      <w:tr>
        <w:trPr>
          <w:trHeight w:val="229"/>
        </w:trPr>
        <w:tc>
          <w:tcPr>
            <w:tcW w:w="5360" w:type="dxa"/>
            <w:vAlign w:val="bottom"/>
            <w:gridSpan w:val="2"/>
          </w:tcPr>
          <w:p>
            <w:pPr>
              <w:jc w:val="right"/>
              <w:ind w:right="4070"/>
              <w:spacing w:after="0"/>
              <w:rPr>
                <w:sz w:val="20"/>
                <w:szCs w:val="20"/>
                <w:color w:val="auto"/>
              </w:rPr>
            </w:pPr>
            <w:r>
              <w:rPr>
                <w:rFonts w:ascii="Arial" w:cs="Arial" w:eastAsia="Arial" w:hAnsi="Arial"/>
                <w:sz w:val="18"/>
                <w:szCs w:val="18"/>
                <w:color w:val="auto"/>
                <w:w w:val="98"/>
              </w:rPr>
              <w:t>____________</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ind w:left="660" w:right="80" w:hanging="328"/>
        <w:spacing w:after="0" w:line="25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Advisors are defined as those independent financial advisors and financial advisors at financial institutions who are licensed to do business with the Company's broker-dealer subsidiaries. We consolidated the operations of UVEST with LPL Financial which resulted, as expected, in the attrition of 124 advisors during the trailing twelve months ended September 30, 2012. Excluding attrition from the integration of the UVEST platform, we added 495 net new advisors during the twelve months ended September 30, 2012.</w:t>
      </w:r>
    </w:p>
    <w:p>
      <w:pPr>
        <w:spacing w:after="0" w:line="96" w:lineRule="exact"/>
        <w:rPr>
          <w:rFonts w:ascii="Arial" w:cs="Arial" w:eastAsia="Arial" w:hAnsi="Arial"/>
          <w:sz w:val="18"/>
          <w:szCs w:val="18"/>
          <w:color w:val="auto"/>
        </w:rPr>
      </w:pPr>
    </w:p>
    <w:p>
      <w:pPr>
        <w:ind w:left="660" w:right="40" w:hanging="328"/>
        <w:spacing w:after="0" w:line="251"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Advisory and brokerage assets are comprised of assets that are custodied, networked and non-networked and reflect market movement in addition to new assets, inclusive of new business development and net of attrition. Such totals do not include the market value of other client assets as of September 30, 2012, comprised of $41.6 billion held in retirement plans supported by advisors licensed with LPL Financial, $11.1 billion of trust assets supported by Concord Capital Partners ("Concord"), and $58.7 billion of assets supported by Fortigent Holdings Company, Inc. Data regarding certain of these assets was not available at September 30, 2011, and therefore is not meaningful for comparison. In addition, retirement plan assets represent assets that are custodied with 26 third-party providers of retirement plan administrative services who provide reporting feeds. We estimate the total assets in retirement plans served to be between $65.0 billion and $80.0 billion. If we receive reporting feeds in the future from providers for whom we do not currently receive feeds, we intend to include and identify such additional assets in this metric.</w:t>
      </w:r>
    </w:p>
    <w:p>
      <w:pPr>
        <w:spacing w:after="0" w:line="104" w:lineRule="exact"/>
        <w:rPr>
          <w:rFonts w:ascii="Arial" w:cs="Arial" w:eastAsia="Arial" w:hAnsi="Arial"/>
          <w:sz w:val="18"/>
          <w:szCs w:val="18"/>
          <w:color w:val="auto"/>
        </w:rPr>
      </w:pPr>
    </w:p>
    <w:p>
      <w:pPr>
        <w:ind w:left="660" w:right="60" w:hanging="328"/>
        <w:spacing w:after="0" w:line="256"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reporting our financial and operating results for the three and nine months ended September 30, 2012 and 2011, we have renamed this business metric as advisory assets under custody (formerly known as advisory assets under management). Advisory assets under custody are comprised of advisory assets</w:t>
      </w:r>
    </w:p>
    <w:p>
      <w:pPr>
        <w:sectPr>
          <w:pgSz w:w="11900" w:h="16838" w:orient="portrait"/>
          <w:cols w:equalWidth="0" w:num="1">
            <w:col w:w="11420"/>
          </w:cols>
          <w:pgMar w:left="240" w:top="576" w:right="239" w:bottom="1440" w:gutter="0" w:footer="0" w:header="0"/>
        </w:sect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576" w:right="239" w:bottom="1440" w:gutter="0" w:footer="0" w:header="0"/>
          <w:type w:val="continuous"/>
        </w:sectPr>
      </w:pPr>
    </w:p>
    <w:bookmarkStart w:id="34" w:name="page35"/>
    <w:bookmarkEnd w:id="34"/>
    <w:p>
      <w:pPr>
        <w:ind w:left="660" w:right="20"/>
        <w:spacing w:after="0" w:line="309" w:lineRule="auto"/>
        <w:rPr>
          <w:sz w:val="20"/>
          <w:szCs w:val="20"/>
          <w:color w:val="auto"/>
        </w:rPr>
      </w:pPr>
      <w:r>
        <w:rPr>
          <w:rFonts w:ascii="Arial" w:cs="Arial" w:eastAsia="Arial" w:hAnsi="Arial"/>
          <w:sz w:val="18"/>
          <w:szCs w:val="18"/>
          <w:color w:val="auto"/>
        </w:rPr>
        <w:t>under management in our corporate RIA platform, and Independent RIA assets in advisory accounts custodied by us. See "Results of Operations" for a tabular presentation of advisory assets under custody.</w:t>
      </w:r>
    </w:p>
    <w:p>
      <w:pPr>
        <w:spacing w:after="0" w:line="61" w:lineRule="exact"/>
        <w:rPr>
          <w:sz w:val="20"/>
          <w:szCs w:val="20"/>
          <w:color w:val="auto"/>
        </w:rPr>
      </w:pPr>
    </w:p>
    <w:p>
      <w:pPr>
        <w:ind w:left="660" w:right="20" w:hanging="328"/>
        <w:spacing w:after="0" w:line="262"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Advisory assets under custody, insured cash account balances and money market account balances are components of advisory and brokerage assets.</w:t>
      </w:r>
    </w:p>
    <w:p>
      <w:pPr>
        <w:spacing w:after="0" w:line="88" w:lineRule="exact"/>
        <w:rPr>
          <w:rFonts w:ascii="Arial" w:cs="Arial" w:eastAsia="Arial" w:hAnsi="Arial"/>
          <w:sz w:val="18"/>
          <w:szCs w:val="18"/>
          <w:color w:val="auto"/>
        </w:rPr>
      </w:pPr>
    </w:p>
    <w:p>
      <w:pPr>
        <w:ind w:left="660" w:right="60" w:hanging="328"/>
        <w:spacing w:after="0" w:line="256"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net new advisory assets consisting of funds from new accounts and additional funds deposited into existing advisory accounts that are custodied in our fee-based advisory platforms. Net new advisory assets for the three months ended September 30, 2012 and 2011 were $2.9 billion and $3.0 billion, respectively.</w:t>
      </w:r>
    </w:p>
    <w:p>
      <w:pPr>
        <w:spacing w:after="0" w:line="93" w:lineRule="exact"/>
        <w:rPr>
          <w:rFonts w:ascii="Arial" w:cs="Arial" w:eastAsia="Arial" w:hAnsi="Arial"/>
          <w:sz w:val="18"/>
          <w:szCs w:val="18"/>
          <w:color w:val="auto"/>
        </w:rPr>
      </w:pPr>
    </w:p>
    <w:p>
      <w:pPr>
        <w:ind w:left="660" w:right="40" w:hanging="328"/>
        <w:spacing w:after="0" w:line="256"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Recurring revenue, a characterization of net revenue and a statistical measure, is derived from sources such as advisory fees, asset-based fees, trailing commission fees, fees related to our cash sweep programs, interest earned on margin accounts and technology and service fees, and is not meant as a substitute for net revenues.</w:t>
      </w:r>
    </w:p>
    <w:p>
      <w:pPr>
        <w:spacing w:after="0" w:line="93" w:lineRule="exact"/>
        <w:rPr>
          <w:rFonts w:ascii="Arial" w:cs="Arial" w:eastAsia="Arial" w:hAnsi="Arial"/>
          <w:sz w:val="18"/>
          <w:szCs w:val="18"/>
          <w:color w:val="auto"/>
        </w:rPr>
      </w:pPr>
    </w:p>
    <w:p>
      <w:pPr>
        <w:ind w:left="660" w:right="100" w:hanging="328"/>
        <w:spacing w:after="0" w:line="253"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Gross margin is calculated as net revenues less production expenses. Production expenses consist of the following expense categories from our unaudited condensed consolidated statements of income: (i) commissions and advisory fees and (ii) brokerage, clearing and exchange. All other expense categories, including depreciation and amortization, are considered general and administrative in nature. Because our gross margin amounts do not include any depreciation and amortization expense, we consider our gross margin amounts to be non-GAAP measures that may not be comparable to those of others in our industry.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4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Adjusted EBITDA is defined as EBITDA (net income plus interest expense, income tax expense, depreciation and amortization), further adjusted to exclude certain non-cash charges and other adjustments set forth below. We present Adjusted EBITDA because we consider it an important measure of our performance. Adjusted EBITDA is a useful financial metric in assessing our operating performance from period to period by excluding certain items that we believe are not representative of our core business, such as certain material non-cash items and other adjustments.</w:t>
      </w:r>
    </w:p>
    <w:p>
      <w:pPr>
        <w:spacing w:after="0" w:line="206" w:lineRule="exact"/>
        <w:rPr>
          <w:sz w:val="20"/>
          <w:szCs w:val="20"/>
          <w:color w:val="auto"/>
        </w:rPr>
      </w:pPr>
    </w:p>
    <w:p>
      <w:pPr>
        <w:ind w:right="280" w:firstLine="486"/>
        <w:spacing w:after="0" w:line="262" w:lineRule="auto"/>
        <w:rPr>
          <w:sz w:val="20"/>
          <w:szCs w:val="20"/>
          <w:color w:val="auto"/>
        </w:rPr>
      </w:pPr>
      <w:r>
        <w:rPr>
          <w:rFonts w:ascii="Arial" w:cs="Arial" w:eastAsia="Arial" w:hAnsi="Arial"/>
          <w:sz w:val="18"/>
          <w:szCs w:val="18"/>
          <w:color w:val="auto"/>
        </w:rPr>
        <w:t>We believe that Adjusted EBITDA, viewed in addition to, and not in lieu of, our reported GAAP results, provides useful information to investors regarding our performance and overall results of operations for the following reasons:</w:t>
      </w:r>
    </w:p>
    <w:p>
      <w:pPr>
        <w:spacing w:after="0" w:line="196" w:lineRule="exact"/>
        <w:rPr>
          <w:sz w:val="20"/>
          <w:szCs w:val="20"/>
          <w:color w:val="auto"/>
        </w:rPr>
      </w:pPr>
    </w:p>
    <w:p>
      <w:pPr>
        <w:ind w:left="520" w:right="140" w:hanging="120"/>
        <w:spacing w:after="0" w:line="256"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because non-cash equity grants made to employees, officers and non-employee directors at a certain price and point in time do not necessarily reflect how our business is performing at any particular time, share-based compensation expense is not a key measure of our operating performance and</w:t>
      </w:r>
    </w:p>
    <w:p>
      <w:pPr>
        <w:spacing w:after="0" w:line="201" w:lineRule="exact"/>
        <w:rPr>
          <w:rFonts w:ascii="Arial" w:cs="Arial" w:eastAsia="Arial" w:hAnsi="Arial"/>
          <w:sz w:val="18"/>
          <w:szCs w:val="18"/>
          <w:color w:val="auto"/>
        </w:rPr>
      </w:pPr>
    </w:p>
    <w:p>
      <w:pPr>
        <w:ind w:left="520" w:right="260" w:hanging="120"/>
        <w:spacing w:after="0" w:line="256"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because costs associated with acquisitions and the resulting integrations, debt refinancing, restructuring and conversions and equity issuance and related offering costs can vary from period to period and transaction to transaction, expenses associated with these activities are not considered a key measure of our operating performance.</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use Adjusted EBITDA:</w:t>
      </w:r>
    </w:p>
    <w:p>
      <w:pPr>
        <w:spacing w:after="0" w:line="225" w:lineRule="exact"/>
        <w:rPr>
          <w:sz w:val="20"/>
          <w:szCs w:val="20"/>
          <w:color w:val="auto"/>
        </w:rPr>
      </w:pPr>
    </w:p>
    <w:p>
      <w:pPr>
        <w:ind w:left="520" w:hanging="120"/>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 a measure of operating performance;</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planning purposes, including the preparation of budgets and forecasts;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allocate resources to enhance the financial performance of our business;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evaluate the effectiveness of our business strategies;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communications with our board of directors concerning our financial performance and</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 a factor in determining employee and executive bonuses.</w:t>
      </w:r>
    </w:p>
    <w:p>
      <w:pPr>
        <w:spacing w:after="0" w:line="225" w:lineRule="exact"/>
        <w:rPr>
          <w:sz w:val="20"/>
          <w:szCs w:val="20"/>
          <w:color w:val="auto"/>
        </w:rPr>
      </w:pPr>
    </w:p>
    <w:p>
      <w:pPr>
        <w:ind w:right="820" w:firstLine="486"/>
        <w:spacing w:after="0" w:line="262" w:lineRule="auto"/>
        <w:rPr>
          <w:sz w:val="20"/>
          <w:szCs w:val="20"/>
          <w:color w:val="auto"/>
        </w:rPr>
      </w:pPr>
      <w:r>
        <w:rPr>
          <w:rFonts w:ascii="Arial" w:cs="Arial" w:eastAsia="Arial" w:hAnsi="Arial"/>
          <w:sz w:val="18"/>
          <w:szCs w:val="18"/>
          <w:color w:val="auto"/>
        </w:rPr>
        <w:t>Adjusted EBITDA is a non-GAAP measure and does not purport to be an alternative to net income as a measure of operating performance or to cash flows from operating activities as a measure of liquidity. Adjusted</w:t>
      </w:r>
    </w:p>
    <w:p>
      <w:pPr>
        <w:spacing w:after="0" w:line="2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80"/>
          </w:cols>
          <w:pgMar w:left="240" w:top="625"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EBITDA is not a measure of net income, operating income or any other performance measure derived in accordance with GAAP.</w:t>
      </w:r>
    </w:p>
    <w:p>
      <w:pPr>
        <w:spacing w:after="0" w:line="225" w:lineRule="exact"/>
        <w:rPr>
          <w:sz w:val="20"/>
          <w:szCs w:val="20"/>
          <w:color w:val="auto"/>
        </w:rPr>
      </w:pPr>
    </w:p>
    <w:p>
      <w:pPr>
        <w:ind w:right="500" w:firstLine="486"/>
        <w:spacing w:after="0" w:line="262" w:lineRule="auto"/>
        <w:rPr>
          <w:sz w:val="20"/>
          <w:szCs w:val="20"/>
          <w:color w:val="auto"/>
        </w:rPr>
      </w:pPr>
      <w:r>
        <w:rPr>
          <w:rFonts w:ascii="Arial" w:cs="Arial" w:eastAsia="Arial" w:hAnsi="Arial"/>
          <w:sz w:val="18"/>
          <w:szCs w:val="18"/>
          <w:color w:val="auto"/>
        </w:rPr>
        <w:t>Adjusted EBITDA has limitations as an analytical tool and should not be considered in isolation or as a substitute for analysis of our results as reported under GAAP. Some of these limitations are:</w:t>
      </w:r>
    </w:p>
    <w:p>
      <w:pPr>
        <w:spacing w:after="0" w:line="196" w:lineRule="exact"/>
        <w:rPr>
          <w:sz w:val="20"/>
          <w:szCs w:val="20"/>
          <w:color w:val="auto"/>
        </w:rPr>
      </w:pPr>
    </w:p>
    <w:p>
      <w:pPr>
        <w:ind w:left="520" w:hanging="120"/>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Adjusted EBITDA does not reflect all cash expenditures, future requirements for capital expenditures or contractual commitments;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working capital needs;</w:t>
      </w:r>
    </w:p>
    <w:p>
      <w:pPr>
        <w:spacing w:after="0" w:line="225" w:lineRule="exact"/>
        <w:rPr>
          <w:rFonts w:ascii="Arial" w:cs="Arial" w:eastAsia="Arial" w:hAnsi="Arial"/>
          <w:sz w:val="18"/>
          <w:szCs w:val="18"/>
          <w:color w:val="auto"/>
        </w:rPr>
      </w:pPr>
    </w:p>
    <w:p>
      <w:pPr>
        <w:ind w:left="520" w:right="340" w:hanging="120"/>
        <w:spacing w:after="0" w:line="262"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Adjusted EBITDA does not reflect the significant interest expense, or the cash requirements necessary to service interest or principal payments, on our debt and</w:t>
      </w:r>
    </w:p>
    <w:p>
      <w:pPr>
        <w:spacing w:after="0" w:line="196" w:lineRule="exact"/>
        <w:rPr>
          <w:rFonts w:ascii="Arial" w:cs="Arial" w:eastAsia="Arial" w:hAnsi="Arial"/>
          <w:sz w:val="18"/>
          <w:szCs w:val="18"/>
          <w:color w:val="auto"/>
        </w:rPr>
      </w:pPr>
    </w:p>
    <w:p>
      <w:pPr>
        <w:ind w:left="520" w:right="340" w:hanging="120"/>
        <w:spacing w:after="0" w:line="291" w:lineRule="auto"/>
        <w:tabs>
          <w:tab w:leader="none" w:pos="5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Adjusted EBITDA can differ significantly from company to company depending on long-term strategic decisions regarding capital structure, the tax jurisdictions in which companies operate and capital investments, limiting its usefulness as a comparative measure.</w:t>
      </w:r>
    </w:p>
    <w:p>
      <w:pPr>
        <w:spacing w:after="0" w:line="174"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color w:val="auto"/>
        </w:rPr>
        <w:t>Adjusted EBITDA should not be considered as a measure of discretionary cash available to us to invest in our business. We compensate for these limitations by relying primarily on the GAAP results and using Adjusted EBITDA as supplemental information.</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Set forth below is a reconciliation from our net income to Adjusted EBITDA, a non-GAAP measure, for the three and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2012 and 2011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rPr>
              <w:t>For the Three Months Ended</w:t>
            </w:r>
          </w:p>
        </w:tc>
        <w:tc>
          <w:tcPr>
            <w:tcW w:w="360" w:type="dxa"/>
            <w:vAlign w:val="bottom"/>
          </w:tcPr>
          <w:p>
            <w:pPr>
              <w:spacing w:after="0"/>
              <w:rPr>
                <w:sz w:val="16"/>
                <w:szCs w:val="16"/>
                <w:color w:val="auto"/>
              </w:rPr>
            </w:pPr>
          </w:p>
        </w:tc>
        <w:tc>
          <w:tcPr>
            <w:tcW w:w="2500" w:type="dxa"/>
            <w:vAlign w:val="bottom"/>
            <w:gridSpan w:val="4"/>
          </w:tcPr>
          <w:p>
            <w:pPr>
              <w:jc w:val="right"/>
              <w:ind w:right="271"/>
              <w:spacing w:after="0"/>
              <w:rPr>
                <w:sz w:val="20"/>
                <w:szCs w:val="20"/>
                <w:color w:val="auto"/>
              </w:rPr>
            </w:pPr>
            <w:r>
              <w:rPr>
                <w:rFonts w:ascii="Arial" w:cs="Arial" w:eastAsia="Arial" w:hAnsi="Arial"/>
                <w:sz w:val="16"/>
                <w:szCs w:val="16"/>
                <w:b w:val="1"/>
                <w:bCs w:val="1"/>
                <w:color w:val="auto"/>
              </w:rPr>
              <w:t>For the Nine Months Ended</w:t>
            </w:r>
          </w:p>
        </w:tc>
        <w:tc>
          <w:tcPr>
            <w:tcW w:w="0" w:type="dxa"/>
            <w:vAlign w:val="bottom"/>
          </w:tcPr>
          <w:p>
            <w:pPr>
              <w:spacing w:after="0"/>
              <w:rPr>
                <w:sz w:val="1"/>
                <w:szCs w:val="1"/>
                <w:color w:val="auto"/>
              </w:rPr>
            </w:pPr>
          </w:p>
        </w:tc>
      </w:tr>
      <w:tr>
        <w:trPr>
          <w:trHeight w:val="228"/>
        </w:trPr>
        <w:tc>
          <w:tcPr>
            <w:tcW w:w="5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4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rPr>
              <w:t>September 30,</w:t>
            </w:r>
          </w:p>
        </w:tc>
        <w:tc>
          <w:tcPr>
            <w:tcW w:w="360" w:type="dxa"/>
            <w:vAlign w:val="bottom"/>
          </w:tcPr>
          <w:p>
            <w:pPr>
              <w:spacing w:after="0"/>
              <w:rPr>
                <w:sz w:val="19"/>
                <w:szCs w:val="19"/>
                <w:color w:val="auto"/>
              </w:rPr>
            </w:pPr>
          </w:p>
        </w:tc>
        <w:tc>
          <w:tcPr>
            <w:tcW w:w="2500" w:type="dxa"/>
            <w:vAlign w:val="bottom"/>
            <w:gridSpan w:val="4"/>
          </w:tcPr>
          <w:p>
            <w:pPr>
              <w:jc w:val="right"/>
              <w:ind w:right="771"/>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64"/>
        </w:trPr>
        <w:tc>
          <w:tcPr>
            <w:tcW w:w="558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2011</w:t>
            </w:r>
          </w:p>
        </w:tc>
        <w:tc>
          <w:tcPr>
            <w:tcW w:w="120" w:type="dxa"/>
            <w:vAlign w:val="bottom"/>
            <w:tcBorders>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251"/>
        </w:trPr>
        <w:tc>
          <w:tcPr>
            <w:tcW w:w="5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34,299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36,428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114,980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130,934</w:t>
            </w:r>
          </w:p>
        </w:tc>
        <w:tc>
          <w:tcPr>
            <w:tcW w:w="0" w:type="dxa"/>
            <w:vAlign w:val="bottom"/>
          </w:tcPr>
          <w:p>
            <w:pPr>
              <w:spacing w:after="0"/>
              <w:rPr>
                <w:sz w:val="1"/>
                <w:szCs w:val="1"/>
                <w:color w:val="auto"/>
              </w:rPr>
            </w:pPr>
          </w:p>
        </w:tc>
      </w:tr>
      <w:tr>
        <w:trPr>
          <w:trHeight w:val="263"/>
        </w:trPr>
        <w:tc>
          <w:tcPr>
            <w:tcW w:w="5580" w:type="dxa"/>
            <w:vAlign w:val="bottom"/>
          </w:tcPr>
          <w:p>
            <w:pPr>
              <w:ind w:left="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12,826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16,603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42,297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52,929</w:t>
            </w: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tax expense</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19,939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25,634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73,429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88,165</w:t>
            </w:r>
          </w:p>
        </w:tc>
        <w:tc>
          <w:tcPr>
            <w:tcW w:w="0" w:type="dxa"/>
            <w:vAlign w:val="bottom"/>
          </w:tcPr>
          <w:p>
            <w:pPr>
              <w:spacing w:after="0"/>
              <w:rPr>
                <w:sz w:val="1"/>
                <w:szCs w:val="1"/>
                <w:color w:val="auto"/>
              </w:rPr>
            </w:pPr>
          </w:p>
        </w:tc>
      </w:tr>
      <w:tr>
        <w:trPr>
          <w:trHeight w:val="263"/>
        </w:trPr>
        <w:tc>
          <w:tcPr>
            <w:tcW w:w="5580" w:type="dxa"/>
            <w:vAlign w:val="bottom"/>
          </w:tcPr>
          <w:p>
            <w:pPr>
              <w:ind w:left="80"/>
              <w:spacing w:after="0"/>
              <w:rPr>
                <w:sz w:val="20"/>
                <w:szCs w:val="20"/>
                <w:color w:val="auto"/>
              </w:rPr>
            </w:pPr>
            <w:r>
              <w:rPr>
                <w:rFonts w:ascii="Arial" w:cs="Arial" w:eastAsia="Arial" w:hAnsi="Arial"/>
                <w:sz w:val="18"/>
                <w:szCs w:val="18"/>
                <w:color w:val="auto"/>
              </w:rPr>
              <w:t>Amortization of purchased intangible assets and software(1)</w:t>
            </w:r>
          </w:p>
        </w:tc>
        <w:tc>
          <w:tcPr>
            <w:tcW w:w="2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9,971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9,909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29,751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29,132</w:t>
            </w: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Depreciation and amortization of all other fixed assets</w:t>
            </w: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8,452</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9,313</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23,259</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26,662</w:t>
            </w: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EBITDA</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85,487</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97,887</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283,716</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327,822</w:t>
            </w: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EBITDA Adjustments:</w:t>
            </w: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580" w:type="dxa"/>
            <w:vAlign w:val="bottom"/>
          </w:tcPr>
          <w:p>
            <w:pPr>
              <w:ind w:left="260"/>
              <w:spacing w:after="0"/>
              <w:rPr>
                <w:sz w:val="20"/>
                <w:szCs w:val="20"/>
                <w:color w:val="auto"/>
              </w:rPr>
            </w:pPr>
            <w:r>
              <w:rPr>
                <w:rFonts w:ascii="Arial" w:cs="Arial" w:eastAsia="Arial" w:hAnsi="Arial"/>
                <w:sz w:val="18"/>
                <w:szCs w:val="18"/>
                <w:color w:val="auto"/>
              </w:rPr>
              <w:t>Employee share-based compensation expense(2)</w:t>
            </w:r>
          </w:p>
        </w:tc>
        <w:tc>
          <w:tcPr>
            <w:tcW w:w="2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4,439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3,833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13,775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11,120</w:t>
            </w: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Acquisition and integration related expenses(3)</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10,528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1,241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17,442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4,205</w:t>
            </w:r>
          </w:p>
        </w:tc>
        <w:tc>
          <w:tcPr>
            <w:tcW w:w="0" w:type="dxa"/>
            <w:vAlign w:val="bottom"/>
          </w:tcPr>
          <w:p>
            <w:pPr>
              <w:spacing w:after="0"/>
              <w:rPr>
                <w:sz w:val="1"/>
                <w:szCs w:val="1"/>
                <w:color w:val="auto"/>
              </w:rPr>
            </w:pPr>
          </w:p>
        </w:tc>
      </w:tr>
      <w:tr>
        <w:trPr>
          <w:trHeight w:val="263"/>
        </w:trPr>
        <w:tc>
          <w:tcPr>
            <w:tcW w:w="5580" w:type="dxa"/>
            <w:vAlign w:val="bottom"/>
          </w:tcPr>
          <w:p>
            <w:pPr>
              <w:ind w:left="260"/>
              <w:spacing w:after="0"/>
              <w:rPr>
                <w:sz w:val="20"/>
                <w:szCs w:val="20"/>
                <w:color w:val="auto"/>
              </w:rPr>
            </w:pPr>
            <w:r>
              <w:rPr>
                <w:rFonts w:ascii="Arial" w:cs="Arial" w:eastAsia="Arial" w:hAnsi="Arial"/>
                <w:sz w:val="18"/>
                <w:szCs w:val="18"/>
                <w:color w:val="auto"/>
              </w:rPr>
              <w:t>Restructuring and conversion costs(4)</w:t>
            </w:r>
          </w:p>
        </w:tc>
        <w:tc>
          <w:tcPr>
            <w:tcW w:w="2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1,217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8,086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5,391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13,520</w:t>
            </w: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Debt extinguishment costs(5)</w:t>
            </w:r>
          </w:p>
        </w:tc>
        <w:tc>
          <w:tcPr>
            <w:tcW w:w="24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16,652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580" w:type="dxa"/>
            <w:vAlign w:val="bottom"/>
          </w:tcPr>
          <w:p>
            <w:pPr>
              <w:ind w:left="260"/>
              <w:spacing w:after="0"/>
              <w:rPr>
                <w:sz w:val="20"/>
                <w:szCs w:val="20"/>
                <w:color w:val="auto"/>
              </w:rPr>
            </w:pPr>
            <w:r>
              <w:rPr>
                <w:rFonts w:ascii="Arial" w:cs="Arial" w:eastAsia="Arial" w:hAnsi="Arial"/>
                <w:sz w:val="18"/>
                <w:szCs w:val="18"/>
                <w:color w:val="auto"/>
              </w:rPr>
              <w:t>Equity issuance and related offering costs(6)</w:t>
            </w:r>
          </w:p>
        </w:tc>
        <w:tc>
          <w:tcPr>
            <w:tcW w:w="2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4,040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4,486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2,062</w:t>
            </w: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Other(7)</w:t>
            </w: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2,289</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3,072</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Total EBITDA Adjustments</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22,513</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13,709</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60,818</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31,102</w:t>
            </w:r>
          </w:p>
        </w:tc>
        <w:tc>
          <w:tcPr>
            <w:tcW w:w="0" w:type="dxa"/>
            <w:vAlign w:val="bottom"/>
          </w:tcPr>
          <w:p>
            <w:pPr>
              <w:spacing w:after="0"/>
              <w:rPr>
                <w:sz w:val="1"/>
                <w:szCs w:val="1"/>
                <w:color w:val="auto"/>
              </w:rPr>
            </w:pPr>
          </w:p>
        </w:tc>
      </w:tr>
      <w:tr>
        <w:trPr>
          <w:trHeight w:val="257"/>
        </w:trPr>
        <w:tc>
          <w:tcPr>
            <w:tcW w:w="5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Adjusted EBITDA</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108,000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111,596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344,534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358,924</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680" w:hanging="328"/>
        <w:spacing w:after="0" w:line="262"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amortization of intangible assets and software as a result of our purchase accounting adjustments from our merger transaction in 2005 and our various acquisitions.</w:t>
      </w:r>
    </w:p>
    <w:p>
      <w:pPr>
        <w:spacing w:after="0" w:line="88" w:lineRule="exact"/>
        <w:rPr>
          <w:rFonts w:ascii="Arial" w:cs="Arial" w:eastAsia="Arial" w:hAnsi="Arial"/>
          <w:sz w:val="18"/>
          <w:szCs w:val="18"/>
          <w:color w:val="auto"/>
        </w:rPr>
      </w:pPr>
    </w:p>
    <w:p>
      <w:pPr>
        <w:ind w:left="660" w:right="160" w:hanging="328"/>
        <w:spacing w:after="0" w:line="256"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share-based compensation expense based on the grant date fair value under the Black Scholes valuation model for: i) stock options awarded to employees and officers; ii) restricted stock awarded to non-employee directors; and iii) beginning in the third quarter of 2012, shares awarded to employees under the 2012 Employee Stock Purchase Plan ("ESPP").</w:t>
      </w:r>
    </w:p>
    <w:p>
      <w:pPr>
        <w:spacing w:after="0" w:line="93"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acquisition and integration costs resulting from various acquisitions, including changes in the estimated fair value of future payments, or contingent consideration, required to be made to former shareholders of certain acquired entities. During the three and nine months ended September 30, 2012,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98" w:right="239" w:bottom="1440" w:gutter="0" w:footer="0" w:header="0"/>
        </w:sectPr>
      </w:pPr>
    </w:p>
    <w:bookmarkStart w:id="36" w:name="page37"/>
    <w:bookmarkEnd w:id="36"/>
    <w:p>
      <w:pPr>
        <w:ind w:left="660" w:right="400"/>
        <w:spacing w:after="0" w:line="309" w:lineRule="auto"/>
        <w:rPr>
          <w:sz w:val="20"/>
          <w:szCs w:val="20"/>
          <w:color w:val="auto"/>
        </w:rPr>
      </w:pPr>
      <w:r>
        <w:rPr>
          <w:rFonts w:ascii="Arial" w:cs="Arial" w:eastAsia="Arial" w:hAnsi="Arial"/>
          <w:sz w:val="18"/>
          <w:szCs w:val="18"/>
          <w:color w:val="auto"/>
        </w:rPr>
        <w:t>approximately $9.2 million and $9.9 million, respectively, was recognized as a charge against earnings due to a net increase in the estimated fair value of contingent consideration.</w:t>
      </w:r>
    </w:p>
    <w:p>
      <w:pPr>
        <w:spacing w:after="0" w:line="61" w:lineRule="exact"/>
        <w:rPr>
          <w:sz w:val="20"/>
          <w:szCs w:val="20"/>
          <w:color w:val="auto"/>
        </w:rPr>
      </w:pPr>
    </w:p>
    <w:p>
      <w:pPr>
        <w:ind w:left="660" w:right="20" w:hanging="328"/>
        <w:spacing w:after="0" w:line="253"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organizational restructuring charges and conversion and other related costs incurred resulting from the 2011 consolidation of UVEST and the 2009 consolidation of the Affiliated Entities. As of September 30, 2012, approximately 86% and 98%, respectively, of costs related to these two initiatives have been recognized. The remaining costs largely consist of the amortization of transition payments that have been made in connection with these two conversions for the retention of advisors and financial institutions that are expected to be recognized into earnings by December 2014.</w:t>
      </w:r>
    </w:p>
    <w:p>
      <w:pPr>
        <w:spacing w:after="0" w:line="97" w:lineRule="exact"/>
        <w:rPr>
          <w:rFonts w:ascii="Arial" w:cs="Arial" w:eastAsia="Arial" w:hAnsi="Arial"/>
          <w:sz w:val="18"/>
          <w:szCs w:val="18"/>
          <w:color w:val="auto"/>
        </w:rPr>
      </w:pPr>
    </w:p>
    <w:p>
      <w:pPr>
        <w:ind w:left="660" w:hanging="328"/>
        <w:spacing w:after="0" w:line="25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expenses incurred resulting from the early extinguishment and repayment of amounts outstanding under the prior senior secured credit facilities, including the write-off of $16.5 million of unamortized debt issuance costs that have no future economic benefit, as well as various other charges incurred in connection with the repayment under the prior senior secured credit facilities and the establishment of the new senior secured credit facilities.</w:t>
      </w:r>
    </w:p>
    <w:p>
      <w:pPr>
        <w:spacing w:after="0" w:line="96" w:lineRule="exact"/>
        <w:rPr>
          <w:rFonts w:ascii="Arial" w:cs="Arial" w:eastAsia="Arial" w:hAnsi="Arial"/>
          <w:sz w:val="18"/>
          <w:szCs w:val="18"/>
          <w:color w:val="auto"/>
        </w:rPr>
      </w:pPr>
    </w:p>
    <w:p>
      <w:pPr>
        <w:ind w:left="660" w:hanging="328"/>
        <w:spacing w:after="0" w:line="252"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Represents equity issuance and offering costs incurred in the three and nine months ended September 30, 2012 and 2011, related to the closing of a secondary offering in the second quarter of 2012, and the closing of a secondary offering in the second quarter of 2011. In addition, results for the three and nine months ended September 30, 2012, include a $3.9 million charge for the late deposit of withholding taxes related to the exercise of certain non-qualified stock options in connection with our 2010 initial public offering. See </w:t>
      </w:r>
      <w:r>
        <w:rPr>
          <w:rFonts w:ascii="Arial" w:cs="Arial" w:eastAsia="Arial" w:hAnsi="Arial"/>
          <w:sz w:val="18"/>
          <w:szCs w:val="18"/>
          <w:i w:val="1"/>
          <w:iCs w:val="1"/>
          <w:color w:val="auto"/>
        </w:rPr>
        <w:t>Note 10 - Commitments and Contingencies</w:t>
      </w:r>
      <w:r>
        <w:rPr>
          <w:rFonts w:ascii="Arial" w:cs="Arial" w:eastAsia="Arial" w:hAnsi="Arial"/>
          <w:sz w:val="18"/>
          <w:szCs w:val="18"/>
          <w:color w:val="auto"/>
        </w:rPr>
        <w:t>, within the unaudited condensed consolidated financial statements for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w:t>
      </w:r>
    </w:p>
    <w:p>
      <w:pPr>
        <w:spacing w:after="0" w:line="100" w:lineRule="exact"/>
        <w:rPr>
          <w:rFonts w:ascii="Arial" w:cs="Arial" w:eastAsia="Arial" w:hAnsi="Arial"/>
          <w:sz w:val="18"/>
          <w:szCs w:val="18"/>
          <w:color w:val="auto"/>
        </w:rPr>
      </w:pPr>
    </w:p>
    <w:p>
      <w:pPr>
        <w:ind w:left="660" w:right="180" w:hanging="328"/>
        <w:spacing w:after="0" w:line="256"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certain excise and other taxes. In addition, results for the three and nine months ended September 30, 2012 include approximately $2.3 million for consulting services aimed at enhancing our performance in support of our advisors while operating at a lower cost.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Earnings and Adjusted Earnings per share</w:t>
      </w:r>
    </w:p>
    <w:p>
      <w:pPr>
        <w:spacing w:after="0" w:line="247" w:lineRule="exact"/>
        <w:rPr>
          <w:sz w:val="20"/>
          <w:szCs w:val="20"/>
          <w:color w:val="auto"/>
        </w:rPr>
      </w:pPr>
    </w:p>
    <w:p>
      <w:pPr>
        <w:ind w:right="500" w:firstLine="486"/>
        <w:spacing w:after="0" w:line="250" w:lineRule="auto"/>
        <w:rPr>
          <w:sz w:val="20"/>
          <w:szCs w:val="20"/>
          <w:color w:val="auto"/>
        </w:rPr>
      </w:pPr>
      <w:r>
        <w:rPr>
          <w:rFonts w:ascii="Arial" w:cs="Arial" w:eastAsia="Arial" w:hAnsi="Arial"/>
          <w:sz w:val="18"/>
          <w:szCs w:val="18"/>
          <w:color w:val="auto"/>
        </w:rPr>
        <w:t>Adjusted Earnings represents net income before: (a) share-based compensation expense, (b) amortization of intangible assets and software, a component of depreciation and amortization resulting from our merger transaction in 2005 and our various acquisitions,</w:t>
      </w:r>
    </w:p>
    <w:p>
      <w:pPr>
        <w:spacing w:after="0" w:line="1" w:lineRule="exact"/>
        <w:rPr>
          <w:sz w:val="20"/>
          <w:szCs w:val="20"/>
          <w:color w:val="auto"/>
        </w:rPr>
      </w:pPr>
    </w:p>
    <w:p>
      <w:pPr>
        <w:ind w:right="40" w:firstLine="8"/>
        <w:spacing w:after="0" w:line="256" w:lineRule="auto"/>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acquisition and integration related expenses, (d) restructuring and conversion costs, (e) debt extinguishment costs, (f) equity issuance and related offering costs and (g) other. Reconciling items are tax effected using the income tax rates in effect for the applicable period, adjusted for any potentially non-deductible amounts.</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Adjusted Earnings per share represents Adjusted Earnings divided by weighted average outstanding shares on a fully diluted basis.</w:t>
      </w:r>
    </w:p>
    <w:p>
      <w:pPr>
        <w:spacing w:after="0" w:line="225" w:lineRule="exact"/>
        <w:rPr>
          <w:sz w:val="20"/>
          <w:szCs w:val="20"/>
          <w:color w:val="auto"/>
        </w:rPr>
      </w:pPr>
    </w:p>
    <w:p>
      <w:pPr>
        <w:ind w:right="260" w:firstLine="486"/>
        <w:spacing w:after="0" w:line="262" w:lineRule="auto"/>
        <w:rPr>
          <w:sz w:val="20"/>
          <w:szCs w:val="20"/>
          <w:color w:val="auto"/>
        </w:rPr>
      </w:pPr>
      <w:r>
        <w:rPr>
          <w:rFonts w:ascii="Arial" w:cs="Arial" w:eastAsia="Arial" w:hAnsi="Arial"/>
          <w:sz w:val="18"/>
          <w:szCs w:val="18"/>
          <w:color w:val="auto"/>
        </w:rPr>
        <w:t>We prepared Adjusted Earnings and Adjusted Earnings per share to eliminate the effects of items that we do not consider indicative of our core operating performance.</w:t>
      </w:r>
    </w:p>
    <w:p>
      <w:pPr>
        <w:spacing w:after="0" w:line="196" w:lineRule="exact"/>
        <w:rPr>
          <w:sz w:val="20"/>
          <w:szCs w:val="20"/>
          <w:color w:val="auto"/>
        </w:rPr>
      </w:pPr>
    </w:p>
    <w:p>
      <w:pPr>
        <w:ind w:right="140" w:firstLine="486"/>
        <w:spacing w:after="0" w:line="262" w:lineRule="auto"/>
        <w:rPr>
          <w:sz w:val="20"/>
          <w:szCs w:val="20"/>
          <w:color w:val="auto"/>
        </w:rPr>
      </w:pPr>
      <w:r>
        <w:rPr>
          <w:rFonts w:ascii="Arial" w:cs="Arial" w:eastAsia="Arial" w:hAnsi="Arial"/>
          <w:sz w:val="18"/>
          <w:szCs w:val="18"/>
          <w:color w:val="auto"/>
        </w:rPr>
        <w:t>We believe that Adjusted Earnings and Adjusted Earnings per share, viewed in addition to, and not in lieu of, our reported GAAP results provide useful information to investors regarding our performance and overall results of operations for the following reasons:</w:t>
      </w:r>
    </w:p>
    <w:p>
      <w:pPr>
        <w:spacing w:after="0" w:line="196" w:lineRule="exact"/>
        <w:rPr>
          <w:sz w:val="20"/>
          <w:szCs w:val="20"/>
          <w:color w:val="auto"/>
        </w:rPr>
      </w:pPr>
    </w:p>
    <w:p>
      <w:pPr>
        <w:ind w:left="520" w:right="460" w:hanging="120"/>
        <w:spacing w:after="0" w:line="256"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because non-cash equity grants made to employees, officers and non-employee directors at a certain price and point in time do not necessarily reflect how our business is performing, share-based compensation expense is not a key measure of our operating performance;</w:t>
      </w:r>
    </w:p>
    <w:p>
      <w:pPr>
        <w:spacing w:after="0" w:line="201" w:lineRule="exact"/>
        <w:rPr>
          <w:rFonts w:ascii="Arial" w:cs="Arial" w:eastAsia="Arial" w:hAnsi="Arial"/>
          <w:sz w:val="18"/>
          <w:szCs w:val="18"/>
          <w:color w:val="auto"/>
        </w:rPr>
      </w:pPr>
    </w:p>
    <w:p>
      <w:pPr>
        <w:jc w:val="both"/>
        <w:ind w:left="520" w:right="20" w:hanging="120"/>
        <w:spacing w:after="0" w:line="256"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because costs associated with acquisitions and related integrations, debt refinancing, restructuring and conversions, and equity issuance and related offering costs can vary from period to period and transaction to transaction, expenses associated with these activities are not considered a key measure of our operating performance and</w:t>
      </w:r>
    </w:p>
    <w:p>
      <w:pPr>
        <w:spacing w:after="0" w:line="201" w:lineRule="exact"/>
        <w:rPr>
          <w:rFonts w:ascii="Arial" w:cs="Arial" w:eastAsia="Arial" w:hAnsi="Arial"/>
          <w:sz w:val="18"/>
          <w:szCs w:val="18"/>
          <w:color w:val="auto"/>
        </w:rPr>
      </w:pPr>
    </w:p>
    <w:p>
      <w:pPr>
        <w:ind w:left="520" w:right="140" w:hanging="120"/>
        <w:spacing w:after="0" w:line="254"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because amortization expenses can vary substantially from company to company and from period to period depending upon each company’s financing and accounting methods, the fair value and average expected life of acquired intangible assets and the method by which assets were acquired, the amortization of intangible assets obtained in acquisitions are not considered a key measure in comparing our operating performance.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625" w:right="239" w:bottom="1440" w:gutter="0" w:footer="0" w:header="0"/>
        </w:sectPr>
      </w:pPr>
    </w:p>
    <w:bookmarkStart w:id="37" w:name="page38"/>
    <w:bookmarkEnd w:id="37"/>
    <w:p>
      <w:pPr>
        <w:ind w:right="400" w:firstLine="486"/>
        <w:spacing w:after="0" w:line="254" w:lineRule="auto"/>
        <w:rPr>
          <w:sz w:val="20"/>
          <w:szCs w:val="20"/>
          <w:color w:val="auto"/>
        </w:rPr>
      </w:pPr>
      <w:r>
        <w:rPr>
          <w:rFonts w:ascii="Arial" w:cs="Arial" w:eastAsia="Arial" w:hAnsi="Arial"/>
          <w:sz w:val="18"/>
          <w:szCs w:val="18"/>
          <w:color w:val="auto"/>
        </w:rPr>
        <w:t>Since 2010, we have used Adjusted Earnings for internal management reporting and evaluation purposes. We also believe Adjusted Earnings and Adjusted Earnings per share are useful to investors in evaluating our operating performance because securities analysts use them as supplemental measures to evaluate the overall performance of companies, and our investor and analyst presentations include Adjusted Earnings and Adjusted Earnings per share.</w:t>
      </w:r>
    </w:p>
    <w:p>
      <w:pPr>
        <w:spacing w:after="0" w:line="164" w:lineRule="exact"/>
        <w:rPr>
          <w:sz w:val="20"/>
          <w:szCs w:val="20"/>
          <w:color w:val="auto"/>
        </w:rPr>
      </w:pPr>
    </w:p>
    <w:p>
      <w:pPr>
        <w:ind w:right="240" w:firstLine="486"/>
        <w:spacing w:after="0" w:line="256" w:lineRule="auto"/>
        <w:rPr>
          <w:sz w:val="20"/>
          <w:szCs w:val="20"/>
          <w:color w:val="auto"/>
        </w:rPr>
      </w:pPr>
      <w:r>
        <w:rPr>
          <w:rFonts w:ascii="Arial" w:cs="Arial" w:eastAsia="Arial" w:hAnsi="Arial"/>
          <w:sz w:val="18"/>
          <w:szCs w:val="18"/>
          <w:color w:val="auto"/>
        </w:rPr>
        <w:t>Adjusted Earnings and Adjusted Earnings per share are not measures of our financial performance under GAAP and should not be considered as an alternative to net income or earnings per share or any other performance measure derived in accordance with GAAP, or as an alternative to cash flows from operating activities as a measure of our profitability or liquidity.</w:t>
      </w:r>
    </w:p>
    <w:p>
      <w:pPr>
        <w:spacing w:after="0" w:line="202" w:lineRule="exact"/>
        <w:rPr>
          <w:sz w:val="20"/>
          <w:szCs w:val="20"/>
          <w:color w:val="auto"/>
        </w:rPr>
      </w:pPr>
    </w:p>
    <w:p>
      <w:pPr>
        <w:ind w:right="140" w:firstLine="486"/>
        <w:spacing w:after="0" w:line="256" w:lineRule="auto"/>
        <w:rPr>
          <w:sz w:val="20"/>
          <w:szCs w:val="20"/>
          <w:color w:val="auto"/>
        </w:rPr>
      </w:pPr>
      <w:r>
        <w:rPr>
          <w:rFonts w:ascii="Arial" w:cs="Arial" w:eastAsia="Arial" w:hAnsi="Arial"/>
          <w:sz w:val="18"/>
          <w:szCs w:val="18"/>
          <w:color w:val="auto"/>
        </w:rPr>
        <w:t>We understand that, although Adjusted Earnings and Adjusted Earnings per share are frequently used by securities analysts and others in their evaluation of companies, they have limitations as analytical tools, and you should not consider Adjusted Earnings and Adjusted Earnings per share in isolation, or as substitutes for an analysis of our results as reported under GAAP. In particular you should consider:</w:t>
      </w:r>
    </w:p>
    <w:p>
      <w:pPr>
        <w:spacing w:after="0" w:line="202" w:lineRule="exact"/>
        <w:rPr>
          <w:sz w:val="20"/>
          <w:szCs w:val="20"/>
          <w:color w:val="auto"/>
        </w:rPr>
      </w:pPr>
    </w:p>
    <w:p>
      <w:pPr>
        <w:ind w:left="520" w:right="80" w:hanging="120"/>
        <w:spacing w:after="0" w:line="262"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Adjusted Earnings and Adjusted Earnings per share do not reflect our cash expenditures, or future requirements for capital expenditures or contractual commitments;</w:t>
      </w:r>
    </w:p>
    <w:p>
      <w:pPr>
        <w:spacing w:after="0" w:line="196" w:lineRule="exact"/>
        <w:rPr>
          <w:rFonts w:ascii="Arial" w:cs="Arial" w:eastAsia="Arial" w:hAnsi="Arial"/>
          <w:sz w:val="18"/>
          <w:szCs w:val="18"/>
          <w:color w:val="auto"/>
        </w:rPr>
      </w:pPr>
    </w:p>
    <w:p>
      <w:pPr>
        <w:ind w:left="520" w:hanging="120"/>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Adjusted Earnings and Adjusted Earnings per share do not reflect changes in, or cash requirements for, our working capital needs and</w:t>
      </w:r>
    </w:p>
    <w:p>
      <w:pPr>
        <w:spacing w:after="0" w:line="225" w:lineRule="exact"/>
        <w:rPr>
          <w:rFonts w:ascii="Arial" w:cs="Arial" w:eastAsia="Arial" w:hAnsi="Arial"/>
          <w:sz w:val="18"/>
          <w:szCs w:val="18"/>
          <w:color w:val="auto"/>
        </w:rPr>
      </w:pPr>
    </w:p>
    <w:p>
      <w:pPr>
        <w:ind w:left="520" w:right="200" w:hanging="120"/>
        <w:spacing w:after="0" w:line="262"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Earnings and Adjusted Earnings per share differently than we do, limiting their usefulness as comparative measures.</w:t>
      </w:r>
    </w:p>
    <w:p>
      <w:pPr>
        <w:spacing w:after="0" w:line="196" w:lineRule="exact"/>
        <w:rPr>
          <w:sz w:val="20"/>
          <w:szCs w:val="20"/>
          <w:color w:val="auto"/>
        </w:rPr>
      </w:pPr>
    </w:p>
    <w:p>
      <w:pPr>
        <w:jc w:val="both"/>
        <w:ind w:right="40" w:firstLine="486"/>
        <w:spacing w:after="0" w:line="256" w:lineRule="auto"/>
        <w:rPr>
          <w:sz w:val="20"/>
          <w:szCs w:val="20"/>
          <w:color w:val="auto"/>
        </w:rPr>
      </w:pPr>
      <w:r>
        <w:rPr>
          <w:rFonts w:ascii="Arial" w:cs="Arial" w:eastAsia="Arial" w:hAnsi="Arial"/>
          <w:sz w:val="18"/>
          <w:szCs w:val="18"/>
          <w:color w:val="auto"/>
        </w:rPr>
        <w:t>Management compensates for the inherent limitations associated with using Adjusted Earnings and Adjusted Earnings per share through disclosure of such limitations, presentation of our financial statements in accordance with GAAP and reconciliation of Adjusted Earnings to the most directly comparable GAAP measure, net income.</w:t>
      </w:r>
    </w:p>
    <w:p>
      <w:pPr>
        <w:spacing w:after="0" w:line="202" w:lineRule="exact"/>
        <w:rPr>
          <w:sz w:val="20"/>
          <w:szCs w:val="20"/>
          <w:color w:val="auto"/>
        </w:rPr>
      </w:pPr>
    </w:p>
    <w:p>
      <w:pPr>
        <w:ind w:right="120" w:firstLine="486"/>
        <w:spacing w:after="0" w:line="262" w:lineRule="auto"/>
        <w:rPr>
          <w:sz w:val="20"/>
          <w:szCs w:val="20"/>
          <w:color w:val="auto"/>
        </w:rPr>
      </w:pPr>
      <w:r>
        <w:rPr>
          <w:rFonts w:ascii="Arial" w:cs="Arial" w:eastAsia="Arial" w:hAnsi="Arial"/>
          <w:sz w:val="18"/>
          <w:szCs w:val="18"/>
          <w:color w:val="auto"/>
        </w:rPr>
        <w:t>The following table sets forth a reconciliation of net income to non-GAAP measures Adjusted Earnings and Adjusted Earnings per share for the three and nine months ended September 30, 2012 and 2011 (in thousands, except per share data):</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rPr>
              <w:t>For the Three Months Ended</w:t>
            </w:r>
          </w:p>
        </w:tc>
        <w:tc>
          <w:tcPr>
            <w:tcW w:w="360" w:type="dxa"/>
            <w:vAlign w:val="bottom"/>
          </w:tcPr>
          <w:p>
            <w:pPr>
              <w:spacing w:after="0"/>
              <w:rPr>
                <w:sz w:val="16"/>
                <w:szCs w:val="16"/>
                <w:color w:val="auto"/>
              </w:rPr>
            </w:pPr>
          </w:p>
        </w:tc>
        <w:tc>
          <w:tcPr>
            <w:tcW w:w="2500" w:type="dxa"/>
            <w:vAlign w:val="bottom"/>
            <w:gridSpan w:val="4"/>
          </w:tcPr>
          <w:p>
            <w:pPr>
              <w:jc w:val="right"/>
              <w:ind w:right="271"/>
              <w:spacing w:after="0"/>
              <w:rPr>
                <w:sz w:val="20"/>
                <w:szCs w:val="20"/>
                <w:color w:val="auto"/>
              </w:rPr>
            </w:pPr>
            <w:r>
              <w:rPr>
                <w:rFonts w:ascii="Arial" w:cs="Arial" w:eastAsia="Arial" w:hAnsi="Arial"/>
                <w:sz w:val="16"/>
                <w:szCs w:val="16"/>
                <w:b w:val="1"/>
                <w:bCs w:val="1"/>
                <w:color w:val="auto"/>
              </w:rPr>
              <w:t>For the Nine Months Ended</w:t>
            </w:r>
          </w:p>
        </w:tc>
      </w:tr>
      <w:tr>
        <w:trPr>
          <w:trHeight w:val="228"/>
        </w:trPr>
        <w:tc>
          <w:tcPr>
            <w:tcW w:w="5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4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rPr>
              <w:t>September 30,</w:t>
            </w:r>
          </w:p>
        </w:tc>
        <w:tc>
          <w:tcPr>
            <w:tcW w:w="360" w:type="dxa"/>
            <w:vAlign w:val="bottom"/>
          </w:tcPr>
          <w:p>
            <w:pPr>
              <w:spacing w:after="0"/>
              <w:rPr>
                <w:sz w:val="19"/>
                <w:szCs w:val="19"/>
                <w:color w:val="auto"/>
              </w:rPr>
            </w:pPr>
          </w:p>
        </w:tc>
        <w:tc>
          <w:tcPr>
            <w:tcW w:w="2500" w:type="dxa"/>
            <w:vAlign w:val="bottom"/>
            <w:gridSpan w:val="4"/>
          </w:tcPr>
          <w:p>
            <w:pPr>
              <w:jc w:val="right"/>
              <w:ind w:right="771"/>
              <w:spacing w:after="0"/>
              <w:rPr>
                <w:sz w:val="20"/>
                <w:szCs w:val="20"/>
                <w:color w:val="auto"/>
              </w:rPr>
            </w:pPr>
            <w:r>
              <w:rPr>
                <w:rFonts w:ascii="Arial" w:cs="Arial" w:eastAsia="Arial" w:hAnsi="Arial"/>
                <w:sz w:val="16"/>
                <w:szCs w:val="16"/>
                <w:b w:val="1"/>
                <w:bCs w:val="1"/>
                <w:color w:val="auto"/>
              </w:rPr>
              <w:t>September 30,</w:t>
            </w:r>
          </w:p>
        </w:tc>
      </w:tr>
      <w:tr>
        <w:trPr>
          <w:trHeight w:val="264"/>
        </w:trPr>
        <w:tc>
          <w:tcPr>
            <w:tcW w:w="558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2011</w:t>
            </w:r>
          </w:p>
        </w:tc>
        <w:tc>
          <w:tcPr>
            <w:tcW w:w="120" w:type="dxa"/>
            <w:vAlign w:val="bottom"/>
            <w:tcBorders>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2011</w:t>
            </w:r>
          </w:p>
        </w:tc>
      </w:tr>
      <w:tr>
        <w:trPr>
          <w:trHeight w:val="251"/>
        </w:trPr>
        <w:tc>
          <w:tcPr>
            <w:tcW w:w="5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6"/>
        </w:trPr>
        <w:tc>
          <w:tcPr>
            <w:tcW w:w="5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34,299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36,428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114,980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130,934</w:t>
            </w:r>
          </w:p>
        </w:tc>
      </w:tr>
      <w:tr>
        <w:trPr>
          <w:trHeight w:val="263"/>
        </w:trPr>
        <w:tc>
          <w:tcPr>
            <w:tcW w:w="5580" w:type="dxa"/>
            <w:vAlign w:val="bottom"/>
          </w:tcPr>
          <w:p>
            <w:pPr>
              <w:ind w:left="80"/>
              <w:spacing w:after="0"/>
              <w:rPr>
                <w:sz w:val="20"/>
                <w:szCs w:val="20"/>
                <w:color w:val="auto"/>
              </w:rPr>
            </w:pPr>
            <w:r>
              <w:rPr>
                <w:rFonts w:ascii="Arial" w:cs="Arial" w:eastAsia="Arial" w:hAnsi="Arial"/>
                <w:sz w:val="18"/>
                <w:szCs w:val="18"/>
                <w:color w:val="auto"/>
              </w:rPr>
              <w:t>After-Tax:</w:t>
            </w: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7"/>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EBITDA Adjustments(1)</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3"/>
        </w:trPr>
        <w:tc>
          <w:tcPr>
            <w:tcW w:w="5580" w:type="dxa"/>
            <w:vAlign w:val="bottom"/>
          </w:tcPr>
          <w:p>
            <w:pPr>
              <w:ind w:left="260"/>
              <w:spacing w:after="0"/>
              <w:rPr>
                <w:sz w:val="20"/>
                <w:szCs w:val="20"/>
                <w:color w:val="auto"/>
              </w:rPr>
            </w:pPr>
            <w:r>
              <w:rPr>
                <w:rFonts w:ascii="Arial" w:cs="Arial" w:eastAsia="Arial" w:hAnsi="Arial"/>
                <w:sz w:val="18"/>
                <w:szCs w:val="18"/>
                <w:color w:val="auto"/>
              </w:rPr>
              <w:t>Employee share-based compensation expense(2)</w:t>
            </w:r>
          </w:p>
        </w:tc>
        <w:tc>
          <w:tcPr>
            <w:tcW w:w="2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3,357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2,933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10,330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8,511</w:t>
            </w:r>
          </w:p>
        </w:tc>
      </w:tr>
      <w:tr>
        <w:trPr>
          <w:trHeight w:val="277"/>
        </w:trPr>
        <w:tc>
          <w:tcPr>
            <w:tcW w:w="5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Acquisition and integration related expenses(3)</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4,307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765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9,014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2,594</w:t>
            </w:r>
          </w:p>
        </w:tc>
      </w:tr>
      <w:tr>
        <w:trPr>
          <w:trHeight w:val="263"/>
        </w:trPr>
        <w:tc>
          <w:tcPr>
            <w:tcW w:w="5580" w:type="dxa"/>
            <w:vAlign w:val="bottom"/>
          </w:tcPr>
          <w:p>
            <w:pPr>
              <w:ind w:left="260"/>
              <w:spacing w:after="0"/>
              <w:rPr>
                <w:sz w:val="20"/>
                <w:szCs w:val="20"/>
                <w:color w:val="auto"/>
              </w:rPr>
            </w:pPr>
            <w:r>
              <w:rPr>
                <w:rFonts w:ascii="Arial" w:cs="Arial" w:eastAsia="Arial" w:hAnsi="Arial"/>
                <w:sz w:val="18"/>
                <w:szCs w:val="18"/>
                <w:color w:val="auto"/>
              </w:rPr>
              <w:t>Restructuring and conversion costs</w:t>
            </w:r>
          </w:p>
        </w:tc>
        <w:tc>
          <w:tcPr>
            <w:tcW w:w="2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751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4,989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3,326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8,342</w:t>
            </w:r>
          </w:p>
        </w:tc>
      </w:tr>
      <w:tr>
        <w:trPr>
          <w:trHeight w:val="277"/>
        </w:trPr>
        <w:tc>
          <w:tcPr>
            <w:tcW w:w="5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Debt extinguishment costs</w:t>
            </w:r>
          </w:p>
        </w:tc>
        <w:tc>
          <w:tcPr>
            <w:tcW w:w="24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10,274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5580" w:type="dxa"/>
            <w:vAlign w:val="bottom"/>
          </w:tcPr>
          <w:p>
            <w:pPr>
              <w:ind w:left="260"/>
              <w:spacing w:after="0"/>
              <w:rPr>
                <w:sz w:val="20"/>
                <w:szCs w:val="20"/>
                <w:color w:val="auto"/>
              </w:rPr>
            </w:pPr>
            <w:r>
              <w:rPr>
                <w:rFonts w:ascii="Arial" w:cs="Arial" w:eastAsia="Arial" w:hAnsi="Arial"/>
                <w:sz w:val="18"/>
                <w:szCs w:val="18"/>
                <w:color w:val="auto"/>
              </w:rPr>
              <w:t>Equity issuance and related offering costs(4)</w:t>
            </w:r>
          </w:p>
        </w:tc>
        <w:tc>
          <w:tcPr>
            <w:tcW w:w="2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3,986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4,262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1,272</w:t>
            </w:r>
          </w:p>
        </w:tc>
      </w:tr>
      <w:tr>
        <w:trPr>
          <w:trHeight w:val="270"/>
        </w:trPr>
        <w:tc>
          <w:tcPr>
            <w:tcW w:w="5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1,412</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1,895</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r>
      <w:tr>
        <w:trPr>
          <w:trHeight w:val="250"/>
        </w:trPr>
        <w:tc>
          <w:tcPr>
            <w:tcW w:w="5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EBITDA Adjustments</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13,813</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9,026</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39,101</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20,839</w:t>
            </w:r>
          </w:p>
        </w:tc>
      </w:tr>
      <w:tr>
        <w:trPr>
          <w:trHeight w:val="257"/>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purchased intangible assets and software(1)</w:t>
            </w: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6,152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6,113</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18,356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17,974</w:t>
            </w:r>
          </w:p>
        </w:tc>
      </w:tr>
      <w:tr>
        <w:trPr>
          <w:trHeight w:val="264"/>
        </w:trPr>
        <w:tc>
          <w:tcPr>
            <w:tcW w:w="5580" w:type="dxa"/>
            <w:vAlign w:val="bottom"/>
          </w:tcPr>
          <w:p>
            <w:pPr>
              <w:ind w:left="180"/>
              <w:spacing w:after="0"/>
              <w:rPr>
                <w:sz w:val="20"/>
                <w:szCs w:val="20"/>
                <w:color w:val="auto"/>
              </w:rPr>
            </w:pPr>
            <w:r>
              <w:rPr>
                <w:rFonts w:ascii="Arial" w:cs="Arial" w:eastAsia="Arial" w:hAnsi="Arial"/>
                <w:sz w:val="18"/>
                <w:szCs w:val="18"/>
                <w:color w:val="auto"/>
              </w:rPr>
              <w:t>Acquisition related benefit for a net operating loss carry-forward(5)</w:t>
            </w: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558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Adjusted Earnings</w:t>
            </w:r>
          </w:p>
        </w:tc>
        <w:tc>
          <w:tcPr>
            <w:tcW w:w="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52,999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51,567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171,172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169,747</w:t>
            </w:r>
          </w:p>
        </w:tc>
      </w:tr>
      <w:tr>
        <w:trPr>
          <w:trHeight w:val="20"/>
        </w:trPr>
        <w:tc>
          <w:tcPr>
            <w:tcW w:w="5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0"/>
        </w:trPr>
        <w:tc>
          <w:tcPr>
            <w:tcW w:w="5580" w:type="dxa"/>
            <w:vAlign w:val="bottom"/>
          </w:tcPr>
          <w:p>
            <w:pPr>
              <w:ind w:left="80"/>
              <w:spacing w:after="0"/>
              <w:rPr>
                <w:sz w:val="20"/>
                <w:szCs w:val="20"/>
                <w:color w:val="auto"/>
              </w:rPr>
            </w:pPr>
            <w:r>
              <w:rPr>
                <w:rFonts w:ascii="Arial" w:cs="Arial" w:eastAsia="Arial" w:hAnsi="Arial"/>
                <w:sz w:val="18"/>
                <w:szCs w:val="18"/>
                <w:color w:val="auto"/>
              </w:rPr>
              <w:t>Adjusted Earnings per share(6)</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0.47</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0.46</w:t>
            </w:r>
          </w:p>
        </w:tc>
        <w:tc>
          <w:tcPr>
            <w:tcW w:w="1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1.51</w:t>
            </w:r>
          </w:p>
        </w:tc>
      </w:tr>
      <w:tr>
        <w:trPr>
          <w:trHeight w:val="277"/>
        </w:trPr>
        <w:tc>
          <w:tcPr>
            <w:tcW w:w="5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Weighted average shares outstanding — diluted(7)</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111,877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111,173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112,436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112,483</w:t>
            </w:r>
          </w:p>
        </w:tc>
      </w:tr>
      <w:tr>
        <w:trPr>
          <w:trHeight w:val="215"/>
        </w:trPr>
        <w:tc>
          <w:tcPr>
            <w:tcW w:w="5580" w:type="dxa"/>
            <w:vAlign w:val="bottom"/>
          </w:tcPr>
          <w:p>
            <w:pPr>
              <w:spacing w:after="0"/>
              <w:rPr>
                <w:sz w:val="20"/>
                <w:szCs w:val="20"/>
                <w:color w:val="auto"/>
              </w:rPr>
            </w:pPr>
            <w:r>
              <w:rPr>
                <w:rFonts w:ascii="Arial" w:cs="Arial" w:eastAsia="Arial" w:hAnsi="Arial"/>
                <w:sz w:val="18"/>
                <w:szCs w:val="18"/>
                <w:color w:val="auto"/>
              </w:rPr>
              <w:t>____________</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bl>
    <w:p>
      <w:pPr>
        <w:ind w:left="5620" w:right="2260" w:hanging="5288"/>
        <w:spacing w:after="0" w:line="669" w:lineRule="auto"/>
        <w:tabs>
          <w:tab w:leader="none" w:pos="662" w:val="left"/>
        </w:tabs>
        <w:numPr>
          <w:ilvl w:val="0"/>
          <w:numId w:val="38"/>
        </w:numPr>
        <w:rPr>
          <w:rFonts w:ascii="Arial" w:cs="Arial" w:eastAsia="Arial" w:hAnsi="Arial"/>
          <w:sz w:val="18"/>
          <w:szCs w:val="18"/>
          <w:color w:val="auto"/>
        </w:rPr>
      </w:pPr>
      <w:r>
        <w:rPr>
          <w:rFonts w:ascii="Arial" w:cs="Arial" w:eastAsia="Arial" w:hAnsi="Arial"/>
          <w:sz w:val="18"/>
          <w:szCs w:val="18"/>
          <w:color w:val="auto"/>
        </w:rPr>
        <w:t>EBITDA Adjustments and amortization of purchased intangible assets and software have been tax effected 35</w:t>
      </w:r>
    </w:p>
    <w:p>
      <w:pPr>
        <w:sectPr>
          <w:pgSz w:w="11900" w:h="16838" w:orient="portrait"/>
          <w:cols w:equalWidth="0" w:num="1">
            <w:col w:w="11420"/>
          </w:cols>
          <w:pgMar w:left="240" w:top="773" w:right="239" w:bottom="1440" w:gutter="0" w:footer="0" w:header="0"/>
        </w:sectPr>
      </w:pPr>
    </w:p>
    <w:bookmarkStart w:id="38" w:name="page39"/>
    <w:bookmarkEnd w:id="38"/>
    <w:p>
      <w:pPr>
        <w:ind w:left="660" w:right="420"/>
        <w:spacing w:after="0" w:line="309" w:lineRule="auto"/>
        <w:rPr>
          <w:sz w:val="20"/>
          <w:szCs w:val="20"/>
          <w:color w:val="auto"/>
        </w:rPr>
      </w:pPr>
      <w:r>
        <w:rPr>
          <w:rFonts w:ascii="Arial" w:cs="Arial" w:eastAsia="Arial" w:hAnsi="Arial"/>
          <w:sz w:val="18"/>
          <w:szCs w:val="18"/>
          <w:color w:val="auto"/>
        </w:rPr>
        <w:t>using a federal rate of 35.0% and the applicable effective state rate which was 3.30%, net of the federal tax benefit, for the periods presented.</w:t>
      </w:r>
    </w:p>
    <w:p>
      <w:pPr>
        <w:spacing w:after="0" w:line="61" w:lineRule="exact"/>
        <w:rPr>
          <w:sz w:val="20"/>
          <w:szCs w:val="20"/>
          <w:color w:val="auto"/>
        </w:rPr>
      </w:pPr>
    </w:p>
    <w:p>
      <w:pPr>
        <w:ind w:left="660" w:right="140" w:hanging="328"/>
        <w:spacing w:after="0" w:line="252"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the after-tax expense of non-qualified stock options for which we receive a tax deduction upon exercise, restricted stock awards for which we receive a tax deduction upon vesting, shares awarded to employees under the ESPP for which the Company receives a tax deduction, and the full expense impact of incentive stock options granted to employees that have vested and qualify for preferential tax treatment and conversely, for which we do not receive a tax deduction. Share-based compensation for vesting of incentive stock options was $1.6 million and $1.5 million, respectively, for the three months ended September 30, 2012 and 2011. For the nine month periods ending September 30, 2012 and 2011, share-based compensation for vesting of incentive stock options was $4.8 million and $4.3 million, respectively.</w:t>
      </w:r>
    </w:p>
    <w:p>
      <w:pPr>
        <w:spacing w:after="0" w:line="99" w:lineRule="exact"/>
        <w:rPr>
          <w:rFonts w:ascii="Arial" w:cs="Arial" w:eastAsia="Arial" w:hAnsi="Arial"/>
          <w:sz w:val="18"/>
          <w:szCs w:val="18"/>
          <w:color w:val="auto"/>
        </w:rPr>
      </w:pPr>
    </w:p>
    <w:p>
      <w:pPr>
        <w:ind w:left="660" w:right="20" w:hanging="328"/>
        <w:spacing w:after="0" w:line="25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the after-tax expense of acquisition and related costs for which we receive a tax deduction. In addition, the results for the three and nine months ended September 30, 2012 include a $5.7 million reduction of expense relating to the fair value of contingent consideration for the stock acquisition of Concord, that is not deductible for tax purposes and that we do not consider to be indicative of our core performance.</w:t>
      </w:r>
    </w:p>
    <w:p>
      <w:pPr>
        <w:spacing w:after="0" w:line="96" w:lineRule="exact"/>
        <w:rPr>
          <w:rFonts w:ascii="Arial" w:cs="Arial" w:eastAsia="Arial" w:hAnsi="Arial"/>
          <w:sz w:val="18"/>
          <w:szCs w:val="18"/>
          <w:color w:val="auto"/>
        </w:rPr>
      </w:pPr>
    </w:p>
    <w:p>
      <w:pPr>
        <w:ind w:left="660" w:right="120" w:hanging="328"/>
        <w:spacing w:after="0" w:line="252"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Represents after-tax equity issuance and offering costs incurred in the three and nine months ended September 30, 2012 and 2011, related to the closing of a secondary offering in the second quarter of 2012, and the closing of a secondary offering in the second quarter of 2011. In addition, results for the three and nine months ended September 30, 2012 include a $3.9 million charge in other expenses in the unaudited condensed consolidated statements of income for the late deposit of withholding taxes related to the exercise of certain non-qualified stock options in connection with our 2010 initial public offering, that is not deductible for tax purposes. See </w:t>
      </w:r>
      <w:r>
        <w:rPr>
          <w:rFonts w:ascii="Arial" w:cs="Arial" w:eastAsia="Arial" w:hAnsi="Arial"/>
          <w:sz w:val="18"/>
          <w:szCs w:val="18"/>
          <w:i w:val="1"/>
          <w:iCs w:val="1"/>
          <w:color w:val="auto"/>
        </w:rPr>
        <w:t>Note 10 - Commitments and Contingencies</w:t>
      </w:r>
      <w:r>
        <w:rPr>
          <w:rFonts w:ascii="Arial" w:cs="Arial" w:eastAsia="Arial" w:hAnsi="Arial"/>
          <w:sz w:val="18"/>
          <w:szCs w:val="18"/>
          <w:color w:val="auto"/>
        </w:rPr>
        <w:t>, within the unaudited condensed consolidated financial statements for additional information.</w:t>
      </w:r>
    </w:p>
    <w:p>
      <w:pPr>
        <w:spacing w:after="0" w:line="99" w:lineRule="exact"/>
        <w:rPr>
          <w:rFonts w:ascii="Arial" w:cs="Arial" w:eastAsia="Arial" w:hAnsi="Arial"/>
          <w:sz w:val="18"/>
          <w:szCs w:val="18"/>
          <w:color w:val="auto"/>
        </w:rPr>
      </w:pPr>
    </w:p>
    <w:p>
      <w:pPr>
        <w:ind w:left="660" w:right="540" w:hanging="328"/>
        <w:spacing w:after="0" w:line="262"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the expected tax benefit available to us from the accumulated net operating losses of Concord that arose prior to our acquisition; such benefits were recorded in the third quarter of 2012.</w:t>
      </w:r>
    </w:p>
    <w:p>
      <w:pPr>
        <w:spacing w:after="0" w:line="88" w:lineRule="exact"/>
        <w:rPr>
          <w:rFonts w:ascii="Arial" w:cs="Arial" w:eastAsia="Arial" w:hAnsi="Arial"/>
          <w:sz w:val="18"/>
          <w:szCs w:val="18"/>
          <w:color w:val="auto"/>
        </w:rPr>
      </w:pPr>
    </w:p>
    <w:p>
      <w:pPr>
        <w:jc w:val="both"/>
        <w:ind w:left="660" w:right="300" w:hanging="328"/>
        <w:spacing w:after="0" w:line="256"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Adjusted Earnings, a non-GAAP measure, divided by weighted average number of shares outstanding on a fully diluted basis. Set forth is a reconciliation of earnings per share on a fully diluted basis, as calculated in accordance with GAAP to Adjusted Earnings per share: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rPr>
              <w:t>For the Three Months Ended</w:t>
            </w:r>
          </w:p>
        </w:tc>
        <w:tc>
          <w:tcPr>
            <w:tcW w:w="360" w:type="dxa"/>
            <w:vAlign w:val="bottom"/>
          </w:tcPr>
          <w:p>
            <w:pPr>
              <w:spacing w:after="0"/>
              <w:rPr>
                <w:sz w:val="16"/>
                <w:szCs w:val="16"/>
                <w:color w:val="auto"/>
              </w:rPr>
            </w:pPr>
          </w:p>
        </w:tc>
        <w:tc>
          <w:tcPr>
            <w:tcW w:w="2500" w:type="dxa"/>
            <w:vAlign w:val="bottom"/>
            <w:gridSpan w:val="4"/>
          </w:tcPr>
          <w:p>
            <w:pPr>
              <w:jc w:val="right"/>
              <w:ind w:right="271"/>
              <w:spacing w:after="0"/>
              <w:rPr>
                <w:sz w:val="20"/>
                <w:szCs w:val="20"/>
                <w:color w:val="auto"/>
              </w:rPr>
            </w:pPr>
            <w:r>
              <w:rPr>
                <w:rFonts w:ascii="Arial" w:cs="Arial" w:eastAsia="Arial" w:hAnsi="Arial"/>
                <w:sz w:val="16"/>
                <w:szCs w:val="16"/>
                <w:b w:val="1"/>
                <w:bCs w:val="1"/>
                <w:color w:val="auto"/>
              </w:rPr>
              <w:t>For the Nine Months Ended</w:t>
            </w:r>
          </w:p>
        </w:tc>
      </w:tr>
      <w:tr>
        <w:trPr>
          <w:trHeight w:val="228"/>
        </w:trPr>
        <w:tc>
          <w:tcPr>
            <w:tcW w:w="5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4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rPr>
              <w:t>September 30,</w:t>
            </w:r>
          </w:p>
        </w:tc>
        <w:tc>
          <w:tcPr>
            <w:tcW w:w="360" w:type="dxa"/>
            <w:vAlign w:val="bottom"/>
          </w:tcPr>
          <w:p>
            <w:pPr>
              <w:spacing w:after="0"/>
              <w:rPr>
                <w:sz w:val="19"/>
                <w:szCs w:val="19"/>
                <w:color w:val="auto"/>
              </w:rPr>
            </w:pPr>
          </w:p>
        </w:tc>
        <w:tc>
          <w:tcPr>
            <w:tcW w:w="2500" w:type="dxa"/>
            <w:vAlign w:val="bottom"/>
            <w:gridSpan w:val="4"/>
          </w:tcPr>
          <w:p>
            <w:pPr>
              <w:jc w:val="right"/>
              <w:ind w:right="771"/>
              <w:spacing w:after="0"/>
              <w:rPr>
                <w:sz w:val="20"/>
                <w:szCs w:val="20"/>
                <w:color w:val="auto"/>
              </w:rPr>
            </w:pPr>
            <w:r>
              <w:rPr>
                <w:rFonts w:ascii="Arial" w:cs="Arial" w:eastAsia="Arial" w:hAnsi="Arial"/>
                <w:sz w:val="16"/>
                <w:szCs w:val="16"/>
                <w:b w:val="1"/>
                <w:bCs w:val="1"/>
                <w:color w:val="auto"/>
              </w:rPr>
              <w:t>September 30,</w:t>
            </w:r>
          </w:p>
        </w:tc>
      </w:tr>
      <w:tr>
        <w:trPr>
          <w:trHeight w:val="264"/>
        </w:trPr>
        <w:tc>
          <w:tcPr>
            <w:tcW w:w="558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2011</w:t>
            </w:r>
          </w:p>
        </w:tc>
        <w:tc>
          <w:tcPr>
            <w:tcW w:w="120" w:type="dxa"/>
            <w:vAlign w:val="bottom"/>
            <w:tcBorders>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2011</w:t>
            </w:r>
          </w:p>
        </w:tc>
      </w:tr>
      <w:tr>
        <w:trPr>
          <w:trHeight w:val="251"/>
        </w:trPr>
        <w:tc>
          <w:tcPr>
            <w:tcW w:w="5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6"/>
        </w:trPr>
        <w:tc>
          <w:tcPr>
            <w:tcW w:w="5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Earnings per share — diluted</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0.31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0.32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1.15</w:t>
            </w: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Adjustment for allocation of undistributed earnings to stock units</w:t>
            </w:r>
          </w:p>
        </w:tc>
        <w:tc>
          <w:tcPr>
            <w:tcW w:w="2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0.01</w:t>
            </w:r>
          </w:p>
        </w:tc>
      </w:tr>
      <w:tr>
        <w:trPr>
          <w:trHeight w:val="27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After-Tax:</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3"/>
        </w:trPr>
        <w:tc>
          <w:tcPr>
            <w:tcW w:w="5580" w:type="dxa"/>
            <w:vAlign w:val="bottom"/>
          </w:tcPr>
          <w:p>
            <w:pPr>
              <w:ind w:left="180"/>
              <w:spacing w:after="0"/>
              <w:rPr>
                <w:sz w:val="20"/>
                <w:szCs w:val="20"/>
                <w:color w:val="auto"/>
              </w:rPr>
            </w:pPr>
            <w:r>
              <w:rPr>
                <w:rFonts w:ascii="Arial" w:cs="Arial" w:eastAsia="Arial" w:hAnsi="Arial"/>
                <w:sz w:val="18"/>
                <w:szCs w:val="18"/>
                <w:color w:val="auto"/>
              </w:rPr>
              <w:t>EBITDA Adjustments per share</w:t>
            </w:r>
          </w:p>
        </w:tc>
        <w:tc>
          <w:tcPr>
            <w:tcW w:w="2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0.19</w:t>
            </w:r>
          </w:p>
        </w:tc>
      </w:tr>
      <w:tr>
        <w:trPr>
          <w:trHeight w:val="277"/>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purchased intangible assets and software</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0.16</w:t>
            </w:r>
          </w:p>
        </w:tc>
      </w:tr>
      <w:tr>
        <w:trPr>
          <w:trHeight w:val="264"/>
        </w:trPr>
        <w:tc>
          <w:tcPr>
            <w:tcW w:w="5580" w:type="dxa"/>
            <w:vAlign w:val="bottom"/>
          </w:tcPr>
          <w:p>
            <w:pPr>
              <w:ind w:left="180"/>
              <w:spacing w:after="0"/>
              <w:rPr>
                <w:sz w:val="20"/>
                <w:szCs w:val="20"/>
                <w:color w:val="auto"/>
              </w:rPr>
            </w:pPr>
            <w:r>
              <w:rPr>
                <w:rFonts w:ascii="Arial" w:cs="Arial" w:eastAsia="Arial" w:hAnsi="Arial"/>
                <w:sz w:val="18"/>
                <w:szCs w:val="18"/>
                <w:color w:val="auto"/>
              </w:rPr>
              <w:t>Acquisition related benefit for a net operating loss carry-forward</w:t>
            </w: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5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Earnings per share</w:t>
            </w:r>
          </w:p>
        </w:tc>
        <w:tc>
          <w:tcPr>
            <w:tcW w:w="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0.47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0.46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1.51</w:t>
            </w:r>
          </w:p>
        </w:tc>
      </w:tr>
      <w:tr>
        <w:trPr>
          <w:trHeight w:val="20"/>
        </w:trPr>
        <w:tc>
          <w:tcPr>
            <w:tcW w:w="5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60" w:right="60" w:hanging="328"/>
        <w:spacing w:after="0" w:line="254" w:lineRule="auto"/>
        <w:tabs>
          <w:tab w:leader="none" w:pos="606"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Included within the weighted average share count for the three and nine months ended September 30, 2012, is approximately 850,000 shares resulting from the distribution pursuant to the 2008 Nonqualified Deferred Compensation Plan in February 2012 that were not included in the weighted average share count for the three and nine months ended September 30, 2011. See Note 11 of our unaudited condensed consolidated financial statements for further details.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Integrations and Divestitures</w:t>
      </w:r>
    </w:p>
    <w:p>
      <w:pPr>
        <w:spacing w:after="0" w:line="247"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From time to time we undertake acquisitions or divestitures based on opportunities in the competitive landscape. These activities are part of our overall growth strategy, but can distort comparability when reviewing revenue and expense trends for periods presented. The following describes significant acquisition and integration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625"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activities that have impacted our 2011 and 2012 results.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National Retirement Partners, Inc.</w:t>
      </w:r>
    </w:p>
    <w:p>
      <w:pPr>
        <w:spacing w:after="0" w:line="243"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On February 9, 2011, we acquired certain assets of National Retirement Partners, Inc. (“NRP”). As part of the acquisition, 206 advisors previously registered with NRP transferred their securities and advisory licenses and registrations to LPL Financial. We may be required to pay future consideration to former shareholders of NRP that is contingent upon the achievement of certain revenue-based milestones in the third year following the acquisition. We estimated the fair value of the remaining contingent consideration at the close of the transaction and we re-measure contingent consideration at fair value at each interim reporting period with changes recognized in earnings. There is no maximum amount of contingent consideration; however, based on our current estimate, we expect to make a cash payment of an amount between $20.0 million and $30.0 million in the first quarter of 2014.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 of UVEST Financial Services Group, Inc.</w:t>
      </w:r>
    </w:p>
    <w:p>
      <w:pPr>
        <w:spacing w:after="0" w:line="243"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On March 14, 2011, we committed to a corporate restructuring plan to enhance our service offering, while generating efficiencies. The restructuring plan included the consolidation of the operations of our subsidiary, UVEST, with those of LPL Financial. In connection with the consolidation of UVEST, certain registered representatives formerly associated with UVEST moved to LPL Financial through a transfer of their licenses. The transfers began in July 2011 and were completed in December 2011. Following the transfer, all registered representatives and client accounts that transferred are associated with LPL Financial. UVEST has withdrawn its registration with the Financial Industry Regulatory Authority ("FINRA") effective July 16, 2012, and is no longer subject to net capital filing requirements.</w:t>
      </w:r>
    </w:p>
    <w:p>
      <w:pPr>
        <w:spacing w:after="0" w:line="209" w:lineRule="exact"/>
        <w:rPr>
          <w:sz w:val="20"/>
          <w:szCs w:val="20"/>
          <w:color w:val="auto"/>
        </w:rPr>
      </w:pPr>
    </w:p>
    <w:p>
      <w:pPr>
        <w:jc w:val="both"/>
        <w:ind w:right="60" w:firstLine="486"/>
        <w:spacing w:after="0" w:line="256" w:lineRule="auto"/>
        <w:rPr>
          <w:sz w:val="20"/>
          <w:szCs w:val="20"/>
          <w:color w:val="auto"/>
        </w:rPr>
      </w:pPr>
      <w:r>
        <w:rPr>
          <w:rFonts w:ascii="Arial" w:cs="Arial" w:eastAsia="Arial" w:hAnsi="Arial"/>
          <w:sz w:val="18"/>
          <w:szCs w:val="18"/>
          <w:color w:val="auto"/>
        </w:rPr>
        <w:t>We expect to improve pre-tax profitability by approximately $10.0 million per year upon the completion of integration activities by creating operational efficiencies and revenue opportunities. See Note 4 of our unaudited condensed consolidated financial statements for further details on this initiative.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Concord Capital Partners</w:t>
      </w:r>
    </w:p>
    <w:p>
      <w:pPr>
        <w:spacing w:after="0" w:line="243"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On June 22, 2011, we acquired all of the outstanding common stock of Concord. As of September 30, 2012, $1.3 million remained in an escrow account to be paid to former shareholders of Concord in accordance with the terms of the stock purchase agreement. Concord provides technology and open architecture investment management solutions for trust departments of financial institutions. We may be required to pay future consideration that is contingent upon the achievement of certain gross margin-based milestones for the year ended December 31, 2013. We estimated the fair value of the contingent consideration at the close of the transaction and re-measure contingent consideration at fair value at each interim reporting period with changes recognized in earnings. The maximum amount of contingent consideration is $15.0 million; however, based on our current estimate, we expect to make a cash payment of an amount between $5.0 million and $12.0 million in 2014.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Fortigent Holdings Company, Inc.</w:t>
      </w:r>
    </w:p>
    <w:p>
      <w:pPr>
        <w:spacing w:after="0" w:line="203"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On April 23, 2012, we acquired all of the outstanding common stock of Fortigent Holdings Company, Inc. and its wholly owned subsidiaries Fortigent, LLC, a registered investment advisory firm, Fortigent Reporting Company, LLC and Fortigent Strategies Company, LLC (together, "Fortigent"). Fortigent is a leading provider of solutions and consulting services to RIAs, banks and trust companies servicing high net worth clients. This strategic acquisition further enhances our capabilities and offers an extension of our existing services for wealth management advisors.</w:t>
      </w:r>
    </w:p>
    <w:p>
      <w:pPr>
        <w:spacing w:after="0" w:line="165" w:lineRule="exact"/>
        <w:rPr>
          <w:sz w:val="20"/>
          <w:szCs w:val="20"/>
          <w:color w:val="auto"/>
        </w:rPr>
      </w:pPr>
    </w:p>
    <w:p>
      <w:pPr>
        <w:jc w:val="both"/>
        <w:ind w:right="200" w:firstLine="486"/>
        <w:spacing w:after="0" w:line="256" w:lineRule="auto"/>
        <w:rPr>
          <w:sz w:val="20"/>
          <w:szCs w:val="20"/>
          <w:color w:val="auto"/>
        </w:rPr>
      </w:pPr>
      <w:r>
        <w:rPr>
          <w:rFonts w:ascii="Arial" w:cs="Arial" w:eastAsia="Arial" w:hAnsi="Arial"/>
          <w:sz w:val="18"/>
          <w:szCs w:val="18"/>
          <w:color w:val="auto"/>
        </w:rPr>
        <w:t>Total purchase price consideration at the closing of the transaction was $38.8 million, net of cash acquired. As of September 30, 2012, $9.9 million remained in an escrow account to be paid to former shareholders of Fortigent in accordance with the terms of the stock purchase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Veritat Advisors, Inc.</w:t>
      </w:r>
    </w:p>
    <w:p>
      <w:pPr>
        <w:spacing w:after="0" w:line="203"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auto"/>
        </w:rPr>
        <w:t>On July 10, 2012, we acquired all of the outstanding common stock of Veritat Advisors, Inc. ("Veritat"). Veritat is a registered investment advisory firm that developed and utilizes a proprietary online financial planning platform designed to support advisors who serve the mass market. This strategic acquisition will enhance our technological capabilities and increase the flexibility of our service offering in light of our recently announced initiative to serve the mass market.</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98" w:right="239" w:bottom="1440" w:gutter="0" w:footer="0" w:header="0"/>
        </w:sectPr>
      </w:pPr>
    </w:p>
    <w:bookmarkStart w:id="40" w:name="page41"/>
    <w:bookmarkEnd w:id="40"/>
    <w:p>
      <w:pPr>
        <w:ind w:right="80" w:firstLine="486"/>
        <w:spacing w:after="0" w:line="253" w:lineRule="auto"/>
        <w:rPr>
          <w:sz w:val="20"/>
          <w:szCs w:val="20"/>
          <w:color w:val="auto"/>
        </w:rPr>
      </w:pPr>
      <w:r>
        <w:rPr>
          <w:rFonts w:ascii="Arial" w:cs="Arial" w:eastAsia="Arial" w:hAnsi="Arial"/>
          <w:sz w:val="18"/>
          <w:szCs w:val="18"/>
          <w:color w:val="auto"/>
        </w:rPr>
        <w:t>At the closing of the transaction we paid $4.9 million, net of cash acquired. We may be required to pay future consideration to the former Veritat shareholders that is contingent upon the achievement of certain financial targets and retention of key employees. The maximum aggregate amount of contingent payments is $20.9 million to be paid over the following measurement dates: December 31, 2013, June 30, 2015, June 30, 2017 and December 31, 2017 (together, the "Measurement Dates"), if such financial targets are fully achieved and key employees retained.</w:t>
      </w:r>
    </w:p>
    <w:p>
      <w:pPr>
        <w:spacing w:after="0" w:line="165"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We have estimated the future payment of contingent consideration and fair value of the contingent consideration at the close of the transaction. A discounted cash flow methodology was used to determine the contingent consideration based on financial forecasts determined by management that includes assumptions about growth in assets under management, earnings, employee retention and discount rates. The majority of the contingent consideration is based on a sliding scale of the financial targets. The financial targets are sensitive to advisor recruitment, market fluctuations and the ability of advisors to grow their business. We will evaluate the actual progress toward achieving the financial targets at least quarterly and adjust the fair value of the contingent consideration based on the probability of achievement, with any changes in fair value recognized in earnings. As of September 30, 2012, we have estimated the amount of future payment of contingent consideration to be $12.5 million. Using a discounted cash flow methodology, we determined the fair value of the contingent consideration to be $8.4 million, which has been recorded within accounts payable and accrued liabilities. We will recognize the accretion of the contingent consideration in earnings each quarter as it approaches the Measurement Dates until all such dates have passed and payments made.</w:t>
      </w:r>
    </w:p>
    <w:p>
      <w:pPr>
        <w:spacing w:after="0" w:line="17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Including the contingent consideration of $8.4 million, the total consideration for the acquisition was approximately $13.3 million.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Overview and Impact of Financial Market Events</w:t>
      </w:r>
    </w:p>
    <w:p>
      <w:pPr>
        <w:spacing w:after="0" w:line="247"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auto"/>
        </w:rPr>
        <w:t>In the third quarter, the U.S. domestic equity markets rose with the S&amp;P 500 closing the quarter at 1,441, up 5.8% from its close on June 30, 2012. While corporate profits have consistently met or exceeded expectations for multiple quarters, concerns over slowing economic growth and the elevated unemployment rate led to the Federal Reserve's announcement of a third round of quantitative easing. Uncertainty over U.S. fiscal policy, the pending election and how the fiscal cliff will be handled and continued sovereign debt concerns in Europe are expected to have an effect on the financial markets. While the longer-term outlook of the European debt crisis is uncertain, we continue to maintain nominal direct exposure to sovereign debt securities.</w:t>
      </w:r>
    </w:p>
    <w:p>
      <w:pPr>
        <w:spacing w:after="0" w:line="101"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In response to the concerns noted above and the overall economic environment, the central banks, including the Federal Reserve, have continued to maintain historically low interest rates. The average federal funds effective rate was 0.14% in the third quarter of 2012, an increase from the average of 0.08% in the third quarter of 2011. The low interest rate environment kept pressure on our revenues from our cash sweep programs. The low interest rate also impacted investor demand for fixed income securities and fixed annuities. In the September meeting of the Board of Governors of the Federal Reserve System, it was announced that interest rates are expected to remain low into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773"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jc w:val="both"/>
        <w:ind w:right="80" w:firstLine="486"/>
        <w:spacing w:after="0" w:line="256" w:lineRule="auto"/>
        <w:rPr>
          <w:sz w:val="20"/>
          <w:szCs w:val="20"/>
          <w:color w:val="auto"/>
        </w:rPr>
      </w:pPr>
      <w:r>
        <w:rPr>
          <w:rFonts w:ascii="Arial" w:cs="Arial" w:eastAsia="Arial" w:hAnsi="Arial"/>
          <w:sz w:val="18"/>
          <w:szCs w:val="18"/>
          <w:color w:val="auto"/>
        </w:rPr>
        <w:t>The following discussion presents an analysis of our results of operations for the three and nine months ended September 30, 2012 and 2011. Where appropriate, we have identified specific events and changes that affect comparability or trends, and where possible and practical, have quantified the impact of such items.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gridSpan w:val="4"/>
          </w:tcPr>
          <w:p>
            <w:pPr>
              <w:jc w:val="center"/>
              <w:ind w:right="15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28"/>
        </w:trPr>
        <w:tc>
          <w:tcPr>
            <w:tcW w:w="33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4"/>
          </w:tcPr>
          <w:p>
            <w:pPr>
              <w:jc w:val="center"/>
              <w:ind w:right="17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Nine Months Ended September 30,</w:t>
            </w:r>
          </w:p>
        </w:tc>
        <w:tc>
          <w:tcPr>
            <w:tcW w:w="1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64"/>
        </w:trPr>
        <w:tc>
          <w:tcPr>
            <w:tcW w:w="3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52"/>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350"/>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22"/>
                <w:szCs w:val="22"/>
                <w:color w:val="auto"/>
              </w:rPr>
            </w:pPr>
          </w:p>
        </w:tc>
        <w:tc>
          <w:tcPr>
            <w:tcW w:w="1240" w:type="dxa"/>
            <w:vAlign w:val="bottom"/>
            <w:gridSpan w:val="2"/>
          </w:tcPr>
          <w:p>
            <w:pPr>
              <w:ind w:left="180"/>
              <w:spacing w:after="0"/>
              <w:rPr>
                <w:sz w:val="20"/>
                <w:szCs w:val="20"/>
                <w:color w:val="auto"/>
              </w:rPr>
            </w:pPr>
            <w:r>
              <w:rPr>
                <w:rFonts w:ascii="Arial" w:cs="Arial" w:eastAsia="Arial" w:hAnsi="Arial"/>
                <w:sz w:val="16"/>
                <w:szCs w:val="16"/>
                <w:b w:val="1"/>
                <w:bCs w:val="1"/>
                <w:color w:val="auto"/>
              </w:rPr>
              <w:t>% Change</w:t>
            </w:r>
          </w:p>
        </w:tc>
        <w:tc>
          <w:tcPr>
            <w:tcW w:w="300" w:type="dxa"/>
            <w:vAlign w:val="bottom"/>
          </w:tcPr>
          <w:p>
            <w:pPr>
              <w:spacing w:after="0"/>
              <w:rPr>
                <w:sz w:val="22"/>
                <w:szCs w:val="22"/>
                <w:color w:val="auto"/>
              </w:rPr>
            </w:pPr>
          </w:p>
        </w:tc>
        <w:tc>
          <w:tcPr>
            <w:tcW w:w="1080" w:type="dxa"/>
            <w:vAlign w:val="bottom"/>
          </w:tcPr>
          <w:p>
            <w:pPr>
              <w:jc w:val="right"/>
              <w:ind w:right="411"/>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410"/>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22"/>
                <w:szCs w:val="22"/>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b w:val="1"/>
                <w:bCs w:val="1"/>
                <w:color w:val="auto"/>
              </w:rPr>
              <w:t>% Change</w:t>
            </w:r>
          </w:p>
        </w:tc>
      </w:tr>
      <w:tr>
        <w:trPr>
          <w:trHeight w:val="258"/>
        </w:trPr>
        <w:tc>
          <w:tcPr>
            <w:tcW w:w="336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2320" w:type="dxa"/>
            <w:vAlign w:val="bottom"/>
            <w:tcBorders>
              <w:top w:val="single" w:sz="8" w:color="auto"/>
            </w:tcBorders>
            <w:gridSpan w:val="4"/>
          </w:tcPr>
          <w:p>
            <w:pPr>
              <w:jc w:val="center"/>
              <w:ind w:right="17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640" w:type="dxa"/>
            <w:vAlign w:val="bottom"/>
            <w:tcBorders>
              <w:top w:val="single" w:sz="8" w:color="auto"/>
            </w:tcBorders>
            <w:gridSpan w:val="3"/>
          </w:tcPr>
          <w:p>
            <w:pPr>
              <w:jc w:val="center"/>
              <w:ind w:left="551"/>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r>
      <w:tr>
        <w:trPr>
          <w:trHeight w:val="174"/>
        </w:trPr>
        <w:tc>
          <w:tcPr>
            <w:tcW w:w="3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70"/>
        </w:trPr>
        <w:tc>
          <w:tcPr>
            <w:tcW w:w="33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Revenues</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3"/>
        </w:trPr>
        <w:tc>
          <w:tcPr>
            <w:tcW w:w="3360" w:type="dxa"/>
            <w:vAlign w:val="bottom"/>
          </w:tcPr>
          <w:p>
            <w:pPr>
              <w:ind w:left="80"/>
              <w:spacing w:after="0"/>
              <w:rPr>
                <w:sz w:val="20"/>
                <w:szCs w:val="20"/>
                <w:color w:val="auto"/>
              </w:rPr>
            </w:pPr>
            <w:r>
              <w:rPr>
                <w:rFonts w:ascii="Arial" w:cs="Arial" w:eastAsia="Arial" w:hAnsi="Arial"/>
                <w:sz w:val="18"/>
                <w:szCs w:val="18"/>
                <w:color w:val="auto"/>
              </w:rPr>
              <w:t>Commissions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442,129</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438,294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22"/>
                <w:szCs w:val="22"/>
                <w:color w:val="auto"/>
              </w:rPr>
            </w:pPr>
          </w:p>
        </w:tc>
        <w:tc>
          <w:tcPr>
            <w:tcW w:w="30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1,353,025</w:t>
            </w:r>
          </w:p>
        </w:tc>
        <w:tc>
          <w:tcPr>
            <w:tcW w:w="10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1,350,053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0.2 %</w:t>
            </w:r>
          </w:p>
        </w:tc>
      </w:tr>
      <w:tr>
        <w:trPr>
          <w:trHeight w:val="277"/>
        </w:trPr>
        <w:tc>
          <w:tcPr>
            <w:tcW w:w="3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Advisory fees</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267,334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267,878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786,507</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776,254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63"/>
        </w:trPr>
        <w:tc>
          <w:tcPr>
            <w:tcW w:w="3360" w:type="dxa"/>
            <w:vAlign w:val="bottom"/>
          </w:tcPr>
          <w:p>
            <w:pPr>
              <w:ind w:left="80"/>
              <w:spacing w:after="0"/>
              <w:rPr>
                <w:sz w:val="20"/>
                <w:szCs w:val="20"/>
                <w:color w:val="auto"/>
              </w:rPr>
            </w:pPr>
            <w:r>
              <w:rPr>
                <w:rFonts w:ascii="Arial" w:cs="Arial" w:eastAsia="Arial" w:hAnsi="Arial"/>
                <w:sz w:val="18"/>
                <w:szCs w:val="18"/>
                <w:color w:val="auto"/>
              </w:rPr>
              <w:t>Asset-based fees</w:t>
            </w:r>
          </w:p>
        </w:tc>
        <w:tc>
          <w:tcPr>
            <w:tcW w:w="28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100,024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89,691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11.5 %</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300,049</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270,018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11.1 %</w:t>
            </w:r>
          </w:p>
        </w:tc>
      </w:tr>
      <w:tr>
        <w:trPr>
          <w:trHeight w:val="277"/>
        </w:trPr>
        <w:tc>
          <w:tcPr>
            <w:tcW w:w="3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Transaction and other fees</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84,730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78,476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238,196</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220,980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7.8 %</w:t>
            </w:r>
          </w:p>
        </w:tc>
      </w:tr>
      <w:tr>
        <w:trPr>
          <w:trHeight w:val="264"/>
        </w:trPr>
        <w:tc>
          <w:tcPr>
            <w:tcW w:w="33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13,011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8,518</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52.7 %</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39,067</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33,417</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16.9 %</w:t>
            </w:r>
          </w:p>
        </w:tc>
      </w:tr>
      <w:tr>
        <w:trPr>
          <w:trHeight w:val="270"/>
        </w:trPr>
        <w:tc>
          <w:tcPr>
            <w:tcW w:w="33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Net revenues</w:t>
            </w: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907,228</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882,857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2,716,844</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2,650,722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57"/>
        </w:trPr>
        <w:tc>
          <w:tcPr>
            <w:tcW w:w="3360" w:type="dxa"/>
            <w:vAlign w:val="bottom"/>
          </w:tcPr>
          <w:p>
            <w:pPr>
              <w:ind w:left="80"/>
              <w:spacing w:after="0"/>
              <w:rPr>
                <w:sz w:val="20"/>
                <w:szCs w:val="20"/>
                <w:color w:val="auto"/>
              </w:rPr>
            </w:pPr>
            <w:r>
              <w:rPr>
                <w:rFonts w:ascii="Arial" w:cs="Arial" w:eastAsia="Arial" w:hAnsi="Arial"/>
                <w:sz w:val="18"/>
                <w:szCs w:val="18"/>
                <w:b w:val="1"/>
                <w:bCs w:val="1"/>
                <w:color w:val="auto"/>
              </w:rPr>
              <w:t>Expenses</w:t>
            </w: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3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Production</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630,103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623,886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1,887,146</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1,862,301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63"/>
        </w:trPr>
        <w:tc>
          <w:tcPr>
            <w:tcW w:w="3360" w:type="dxa"/>
            <w:vAlign w:val="bottom"/>
          </w:tcPr>
          <w:p>
            <w:pPr>
              <w:ind w:left="80"/>
              <w:spacing w:after="0"/>
              <w:rPr>
                <w:sz w:val="20"/>
                <w:szCs w:val="20"/>
                <w:color w:val="auto"/>
              </w:rPr>
            </w:pPr>
            <w:r>
              <w:rPr>
                <w:rFonts w:ascii="Arial" w:cs="Arial" w:eastAsia="Arial" w:hAnsi="Arial"/>
                <w:sz w:val="18"/>
                <w:szCs w:val="18"/>
                <w:color w:val="auto"/>
              </w:rPr>
              <w:t>Compensation and benefits</w:t>
            </w:r>
          </w:p>
        </w:tc>
        <w:tc>
          <w:tcPr>
            <w:tcW w:w="28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91,309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77,337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18.1 %</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273,355</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242,889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12.5 %</w:t>
            </w:r>
          </w:p>
        </w:tc>
      </w:tr>
      <w:tr>
        <w:trPr>
          <w:trHeight w:val="277"/>
        </w:trPr>
        <w:tc>
          <w:tcPr>
            <w:tcW w:w="3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99,118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76,063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30.3 %</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251,141</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204,675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22.7 %</w:t>
            </w:r>
          </w:p>
        </w:tc>
      </w:tr>
      <w:tr>
        <w:trPr>
          <w:trHeight w:val="263"/>
        </w:trPr>
        <w:tc>
          <w:tcPr>
            <w:tcW w:w="3360" w:type="dxa"/>
            <w:vAlign w:val="bottom"/>
          </w:tcPr>
          <w:p>
            <w:pPr>
              <w:ind w:left="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18,423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19,222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53,010</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55,794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77"/>
        </w:trPr>
        <w:tc>
          <w:tcPr>
            <w:tcW w:w="3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Restructuring charges</w:t>
            </w: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1,211</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7,684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4,962</w:t>
            </w:r>
          </w:p>
        </w:tc>
        <w:tc>
          <w:tcPr>
            <w:tcW w:w="10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13,035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(61.9)%</w:t>
            </w:r>
          </w:p>
        </w:tc>
      </w:tr>
      <w:tr>
        <w:trPr>
          <w:trHeight w:val="257"/>
        </w:trPr>
        <w:tc>
          <w:tcPr>
            <w:tcW w:w="3360" w:type="dxa"/>
            <w:vAlign w:val="bottom"/>
            <w:tcBorders>
              <w:bottom w:val="single" w:sz="8" w:color="CCEEFF"/>
            </w:tcBorders>
          </w:tcPr>
          <w:p>
            <w:pPr>
              <w:ind w:left="160"/>
              <w:spacing w:after="0"/>
              <w:rPr>
                <w:sz w:val="20"/>
                <w:szCs w:val="20"/>
                <w:color w:val="auto"/>
              </w:rPr>
            </w:pPr>
            <w:r>
              <w:rPr>
                <w:rFonts w:ascii="Arial" w:cs="Arial" w:eastAsia="Arial" w:hAnsi="Arial"/>
                <w:sz w:val="18"/>
                <w:szCs w:val="18"/>
                <w:b w:val="1"/>
                <w:bCs w:val="1"/>
                <w:color w:val="auto"/>
              </w:rPr>
              <w:t>Total operating expenses</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840,164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804,192</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4.5 %</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2,469,614</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2,378,694</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3.8 %</w:t>
            </w:r>
          </w:p>
        </w:tc>
      </w:tr>
      <w:tr>
        <w:trPr>
          <w:trHeight w:val="257"/>
        </w:trPr>
        <w:tc>
          <w:tcPr>
            <w:tcW w:w="3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Non-operating interest expense</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12,826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16,603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42,297</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52,929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64"/>
        </w:trPr>
        <w:tc>
          <w:tcPr>
            <w:tcW w:w="3360" w:type="dxa"/>
            <w:vAlign w:val="bottom"/>
          </w:tcPr>
          <w:p>
            <w:pPr>
              <w:ind w:left="80"/>
              <w:spacing w:after="0"/>
              <w:rPr>
                <w:sz w:val="20"/>
                <w:szCs w:val="20"/>
                <w:color w:val="auto"/>
              </w:rPr>
            </w:pPr>
            <w:r>
              <w:rPr>
                <w:rFonts w:ascii="Arial" w:cs="Arial" w:eastAsia="Arial" w:hAnsi="Arial"/>
                <w:sz w:val="18"/>
                <w:szCs w:val="18"/>
                <w:color w:val="auto"/>
              </w:rPr>
              <w:t>Loss on extinguishment of debt</w:t>
            </w:r>
          </w:p>
        </w:tc>
        <w:tc>
          <w:tcPr>
            <w:tcW w:w="28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7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16,524</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79"/>
              <w:spacing w:after="0"/>
              <w:rPr>
                <w:sz w:val="20"/>
                <w:szCs w:val="20"/>
                <w:color w:val="auto"/>
              </w:rPr>
            </w:pPr>
            <w:r>
              <w:rPr>
                <w:rFonts w:ascii="Arial" w:cs="Arial" w:eastAsia="Arial" w:hAnsi="Arial"/>
                <w:sz w:val="18"/>
                <w:szCs w:val="18"/>
                <w:color w:val="auto"/>
              </w:rPr>
              <w:t>*</w:t>
            </w:r>
          </w:p>
        </w:tc>
      </w:tr>
      <w:tr>
        <w:trPr>
          <w:trHeight w:val="270"/>
        </w:trPr>
        <w:tc>
          <w:tcPr>
            <w:tcW w:w="33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expenses</w:t>
            </w:r>
          </w:p>
        </w:tc>
        <w:tc>
          <w:tcPr>
            <w:tcW w:w="280" w:type="dxa"/>
            <w:vAlign w:val="bottom"/>
            <w:tcBorders>
              <w:top w:val="single" w:sz="8" w:color="auto"/>
              <w:bottom w:val="single" w:sz="8" w:color="auto"/>
            </w:tcBorders>
            <w:shd w:val="clear" w:color="auto" w:fill="CCEEFF"/>
          </w:tcPr>
          <w:p>
            <w:pPr>
              <w:spacing w:after="0"/>
              <w:rPr>
                <w:sz w:val="23"/>
                <w:szCs w:val="23"/>
                <w:color w:val="auto"/>
              </w:rPr>
            </w:pPr>
          </w:p>
        </w:tc>
        <w:tc>
          <w:tcPr>
            <w:tcW w:w="9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852,990</w:t>
            </w: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auto"/>
            </w:tcBorders>
            <w:shd w:val="clear" w:color="auto" w:fill="CCEEFF"/>
          </w:tcPr>
          <w:p>
            <w:pPr>
              <w:spacing w:after="0"/>
              <w:rPr>
                <w:sz w:val="23"/>
                <w:szCs w:val="23"/>
                <w:color w:val="auto"/>
              </w:rPr>
            </w:pPr>
          </w:p>
        </w:tc>
        <w:tc>
          <w:tcPr>
            <w:tcW w:w="9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820,795</w:t>
            </w:r>
          </w:p>
        </w:tc>
        <w:tc>
          <w:tcPr>
            <w:tcW w:w="12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auto"/>
            </w:tcBorders>
            <w:shd w:val="clear" w:color="auto" w:fill="CCEEFF"/>
          </w:tcPr>
          <w:p>
            <w:pPr>
              <w:spacing w:after="0"/>
              <w:rPr>
                <w:sz w:val="23"/>
                <w:szCs w:val="23"/>
                <w:color w:val="auto"/>
              </w:rPr>
            </w:pPr>
          </w:p>
        </w:tc>
        <w:tc>
          <w:tcPr>
            <w:tcW w:w="10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2,528,435</w:t>
            </w:r>
          </w:p>
        </w:tc>
        <w:tc>
          <w:tcPr>
            <w:tcW w:w="100" w:type="dxa"/>
            <w:vAlign w:val="bottom"/>
            <w:tcBorders>
              <w:top w:val="single" w:sz="8" w:color="CCEEFF"/>
            </w:tcBorders>
            <w:shd w:val="clear" w:color="auto" w:fill="CCEEFF"/>
          </w:tcPr>
          <w:p>
            <w:pPr>
              <w:spacing w:after="0"/>
              <w:rPr>
                <w:sz w:val="23"/>
                <w:szCs w:val="23"/>
                <w:color w:val="auto"/>
              </w:rPr>
            </w:pPr>
          </w:p>
        </w:tc>
        <w:tc>
          <w:tcPr>
            <w:tcW w:w="460" w:type="dxa"/>
            <w:vAlign w:val="bottom"/>
            <w:tcBorders>
              <w:top w:val="single" w:sz="8" w:color="auto"/>
              <w:bottom w:val="single" w:sz="8" w:color="auto"/>
            </w:tcBorders>
            <w:shd w:val="clear" w:color="auto" w:fill="CCEEFF"/>
          </w:tcPr>
          <w:p>
            <w:pPr>
              <w:spacing w:after="0"/>
              <w:rPr>
                <w:sz w:val="23"/>
                <w:szCs w:val="23"/>
                <w:color w:val="auto"/>
              </w:rPr>
            </w:pPr>
          </w:p>
        </w:tc>
        <w:tc>
          <w:tcPr>
            <w:tcW w:w="9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2,431,623</w:t>
            </w:r>
          </w:p>
        </w:tc>
        <w:tc>
          <w:tcPr>
            <w:tcW w:w="12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4.0 %</w:t>
            </w:r>
          </w:p>
        </w:tc>
      </w:tr>
      <w:tr>
        <w:trPr>
          <w:trHeight w:val="187"/>
        </w:trPr>
        <w:tc>
          <w:tcPr>
            <w:tcW w:w="3360" w:type="dxa"/>
            <w:vAlign w:val="bottom"/>
          </w:tcPr>
          <w:p>
            <w:pPr>
              <w:ind w:left="20"/>
              <w:spacing w:after="0" w:line="187" w:lineRule="exact"/>
              <w:rPr>
                <w:sz w:val="20"/>
                <w:szCs w:val="20"/>
                <w:color w:val="auto"/>
              </w:rPr>
            </w:pPr>
            <w:r>
              <w:rPr>
                <w:rFonts w:ascii="Arial" w:cs="Arial" w:eastAsia="Arial" w:hAnsi="Arial"/>
                <w:sz w:val="18"/>
                <w:szCs w:val="18"/>
                <w:b w:val="1"/>
                <w:bCs w:val="1"/>
                <w:color w:val="auto"/>
              </w:rPr>
              <w:t>Income before provision for income</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46"/>
        </w:trPr>
        <w:tc>
          <w:tcPr>
            <w:tcW w:w="3360" w:type="dxa"/>
            <w:vAlign w:val="bottom"/>
          </w:tcPr>
          <w:p>
            <w:pPr>
              <w:ind w:left="220"/>
              <w:spacing w:after="0"/>
              <w:rPr>
                <w:sz w:val="20"/>
                <w:szCs w:val="20"/>
                <w:color w:val="auto"/>
              </w:rPr>
            </w:pPr>
            <w:r>
              <w:rPr>
                <w:rFonts w:ascii="Arial" w:cs="Arial" w:eastAsia="Arial" w:hAnsi="Arial"/>
                <w:sz w:val="18"/>
                <w:szCs w:val="18"/>
                <w:b w:val="1"/>
                <w:bCs w:val="1"/>
                <w:color w:val="auto"/>
              </w:rPr>
              <w:t>taxes</w:t>
            </w:r>
          </w:p>
        </w:tc>
        <w:tc>
          <w:tcPr>
            <w:tcW w:w="2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54,238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62,062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188,409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219,099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(14.0)%</w:t>
            </w:r>
          </w:p>
        </w:tc>
      </w:tr>
      <w:tr>
        <w:trPr>
          <w:trHeight w:val="290"/>
        </w:trPr>
        <w:tc>
          <w:tcPr>
            <w:tcW w:w="33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Provision for income taxes</w:t>
            </w: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19,939</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25,634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73,429</w:t>
            </w:r>
          </w:p>
        </w:tc>
        <w:tc>
          <w:tcPr>
            <w:tcW w:w="10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88,165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50"/>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34,299</w:t>
            </w:r>
          </w:p>
        </w:tc>
        <w:tc>
          <w:tcPr>
            <w:tcW w:w="100" w:type="dxa"/>
            <w:vAlign w:val="bottom"/>
          </w:tcPr>
          <w:p>
            <w:pPr>
              <w:spacing w:after="0"/>
              <w:rPr>
                <w:sz w:val="21"/>
                <w:szCs w:val="21"/>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36,428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0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114,980</w:t>
            </w:r>
          </w:p>
        </w:tc>
        <w:tc>
          <w:tcPr>
            <w:tcW w:w="10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130,934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0</wp:posOffset>
            </wp:positionV>
            <wp:extent cx="43224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322445" cy="8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-130175</wp:posOffset>
            </wp:positionV>
            <wp:extent cx="43224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32244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 Not Meaningful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76"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Commissions</w:t>
      </w:r>
    </w:p>
    <w:p>
      <w:pPr>
        <w:spacing w:after="0" w:line="243" w:lineRule="exact"/>
        <w:rPr>
          <w:sz w:val="20"/>
          <w:szCs w:val="20"/>
          <w:color w:val="auto"/>
        </w:rPr>
      </w:pPr>
    </w:p>
    <w:p>
      <w:pPr>
        <w:ind w:firstLine="405"/>
        <w:spacing w:after="0" w:line="262" w:lineRule="auto"/>
        <w:rPr>
          <w:sz w:val="20"/>
          <w:szCs w:val="20"/>
          <w:color w:val="auto"/>
        </w:rPr>
      </w:pPr>
      <w:r>
        <w:rPr>
          <w:rFonts w:ascii="Arial" w:cs="Arial" w:eastAsia="Arial" w:hAnsi="Arial"/>
          <w:sz w:val="18"/>
          <w:szCs w:val="18"/>
          <w:color w:val="auto"/>
        </w:rPr>
        <w:t>The following table sets forth our commission revenue, by product category, included in our unaudited condensed consolidated statements of income for the three months ended September 30, 2012 and 2011 (dollars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10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3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 Total</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2011</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 Total</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57"/>
        </w:trPr>
        <w:tc>
          <w:tcPr>
            <w:tcW w:w="3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Variable annuities</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189,874</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184,105</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5,769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63"/>
        </w:trPr>
        <w:tc>
          <w:tcPr>
            <w:tcW w:w="3380" w:type="dxa"/>
            <w:vAlign w:val="bottom"/>
          </w:tcPr>
          <w:p>
            <w:pPr>
              <w:ind w:left="80"/>
              <w:spacing w:after="0"/>
              <w:rPr>
                <w:sz w:val="20"/>
                <w:szCs w:val="20"/>
                <w:color w:val="auto"/>
              </w:rPr>
            </w:pPr>
            <w:r>
              <w:rPr>
                <w:rFonts w:ascii="Arial" w:cs="Arial" w:eastAsia="Arial" w:hAnsi="Arial"/>
                <w:sz w:val="18"/>
                <w:szCs w:val="18"/>
                <w:color w:val="auto"/>
              </w:rPr>
              <w:t>Mutual funds</w:t>
            </w: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122,779</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118,940</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3,839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77"/>
        </w:trPr>
        <w:tc>
          <w:tcPr>
            <w:tcW w:w="3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Alternative investments</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31,214</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30,028</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1,186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63"/>
        </w:trPr>
        <w:tc>
          <w:tcPr>
            <w:tcW w:w="3380" w:type="dxa"/>
            <w:vAlign w:val="bottom"/>
          </w:tcPr>
          <w:p>
            <w:pPr>
              <w:ind w:left="80"/>
              <w:spacing w:after="0"/>
              <w:rPr>
                <w:sz w:val="20"/>
                <w:szCs w:val="20"/>
                <w:color w:val="auto"/>
              </w:rPr>
            </w:pPr>
            <w:r>
              <w:rPr>
                <w:rFonts w:ascii="Arial" w:cs="Arial" w:eastAsia="Arial" w:hAnsi="Arial"/>
                <w:sz w:val="18"/>
                <w:szCs w:val="18"/>
                <w:color w:val="auto"/>
              </w:rPr>
              <w:t>Fixed annuities</w:t>
            </w: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24,443</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30,617</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(6,174)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77"/>
        </w:trPr>
        <w:tc>
          <w:tcPr>
            <w:tcW w:w="3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Equities</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23,306</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24,805</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63"/>
        </w:trPr>
        <w:tc>
          <w:tcPr>
            <w:tcW w:w="3380" w:type="dxa"/>
            <w:vAlign w:val="bottom"/>
          </w:tcPr>
          <w:p>
            <w:pPr>
              <w:ind w:left="80"/>
              <w:spacing w:after="0"/>
              <w:rPr>
                <w:sz w:val="20"/>
                <w:szCs w:val="20"/>
                <w:color w:val="auto"/>
              </w:rPr>
            </w:pPr>
            <w:r>
              <w:rPr>
                <w:rFonts w:ascii="Arial" w:cs="Arial" w:eastAsia="Arial" w:hAnsi="Arial"/>
                <w:sz w:val="18"/>
                <w:szCs w:val="18"/>
                <w:color w:val="auto"/>
              </w:rPr>
              <w:t>Fixed income</w:t>
            </w: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19,226</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20,007</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7"/>
        </w:trPr>
        <w:tc>
          <w:tcPr>
            <w:tcW w:w="3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Insurance</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18,877</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18,105</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772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63"/>
        </w:trPr>
        <w:tc>
          <w:tcPr>
            <w:tcW w:w="3380" w:type="dxa"/>
            <w:vAlign w:val="bottom"/>
          </w:tcPr>
          <w:p>
            <w:pPr>
              <w:ind w:left="80"/>
              <w:spacing w:after="0"/>
              <w:rPr>
                <w:sz w:val="20"/>
                <w:szCs w:val="20"/>
                <w:color w:val="auto"/>
              </w:rPr>
            </w:pPr>
            <w:r>
              <w:rPr>
                <w:rFonts w:ascii="Arial" w:cs="Arial" w:eastAsia="Arial" w:hAnsi="Arial"/>
                <w:sz w:val="18"/>
                <w:szCs w:val="18"/>
                <w:color w:val="auto"/>
              </w:rPr>
              <w:t>Group variable annuities(1)</w:t>
            </w: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12,151</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11,102</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1,049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277"/>
        </w:trPr>
        <w:tc>
          <w:tcPr>
            <w:tcW w:w="3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50"/>
        </w:trPr>
        <w:tc>
          <w:tcPr>
            <w:tcW w:w="3380" w:type="dxa"/>
            <w:vAlign w:val="bottom"/>
          </w:tcPr>
          <w:p>
            <w:pPr>
              <w:ind w:left="200"/>
              <w:spacing w:after="0"/>
              <w:rPr>
                <w:sz w:val="20"/>
                <w:szCs w:val="20"/>
                <w:color w:val="auto"/>
              </w:rPr>
            </w:pPr>
            <w:r>
              <w:rPr>
                <w:rFonts w:ascii="Arial" w:cs="Arial" w:eastAsia="Arial" w:hAnsi="Arial"/>
                <w:sz w:val="18"/>
                <w:szCs w:val="18"/>
                <w:b w:val="1"/>
                <w:bCs w:val="1"/>
                <w:color w:val="auto"/>
              </w:rPr>
              <w:t>Total commission revenue</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442,129</w:t>
            </w:r>
          </w:p>
        </w:tc>
        <w:tc>
          <w:tcPr>
            <w:tcW w:w="100" w:type="dxa"/>
            <w:vAlign w:val="bottom"/>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438,294</w:t>
            </w:r>
          </w:p>
        </w:tc>
        <w:tc>
          <w:tcPr>
            <w:tcW w:w="100" w:type="dxa"/>
            <w:vAlign w:val="bottom"/>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3,835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260" w:hanging="328"/>
        <w:spacing w:after="0" w:line="256"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the three months ended September 30, 2012, group annuities has been presented as a separate component of commission revenues. Previously, group annuities had been presented within variable annuities. Accordingly, amounts have been reclassified for the three months ended September 30, 2011 to make them consistent with the current period presentation.</w:t>
      </w:r>
    </w:p>
    <w:p>
      <w:pPr>
        <w:spacing w:after="0" w:line="202"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Commission revenue increased by $3.8 million, or 0.9%, for the three months ended September 30, 2012 compared with 2011. The growth in revenues for variable annuities of 3.1% is based on an increase in trail-based commissions partially offset by a decrease in sales-based commissions. The combination of low interest rates and market uncertainty impacted sales commissions for variable annuities due to its impact on product design. In addition, insurers have lowered the amount of risk they are willing to retain on variable annuity products by reducing certain insurance benefits, thereby making the products less attractive to investors. Group variable annuities increased due to growth in our retirement business.</w:t>
      </w:r>
    </w:p>
    <w:p>
      <w:pPr>
        <w:spacing w:after="0" w:line="114"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Mutual fund commission revenues increased based on an increase in sales-based commissions due to growth of the underlying assets. Excluding sales-based commissions, commission revenues from mutual funds were unchanged due to flat trail-based commissions for the three months ended September 30, 2012 compared to the three months ended September 30, 2011. The increase in alternative investments is reflective of investor preferences for diversification and opportunities to earn return outside of the traditional equity and fixed income markets. Income producing alternative strategies continue to grow in popularity as the needs of investors shift toward diversification. Insurance commission revenues increased on improved single premium life sales, which was partially reduced by a decrease in variable life sales.</w:t>
      </w:r>
    </w:p>
    <w:p>
      <w:pPr>
        <w:spacing w:after="0" w:line="114" w:lineRule="exact"/>
        <w:rPr>
          <w:sz w:val="20"/>
          <w:szCs w:val="20"/>
          <w:color w:val="auto"/>
        </w:rPr>
      </w:pPr>
    </w:p>
    <w:p>
      <w:pPr>
        <w:ind w:right="540" w:firstLine="486"/>
        <w:spacing w:after="0" w:line="262" w:lineRule="auto"/>
        <w:rPr>
          <w:sz w:val="20"/>
          <w:szCs w:val="20"/>
          <w:color w:val="auto"/>
        </w:rPr>
      </w:pPr>
      <w:r>
        <w:rPr>
          <w:rFonts w:ascii="Arial" w:cs="Arial" w:eastAsia="Arial" w:hAnsi="Arial"/>
          <w:sz w:val="18"/>
          <w:szCs w:val="18"/>
          <w:color w:val="auto"/>
        </w:rPr>
        <w:t>The continued low interest rate environment, which has reduced investor demand for fixed annuities and fixed income securities, is reflected in the decline in commission revenues for these two products.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76" w:right="239" w:bottom="1440" w:gutter="0" w:footer="0" w:header="0"/>
        </w:sectPr>
      </w:pPr>
    </w:p>
    <w:bookmarkStart w:id="43" w:name="page44"/>
    <w:bookmarkEnd w:id="43"/>
    <w:p>
      <w:pPr>
        <w:ind w:right="860" w:firstLine="486"/>
        <w:spacing w:after="0" w:line="262" w:lineRule="auto"/>
        <w:rPr>
          <w:sz w:val="20"/>
          <w:szCs w:val="20"/>
          <w:color w:val="auto"/>
        </w:rPr>
      </w:pPr>
      <w:r>
        <w:rPr>
          <w:rFonts w:ascii="Arial" w:cs="Arial" w:eastAsia="Arial" w:hAnsi="Arial"/>
          <w:sz w:val="18"/>
          <w:szCs w:val="18"/>
          <w:color w:val="auto"/>
        </w:rPr>
        <w:t>The following table sets forth our commission revenue, by product category, included in our unaudited condensed consolidated statements of income for the nine months ended September 30, 2012 and 2011 (dollars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6"/>
                <w:szCs w:val="16"/>
                <w:b w:val="1"/>
                <w:bCs w:val="1"/>
                <w:color w:val="auto"/>
              </w:rPr>
              <w:t>Nine Months Ended September 30,</w:t>
            </w:r>
          </w:p>
        </w:tc>
        <w:tc>
          <w:tcPr>
            <w:tcW w:w="10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3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 Total</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2011</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 Total</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57"/>
        </w:trPr>
        <w:tc>
          <w:tcPr>
            <w:tcW w:w="3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Variable annuities</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570,739</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557,274</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13,465</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63"/>
        </w:trPr>
        <w:tc>
          <w:tcPr>
            <w:tcW w:w="3380" w:type="dxa"/>
            <w:vAlign w:val="bottom"/>
          </w:tcPr>
          <w:p>
            <w:pPr>
              <w:ind w:left="80"/>
              <w:spacing w:after="0"/>
              <w:rPr>
                <w:sz w:val="20"/>
                <w:szCs w:val="20"/>
                <w:color w:val="auto"/>
              </w:rPr>
            </w:pPr>
            <w:r>
              <w:rPr>
                <w:rFonts w:ascii="Arial" w:cs="Arial" w:eastAsia="Arial" w:hAnsi="Arial"/>
                <w:sz w:val="18"/>
                <w:szCs w:val="18"/>
                <w:color w:val="auto"/>
              </w:rPr>
              <w:t>Mutual funds</w:t>
            </w:r>
          </w:p>
        </w:tc>
        <w:tc>
          <w:tcPr>
            <w:tcW w:w="24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367,584</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368,030</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7"/>
        </w:trPr>
        <w:tc>
          <w:tcPr>
            <w:tcW w:w="3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Alternative investments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102,808</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84,471</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18,337</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21.7 %</w:t>
            </w:r>
          </w:p>
        </w:tc>
        <w:tc>
          <w:tcPr>
            <w:tcW w:w="0" w:type="dxa"/>
            <w:vAlign w:val="bottom"/>
          </w:tcPr>
          <w:p>
            <w:pPr>
              <w:spacing w:after="0"/>
              <w:rPr>
                <w:sz w:val="1"/>
                <w:szCs w:val="1"/>
                <w:color w:val="auto"/>
              </w:rPr>
            </w:pPr>
          </w:p>
        </w:tc>
      </w:tr>
      <w:tr>
        <w:trPr>
          <w:trHeight w:val="263"/>
        </w:trPr>
        <w:tc>
          <w:tcPr>
            <w:tcW w:w="3380" w:type="dxa"/>
            <w:vAlign w:val="bottom"/>
          </w:tcPr>
          <w:p>
            <w:pPr>
              <w:ind w:left="80"/>
              <w:spacing w:after="0"/>
              <w:rPr>
                <w:sz w:val="20"/>
                <w:szCs w:val="20"/>
                <w:color w:val="auto"/>
              </w:rPr>
            </w:pPr>
            <w:r>
              <w:rPr>
                <w:rFonts w:ascii="Arial" w:cs="Arial" w:eastAsia="Arial" w:hAnsi="Arial"/>
                <w:sz w:val="18"/>
                <w:szCs w:val="18"/>
                <w:color w:val="auto"/>
              </w:rPr>
              <w:t>Fixed annuities</w:t>
            </w:r>
          </w:p>
        </w:tc>
        <w:tc>
          <w:tcPr>
            <w:tcW w:w="24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80,262</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110,071</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(29,809)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77"/>
        </w:trPr>
        <w:tc>
          <w:tcPr>
            <w:tcW w:w="3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Equities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72,669</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77,107</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63"/>
        </w:trPr>
        <w:tc>
          <w:tcPr>
            <w:tcW w:w="3380" w:type="dxa"/>
            <w:vAlign w:val="bottom"/>
          </w:tcPr>
          <w:p>
            <w:pPr>
              <w:ind w:left="80"/>
              <w:spacing w:after="0"/>
              <w:rPr>
                <w:sz w:val="20"/>
                <w:szCs w:val="20"/>
                <w:color w:val="auto"/>
              </w:rPr>
            </w:pPr>
            <w:r>
              <w:rPr>
                <w:rFonts w:ascii="Arial" w:cs="Arial" w:eastAsia="Arial" w:hAnsi="Arial"/>
                <w:sz w:val="18"/>
                <w:szCs w:val="18"/>
                <w:color w:val="auto"/>
              </w:rPr>
              <w:t>Fixed income</w:t>
            </w:r>
          </w:p>
        </w:tc>
        <w:tc>
          <w:tcPr>
            <w:tcW w:w="24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61,706</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65,509</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(3,803)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7"/>
        </w:trPr>
        <w:tc>
          <w:tcPr>
            <w:tcW w:w="3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Insurance</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58,470</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50,991</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7,479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14.7 %</w:t>
            </w:r>
          </w:p>
        </w:tc>
        <w:tc>
          <w:tcPr>
            <w:tcW w:w="0" w:type="dxa"/>
            <w:vAlign w:val="bottom"/>
          </w:tcPr>
          <w:p>
            <w:pPr>
              <w:spacing w:after="0"/>
              <w:rPr>
                <w:sz w:val="1"/>
                <w:szCs w:val="1"/>
                <w:color w:val="auto"/>
              </w:rPr>
            </w:pPr>
          </w:p>
        </w:tc>
      </w:tr>
      <w:tr>
        <w:trPr>
          <w:trHeight w:val="263"/>
        </w:trPr>
        <w:tc>
          <w:tcPr>
            <w:tcW w:w="3380" w:type="dxa"/>
            <w:vAlign w:val="bottom"/>
          </w:tcPr>
          <w:p>
            <w:pPr>
              <w:ind w:left="80"/>
              <w:spacing w:after="0"/>
              <w:rPr>
                <w:sz w:val="20"/>
                <w:szCs w:val="20"/>
                <w:color w:val="auto"/>
              </w:rPr>
            </w:pPr>
            <w:r>
              <w:rPr>
                <w:rFonts w:ascii="Arial" w:cs="Arial" w:eastAsia="Arial" w:hAnsi="Arial"/>
                <w:sz w:val="18"/>
                <w:szCs w:val="18"/>
                <w:color w:val="auto"/>
              </w:rPr>
              <w:t>Group variable annuities(1)</w:t>
            </w:r>
          </w:p>
        </w:tc>
        <w:tc>
          <w:tcPr>
            <w:tcW w:w="24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38,042</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34,506</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3,536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r>
        <w:trPr>
          <w:trHeight w:val="277"/>
        </w:trPr>
        <w:tc>
          <w:tcPr>
            <w:tcW w:w="3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745</w:t>
            </w:r>
          </w:p>
        </w:tc>
        <w:tc>
          <w:tcPr>
            <w:tcW w:w="100" w:type="dxa"/>
            <w:vAlign w:val="bottom"/>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2,094</w:t>
            </w:r>
          </w:p>
        </w:tc>
        <w:tc>
          <w:tcPr>
            <w:tcW w:w="100" w:type="dxa"/>
            <w:vAlign w:val="bottom"/>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50"/>
        </w:trPr>
        <w:tc>
          <w:tcPr>
            <w:tcW w:w="3380" w:type="dxa"/>
            <w:vAlign w:val="bottom"/>
          </w:tcPr>
          <w:p>
            <w:pPr>
              <w:ind w:left="200"/>
              <w:spacing w:after="0"/>
              <w:rPr>
                <w:sz w:val="20"/>
                <w:szCs w:val="20"/>
                <w:color w:val="auto"/>
              </w:rPr>
            </w:pPr>
            <w:r>
              <w:rPr>
                <w:rFonts w:ascii="Arial" w:cs="Arial" w:eastAsia="Arial" w:hAnsi="Arial"/>
                <w:sz w:val="18"/>
                <w:szCs w:val="18"/>
                <w:b w:val="1"/>
                <w:bCs w:val="1"/>
                <w:color w:val="auto"/>
              </w:rPr>
              <w:t>Total commission revenue</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1,353,025</w:t>
            </w:r>
          </w:p>
        </w:tc>
        <w:tc>
          <w:tcPr>
            <w:tcW w:w="100" w:type="dxa"/>
            <w:vAlign w:val="bottom"/>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1,350,053</w:t>
            </w:r>
          </w:p>
        </w:tc>
        <w:tc>
          <w:tcPr>
            <w:tcW w:w="100" w:type="dxa"/>
            <w:vAlign w:val="bottom"/>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2,972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260" w:hanging="328"/>
        <w:spacing w:after="0" w:line="256"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the nine months ended September 30, 2012, group annuities has been presented as a separate component of commission revenues. Previously, group annuities had been presented within variable annuities. Accordingly, amounts have been reclassified for the three months ended September 30, 2011 to make them consistent with the current period presentation.</w:t>
      </w:r>
    </w:p>
    <w:p>
      <w:pPr>
        <w:spacing w:after="0" w:line="148"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Commission revenue increased by $3.0 million, or 0.2%, for the nine months ended September 30, 2012 compared with 2011. This increase was a result of the same factors that impacted our quarterly performance for most product categories. The decrease in mutual fund commission revenues is a result of a marginal improvement in mutual fund sales offset by an increased rate of mutual fund redemptions in the first half of the year that led to a decline in mutual fund trail-based revenues.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Advisory Fees</w:t>
      </w:r>
    </w:p>
    <w:p>
      <w:pPr>
        <w:spacing w:after="0" w:line="243"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color w:val="auto"/>
        </w:rPr>
        <w:t>The following table summarizes the activity within our advisory assets under custody for the three and nine months ended September 30, 2012 and 2011 (in billions):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rPr>
              <w:t>For the Three Months Ended</w:t>
            </w:r>
          </w:p>
        </w:tc>
        <w:tc>
          <w:tcPr>
            <w:tcW w:w="260" w:type="dxa"/>
            <w:vAlign w:val="bottom"/>
          </w:tcPr>
          <w:p>
            <w:pPr>
              <w:spacing w:after="0"/>
              <w:rPr>
                <w:sz w:val="16"/>
                <w:szCs w:val="16"/>
                <w:color w:val="auto"/>
              </w:rPr>
            </w:pPr>
          </w:p>
        </w:tc>
        <w:tc>
          <w:tcPr>
            <w:tcW w:w="2600" w:type="dxa"/>
            <w:vAlign w:val="bottom"/>
            <w:gridSpan w:val="4"/>
          </w:tcPr>
          <w:p>
            <w:pPr>
              <w:jc w:val="right"/>
              <w:ind w:right="270"/>
              <w:spacing w:after="0"/>
              <w:rPr>
                <w:sz w:val="20"/>
                <w:szCs w:val="20"/>
                <w:color w:val="auto"/>
              </w:rPr>
            </w:pPr>
            <w:r>
              <w:rPr>
                <w:rFonts w:ascii="Arial" w:cs="Arial" w:eastAsia="Arial" w:hAnsi="Arial"/>
                <w:sz w:val="16"/>
                <w:szCs w:val="16"/>
                <w:b w:val="1"/>
                <w:bCs w:val="1"/>
                <w:color w:val="auto"/>
              </w:rPr>
              <w:t>For the Nine Months Ended</w:t>
            </w:r>
          </w:p>
        </w:tc>
      </w:tr>
      <w:tr>
        <w:trPr>
          <w:trHeight w:val="228"/>
        </w:trPr>
        <w:tc>
          <w:tcPr>
            <w:tcW w:w="5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4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9"/>
                <w:szCs w:val="19"/>
                <w:color w:val="auto"/>
              </w:rPr>
            </w:pPr>
          </w:p>
        </w:tc>
        <w:tc>
          <w:tcPr>
            <w:tcW w:w="2600" w:type="dxa"/>
            <w:vAlign w:val="bottom"/>
            <w:gridSpan w:val="4"/>
          </w:tcPr>
          <w:p>
            <w:pPr>
              <w:jc w:val="right"/>
              <w:ind w:right="770"/>
              <w:spacing w:after="0"/>
              <w:rPr>
                <w:sz w:val="20"/>
                <w:szCs w:val="20"/>
                <w:color w:val="auto"/>
              </w:rPr>
            </w:pPr>
            <w:r>
              <w:rPr>
                <w:rFonts w:ascii="Arial" w:cs="Arial" w:eastAsia="Arial" w:hAnsi="Arial"/>
                <w:sz w:val="16"/>
                <w:szCs w:val="16"/>
                <w:b w:val="1"/>
                <w:bCs w:val="1"/>
                <w:color w:val="auto"/>
              </w:rPr>
              <w:t>September 30,</w:t>
            </w:r>
          </w:p>
        </w:tc>
      </w:tr>
      <w:tr>
        <w:trPr>
          <w:trHeight w:val="264"/>
        </w:trPr>
        <w:tc>
          <w:tcPr>
            <w:tcW w:w="55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2011</w:t>
            </w: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 Beginning of period</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111.4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101.6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93.0</w:t>
            </w: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Net new advisory assets</w:t>
            </w:r>
          </w:p>
        </w:tc>
        <w:tc>
          <w:tcPr>
            <w:tcW w:w="2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9.8</w:t>
            </w:r>
          </w:p>
        </w:tc>
      </w:tr>
      <w:tr>
        <w:trPr>
          <w:trHeight w:val="27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Market impact and other</w:t>
            </w: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57"/>
        </w:trPr>
        <w:tc>
          <w:tcPr>
            <w:tcW w:w="5580" w:type="dxa"/>
            <w:vAlign w:val="bottom"/>
          </w:tcPr>
          <w:p>
            <w:pPr>
              <w:ind w:left="40"/>
              <w:spacing w:after="0"/>
              <w:rPr>
                <w:sz w:val="20"/>
                <w:szCs w:val="20"/>
                <w:color w:val="auto"/>
              </w:rPr>
            </w:pPr>
            <w:r>
              <w:rPr>
                <w:rFonts w:ascii="Arial" w:cs="Arial" w:eastAsia="Arial" w:hAnsi="Arial"/>
                <w:sz w:val="18"/>
                <w:szCs w:val="18"/>
                <w:color w:val="auto"/>
              </w:rPr>
              <w:t>Balance - End of period</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118.6</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96.3</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118.6</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96.3</w:t>
            </w:r>
          </w:p>
        </w:tc>
      </w:tr>
      <w:tr>
        <w:trPr>
          <w:trHeight w:val="20"/>
        </w:trPr>
        <w:tc>
          <w:tcPr>
            <w:tcW w:w="5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80" w:firstLine="486"/>
        <w:spacing w:after="0" w:line="254" w:lineRule="auto"/>
        <w:rPr>
          <w:sz w:val="20"/>
          <w:szCs w:val="20"/>
          <w:color w:val="auto"/>
        </w:rPr>
      </w:pPr>
      <w:r>
        <w:rPr>
          <w:rFonts w:ascii="Arial" w:cs="Arial" w:eastAsia="Arial" w:hAnsi="Arial"/>
          <w:sz w:val="18"/>
          <w:szCs w:val="18"/>
          <w:color w:val="auto"/>
        </w:rPr>
        <w:t>Net new advisory assets for the three and nine months ended September 30, 2012 and 2011 have a limited impact on advisory fee revenue for those respective periods. Rather, net new advisory assets are a primary driver of future advisory fee revenue. Net new advisory assets increased $2.9 billion for the three months ended September 30, 2012 as a result of strong new business development and a shift by our existing advisors toward more advisory business.</w:t>
      </w:r>
    </w:p>
    <w:p>
      <w:pPr>
        <w:spacing w:after="0" w:line="204"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Advisory fee revenue decreased by $0.5 million, or 0.2%, for the three months ended September 30, 2012 compared to 2011. Advisory fee revenue for a particular quarter is primarily driven by the level of advisory assets as of the prior quarter-end. At June 30, 2012, advisory assets were $111.4 billion, a 7.9% increase over the balance at June 30, 2011. The continued shift of advisors to the Independent RIA platform and a re-pricing in one of our significant agreements have caused the rate of revenue growth to lag behind the rate of advisory asset growth.</w:t>
      </w:r>
    </w:p>
    <w:p>
      <w:pPr>
        <w:spacing w:after="0" w:line="204" w:lineRule="exact"/>
        <w:rPr>
          <w:sz w:val="20"/>
          <w:szCs w:val="20"/>
          <w:color w:val="auto"/>
        </w:rPr>
      </w:pPr>
    </w:p>
    <w:p>
      <w:pPr>
        <w:ind w:right="180" w:firstLine="486"/>
        <w:spacing w:after="0" w:line="256" w:lineRule="auto"/>
        <w:rPr>
          <w:sz w:val="20"/>
          <w:szCs w:val="20"/>
          <w:color w:val="auto"/>
        </w:rPr>
      </w:pPr>
      <w:r>
        <w:rPr>
          <w:rFonts w:ascii="Arial" w:cs="Arial" w:eastAsia="Arial" w:hAnsi="Arial"/>
          <w:sz w:val="18"/>
          <w:szCs w:val="18"/>
          <w:color w:val="auto"/>
        </w:rPr>
        <w:t>Advisory fee revenue increased by $10.3 million, or 1.3%, for the nine months ended September 30, 2012 compared to 2011. This growth was supported by net new advisory asset flows and the shift of advisors toward more advisory asset business, in addition to a positive market impact on our asset values for the nine months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98"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ended September 30, 2012.</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makeup within our advisory assets under custody as of September 30, 2012 and 2011 (in billions):</w:t>
      </w:r>
    </w:p>
    <w:p>
      <w:pPr>
        <w:spacing w:after="0" w:line="181" w:lineRule="exact"/>
        <w:rPr>
          <w:sz w:val="20"/>
          <w:szCs w:val="20"/>
          <w:color w:val="auto"/>
        </w:rPr>
      </w:pPr>
    </w:p>
    <w:tbl>
      <w:tblPr>
        <w:tblLayout w:type="fixed"/>
        <w:tblInd w:w="1120" w:type="dxa"/>
        <w:tblCellMar>
          <w:top w:w="0" w:type="dxa"/>
          <w:left w:w="0" w:type="dxa"/>
          <w:bottom w:w="0" w:type="dxa"/>
          <w:right w:w="0" w:type="dxa"/>
        </w:tblCellMar>
      </w:tblPr>
      <w:tr>
        <w:trPr>
          <w:trHeight w:val="228"/>
        </w:trPr>
        <w:tc>
          <w:tcPr>
            <w:tcW w:w="60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4"/>
          </w:tcPr>
          <w:p>
            <w:pPr>
              <w:ind w:left="120"/>
              <w:spacing w:after="0"/>
              <w:rPr>
                <w:sz w:val="20"/>
                <w:szCs w:val="20"/>
                <w:color w:val="auto"/>
              </w:rPr>
            </w:pPr>
            <w:r>
              <w:rPr>
                <w:rFonts w:ascii="Arial" w:cs="Arial" w:eastAsia="Arial" w:hAnsi="Arial"/>
                <w:sz w:val="16"/>
                <w:szCs w:val="16"/>
                <w:b w:val="1"/>
                <w:bCs w:val="1"/>
                <w:color w:val="auto"/>
              </w:rPr>
              <w:t>As of September 30,</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184"/>
        </w:trPr>
        <w:tc>
          <w:tcPr>
            <w:tcW w:w="6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w:t>
            </w:r>
          </w:p>
        </w:tc>
      </w:tr>
      <w:tr>
        <w:trPr>
          <w:trHeight w:val="228"/>
        </w:trPr>
        <w:tc>
          <w:tcPr>
            <w:tcW w:w="60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2011</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r>
      <w:tr>
        <w:trPr>
          <w:trHeight w:val="257"/>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Advisory assets under management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64"/>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Independent RIA assets in advisory accounts custodied by LPL Financial</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84.2%</w:t>
            </w:r>
          </w:p>
        </w:tc>
      </w:tr>
      <w:tr>
        <w:trPr>
          <w:trHeight w:val="257"/>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advisory assets under custody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0"/>
        </w:trPr>
        <w:tc>
          <w:tcPr>
            <w:tcW w:w="6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460" w:firstLine="486"/>
        <w:spacing w:after="0" w:line="256" w:lineRule="auto"/>
        <w:rPr>
          <w:sz w:val="20"/>
          <w:szCs w:val="20"/>
          <w:color w:val="auto"/>
        </w:rPr>
      </w:pPr>
      <w:r>
        <w:rPr>
          <w:rFonts w:ascii="Arial" w:cs="Arial" w:eastAsia="Arial" w:hAnsi="Arial"/>
          <w:sz w:val="18"/>
          <w:szCs w:val="18"/>
          <w:color w:val="auto"/>
        </w:rPr>
        <w:t>Growth of the Independent RIA assets in advisory accounts custodied by LPL Financial has outpaced the growth in advisory assets under management. This growth is consistent with the industry trend of more advisors shifting their business toward the Independent RIA model.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Asset-Based Fees</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Asset-based fees increased by $10.3 million, or 11.5%, to $100.0 million for the three months ended September 30, 2012 compared 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2011. Revenues for record-keeping services and from product sponsors, which are largely based on the underlying asset values, increased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due to the impact of the higher average market indices on the value of those underlying assets and net new sales of eligible assets.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average S&amp;P 500 index for the three months ended September 30, 2012 was 1,401, an increase of 14.3% over the average in the prior year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period. In addition, asset-based fees increased as a result of the UVEST conversion, which enables LPL Financial to earn revenues for certain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services as the clearing firm that were previously performed by a third-party clearing firm. Asset-based fees also include revenues from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sweep programs, which increased by $2.8 million, or 8.9%, to $34.4 million for the three months ended September 30, 2012 from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$31.6 million for the three months ended September 30, 2011. This was primarily driven by an increase in the average effective rate for federal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funds of 6 basis points from 0.08% for the three months ended September 30, 2011 to 0.14% for the three months ended September 30, 2012.</w:t>
      </w:r>
    </w:p>
    <w:p>
      <w:pPr>
        <w:spacing w:after="0" w:line="185" w:lineRule="exact"/>
        <w:rPr>
          <w:sz w:val="20"/>
          <w:szCs w:val="20"/>
          <w:color w:val="auto"/>
        </w:rPr>
      </w:pPr>
    </w:p>
    <w:p>
      <w:pPr>
        <w:ind w:right="100" w:firstLine="486"/>
        <w:spacing w:after="0" w:line="251" w:lineRule="auto"/>
        <w:rPr>
          <w:sz w:val="20"/>
          <w:szCs w:val="20"/>
          <w:color w:val="auto"/>
        </w:rPr>
      </w:pPr>
      <w:r>
        <w:rPr>
          <w:rFonts w:ascii="Arial" w:cs="Arial" w:eastAsia="Arial" w:hAnsi="Arial"/>
          <w:sz w:val="18"/>
          <w:szCs w:val="18"/>
          <w:color w:val="auto"/>
        </w:rPr>
        <w:t>Asset-based fees increased by $30.0 million, or 11.1%, to $300.0 million for the nine months ended September 30, 2012 compared with 2011. Revenues for record-keeping services and from product sponsors, which are largely based on the underlying asset values, increased due to the impact of the higher average market indices on the value of those underlying assets and net new sales of eligible assets. The average S&amp;P 500 index for the nine months ended September 30, 2012 was 1,367, an increase of 6.6% over the average in the prior year period. Additionally, asset-based fees increased partially as a result of the UVEST conversion, as described above. Asset-based fees also include revenues from our cash sweep programs, which increased by $9.7 million, or 10.4%, to $102.9 million for the nine months ended September 30, 2012 from $93.2 million for the nine months ended September 30, 2011. This was primarily driven by an increase in the assets in our cash sweep programs, which averaged $22.1 billion and $20.2 billion for the nine months ended September 30, 2012 and 2011, respectively, as retail investors increased their percentage of cash assets in response to the volatility in the financial markets.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and Other Fees</w:t>
      </w:r>
    </w:p>
    <w:p>
      <w:pPr>
        <w:spacing w:after="0" w:line="203"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Transaction and other fees increased by $6.3 million, or 8.0%, for the three months ended September 30, 2012 compared with 2011. Transaction and other fees increased due to a 3.6% increase in the average number of advisors for the three months ended September 30, 2012 compared to 2011, increases in fees earned from those advisors and institutions who converted to the LPL Financial platform from UVEST and increases due to repricing of certain services. Revenues in the current quarter of 2012 also increased due to fee revenues of $3.7 million from the acquired Fortigent business. Lower trade volumes in certain advisory accounts reduced transaction revenues, which partially offset these increases.</w:t>
      </w:r>
    </w:p>
    <w:p>
      <w:pPr>
        <w:spacing w:after="0" w:line="168"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Transaction and other fees increased by $17.2 million, or 7.8%, for the nine months ended September 30, 2012 compared with 2011. Transaction and other fees increased due to a 3.7% increase in the average number of advisors for the nine months ended September 30, 2012 compared to 2011, increases in fees earned from those advisors and institutions who converted to the LPL Financial platform from UVEST and increases due to repricing of certain services. For the nine months ended September 30, 2012, revenues from Fortigent contributed $6.6 million. Lower trade volumes in certain advisory accounts reduced transaction revenues, which partially offset these increases.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598"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i w:val="1"/>
          <w:iCs w:val="1"/>
          <w:color w:val="auto"/>
        </w:rPr>
        <w:t>Other Revenue</w:t>
      </w:r>
    </w:p>
    <w:p>
      <w:pPr>
        <w:spacing w:after="0" w:line="203"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Other revenue increased $4.5 million, or 52.7%, to $13.0 million for the three months ended September 30, 2012 compared to 2011. The primary contributor to this increase in 2012 was unrealized gains on assets held for the advisor non-qualified deferred compensation plan, which increased compared to the same period in 2011. The unrealized gains on assets held for the advisor non-qualified deferred compensation plan is offset by corresponding production expenses.</w:t>
      </w:r>
    </w:p>
    <w:p>
      <w:pPr>
        <w:spacing w:after="0" w:line="164"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Other revenue increased $5.7 million, or 16.9%, to $39.1 million for the nine months ended September 30, 2012 compared to 2011. The primary contributor to this increase in 2012 was alternative investment marketing allowance fees received from product sponsor programs, which increased by $ 3.1 million compared to the same period in 2011, largely based on increased sales of alternative investments. An additional contributor to the increase was growth in retirement sponsorship programs of $2.6 million, as a result of growth based on our synergies with NRP.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Production Expenses</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production payout ratio for the three and nine months ended September 30, 2012 and 2011:</w:t>
      </w:r>
    </w:p>
    <w:p>
      <w:pPr>
        <w:spacing w:after="0" w:line="154" w:lineRule="exact"/>
        <w:rPr>
          <w:sz w:val="20"/>
          <w:szCs w:val="20"/>
          <w:color w:val="auto"/>
        </w:rPr>
      </w:pPr>
    </w:p>
    <w:tbl>
      <w:tblPr>
        <w:tblLayout w:type="fixed"/>
        <w:tblInd w:w="220" w:type="dxa"/>
        <w:tblCellMar>
          <w:top w:w="0" w:type="dxa"/>
          <w:left w:w="0" w:type="dxa"/>
          <w:bottom w:w="0" w:type="dxa"/>
          <w:right w:w="0" w:type="dxa"/>
        </w:tblCellMar>
      </w:tblPr>
      <w:tr>
        <w:trPr>
          <w:trHeight w:val="189"/>
        </w:trPr>
        <w:tc>
          <w:tcPr>
            <w:tcW w:w="3720" w:type="dxa"/>
            <w:vAlign w:val="bottom"/>
          </w:tcPr>
          <w:p>
            <w:pPr>
              <w:spacing w:after="0"/>
              <w:rPr>
                <w:sz w:val="16"/>
                <w:szCs w:val="16"/>
                <w:color w:val="auto"/>
              </w:rPr>
            </w:pPr>
          </w:p>
        </w:tc>
        <w:tc>
          <w:tcPr>
            <w:tcW w:w="256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rPr>
              <w:t>For the Three Months Ended</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rPr>
              <w:t>For the Nine Months Ended</w:t>
            </w:r>
          </w:p>
        </w:tc>
        <w:tc>
          <w:tcPr>
            <w:tcW w:w="1040" w:type="dxa"/>
            <w:vAlign w:val="bottom"/>
          </w:tcPr>
          <w:p>
            <w:pPr>
              <w:spacing w:after="0"/>
              <w:rPr>
                <w:sz w:val="16"/>
                <w:szCs w:val="16"/>
                <w:color w:val="auto"/>
              </w:rPr>
            </w:pPr>
          </w:p>
        </w:tc>
      </w:tr>
      <w:tr>
        <w:trPr>
          <w:trHeight w:val="228"/>
        </w:trPr>
        <w:tc>
          <w:tcPr>
            <w:tcW w:w="3720" w:type="dxa"/>
            <w:vAlign w:val="bottom"/>
          </w:tcPr>
          <w:p>
            <w:pPr>
              <w:spacing w:after="0"/>
              <w:rPr>
                <w:sz w:val="19"/>
                <w:szCs w:val="19"/>
                <w:color w:val="auto"/>
              </w:rPr>
            </w:pPr>
          </w:p>
        </w:tc>
        <w:tc>
          <w:tcPr>
            <w:tcW w:w="256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rPr>
              <w:t>September 30,</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rPr>
              <w:t>September 30,</w:t>
            </w:r>
          </w:p>
        </w:tc>
        <w:tc>
          <w:tcPr>
            <w:tcW w:w="1040" w:type="dxa"/>
            <w:vAlign w:val="bottom"/>
          </w:tcPr>
          <w:p>
            <w:pPr>
              <w:spacing w:after="0"/>
              <w:rPr>
                <w:sz w:val="19"/>
                <w:szCs w:val="19"/>
                <w:color w:val="auto"/>
              </w:rPr>
            </w:pPr>
          </w:p>
        </w:tc>
      </w:tr>
      <w:tr>
        <w:trPr>
          <w:trHeight w:val="264"/>
        </w:trPr>
        <w:tc>
          <w:tcPr>
            <w:tcW w:w="3720" w:type="dxa"/>
            <w:vAlign w:val="bottom"/>
          </w:tcPr>
          <w:p>
            <w:pPr>
              <w:spacing w:after="0"/>
              <w:rPr>
                <w:sz w:val="22"/>
                <w:szCs w:val="22"/>
                <w:color w:val="auto"/>
              </w:rPr>
            </w:pPr>
          </w:p>
        </w:tc>
        <w:tc>
          <w:tcPr>
            <w:tcW w:w="1140" w:type="dxa"/>
            <w:vAlign w:val="bottom"/>
            <w:tcBorders>
              <w:top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22"/>
                <w:szCs w:val="22"/>
                <w:color w:val="auto"/>
              </w:rPr>
            </w:pPr>
          </w:p>
        </w:tc>
        <w:tc>
          <w:tcPr>
            <w:tcW w:w="1200" w:type="dxa"/>
            <w:vAlign w:val="bottom"/>
            <w:gridSpan w:val="2"/>
          </w:tcPr>
          <w:p>
            <w:pPr>
              <w:ind w:left="240"/>
              <w:spacing w:after="0"/>
              <w:rPr>
                <w:sz w:val="20"/>
                <w:szCs w:val="20"/>
                <w:color w:val="auto"/>
              </w:rPr>
            </w:pPr>
            <w:r>
              <w:rPr>
                <w:rFonts w:ascii="Arial" w:cs="Arial" w:eastAsia="Arial" w:hAnsi="Arial"/>
                <w:sz w:val="16"/>
                <w:szCs w:val="16"/>
                <w:b w:val="1"/>
                <w:bCs w:val="1"/>
                <w:color w:val="auto"/>
              </w:rPr>
              <w:t>Change</w:t>
            </w:r>
          </w:p>
        </w:tc>
        <w:tc>
          <w:tcPr>
            <w:tcW w:w="1120" w:type="dxa"/>
            <w:vAlign w:val="bottom"/>
            <w:tcBorders>
              <w:top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22"/>
                <w:szCs w:val="22"/>
                <w:color w:val="auto"/>
              </w:rPr>
            </w:pPr>
          </w:p>
        </w:tc>
        <w:tc>
          <w:tcPr>
            <w:tcW w:w="1040" w:type="dxa"/>
            <w:vAlign w:val="bottom"/>
          </w:tcPr>
          <w:p>
            <w:pPr>
              <w:jc w:val="right"/>
              <w:ind w:right="131"/>
              <w:spacing w:after="0"/>
              <w:rPr>
                <w:sz w:val="20"/>
                <w:szCs w:val="20"/>
                <w:color w:val="auto"/>
              </w:rPr>
            </w:pPr>
            <w:r>
              <w:rPr>
                <w:rFonts w:ascii="Arial" w:cs="Arial" w:eastAsia="Arial" w:hAnsi="Arial"/>
                <w:sz w:val="16"/>
                <w:szCs w:val="16"/>
                <w:b w:val="1"/>
                <w:bCs w:val="1"/>
                <w:color w:val="auto"/>
              </w:rPr>
              <w:t>Change</w:t>
            </w:r>
          </w:p>
        </w:tc>
      </w:tr>
      <w:tr>
        <w:trPr>
          <w:trHeight w:val="257"/>
        </w:trPr>
        <w:tc>
          <w:tcPr>
            <w:tcW w:w="3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Base payout rate</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84.06%</w:t>
            </w:r>
          </w:p>
        </w:tc>
        <w:tc>
          <w:tcPr>
            <w:tcW w:w="100" w:type="dxa"/>
            <w:vAlign w:val="bottom"/>
            <w:tcBorders>
              <w:top w:val="single" w:sz="8" w:color="CCEEFF"/>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84.39 %</w:t>
            </w:r>
          </w:p>
        </w:tc>
        <w:tc>
          <w:tcPr>
            <w:tcW w:w="120" w:type="dxa"/>
            <w:vAlign w:val="bottom"/>
            <w:tcBorders>
              <w:top w:val="single" w:sz="8" w:color="CCEEFF"/>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20" w:type="dxa"/>
            <w:vAlign w:val="bottom"/>
            <w:tcBorders>
              <w:top w:val="single" w:sz="8" w:color="CCEEFF"/>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84.20%</w:t>
            </w:r>
          </w:p>
        </w:tc>
        <w:tc>
          <w:tcPr>
            <w:tcW w:w="120" w:type="dxa"/>
            <w:vAlign w:val="bottom"/>
            <w:tcBorders>
              <w:top w:val="single" w:sz="8" w:color="CCEEFF"/>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84.07%</w:t>
            </w:r>
          </w:p>
        </w:tc>
        <w:tc>
          <w:tcPr>
            <w:tcW w:w="120" w:type="dxa"/>
            <w:vAlign w:val="bottom"/>
            <w:tcBorders>
              <w:top w:val="single" w:sz="8" w:color="CCEEFF"/>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r>
      <w:tr>
        <w:trPr>
          <w:trHeight w:val="264"/>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Production based bonuses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2.89 %</w:t>
            </w: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0.27 %</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r>
      <w:tr>
        <w:trPr>
          <w:trHeight w:val="257"/>
        </w:trPr>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GDC sensitive payout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87.22%</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87.28 %</w:t>
            </w: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86.64%</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86.15%</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r>
      <w:tr>
        <w:trPr>
          <w:trHeight w:val="264"/>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Non-GDC sensitive payout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0.51 %</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r>
      <w:tr>
        <w:trPr>
          <w:trHeight w:val="257"/>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Payout Ratio</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87.41%</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86.96 %</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0.45 %</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86.85%</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86.23%</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0.62%</w:t>
            </w:r>
          </w:p>
        </w:tc>
      </w:tr>
      <w:tr>
        <w:trPr>
          <w:trHeight w:val="20"/>
        </w:trPr>
        <w:tc>
          <w:tcPr>
            <w:tcW w:w="37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60" w:firstLine="486"/>
        <w:spacing w:after="0" w:line="252" w:lineRule="auto"/>
        <w:rPr>
          <w:sz w:val="20"/>
          <w:szCs w:val="20"/>
          <w:color w:val="auto"/>
        </w:rPr>
      </w:pPr>
      <w:r>
        <w:rPr>
          <w:rFonts w:ascii="Arial" w:cs="Arial" w:eastAsia="Arial" w:hAnsi="Arial"/>
          <w:sz w:val="18"/>
          <w:szCs w:val="18"/>
          <w:color w:val="auto"/>
        </w:rPr>
        <w:t>Production expenses increased by $6.2 million, or 1.0%, for the three months ended September 30, 2012 compared with 2011. This increase is correlated with our commission and advisory revenues, which increased by 0.5% during the same period. Our production payout was 87.41% for the three months ended September 30, 2012, compared to 86.96% for the prior year period. The increase in our production based bonuses for the three months ended September 30, 2012 reflects our advisors' trend of attaining higher payout tiers earlier in the year. The 0.51% increase in non-GDC sensitive payout is primarily attributable to mark-to-market gains for the advisor non-qualified deferred compensation plan for the three months ended September 30, 2012 compared to mark-to-market losses for three months ended September 30, 2011.</w:t>
      </w:r>
    </w:p>
    <w:p>
      <w:pPr>
        <w:spacing w:after="0" w:line="16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Production expenses increased by $24.8 million, or 1.3%, for the nine months ended September 30, 2012 compared with 2011. This increase is correlated with our commission and advisory revenues, which increased by 0.6% during the same period. Our production payout was 86.85% for the nine months ended September 30, 2012, compared to 86.23% for the prior year period. The base payout rate for the nine months ended September 30, 2012 compared with 2011 reflects increases in payout for UVEST institutions that converted to the LPL Financial platform and the growth of larger advisor practices. Our production based bonuses increased by 0.36% for the nine months ended September 30, 2012 reflecting our advisors' trend of attaining higher payout tiers earlier in the year.</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and Benefits Expense</w:t>
      </w:r>
    </w:p>
    <w:p>
      <w:pPr>
        <w:spacing w:after="0" w:line="203"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Compensation and benefits increased by $ 14.0 million, or 18.1%, for the three months ended September 30, 2012 compared with 2011. The increase was primarily due to higher staffing levels to support increased levels of advisor and client activities and our acquisition of Fortigent. Our average number of full-time employees increased 7.9% from 2,717 for the three months ended September 30, 2011 to 2,932 for the three months ended September 30, 2012. In addition, expenses related to our project-based contingent labor increased $2.2 million.</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796" w:right="279" w:bottom="1440" w:gutter="0" w:footer="0" w:header="0"/>
        </w:sectPr>
      </w:pPr>
    </w:p>
    <w:bookmarkStart w:id="46" w:name="page47"/>
    <w:bookmarkEnd w:id="46"/>
    <w:p>
      <w:pPr>
        <w:ind w:right="180" w:firstLine="486"/>
        <w:spacing w:after="0" w:line="254" w:lineRule="auto"/>
        <w:rPr>
          <w:sz w:val="20"/>
          <w:szCs w:val="20"/>
          <w:color w:val="auto"/>
        </w:rPr>
      </w:pPr>
      <w:r>
        <w:rPr>
          <w:rFonts w:ascii="Arial" w:cs="Arial" w:eastAsia="Arial" w:hAnsi="Arial"/>
          <w:sz w:val="18"/>
          <w:szCs w:val="18"/>
          <w:color w:val="auto"/>
        </w:rPr>
        <w:t>Compensation and benefits increased by $30.5 million, or 12.5%, for the nine months ended September 30, 2012 compared with 2011. Our average number of full-time employees increased 6.5% from 2,673 for the nine months ended September 30, 2011 to 2,847 for the nine months ended September 30, 2012, due to our acquisitions of Fortigent and Concord and increases in staffing to support higher levels of advisor and client activities.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03" w:lineRule="exact"/>
        <w:rPr>
          <w:sz w:val="20"/>
          <w:szCs w:val="20"/>
          <w:color w:val="auto"/>
        </w:rPr>
      </w:pPr>
    </w:p>
    <w:p>
      <w:pPr>
        <w:ind w:right="140" w:firstLine="486"/>
        <w:spacing w:after="0" w:line="252" w:lineRule="auto"/>
        <w:rPr>
          <w:sz w:val="20"/>
          <w:szCs w:val="20"/>
          <w:color w:val="auto"/>
        </w:rPr>
      </w:pPr>
      <w:r>
        <w:rPr>
          <w:rFonts w:ascii="Arial" w:cs="Arial" w:eastAsia="Arial" w:hAnsi="Arial"/>
          <w:sz w:val="18"/>
          <w:szCs w:val="18"/>
          <w:color w:val="auto"/>
        </w:rPr>
        <w:t>General and administrative expenses increased by $23.1 million, or 30.3%, to $99.1 million for the three months ended September 30, 2012 compared with 2011. The primary driver of the increase was a $ 9.2 million charge due to an increase in the fair value of our contingent consideration obligations. Additional drivers behind the increase were increases of $3.2 for business development and promotional expenses, $5.0 million for professional fees and a $3.9 million charge for the late deposit of withholding taxes related to the exercise of certain non-qualified stock options in connection with the 2010 initial public offering. Expenses of $5.8 million from the operations of Fortigent also contributed to the increase.</w:t>
      </w:r>
    </w:p>
    <w:p>
      <w:pPr>
        <w:spacing w:after="0" w:line="168"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General and administrative expenses increased by $46.5 million, or 22.7%, to $ 251.1 million for the nine months ended September 30, 2012 compared with 2011. The primary drivers behind the increase were increases of $11.8 million for business development and promotional expenses, $ 13.7 million for professional fees and $14.1 million of expenses related to our acquisitions of Fortigent and Concord. Additional contributors to the increase were a $9.9 million charge due to a change in the fair value of our contingent consideration obligations and a $3.9 million charge for the late deposit of withholding taxes related to the exercise of certain non-qualified stock options in connection with the 2010 initial public offering.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03" w:lineRule="exact"/>
        <w:rPr>
          <w:sz w:val="20"/>
          <w:szCs w:val="20"/>
          <w:color w:val="auto"/>
        </w:rPr>
      </w:pPr>
    </w:p>
    <w:p>
      <w:pPr>
        <w:jc w:val="both"/>
        <w:ind w:right="340" w:firstLine="486"/>
        <w:spacing w:after="0" w:line="256" w:lineRule="auto"/>
        <w:rPr>
          <w:sz w:val="20"/>
          <w:szCs w:val="20"/>
          <w:color w:val="auto"/>
        </w:rPr>
      </w:pPr>
      <w:r>
        <w:rPr>
          <w:rFonts w:ascii="Arial" w:cs="Arial" w:eastAsia="Arial" w:hAnsi="Arial"/>
          <w:sz w:val="18"/>
          <w:szCs w:val="18"/>
          <w:color w:val="auto"/>
        </w:rPr>
        <w:t>For the three months ended September 30, 2012, depreciation and amortization decreased by $0.8 million, or 4.2%, compared to the prior year period. This decrease is primarily due to a reduction in depreciation incurred in the third quarter of 2012, attributed to assets that became fully depreciated in the latter half of 2011.</w:t>
      </w:r>
    </w:p>
    <w:p>
      <w:pPr>
        <w:spacing w:after="0" w:line="161"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For the nine months ended September 30, 2012, depreciation and amortization decreased by $2.8 million, or 5.0%, compared to the prior year period. This decrease is due to a reduction in depreciation incurred in the first nine months of 2012, attributed to assets that became fully depreciated in 2011.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43" w:lineRule="exact"/>
        <w:rPr>
          <w:sz w:val="20"/>
          <w:szCs w:val="20"/>
          <w:color w:val="auto"/>
        </w:rPr>
      </w:pPr>
    </w:p>
    <w:p>
      <w:pPr>
        <w:ind w:right="300" w:firstLine="486"/>
        <w:spacing w:after="0" w:line="262" w:lineRule="auto"/>
        <w:rPr>
          <w:sz w:val="20"/>
          <w:szCs w:val="20"/>
          <w:color w:val="auto"/>
        </w:rPr>
      </w:pPr>
      <w:r>
        <w:rPr>
          <w:rFonts w:ascii="Arial" w:cs="Arial" w:eastAsia="Arial" w:hAnsi="Arial"/>
          <w:sz w:val="18"/>
          <w:szCs w:val="18"/>
          <w:color w:val="auto"/>
        </w:rPr>
        <w:t>Restructuring charges represent expenses incurred as a result of our 2011 consolidation of UVEST and our 2009 consolidation of the Affiliated Entities.</w:t>
      </w:r>
    </w:p>
    <w:p>
      <w:pPr>
        <w:spacing w:after="0" w:line="156"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auto"/>
        </w:rPr>
        <w:t>Restructuring charges were $1.2 million and $5.0 million for the three and nine months ended September 30, 2012, respectively. These charges relate primarily to technology costs and other expenditures incurred for the conversion and transfer of advisors and their client accounts from UVEST to LPL Financial. Refer to Note 4 of our unaudited condensed consolidated financial statements for additional details regarding this matter.</w:t>
      </w:r>
    </w:p>
    <w:p>
      <w:pPr>
        <w:spacing w:after="0" w:line="110"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Restructuring charges were $7.7 million and $13.0 million for the three and nine months ended September 30, 2011, respectively, which related primarily to technology costs and other expenditures incurred in anticipation of the conversion and transfer of advisors and their client accounts from UVEST to LPL Financial, which began in the second quarter of 2011.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Interest expense represents non-operating interest expense for our senior secured credit facilities.</w:t>
      </w:r>
    </w:p>
    <w:p>
      <w:pPr>
        <w:spacing w:after="0" w:line="185"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Interest expense decreased $3.8 million, or 22.7%, for the three months ended September 30, 2012 compared with 2011. The reduction in interest expense for 2012 is primarily due to the reduction in interest rates on our debt as a result of our refinancing in March 2012. The refinancing reduced our interest expense by $2.7 million for the three months ended September 30, 2012 compared to 2011. Additionally, the maturity of an interest rate swap agreement with a notional value of $65.0 million on June 30, 2012, reduced interest expense by $0.7 million for the three months ended September 30, 2012 compared to 2011.</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773" w:right="259" w:bottom="1440" w:gutter="0" w:footer="0" w:header="0"/>
        </w:sectPr>
      </w:pPr>
    </w:p>
    <w:bookmarkStart w:id="47" w:name="page48"/>
    <w:bookmarkEnd w:id="47"/>
    <w:p>
      <w:pPr>
        <w:ind w:right="80" w:firstLine="486"/>
        <w:spacing w:after="0" w:line="254" w:lineRule="auto"/>
        <w:rPr>
          <w:sz w:val="20"/>
          <w:szCs w:val="20"/>
          <w:color w:val="auto"/>
        </w:rPr>
      </w:pPr>
      <w:r>
        <w:rPr>
          <w:rFonts w:ascii="Arial" w:cs="Arial" w:eastAsia="Arial" w:hAnsi="Arial"/>
          <w:sz w:val="18"/>
          <w:szCs w:val="18"/>
          <w:color w:val="auto"/>
        </w:rPr>
        <w:t>Interest expense decreased $10.6 million, or 20.1%, for the nine months ended September 30, 2012 compared with 2011. The reduction in interest expense for 2012 is due to a lowered interest rate on our debt as a result of its refinancing in March 2012 and the maturity of an interest rate swap agreement with a notional value of $65.0 million on June 30, 2012, which combined to result in a decrease to interest expense of $9.9 million for the nine months ended September 30, 2012 compared to 2011.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of Debt</w:t>
      </w:r>
    </w:p>
    <w:p>
      <w:pPr>
        <w:spacing w:after="0" w:line="243" w:lineRule="exact"/>
        <w:rPr>
          <w:sz w:val="20"/>
          <w:szCs w:val="20"/>
          <w:color w:val="auto"/>
        </w:rPr>
      </w:pPr>
    </w:p>
    <w:p>
      <w:pPr>
        <w:jc w:val="both"/>
        <w:ind w:right="300" w:firstLine="500"/>
        <w:spacing w:after="0" w:line="256" w:lineRule="auto"/>
        <w:rPr>
          <w:sz w:val="20"/>
          <w:szCs w:val="20"/>
          <w:color w:val="auto"/>
        </w:rPr>
      </w:pPr>
      <w:r>
        <w:rPr>
          <w:rFonts w:ascii="Arial" w:cs="Arial" w:eastAsia="Arial" w:hAnsi="Arial"/>
          <w:sz w:val="18"/>
          <w:szCs w:val="18"/>
          <w:color w:val="auto"/>
        </w:rPr>
        <w:t>Loss on extinguishment of debt was $16.5 million for the nine months ending September 30, 2012. In March 2012, we refinanced and replaced our credit agreement primarily to extend the maturities on our borrowings and wrote off $16.5 million of unamortized debt issuance costs related to the previous credit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43"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We estimate our full-year effective income tax rate at the end of each interim reporting period. This estimate is used in providing for income taxes on a year-to-date basis and may change in subsequent interim periods. The tax rate in any quarter can be affected positively and negatively by adjustments that are required to be reported in the quarter in which resolution of the item occurs. The effective income tax rates reflect the impact of state taxes, settlement contingencies and expenses that are not deductible for tax purposes.</w:t>
      </w:r>
    </w:p>
    <w:p>
      <w:pPr>
        <w:spacing w:after="0" w:line="164"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During the three months ended September 30, 2012, we recorded income tax expense of $19.9 million, compared with $25.6 million in the prior year period. Our effective income tax rate was 36.8% and 41.3% for the three months ended September 30, 2012 and 2011, respectively. The Company's effective tax rate and income tax expense were primarily reduced by two matters related to its stock acquisition of Concord: a change in the fair value of contingent consideration that is not recognizable for tax purposes, and the recognition of a deferred tax asset and related income tax benefit from pre-acquisition net operating losses of Concord that were recorded during the quarter. These matters combined to lower the effective tax rate approximately 3.0% for the three months ended September 30, 2012.</w:t>
      </w:r>
    </w:p>
    <w:p>
      <w:pPr>
        <w:spacing w:after="0" w:line="168" w:lineRule="exact"/>
        <w:rPr>
          <w:sz w:val="20"/>
          <w:szCs w:val="20"/>
          <w:color w:val="auto"/>
        </w:rPr>
      </w:pPr>
    </w:p>
    <w:p>
      <w:pPr>
        <w:ind w:right="20" w:firstLine="486"/>
        <w:spacing w:after="0" w:line="278" w:lineRule="auto"/>
        <w:rPr>
          <w:sz w:val="20"/>
          <w:szCs w:val="20"/>
          <w:color w:val="auto"/>
        </w:rPr>
      </w:pPr>
      <w:r>
        <w:rPr>
          <w:rFonts w:ascii="Arial" w:cs="Arial" w:eastAsia="Arial" w:hAnsi="Arial"/>
          <w:sz w:val="17"/>
          <w:szCs w:val="17"/>
          <w:color w:val="auto"/>
        </w:rPr>
        <w:t>During the nine months ended September 30, 2012, we recorded income tax expense of $73.4 million, compared with $88.2 million in the prior year period. Our effective income tax rate was 39.0% and 40.2% for the nine months ended September 30, 2012 and 2011, respectively. The decrease in income tax expense and effective income tax rate was a result of the same factors that impacted our quarterly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Senior management establishes our liquidity and capital policies. These policies include senior management’s review of short- and long-term cash flow forecasts, review of monthly capital expenditures and daily monitoring of liquidity for our subsidiaries. Decisions on the allocation of capital are based upon, among other things, projected profitability and cash flow, risks of the business, regulatory capital requirements and future liquidity needs for strategic activities. Our Treasury Department assists in evaluating, monitoring and controlling the business activities that impact our financial condition, liquidity and capital structure and maintains relationships with various lenders. The objectives of these policies are to support the executive business strategies while ensuring ongoing and sufficient liquidity.</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changes in cash flow data is provided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3320" w:type="dxa"/>
            <w:vAlign w:val="bottom"/>
            <w:tcBorders>
              <w:bottom w:val="single" w:sz="8" w:color="auto"/>
            </w:tcBorders>
            <w:gridSpan w:val="5"/>
          </w:tcPr>
          <w:p>
            <w:pPr>
              <w:ind w:left="40"/>
              <w:spacing w:after="0"/>
              <w:rPr>
                <w:sz w:val="20"/>
                <w:szCs w:val="20"/>
                <w:color w:val="auto"/>
              </w:rPr>
            </w:pPr>
            <w:r>
              <w:rPr>
                <w:rFonts w:ascii="Arial" w:cs="Arial" w:eastAsia="Arial" w:hAnsi="Arial"/>
                <w:sz w:val="16"/>
                <w:szCs w:val="16"/>
                <w:b w:val="1"/>
                <w:bCs w:val="1"/>
                <w:color w:val="auto"/>
              </w:rPr>
              <w:t>For the Nine Months Ended September 30,</w:t>
            </w:r>
          </w:p>
        </w:tc>
        <w:tc>
          <w:tcPr>
            <w:tcW w:w="0" w:type="dxa"/>
            <w:vAlign w:val="bottom"/>
          </w:tcPr>
          <w:p>
            <w:pPr>
              <w:spacing w:after="0"/>
              <w:rPr>
                <w:sz w:val="1"/>
                <w:szCs w:val="1"/>
                <w:color w:val="auto"/>
              </w:rPr>
            </w:pPr>
          </w:p>
        </w:tc>
      </w:tr>
      <w:tr>
        <w:trPr>
          <w:trHeight w:val="264"/>
        </w:trPr>
        <w:tc>
          <w:tcPr>
            <w:tcW w:w="4940" w:type="dxa"/>
            <w:vAlign w:val="bottom"/>
            <w:tcBorders>
              <w:bottom w:val="single" w:sz="8" w:color="CCEEFF"/>
            </w:tcBorders>
          </w:tcPr>
          <w:p>
            <w:pPr>
              <w:spacing w:after="0"/>
              <w:rPr>
                <w:sz w:val="22"/>
                <w:szCs w:val="22"/>
                <w:color w:val="auto"/>
              </w:rPr>
            </w:pPr>
          </w:p>
        </w:tc>
        <w:tc>
          <w:tcPr>
            <w:tcW w:w="316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270"/>
        </w:trPr>
        <w:tc>
          <w:tcPr>
            <w:tcW w:w="4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cash flows (used in) provided by:</w:t>
            </w:r>
          </w:p>
        </w:tc>
        <w:tc>
          <w:tcPr>
            <w:tcW w:w="31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940" w:type="dxa"/>
            <w:vAlign w:val="bottom"/>
          </w:tcPr>
          <w:p>
            <w:pPr>
              <w:ind w:left="260"/>
              <w:spacing w:after="0"/>
              <w:rPr>
                <w:sz w:val="20"/>
                <w:szCs w:val="20"/>
                <w:color w:val="auto"/>
              </w:rPr>
            </w:pPr>
            <w:r>
              <w:rPr>
                <w:rFonts w:ascii="Arial" w:cs="Arial" w:eastAsia="Arial" w:hAnsi="Arial"/>
                <w:sz w:val="18"/>
                <w:szCs w:val="18"/>
                <w:color w:val="auto"/>
              </w:rPr>
              <w:t>Operating activities</w:t>
            </w:r>
          </w:p>
        </w:tc>
        <w:tc>
          <w:tcPr>
            <w:tcW w:w="3540" w:type="dxa"/>
            <w:vAlign w:val="bottom"/>
            <w:gridSpan w:val="2"/>
          </w:tcPr>
          <w:p>
            <w:pPr>
              <w:ind w:left="318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101,427</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363,746</w:t>
            </w:r>
          </w:p>
        </w:tc>
        <w:tc>
          <w:tcPr>
            <w:tcW w:w="0" w:type="dxa"/>
            <w:vAlign w:val="bottom"/>
          </w:tcPr>
          <w:p>
            <w:pPr>
              <w:spacing w:after="0"/>
              <w:rPr>
                <w:sz w:val="1"/>
                <w:szCs w:val="1"/>
                <w:color w:val="auto"/>
              </w:rPr>
            </w:pPr>
          </w:p>
        </w:tc>
      </w:tr>
      <w:tr>
        <w:trPr>
          <w:trHeight w:val="277"/>
        </w:trPr>
        <w:tc>
          <w:tcPr>
            <w:tcW w:w="4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Investing activities</w:t>
            </w:r>
          </w:p>
        </w:tc>
        <w:tc>
          <w:tcPr>
            <w:tcW w:w="31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(67,624)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(46,274)</w:t>
            </w:r>
          </w:p>
        </w:tc>
        <w:tc>
          <w:tcPr>
            <w:tcW w:w="0" w:type="dxa"/>
            <w:vAlign w:val="bottom"/>
          </w:tcPr>
          <w:p>
            <w:pPr>
              <w:spacing w:after="0"/>
              <w:rPr>
                <w:sz w:val="1"/>
                <w:szCs w:val="1"/>
                <w:color w:val="auto"/>
              </w:rPr>
            </w:pPr>
          </w:p>
        </w:tc>
      </w:tr>
      <w:tr>
        <w:trPr>
          <w:trHeight w:val="264"/>
        </w:trPr>
        <w:tc>
          <w:tcPr>
            <w:tcW w:w="49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Financing activities</w:t>
            </w:r>
          </w:p>
        </w:tc>
        <w:tc>
          <w:tcPr>
            <w:tcW w:w="316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(308,604)</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(73,491)</w:t>
            </w:r>
          </w:p>
        </w:tc>
        <w:tc>
          <w:tcPr>
            <w:tcW w:w="0" w:type="dxa"/>
            <w:vAlign w:val="bottom"/>
          </w:tcPr>
          <w:p>
            <w:pPr>
              <w:spacing w:after="0"/>
              <w:rPr>
                <w:sz w:val="1"/>
                <w:szCs w:val="1"/>
                <w:color w:val="auto"/>
              </w:rPr>
            </w:pPr>
          </w:p>
        </w:tc>
      </w:tr>
      <w:tr>
        <w:trPr>
          <w:trHeight w:val="257"/>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31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(274,801)</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243,981</w:t>
            </w:r>
          </w:p>
        </w:tc>
        <w:tc>
          <w:tcPr>
            <w:tcW w:w="0" w:type="dxa"/>
            <w:vAlign w:val="bottom"/>
          </w:tcPr>
          <w:p>
            <w:pPr>
              <w:spacing w:after="0"/>
              <w:rPr>
                <w:sz w:val="1"/>
                <w:szCs w:val="1"/>
                <w:color w:val="auto"/>
              </w:rPr>
            </w:pPr>
          </w:p>
        </w:tc>
      </w:tr>
      <w:tr>
        <w:trPr>
          <w:trHeight w:val="264"/>
        </w:trPr>
        <w:tc>
          <w:tcPr>
            <w:tcW w:w="49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Cash and cash equivalents — beginning of period</w:t>
            </w:r>
          </w:p>
        </w:tc>
        <w:tc>
          <w:tcPr>
            <w:tcW w:w="316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720,772</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419,208</w:t>
            </w:r>
          </w:p>
        </w:tc>
        <w:tc>
          <w:tcPr>
            <w:tcW w:w="0" w:type="dxa"/>
            <w:vAlign w:val="bottom"/>
          </w:tcPr>
          <w:p>
            <w:pPr>
              <w:spacing w:after="0"/>
              <w:rPr>
                <w:sz w:val="1"/>
                <w:szCs w:val="1"/>
                <w:color w:val="auto"/>
              </w:rPr>
            </w:pPr>
          </w:p>
        </w:tc>
      </w:tr>
      <w:tr>
        <w:trPr>
          <w:trHeight w:val="257"/>
        </w:trPr>
        <w:tc>
          <w:tcPr>
            <w:tcW w:w="4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and cash equivalents — end of period</w:t>
            </w:r>
          </w:p>
        </w:tc>
        <w:tc>
          <w:tcPr>
            <w:tcW w:w="3540" w:type="dxa"/>
            <w:vAlign w:val="bottom"/>
            <w:gridSpan w:val="2"/>
            <w:shd w:val="clear" w:color="auto" w:fill="CCEEFF"/>
          </w:tcPr>
          <w:p>
            <w:pPr>
              <w:ind w:left="3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445,971</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663,189</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bottom w:val="single" w:sz="8" w:color="CCEEFF"/>
            </w:tcBorders>
            <w:vMerge w:val="restart"/>
          </w:tcPr>
          <w:p>
            <w:pPr>
              <w:jc w:val="right"/>
              <w:ind w:right="2190"/>
              <w:spacing w:after="0"/>
              <w:rPr>
                <w:sz w:val="20"/>
                <w:szCs w:val="20"/>
                <w:color w:val="auto"/>
              </w:rPr>
            </w:pPr>
            <w:r>
              <w:rPr>
                <w:rFonts w:ascii="Arial" w:cs="Arial" w:eastAsia="Arial" w:hAnsi="Arial"/>
                <w:sz w:val="18"/>
                <w:szCs w:val="18"/>
                <w:color w:val="auto"/>
              </w:rPr>
              <w:t>45</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94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73" w:right="239" w:bottom="1440" w:gutter="0" w:footer="0" w:header="0"/>
        </w:sectPr>
      </w:pPr>
    </w:p>
    <w:bookmarkStart w:id="48" w:name="page49"/>
    <w:bookmarkEnd w:id="48"/>
    <w:p>
      <w:pPr>
        <w:ind w:right="680" w:firstLine="486"/>
        <w:spacing w:after="0" w:line="262" w:lineRule="auto"/>
        <w:rPr>
          <w:sz w:val="20"/>
          <w:szCs w:val="20"/>
          <w:color w:val="auto"/>
        </w:rPr>
      </w:pPr>
      <w:r>
        <w:rPr>
          <w:rFonts w:ascii="Arial" w:cs="Arial" w:eastAsia="Arial" w:hAnsi="Arial"/>
          <w:sz w:val="18"/>
          <w:szCs w:val="18"/>
          <w:color w:val="auto"/>
        </w:rPr>
        <w:t>Cash requirements and liquidity needs are primarily funded through our cash flow from operations and our capacity for additional borrowing.</w:t>
      </w:r>
    </w:p>
    <w:p>
      <w:pPr>
        <w:spacing w:after="0" w:line="156"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Net cash used in or provided by operating activities includes net income adjusted for non-cash expenses such as depreciation and amortization, restructuring related charges, share-based compensation, amortization of debt issuance costs, deferred income tax provision and changes in operating assets and liabilities. Operating assets and liabilities include balances related to settlement and funding of client transactions, receivables from product sponsors and accrued commissions and advisory fees due to our advisors. Operating assets and liabilities that arise from the settlement and funding of transactions by our advisors’ clients are the principal cause of changes to our net cash from operating activities and can fluctuate significantly from day to day and period to period depending on overall trends and client behaviors.</w:t>
      </w:r>
    </w:p>
    <w:p>
      <w:pPr>
        <w:spacing w:after="0" w:line="209"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Net cash provided by operating activities for the nine months ended September 30, 2012 and 2011 totaled $101.4 million and $363.7 million, respectively. The change between periods is primarily due to the settlement and funding of client trading activity, which was a net use of funds of $37.6 million for the nine months ended September 30, 2012 and provided funds of $88.9 million for the comparable 2011 period. Cash flows from client activities fluctuate significantly depending on market conditions and timing. In 2012 operating activities also include net income of $115.0 million and a collection of $47.3 million in tax receivables, partially offset by a $49.8 million use of cash related to excess tax benefits from share-based compensation. Net cash provided by operating activities for the nine months ended September 30, 2011 includes net income of $130.9 million, a $193.2 million collection of tax receivables that arose primarily from a tax benefit resulting from stock options exercised by selling stockholders in connection with our IPO partially offset by $57.3 million of excess tax benefits resulting from stock options exercised in our IPO.</w:t>
      </w:r>
    </w:p>
    <w:p>
      <w:pPr>
        <w:spacing w:after="0" w:line="213" w:lineRule="exact"/>
        <w:rPr>
          <w:sz w:val="20"/>
          <w:szCs w:val="20"/>
          <w:color w:val="auto"/>
        </w:rPr>
      </w:pPr>
    </w:p>
    <w:p>
      <w:pPr>
        <w:ind w:right="320" w:firstLine="486"/>
        <w:spacing w:after="0" w:line="254" w:lineRule="auto"/>
        <w:rPr>
          <w:sz w:val="20"/>
          <w:szCs w:val="20"/>
          <w:color w:val="auto"/>
        </w:rPr>
      </w:pPr>
      <w:r>
        <w:rPr>
          <w:rFonts w:ascii="Arial" w:cs="Arial" w:eastAsia="Arial" w:hAnsi="Arial"/>
          <w:sz w:val="18"/>
          <w:szCs w:val="18"/>
          <w:color w:val="auto"/>
        </w:rPr>
        <w:t>Net cash used in investing activities for the nine months ended September 30, 2012 and 2011 totaled $67.6 million and $46.3 million, respectively. The net cash used in 2012 primarily consists of $43.7 million for the acquisitions of Fortigent and Veritat and $32.5 million in capital expenditures. The net cash used in 2011 included $37.2 million used for the acquisitions of NRP and Concord and $24.3 million in capital expenditures, offset by a $18.9 million release of restricted cash.</w:t>
      </w:r>
    </w:p>
    <w:p>
      <w:pPr>
        <w:spacing w:after="0" w:line="204"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Net cash used in financing activities for the nine months ended September 30, 2012 and 2011 was $308.6 million and $73.5 million, respectively. Cash flows used in financing activities in 2012 include $235.8 million of cash dividends paid and $107.5 million for repurchases of common stock, partially offset by $49.8 million from excess tax benefits arising from share-based compensation. Cash flows used in financing activities in 2011 include $89.0 million used to repurchase common stock and $50.5 million of cash used to pay down term loans under our senior secured credit facilities, partially offset by $57.3 million from excess tax benefits arising from stock options exercised related to our IPO.</w:t>
      </w:r>
    </w:p>
    <w:p>
      <w:pPr>
        <w:spacing w:after="0" w:line="206"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believe that based on current levels of operations and anticipated growth, cash flow from operations, together with other available sources of funds, which includes three uncommitted lines of credit available and a revolving credit facility, will be adequate to satisfy our working capital needs, the payment of all of our obligations and the funding of anticipated capital expenditures for the foreseeable future. In addition, we have certain capital requirements due to our registered broker-dealer entity and we have met all capital adequacy requirements for this entity and expect this to also continue for the foreseeable future. We regularly evaluate our existing indebtedness, including refinancing thereof, based on a number of factors, including our capital requirements, future prospects, contractual restrictions, the availability of refinancing on attractive terms and general market conditions.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247"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The Board of Directors has approved several share repurchase programs pursuant to which we may repurchase issued and outstanding shares of our common stock. Purchases may be effected in open market or privately negotiated transactions, including transactions with our affiliates, with the timing of purchases and the amount of stock purchased generally determined at our discretion within the constraints of our credit agreement and general operating needs.</w:t>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598" w:right="259" w:bottom="1440" w:gutter="0" w:footer="0" w:header="0"/>
        </w:sectPr>
      </w:pPr>
    </w:p>
    <w:bookmarkStart w:id="49" w:name="page50"/>
    <w:bookmarkEnd w:id="49"/>
    <w:p>
      <w:pPr>
        <w:ind w:right="20" w:firstLine="486"/>
        <w:spacing w:after="0" w:line="262" w:lineRule="auto"/>
        <w:rPr>
          <w:sz w:val="20"/>
          <w:szCs w:val="20"/>
          <w:color w:val="auto"/>
        </w:rPr>
      </w:pPr>
      <w:r>
        <w:rPr>
          <w:rFonts w:ascii="Arial" w:cs="Arial" w:eastAsia="Arial" w:hAnsi="Arial"/>
          <w:sz w:val="18"/>
          <w:szCs w:val="18"/>
          <w:color w:val="auto"/>
        </w:rPr>
        <w:t>For the three months ended September 30, 2012 and 2011, the Company had the following activity under its approved share repurchase plans (in millions, except share and per share data):</w:t>
      </w:r>
    </w:p>
    <w:p>
      <w:pPr>
        <w:spacing w:after="0" w:line="184" w:lineRule="exact"/>
        <w:rPr>
          <w:sz w:val="20"/>
          <w:szCs w:val="20"/>
          <w:color w:val="auto"/>
        </w:rPr>
      </w:pPr>
    </w:p>
    <w:tbl>
      <w:tblPr>
        <w:tblLayout w:type="fixed"/>
        <w:tblInd w:w="1120" w:type="dxa"/>
        <w:tblCellMar>
          <w:top w:w="0" w:type="dxa"/>
          <w:left w:w="0" w:type="dxa"/>
          <w:bottom w:w="0" w:type="dxa"/>
          <w:right w:w="0" w:type="dxa"/>
        </w:tblCellMar>
      </w:tblPr>
      <w:tr>
        <w:trPr>
          <w:trHeight w:val="196"/>
        </w:trPr>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r>
      <w:tr>
        <w:trPr>
          <w:trHeight w:val="175"/>
        </w:trPr>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Amount</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62"/>
        </w:trPr>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Authorized</w:t>
            </w: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Remaining at</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2"/>
        </w:trPr>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Repurchase</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September</w:t>
            </w:r>
          </w:p>
        </w:tc>
        <w:tc>
          <w:tcPr>
            <w:tcW w:w="880" w:type="dxa"/>
            <w:vAlign w:val="bottom"/>
          </w:tcPr>
          <w:p>
            <w:pPr>
              <w:jc w:val="right"/>
              <w:ind w:right="12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Price Paid</w:t>
            </w:r>
          </w:p>
        </w:tc>
        <w:tc>
          <w:tcPr>
            <w:tcW w:w="14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860" w:type="dxa"/>
            <w:vAlign w:val="bottom"/>
          </w:tcPr>
          <w:p>
            <w:pPr>
              <w:jc w:val="right"/>
              <w:ind w:right="12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Price Paid</w:t>
            </w:r>
          </w:p>
        </w:tc>
        <w:tc>
          <w:tcPr>
            <w:tcW w:w="120" w:type="dxa"/>
            <w:vAlign w:val="bottom"/>
          </w:tcPr>
          <w:p>
            <w:pPr>
              <w:spacing w:after="0"/>
              <w:rPr>
                <w:sz w:val="14"/>
                <w:szCs w:val="14"/>
                <w:color w:val="auto"/>
              </w:rPr>
            </w:pPr>
          </w:p>
        </w:tc>
        <w:tc>
          <w:tcPr>
            <w:tcW w:w="540" w:type="dxa"/>
            <w:vAlign w:val="bottom"/>
          </w:tcPr>
          <w:p>
            <w:pPr>
              <w:jc w:val="right"/>
              <w:ind w:right="102"/>
              <w:spacing w:after="0"/>
              <w:rPr>
                <w:sz w:val="20"/>
                <w:szCs w:val="20"/>
                <w:color w:val="auto"/>
              </w:rPr>
            </w:pPr>
            <w:r>
              <w:rPr>
                <w:rFonts w:ascii="Arial" w:cs="Arial" w:eastAsia="Arial" w:hAnsi="Arial"/>
                <w:sz w:val="14"/>
                <w:szCs w:val="14"/>
                <w:b w:val="1"/>
                <w:bCs w:val="1"/>
                <w:color w:val="auto"/>
              </w:rPr>
              <w:t>Total</w:t>
            </w:r>
          </w:p>
        </w:tc>
      </w:tr>
      <w:tr>
        <w:trPr>
          <w:trHeight w:val="196"/>
        </w:trPr>
        <w:tc>
          <w:tcPr>
            <w:tcW w:w="14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Approval Date</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30, 2012</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Purchased</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Per Share</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Purchased</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rPr>
              <w:t>Per Share</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Cost</w:t>
            </w:r>
          </w:p>
        </w:tc>
      </w:tr>
      <w:tr>
        <w:trPr>
          <w:trHeight w:val="256"/>
        </w:trPr>
        <w:tc>
          <w:tcPr>
            <w:tcW w:w="1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May 25, 2011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13,869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60"/>
        </w:trPr>
        <w:tc>
          <w:tcPr>
            <w:tcW w:w="1560" w:type="dxa"/>
            <w:vAlign w:val="bottom"/>
            <w:gridSpan w:val="2"/>
          </w:tcPr>
          <w:p>
            <w:pPr>
              <w:ind w:left="20"/>
              <w:spacing w:after="0"/>
              <w:rPr>
                <w:sz w:val="20"/>
                <w:szCs w:val="20"/>
                <w:color w:val="auto"/>
              </w:rPr>
            </w:pPr>
            <w:r>
              <w:rPr>
                <w:rFonts w:ascii="Arial" w:cs="Arial" w:eastAsia="Arial" w:hAnsi="Arial"/>
                <w:sz w:val="16"/>
                <w:szCs w:val="16"/>
                <w:color w:val="auto"/>
              </w:rPr>
              <w:t>August 16, 2011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70.0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186,190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27.56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319,906</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28.11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80"/>
        </w:trPr>
        <w:tc>
          <w:tcPr>
            <w:tcW w:w="1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May 25, 2012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1,719,739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8"/>
        </w:trPr>
        <w:tc>
          <w:tcPr>
            <w:tcW w:w="1560" w:type="dxa"/>
            <w:vAlign w:val="bottom"/>
            <w:gridSpan w:val="2"/>
          </w:tcPr>
          <w:p>
            <w:pPr>
              <w:ind w:left="20"/>
              <w:spacing w:after="0"/>
              <w:rPr>
                <w:sz w:val="20"/>
                <w:szCs w:val="20"/>
                <w:color w:val="auto"/>
              </w:rPr>
            </w:pPr>
            <w:r>
              <w:rPr>
                <w:rFonts w:ascii="Arial" w:cs="Arial" w:eastAsia="Arial" w:hAnsi="Arial"/>
                <w:sz w:val="16"/>
                <w:szCs w:val="16"/>
                <w:color w:val="auto"/>
              </w:rPr>
              <w:t>September 27,</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08"/>
        </w:trPr>
        <w:tc>
          <w:tcPr>
            <w:tcW w:w="1460" w:type="dxa"/>
            <w:vAlign w:val="bottom"/>
          </w:tcPr>
          <w:p>
            <w:pPr>
              <w:ind w:left="20"/>
              <w:spacing w:after="0"/>
              <w:rPr>
                <w:sz w:val="20"/>
                <w:szCs w:val="20"/>
                <w:color w:val="auto"/>
              </w:rPr>
            </w:pPr>
            <w:r>
              <w:rPr>
                <w:rFonts w:ascii="Arial" w:cs="Arial" w:eastAsia="Arial" w:hAnsi="Arial"/>
                <w:sz w:val="16"/>
                <w:szCs w:val="16"/>
                <w:color w:val="auto"/>
              </w:rPr>
              <w:t>2012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0"/>
        </w:trPr>
        <w:tc>
          <w:tcPr>
            <w:tcW w:w="14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1,905,929</w:t>
            </w:r>
          </w:p>
        </w:tc>
        <w:tc>
          <w:tcPr>
            <w:tcW w:w="2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333,775</w:t>
            </w:r>
          </w:p>
        </w:tc>
        <w:tc>
          <w:tcPr>
            <w:tcW w:w="2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0"/>
        </w:trPr>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80" w:firstLine="486"/>
        <w:spacing w:after="0" w:line="262" w:lineRule="auto"/>
        <w:rPr>
          <w:sz w:val="20"/>
          <w:szCs w:val="20"/>
          <w:color w:val="auto"/>
        </w:rPr>
      </w:pPr>
      <w:r>
        <w:rPr>
          <w:rFonts w:ascii="Arial" w:cs="Arial" w:eastAsia="Arial" w:hAnsi="Arial"/>
          <w:sz w:val="18"/>
          <w:szCs w:val="18"/>
          <w:color w:val="auto"/>
        </w:rPr>
        <w:t>For the nine months ended September 30, 2012 and 2011, the Company had the following activity under its approved share repurchase plans (in millions, except share and per share data):</w:t>
      </w:r>
    </w:p>
    <w:p>
      <w:pPr>
        <w:spacing w:after="0" w:line="184" w:lineRule="exact"/>
        <w:rPr>
          <w:sz w:val="20"/>
          <w:szCs w:val="20"/>
          <w:color w:val="auto"/>
        </w:rPr>
      </w:pPr>
    </w:p>
    <w:tbl>
      <w:tblPr>
        <w:tblLayout w:type="fixed"/>
        <w:tblInd w:w="1120" w:type="dxa"/>
        <w:tblCellMar>
          <w:top w:w="0" w:type="dxa"/>
          <w:left w:w="0" w:type="dxa"/>
          <w:bottom w:w="0" w:type="dxa"/>
          <w:right w:w="0" w:type="dxa"/>
        </w:tblCellMar>
      </w:tblPr>
      <w:tr>
        <w:trPr>
          <w:trHeight w:val="196"/>
        </w:trPr>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r>
      <w:tr>
        <w:trPr>
          <w:trHeight w:val="175"/>
        </w:trPr>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Amount</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62"/>
        </w:trPr>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Authorized</w:t>
            </w: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Remaining at</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Repurchase</w:t>
            </w: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September</w:t>
            </w:r>
          </w:p>
        </w:tc>
        <w:tc>
          <w:tcPr>
            <w:tcW w:w="880" w:type="dxa"/>
            <w:vAlign w:val="bottom"/>
          </w:tcPr>
          <w:p>
            <w:pPr>
              <w:jc w:val="right"/>
              <w:ind w:right="12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Price Paid</w:t>
            </w:r>
          </w:p>
        </w:tc>
        <w:tc>
          <w:tcPr>
            <w:tcW w:w="16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860" w:type="dxa"/>
            <w:vAlign w:val="bottom"/>
          </w:tcPr>
          <w:p>
            <w:pPr>
              <w:jc w:val="right"/>
              <w:ind w:right="12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Price Paid</w:t>
            </w:r>
          </w:p>
        </w:tc>
        <w:tc>
          <w:tcPr>
            <w:tcW w:w="140" w:type="dxa"/>
            <w:vAlign w:val="bottom"/>
          </w:tcPr>
          <w:p>
            <w:pPr>
              <w:spacing w:after="0"/>
              <w:rPr>
                <w:sz w:val="14"/>
                <w:szCs w:val="14"/>
                <w:color w:val="auto"/>
              </w:rPr>
            </w:pPr>
          </w:p>
        </w:tc>
        <w:tc>
          <w:tcPr>
            <w:tcW w:w="540" w:type="dxa"/>
            <w:vAlign w:val="bottom"/>
          </w:tcPr>
          <w:p>
            <w:pPr>
              <w:jc w:val="right"/>
              <w:ind w:right="102"/>
              <w:spacing w:after="0"/>
              <w:rPr>
                <w:sz w:val="20"/>
                <w:szCs w:val="20"/>
                <w:color w:val="auto"/>
              </w:rPr>
            </w:pPr>
            <w:r>
              <w:rPr>
                <w:rFonts w:ascii="Arial" w:cs="Arial" w:eastAsia="Arial" w:hAnsi="Arial"/>
                <w:sz w:val="14"/>
                <w:szCs w:val="14"/>
                <w:b w:val="1"/>
                <w:bCs w:val="1"/>
                <w:color w:val="auto"/>
              </w:rPr>
              <w:t>Total</w:t>
            </w:r>
          </w:p>
        </w:tc>
      </w:tr>
      <w:tr>
        <w:trPr>
          <w:trHeight w:val="196"/>
        </w:trPr>
        <w:tc>
          <w:tcPr>
            <w:tcW w:w="14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Approval Date</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30, 2012</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rPr>
              <w:t>Per Share</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Cost</w:t>
            </w:r>
          </w:p>
        </w:tc>
      </w:tr>
      <w:tr>
        <w:trPr>
          <w:trHeight w:val="256"/>
        </w:trPr>
        <w:tc>
          <w:tcPr>
            <w:tcW w:w="1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May 25, 2011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2,297,723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r>
      <w:tr>
        <w:trPr>
          <w:trHeight w:val="260"/>
        </w:trPr>
        <w:tc>
          <w:tcPr>
            <w:tcW w:w="1540" w:type="dxa"/>
            <w:vAlign w:val="bottom"/>
            <w:gridSpan w:val="2"/>
          </w:tcPr>
          <w:p>
            <w:pPr>
              <w:ind w:left="20"/>
              <w:spacing w:after="0"/>
              <w:rPr>
                <w:sz w:val="20"/>
                <w:szCs w:val="20"/>
                <w:color w:val="auto"/>
              </w:rPr>
            </w:pPr>
            <w:r>
              <w:rPr>
                <w:rFonts w:ascii="Arial" w:cs="Arial" w:eastAsia="Arial" w:hAnsi="Arial"/>
                <w:sz w:val="16"/>
                <w:szCs w:val="16"/>
                <w:color w:val="auto"/>
              </w:rPr>
              <w:t>August 16, 2011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70.0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1,891,072</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32.27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2"/>
              <w:spacing w:after="0"/>
              <w:rPr>
                <w:sz w:val="20"/>
                <w:szCs w:val="20"/>
                <w:color w:val="auto"/>
              </w:rPr>
            </w:pPr>
            <w:r>
              <w:rPr>
                <w:rFonts w:ascii="Arial" w:cs="Arial" w:eastAsia="Arial" w:hAnsi="Arial"/>
                <w:sz w:val="16"/>
                <w:szCs w:val="16"/>
                <w:color w:val="auto"/>
              </w:rPr>
              <w:t>61.0</w:t>
            </w: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319,906</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28.11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80"/>
        </w:trPr>
        <w:tc>
          <w:tcPr>
            <w:tcW w:w="1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May 25, 2012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1,719,739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49.5</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8"/>
        </w:trPr>
        <w:tc>
          <w:tcPr>
            <w:tcW w:w="1540" w:type="dxa"/>
            <w:vAlign w:val="bottom"/>
            <w:gridSpan w:val="2"/>
          </w:tcPr>
          <w:p>
            <w:pPr>
              <w:ind w:left="20"/>
              <w:spacing w:after="0"/>
              <w:rPr>
                <w:sz w:val="20"/>
                <w:szCs w:val="20"/>
                <w:color w:val="auto"/>
              </w:rPr>
            </w:pPr>
            <w:r>
              <w:rPr>
                <w:rFonts w:ascii="Arial" w:cs="Arial" w:eastAsia="Arial" w:hAnsi="Arial"/>
                <w:sz w:val="16"/>
                <w:szCs w:val="16"/>
                <w:color w:val="auto"/>
              </w:rPr>
              <w:t>September 27,</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08"/>
        </w:trPr>
        <w:tc>
          <w:tcPr>
            <w:tcW w:w="1440" w:type="dxa"/>
            <w:vAlign w:val="bottom"/>
          </w:tcPr>
          <w:p>
            <w:pPr>
              <w:ind w:left="20"/>
              <w:spacing w:after="0"/>
              <w:rPr>
                <w:sz w:val="20"/>
                <w:szCs w:val="20"/>
                <w:color w:val="auto"/>
              </w:rPr>
            </w:pPr>
            <w:r>
              <w:rPr>
                <w:rFonts w:ascii="Arial" w:cs="Arial" w:eastAsia="Arial" w:hAnsi="Arial"/>
                <w:sz w:val="16"/>
                <w:szCs w:val="16"/>
                <w:color w:val="auto"/>
              </w:rPr>
              <w:t>2012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150.0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0"/>
        </w:trPr>
        <w:tc>
          <w:tcPr>
            <w:tcW w:w="14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3,610,811</w:t>
            </w:r>
          </w:p>
        </w:tc>
        <w:tc>
          <w:tcPr>
            <w:tcW w:w="2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2,617,629</w:t>
            </w:r>
          </w:p>
        </w:tc>
        <w:tc>
          <w:tcPr>
            <w:tcW w:w="2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89.0</w:t>
            </w: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Under 2008 Nonqualified Deferred Compensation Plan</w:t>
      </w:r>
    </w:p>
    <w:p>
      <w:pPr>
        <w:spacing w:after="0" w:line="24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On February 22, 2012, we distributed 1,673,556 shares, net of shares withheld to satisfy withholding tax requirements of the participants, pursuant to the terms of our 2008 Nonqualified Deferred Compensation Plan. Distributions to participants were made in the form of whole shares of common stock equal to the number of stock units allocated to the participant's account (fractional shares were paid out in cash). Participants authorized us to withhold shares from their distribution of common stock to satisfy their withholding tax obligations. On February 22, 2012 we repurchased 1,149,896 shares and made the related withholding tax payment of approximately $37.5 million.</w:t>
      </w:r>
    </w:p>
    <w:p>
      <w:pPr>
        <w:spacing w:after="0" w:line="165"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In calculating earnings per share and diluted earnings per share using the two-class method, we were required to allocate a portion of our earnings to employees that held stock units that contained non-forfeitable rights to dividends or dividend equivalents under our 2008 Nonqualified Deferred Compensation Plan. After the distribution of shares under the 2008 Nonqualified Deferred Compensation Plan, the two-class method is no longer applicable. This distribution of shares did not have a material impact on earnings per share or diluted earnings per share. However, the distribution increased the weighted average share count for the three and nine months ended September 30, 2012 by approximately 850,000 shares.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07" w:lineRule="exact"/>
        <w:rPr>
          <w:sz w:val="20"/>
          <w:szCs w:val="20"/>
          <w:color w:val="auto"/>
        </w:rPr>
      </w:pPr>
    </w:p>
    <w:p>
      <w:pPr>
        <w:ind w:right="360" w:firstLine="486"/>
        <w:spacing w:after="0" w:line="262" w:lineRule="auto"/>
        <w:rPr>
          <w:sz w:val="20"/>
          <w:szCs w:val="20"/>
          <w:color w:val="auto"/>
        </w:rPr>
      </w:pPr>
      <w:r>
        <w:rPr>
          <w:rFonts w:ascii="Arial" w:cs="Arial" w:eastAsia="Arial" w:hAnsi="Arial"/>
          <w:sz w:val="18"/>
          <w:szCs w:val="18"/>
          <w:color w:val="auto"/>
        </w:rPr>
        <w:t>On March 30, 2012, the Board of Directors approved a special dividend of $2.00 per share to common stockholders. The dividend of $222.6 million was paid on May 25, 2012 to stockholders of record as of May 15, 2012.</w:t>
      </w:r>
    </w:p>
    <w:p>
      <w:pPr>
        <w:spacing w:after="0" w:line="156" w:lineRule="exact"/>
        <w:rPr>
          <w:sz w:val="20"/>
          <w:szCs w:val="20"/>
          <w:color w:val="auto"/>
        </w:rPr>
      </w:pPr>
    </w:p>
    <w:p>
      <w:pPr>
        <w:ind w:right="80" w:firstLine="486"/>
        <w:spacing w:after="0" w:line="256" w:lineRule="auto"/>
        <w:rPr>
          <w:sz w:val="20"/>
          <w:szCs w:val="20"/>
          <w:color w:val="auto"/>
        </w:rPr>
      </w:pPr>
      <w:r>
        <w:rPr>
          <w:rFonts w:ascii="Arial" w:cs="Arial" w:eastAsia="Arial" w:hAnsi="Arial"/>
          <w:sz w:val="18"/>
          <w:szCs w:val="18"/>
          <w:color w:val="auto"/>
        </w:rPr>
        <w:t>In March 2012, we announced our intent to seek the ability to pay a regular quarterly cash dividend of up to $0.48 per share annually on our outstanding common stock. The payment of any dividends permitted under our credit facilities are subject to approval by our Board of Directors, including both timing and amount.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598" w:right="279" w:bottom="1440" w:gutter="0" w:footer="0" w:header="0"/>
        </w:sectPr>
      </w:pPr>
    </w:p>
    <w:bookmarkStart w:id="50" w:name="page51"/>
    <w:bookmarkEnd w:id="50"/>
    <w:p>
      <w:pPr>
        <w:ind w:right="60" w:firstLine="486"/>
        <w:spacing w:after="0" w:line="262" w:lineRule="auto"/>
        <w:rPr>
          <w:sz w:val="20"/>
          <w:szCs w:val="20"/>
          <w:color w:val="auto"/>
        </w:rPr>
      </w:pPr>
      <w:r>
        <w:rPr>
          <w:rFonts w:ascii="Arial" w:cs="Arial" w:eastAsia="Arial" w:hAnsi="Arial"/>
          <w:sz w:val="18"/>
          <w:szCs w:val="18"/>
          <w:color w:val="auto"/>
        </w:rPr>
        <w:t>On July 30, 2012, the Board of Directors declared a cash dividend of $0.12 per share on our outstanding common stock. The dividend of $13.2 million was paid on August 30, 2012 to stockholders of record as of August 15, 2012.</w:t>
      </w:r>
    </w:p>
    <w:p>
      <w:pPr>
        <w:spacing w:after="0" w:line="331" w:lineRule="exact"/>
        <w:rPr>
          <w:sz w:val="20"/>
          <w:szCs w:val="20"/>
          <w:color w:val="auto"/>
        </w:rPr>
      </w:pPr>
    </w:p>
    <w:p>
      <w:pPr>
        <w:ind w:right="220" w:firstLine="486"/>
        <w:spacing w:after="0" w:line="262" w:lineRule="auto"/>
        <w:rPr>
          <w:sz w:val="20"/>
          <w:szCs w:val="20"/>
          <w:color w:val="auto"/>
        </w:rPr>
      </w:pPr>
      <w:r>
        <w:rPr>
          <w:rFonts w:ascii="Arial" w:cs="Arial" w:eastAsia="Arial" w:hAnsi="Arial"/>
          <w:sz w:val="18"/>
          <w:szCs w:val="18"/>
          <w:color w:val="auto"/>
        </w:rPr>
        <w:t>On October 29, 2012, the Board of Directors declared a cash dividend of $0.12 per share on our outstanding common stock to be paid on November 30, 2012 to all stockholders of record on November 15, 2012.</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w:t>
      </w:r>
    </w:p>
    <w:p>
      <w:pPr>
        <w:spacing w:after="0" w:line="20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On July 20, 2012, the Internal Revenue Service (“IRS”) issued a Notice of Proposed Adjustment (the “Notice”) asserting we are subject to a penalty with respect to an alleged untimely deposit of withholding taxes related to the exercise of certain non-qualified stock options in connection with our initial public offering in 2010. We have been engaged in discussions with the IRS regarding the Notice. As a result of these discussions, we believe the outcome will not be material to our financial position and we have recorded an estimate of the probable loss in the results of operations for the three and nine months ended September 30, 2012.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Capital Requirements</w:t>
      </w:r>
    </w:p>
    <w:p>
      <w:pPr>
        <w:spacing w:after="0" w:line="193" w:lineRule="exact"/>
        <w:rPr>
          <w:sz w:val="20"/>
          <w:szCs w:val="20"/>
          <w:color w:val="auto"/>
        </w:rPr>
      </w:pPr>
    </w:p>
    <w:p>
      <w:pPr>
        <w:ind w:right="60" w:firstLine="486"/>
        <w:spacing w:after="0" w:line="251" w:lineRule="auto"/>
        <w:rPr>
          <w:sz w:val="20"/>
          <w:szCs w:val="20"/>
          <w:color w:val="auto"/>
        </w:rPr>
      </w:pPr>
      <w:r>
        <w:rPr>
          <w:rFonts w:ascii="Arial" w:cs="Arial" w:eastAsia="Arial" w:hAnsi="Arial"/>
          <w:sz w:val="18"/>
          <w:szCs w:val="18"/>
          <w:color w:val="auto"/>
        </w:rPr>
        <w:t>Our primary requirement for working capital relates to funds we loan to our advisors’ clients for trading conducted on margin and funds we are required to maintain at clearing organizations to support these clients’ trading activities. We have several sources of funds to enable us to meet increased working capital requirements related to increased client margin activities and balances. These sources include cash and cash equivalents on hand, cash and securities segregated under federal and other regulations, and proceeds from re-pledging or selling client securities in margin accounts. When a client purchases securities on margin or uses securities as collateral to borrow from us on margin, we are permitted, pursuant to the applicable securities industry regulations, to re-pledge or sell securities which collateralize those margin accounts. As of September 30, 2012, we had received collateral in connection primarily with client margin loans with a fair value of approximately $353.4 million, which can be re-pledged or sold. Of this amount, approximately $ 23.1 million has been pledged to the Options Clearing Corporation ("OCC") as collateral to secure certain client obligations related to options positions, and approximately $19.2 million was loaned to the National Securities Clearing Corporation through participation in the Stock Borrow Program. Additionally, approximately $140.5 million are held at banks in connection with uncommitted lines of credit, which were unutilized at September 30, 2012; these securities may be used as collateral for loans from these banks. The remainder of $170.6 million has not been re-pledged or sold. There are no restrictions that materially limit our ability to re-pledge or sell the remaining $311.1 million of client collateral.</w:t>
      </w:r>
    </w:p>
    <w:p>
      <w:pPr>
        <w:spacing w:after="0" w:line="211" w:lineRule="exact"/>
        <w:rPr>
          <w:sz w:val="20"/>
          <w:szCs w:val="20"/>
          <w:color w:val="auto"/>
        </w:rPr>
      </w:pPr>
    </w:p>
    <w:p>
      <w:pPr>
        <w:ind w:right="180" w:firstLine="486"/>
        <w:spacing w:after="0" w:line="262" w:lineRule="auto"/>
        <w:rPr>
          <w:sz w:val="20"/>
          <w:szCs w:val="20"/>
          <w:color w:val="auto"/>
        </w:rPr>
      </w:pPr>
      <w:r>
        <w:rPr>
          <w:rFonts w:ascii="Arial" w:cs="Arial" w:eastAsia="Arial" w:hAnsi="Arial"/>
          <w:sz w:val="18"/>
          <w:szCs w:val="18"/>
          <w:color w:val="auto"/>
        </w:rPr>
        <w:t>Our other working capital needs are primarily related to regulatory capital requirements at our broker-dealer and bank trust subsidiaries and software development, which we have satisfied in the past from internally generated cash flows.</w:t>
      </w:r>
    </w:p>
    <w:p>
      <w:pPr>
        <w:spacing w:after="0" w:line="196"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Notwithstanding the self-funding nature of our operations, we may sometimes be required to fund timing differences arising from the delayed receipt of client funds associated with the settlement of client transactions in securities markets. These timing differences are funded either with internally generated cash flow or, if needed, with funds drawn on our uncommitted lines of credit at our broker-dealer subsidiary LPL Financial, and/or under our revolving credit facility.</w:t>
      </w:r>
    </w:p>
    <w:p>
      <w:pPr>
        <w:spacing w:after="0" w:line="204"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Our registered broker-dealer, LPL Financial, is subject to the SEC’s Uniform Net Capital Rule, which requires the maintenance of minimum net capital. LPL Financial computes net capital requirements under the alternative method, which requires firms to maintain minimum net capital, as defined, equal to the greater of $250,000 or 2.0% of aggregate debit balances arising from client transactions.</w:t>
      </w:r>
    </w:p>
    <w:p>
      <w:pPr>
        <w:spacing w:after="0" w:line="202" w:lineRule="exact"/>
        <w:rPr>
          <w:sz w:val="20"/>
          <w:szCs w:val="20"/>
          <w:color w:val="auto"/>
        </w:rPr>
      </w:pPr>
    </w:p>
    <w:p>
      <w:pPr>
        <w:jc w:val="both"/>
        <w:ind w:right="160" w:firstLine="486"/>
        <w:spacing w:after="0" w:line="256" w:lineRule="auto"/>
        <w:rPr>
          <w:sz w:val="20"/>
          <w:szCs w:val="20"/>
          <w:color w:val="auto"/>
        </w:rPr>
      </w:pPr>
      <w:r>
        <w:rPr>
          <w:rFonts w:ascii="Arial" w:cs="Arial" w:eastAsia="Arial" w:hAnsi="Arial"/>
          <w:sz w:val="18"/>
          <w:szCs w:val="18"/>
          <w:color w:val="auto"/>
        </w:rPr>
        <w:t>LPL Financial is also subject to the National Futures Association's ("NFA") financial requirements and is required to maintain net capital that is in excess of or equal to the greatest of its minimum financial requirements. Currently the highest NFA requirement is the minimum net capital calculated pursuant to the SEC's Uniform Net Capital Rule.</w:t>
      </w:r>
    </w:p>
    <w:p>
      <w:pPr>
        <w:spacing w:after="0" w:line="202" w:lineRule="exact"/>
        <w:rPr>
          <w:sz w:val="20"/>
          <w:szCs w:val="20"/>
          <w:color w:val="auto"/>
        </w:rPr>
      </w:pPr>
    </w:p>
    <w:p>
      <w:pPr>
        <w:ind w:right="360" w:firstLine="486"/>
        <w:spacing w:after="0" w:line="254" w:lineRule="auto"/>
        <w:rPr>
          <w:sz w:val="20"/>
          <w:szCs w:val="20"/>
          <w:color w:val="auto"/>
        </w:rPr>
      </w:pPr>
      <w:r>
        <w:rPr>
          <w:rFonts w:ascii="Arial" w:cs="Arial" w:eastAsia="Arial" w:hAnsi="Arial"/>
          <w:sz w:val="18"/>
          <w:szCs w:val="18"/>
          <w:color w:val="auto"/>
        </w:rPr>
        <w:t>In addition to the minimum net capital requirements, the SEC and FINRA have established "early warning" capital requirements for broker-dealers that when exceeded, limit certain activities of the broker-dealer. Early warning requirements provide advance warning that a firm's net capital is dropping toward its minimum requirement, allowing time for initiation of corrective action. For LPL Financial, an early warning level is reached if</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773" w:right="259" w:bottom="1440" w:gutter="0" w:footer="0" w:header="0"/>
        </w:sectPr>
      </w:pPr>
    </w:p>
    <w:bookmarkStart w:id="51" w:name="page52"/>
    <w:bookmarkEnd w:id="51"/>
    <w:p>
      <w:pPr>
        <w:ind w:right="100"/>
        <w:spacing w:after="0" w:line="254" w:lineRule="auto"/>
        <w:rPr>
          <w:sz w:val="20"/>
          <w:szCs w:val="20"/>
          <w:color w:val="auto"/>
        </w:rPr>
      </w:pPr>
      <w:r>
        <w:rPr>
          <w:rFonts w:ascii="Arial" w:cs="Arial" w:eastAsia="Arial" w:hAnsi="Arial"/>
          <w:sz w:val="18"/>
          <w:szCs w:val="18"/>
          <w:color w:val="auto"/>
        </w:rPr>
        <w:t>its ratio of aggregate customer debit balances falls below 5.0% of net capital. At September 30, 2012, LPL Financial's net capital was $128.7 million and its early warning requirement was $14.6 million. LPL Financial typically maintains net capital in excess of the early warning level to maintain its ability to grow its business, demonstrate the stability of its operations and provide a safeguard in the event of sustained levels of market volatility, as experienced by the securities industry in 2008.</w:t>
      </w:r>
    </w:p>
    <w:p>
      <w:pPr>
        <w:spacing w:after="0" w:line="204"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LPL Financial's ability to pay dividends greater than 10% of its excess net capital during any 35 day rolling period requires approval from FINRA. In addition, payment of dividends is restricted if LPL Financial's net capital would be less than 5.0% of aggregate customer debit balances.</w:t>
      </w:r>
    </w:p>
    <w:p>
      <w:pPr>
        <w:spacing w:after="0" w:line="202"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Prior to July 16, 2012, UVEST was also a registered broker-dealer and computed net capital requirements under the aggregate indebtedness method, which requires firms to maintain minimum net capital, as defined, of not less than 6.67% of aggregate indebtedness. In connection with the consolidation of UVEST with LPL Financial, UVEST's registration with FINRA was withdrawn effective July 16, 2012 and is no longer subject to net capital filing requirements.</w:t>
      </w:r>
    </w:p>
    <w:p>
      <w:pPr>
        <w:spacing w:after="0" w:line="204" w:lineRule="exact"/>
        <w:rPr>
          <w:sz w:val="20"/>
          <w:szCs w:val="20"/>
          <w:color w:val="auto"/>
        </w:rPr>
      </w:pPr>
    </w:p>
    <w:p>
      <w:pPr>
        <w:jc w:val="both"/>
        <w:ind w:right="360" w:firstLine="486"/>
        <w:spacing w:after="0" w:line="256" w:lineRule="auto"/>
        <w:rPr>
          <w:sz w:val="20"/>
          <w:szCs w:val="20"/>
          <w:color w:val="auto"/>
        </w:rPr>
      </w:pPr>
      <w:r>
        <w:rPr>
          <w:rFonts w:ascii="Arial" w:cs="Arial" w:eastAsia="Arial" w:hAnsi="Arial"/>
          <w:sz w:val="18"/>
          <w:szCs w:val="18"/>
          <w:color w:val="auto"/>
        </w:rPr>
        <w:t>Our subsidiary, PTC, is subject to various regulatory capital requirements. Failure by any of our subsidiaries to meet their respective minimum capital requirements can initiate certain mandatory and possible additional discretionary actions by regulators that, if undertaken, could have a direct material effect on our unaudited condensed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Assessment</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Our ability to meet our debt service obligations and reduce our total debt will depend upon our future performance, which, in turn, will be subject to general economic, financial, business, competitive, legislative, regulatory and other conditions, many of which are beyond our control. In addition, our operating results, cash flow and capital resources may not be sufficient for repayment of our indebtedness in the future. Some risks that could materially adversely affect our ability to meet our debt service obligations include, but are not limited to, general economic conditions and economic activity in the financial markets. The performance of our business is correlated with the economy and financial markets, and a slowdown in the economy or financial markets could adversely affect our business, results of operations, cash flows or financial condition.</w:t>
      </w:r>
    </w:p>
    <w:p>
      <w:pPr>
        <w:spacing w:after="0" w:line="20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If our cash flows and capital resources are insufficient to fund our debt service obligations, we may be forced to reduce or delay investments, seek additional capital or restructure or refinance our indebtedness. These measures may not be successful and may not permit us to meet our scheduled debt service obligations. In the absence of sufficient cash flows and capital resources, we could face substantial liquidity constraints and might be required to dispose of material assets or operations to meet our debt service and other obligations. However, our senior secured credit agreement will restrict our ability to dispose of assets and the use of proceeds from any such dispositions. We may not be able to consummate those dispositions, and even if we could consummate such dispositions, to obtain the proceeds that we could realize from them and, in any event, the proceeds may not be adequate to meet any debt service obligations then due.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247" w:lineRule="exact"/>
        <w:rPr>
          <w:sz w:val="20"/>
          <w:szCs w:val="20"/>
          <w:color w:val="auto"/>
        </w:rPr>
      </w:pPr>
    </w:p>
    <w:p>
      <w:pPr>
        <w:ind w:right="60" w:firstLine="486"/>
        <w:spacing w:after="0" w:line="251" w:lineRule="auto"/>
        <w:rPr>
          <w:sz w:val="20"/>
          <w:szCs w:val="20"/>
          <w:color w:val="auto"/>
        </w:rPr>
      </w:pPr>
      <w:r>
        <w:rPr>
          <w:rFonts w:ascii="Arial" w:cs="Arial" w:eastAsia="Arial" w:hAnsi="Arial"/>
          <w:sz w:val="18"/>
          <w:szCs w:val="18"/>
          <w:color w:val="auto"/>
        </w:rPr>
        <w:t>On March 29, 2012, we entered into a Credit Agreement (the "Credit Agreement") with LPL Holdings, Inc., the other Credit Parties signatory thereto, the Several Lenders signatory thereto, and Bank of America, N.A. as Administrative Agent, Collateral Agent, Letter of Credit Issuer, and Swingline Lender. The Credit Agreement refinanced and replaced our Third Amended and Restated Credit Agreement, dated as of May 24, 2010 (the "Original Credit Agreement"). Pursuant to the Credit Agreement, we established a Term Loan A tranche of $ 735.0 million maturing at March 29, 2017 (the "Term Loan A") and a Term Loan B tranche of $615.0 million maturing at March 29, 2019 (the "Term Loan B"). In connection with the Credit Agreement we capitalized certain debt issuance costs totaling $23.7 million. Additionally, we accelerated the recognition of $ 16.5 million debt issuance costs related to borrowings under the Original Credit Agreement in the nine months ended September 30, 2012. As of March 31, 2012, we estimated that over the first twelve months of operations under the Credit Agreement, we anticipate interest savings of approximately $10.0 million based on a weighted average interest yield of 3.34% on the Credit Agreement compared to 4.27% on the Original Credit Agreement, excluding the portions then-hedged with our interest rate swap.</w:t>
      </w: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598" w:right="279" w:bottom="1440" w:gutter="0" w:footer="0" w:header="0"/>
        </w:sectPr>
      </w:pPr>
    </w:p>
    <w:bookmarkStart w:id="52" w:name="page53"/>
    <w:bookmarkEnd w:id="52"/>
    <w:p>
      <w:pPr>
        <w:ind w:right="100" w:firstLine="486"/>
        <w:spacing w:after="0" w:line="256" w:lineRule="auto"/>
        <w:rPr>
          <w:sz w:val="20"/>
          <w:szCs w:val="20"/>
          <w:color w:val="auto"/>
        </w:rPr>
      </w:pPr>
      <w:r>
        <w:rPr>
          <w:rFonts w:ascii="Arial" w:cs="Arial" w:eastAsia="Arial" w:hAnsi="Arial"/>
          <w:sz w:val="18"/>
          <w:szCs w:val="18"/>
          <w:color w:val="auto"/>
        </w:rPr>
        <w:t>The Credit Agreement also refinanced and replaced our then existing revolving credit facility, increasing our capacity from $163.5 million to $250.0 million ("Revolving Credit Facility"). The new revolving credit facility will mature on March 29, 2017. There were no outstanding borrowings on this revolving credit facility at September 30, 2012.</w:t>
      </w:r>
    </w:p>
    <w:p>
      <w:pPr>
        <w:spacing w:after="0" w:line="202" w:lineRule="exact"/>
        <w:rPr>
          <w:sz w:val="20"/>
          <w:szCs w:val="20"/>
          <w:color w:val="auto"/>
        </w:rPr>
      </w:pPr>
    </w:p>
    <w:p>
      <w:pPr>
        <w:ind w:right="140" w:firstLine="486"/>
        <w:spacing w:after="0" w:line="256" w:lineRule="auto"/>
        <w:rPr>
          <w:sz w:val="20"/>
          <w:szCs w:val="20"/>
          <w:color w:val="auto"/>
        </w:rPr>
      </w:pPr>
      <w:r>
        <w:rPr>
          <w:rFonts w:ascii="Arial" w:cs="Arial" w:eastAsia="Arial" w:hAnsi="Arial"/>
          <w:sz w:val="18"/>
          <w:szCs w:val="18"/>
          <w:color w:val="auto"/>
        </w:rPr>
        <w:t>As of September 30, 2012, the Revolving Credit Facility was being used to support the issuance of $31.3 million of irrevocable letters of credit for the construction of our future San Diego office building, our subsidiary PTC and other items. In October 2012, we received a notice from the OCC that the $10.0 million letter of credit for our subsidiary, PTC, which is set to expire in December 2012, is no longer required.</w:t>
      </w:r>
    </w:p>
    <w:p>
      <w:pPr>
        <w:spacing w:after="0" w:line="202"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In addition, we maintain three uncommitted lines of credit. Two of the lines have unspecified limits, and are primarily dependent on our ability to provide sufficient collateral. The other line has a $150.0 million limit and allows for both collateralized and uncollateralized borrowings. The lines were utilized in 2012 and 2011; however, there were no balances outstanding at September 30, 2012 or December 31, 2011.</w:t>
      </w:r>
    </w:p>
    <w:p>
      <w:pPr>
        <w:spacing w:after="0" w:line="202" w:lineRule="exact"/>
        <w:rPr>
          <w:sz w:val="20"/>
          <w:szCs w:val="20"/>
          <w:color w:val="auto"/>
        </w:rPr>
      </w:pPr>
    </w:p>
    <w:p>
      <w:pPr>
        <w:ind w:right="220" w:firstLine="486"/>
        <w:spacing w:after="0" w:line="262" w:lineRule="auto"/>
        <w:rPr>
          <w:sz w:val="20"/>
          <w:szCs w:val="20"/>
          <w:color w:val="auto"/>
        </w:rPr>
      </w:pPr>
      <w:r>
        <w:rPr>
          <w:rFonts w:ascii="Arial" w:cs="Arial" w:eastAsia="Arial" w:hAnsi="Arial"/>
          <w:sz w:val="18"/>
          <w:szCs w:val="18"/>
          <w:color w:val="auto"/>
        </w:rPr>
        <w:t>We were also a party to an interest rate swap agreement, in a notional amount of $65.0 million, to mitigate interest rate risk by hedging the variability of a portion of our floating-rate senior secured term loan. This agreement expired on June 30, 2012.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and Fees</w:t>
      </w:r>
    </w:p>
    <w:p>
      <w:pPr>
        <w:spacing w:after="0" w:line="247"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Borrowings under the Credit Agreement bear interest at a base rate equal to the one, two, three, six, nine or twelve-month LIBOR (the "Eurodollar Rate") plus our applicable margin, or an alternative base rate (“ABR”) plus our applicable margin. The ABR is equal to the greatest of (a) the prime rate in effect on such day, (b) the effective federal funds rate in effect on such day plus 0.50%, (c) the Eurodollar Rate plus 1.00% and (d) solely in the case of the Term Loan B, 2.00%.</w:t>
      </w:r>
    </w:p>
    <w:p>
      <w:pPr>
        <w:spacing w:after="0" w:line="204" w:lineRule="exact"/>
        <w:rPr>
          <w:sz w:val="20"/>
          <w:szCs w:val="20"/>
          <w:color w:val="auto"/>
        </w:rPr>
      </w:pPr>
    </w:p>
    <w:p>
      <w:pPr>
        <w:ind w:right="100" w:firstLine="486"/>
        <w:spacing w:after="0" w:line="265" w:lineRule="auto"/>
        <w:rPr>
          <w:sz w:val="20"/>
          <w:szCs w:val="20"/>
          <w:color w:val="auto"/>
        </w:rPr>
      </w:pPr>
      <w:r>
        <w:rPr>
          <w:rFonts w:ascii="Arial" w:cs="Arial" w:eastAsia="Arial" w:hAnsi="Arial"/>
          <w:sz w:val="17"/>
          <w:szCs w:val="17"/>
          <w:color w:val="auto"/>
        </w:rPr>
        <w:t>The applicable margin for borrowings (a) with respect to the Term Loan A is currently 1.50% for base rate borrowings and 2.50% for LIBOR borrowings, and (b) with respect to the Term Loan B is currently 2.00% for base rate borrowings and 3.00% for LIBOR borrowings, and</w:t>
      </w:r>
    </w:p>
    <w:p>
      <w:pPr>
        <w:ind w:right="100" w:firstLine="8"/>
        <w:spacing w:after="0" w:line="256" w:lineRule="auto"/>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with respect to the revolving credit facility is currently 1.50% for base rate borrowings and 2.50% for LIBOR borrowings. The applicable margin on our term loans and revolving credit facility could change depending on our total leverage ratio. The LIBOR rate with respect to Term Loan B shall in no event be less than 1.00%.</w:t>
      </w:r>
    </w:p>
    <w:p>
      <w:pPr>
        <w:spacing w:after="0" w:line="202"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In addition to paying interest on outstanding principal under the Credit Agreement, we are required to pay a commitment fee to the lenders under the revolving credit facility in respect of the unutilized commitments thereunder. The commitment fee rate at September 30, 2012 was 0.50% for our revolving credit facility, but is subject to change depending on our leverage ratio. Prior to the closing of the Credit Agreement on March 29, 2012, the commitment fee was 0.75% on our previous revolving credit facility. We must also pay customary letter of credit fees.</w:t>
      </w:r>
    </w:p>
    <w:p>
      <w:pPr>
        <w:spacing w:after="0" w:line="204"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Prior to the repayment on March 29, 2012, the Original Credit Agreement consisted of three term loan tranches: a $302.5 million term loan facility with a maturity of June 18, 2013 (the "2013 Term Loans"), a $ 476.9 million term loan facility with a maturity of June 25, 2015 (the "2015 Term Loans") and a $553.2 million term loan facility with a maturity of June 28, 2017 (the "2017 Term Loans"). The applicable margin for borrowings (a) with respect to the 2013 Term Loans was 0.75% for base rate borrowings and 1.75% for LIBOR borrowings, (b) with respect to the 2015 Term Loans was 1.75% for base rate borrowings and 2.75% for LIBOR borrowings and (c) with respect to the 2017 Term Loans was 2.75% for base rate borrowings and 3.75% for LIBOR borrowings. The $ 163.5 million revolver tranche had an applicable margin of 2.50% for base rate borrowings and 3.50% for LIBOR borrowings. The LIBOR rate with respect to the 2015 Term Loans and the 2017 Term Loans had a floor of 1.50%.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Prepayments</w:t>
      </w:r>
    </w:p>
    <w:p>
      <w:pPr>
        <w:spacing w:after="0" w:line="247" w:lineRule="exact"/>
        <w:rPr>
          <w:sz w:val="20"/>
          <w:szCs w:val="20"/>
          <w:color w:val="auto"/>
        </w:rPr>
      </w:pPr>
    </w:p>
    <w:p>
      <w:pPr>
        <w:ind w:right="120" w:firstLine="486"/>
        <w:spacing w:after="0" w:line="262" w:lineRule="auto"/>
        <w:rPr>
          <w:sz w:val="20"/>
          <w:szCs w:val="20"/>
          <w:color w:val="auto"/>
        </w:rPr>
      </w:pPr>
      <w:r>
        <w:rPr>
          <w:rFonts w:ascii="Arial" w:cs="Arial" w:eastAsia="Arial" w:hAnsi="Arial"/>
          <w:sz w:val="18"/>
          <w:szCs w:val="18"/>
          <w:color w:val="auto"/>
        </w:rPr>
        <w:t>The Credit Agreement (other than the revolving credit facility) requires us to prepay outstanding amounts under our senior secured term loan facility subject to certain exceptions, with:</w:t>
      </w:r>
    </w:p>
    <w:p>
      <w:pPr>
        <w:spacing w:after="0" w:line="196" w:lineRule="exact"/>
        <w:rPr>
          <w:sz w:val="20"/>
          <w:szCs w:val="20"/>
          <w:color w:val="auto"/>
        </w:rPr>
      </w:pPr>
    </w:p>
    <w:p>
      <w:pPr>
        <w:ind w:left="520" w:hanging="120"/>
        <w:spacing w:after="0" w:line="256"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50% (percentage will be reduced to 0% if our total leverage ratio is 3.00 to 1.00 or less) of our annual excess cash flow (as defined in the Credit Agreement) adjusted for, among other things, changes in our net working capital (as of September 30, 2012 our total leverage ratio was 2.27);</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598" w:right="259" w:bottom="1440" w:gutter="0" w:footer="0" w:header="0"/>
        </w:sectPr>
      </w:pPr>
    </w:p>
    <w:bookmarkStart w:id="53" w:name="page54"/>
    <w:bookmarkEnd w:id="53"/>
    <w:p>
      <w:pPr>
        <w:ind w:left="520" w:right="100" w:hanging="120"/>
        <w:spacing w:after="0" w:line="256" w:lineRule="auto"/>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100% of the net cash proceeds of all nonordinary course asset sales or other dispositions of property (including insurance recoveries), if we do not reinvest or commit to reinvest those proceeds in assets to be used in our business or to make certain other permitted investments within 15 months as long as such reinvestment is completed within 180 days and</w:t>
      </w:r>
    </w:p>
    <w:p>
      <w:pPr>
        <w:spacing w:after="0" w:line="201" w:lineRule="exact"/>
        <w:rPr>
          <w:rFonts w:ascii="Arial" w:cs="Arial" w:eastAsia="Arial" w:hAnsi="Arial"/>
          <w:sz w:val="18"/>
          <w:szCs w:val="18"/>
          <w:color w:val="auto"/>
        </w:rPr>
      </w:pPr>
    </w:p>
    <w:p>
      <w:pPr>
        <w:ind w:left="520" w:hanging="120"/>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100% of the net cash proceeds of any incurrence of debt, other than proceeds from debt permitted under the Credit Agreement.</w:t>
      </w:r>
    </w:p>
    <w:p>
      <w:pPr>
        <w:spacing w:after="0" w:line="225" w:lineRule="exact"/>
        <w:rPr>
          <w:sz w:val="20"/>
          <w:szCs w:val="20"/>
          <w:color w:val="auto"/>
        </w:rPr>
      </w:pPr>
    </w:p>
    <w:p>
      <w:pPr>
        <w:ind w:right="180" w:firstLine="486"/>
        <w:spacing w:after="0" w:line="256" w:lineRule="auto"/>
        <w:rPr>
          <w:sz w:val="20"/>
          <w:szCs w:val="20"/>
          <w:color w:val="auto"/>
        </w:rPr>
      </w:pPr>
      <w:r>
        <w:rPr>
          <w:rFonts w:ascii="Arial" w:cs="Arial" w:eastAsia="Arial" w:hAnsi="Arial"/>
          <w:sz w:val="18"/>
          <w:szCs w:val="18"/>
          <w:color w:val="auto"/>
        </w:rPr>
        <w:t>Mandatory prepayments in respect of the incurrence of any debt can be applied by us to scheduled installments of principal of the Term Loan A and Term Loan B in any order at our direction. Any other mandatory prepayments described above will be applied to scheduled installments of principal of the Term Loan A and Term Loan B in direct order.</w:t>
      </w:r>
    </w:p>
    <w:p>
      <w:pPr>
        <w:spacing w:after="0" w:line="202"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We may voluntarily repay outstanding term loans under the Credit Agreement at any time without premium or penalty, other than customary “breakage” costs with respect to LIBOR loans, and with the exception of certain repricing transactions in respect of the Term Loan B consummated before March 29, 2013, which will be subject to a premium of 1.0% of the principal amount of Term Loan B subject to such repricing transaction.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w:t>
      </w:r>
    </w:p>
    <w:p>
      <w:pPr>
        <w:spacing w:after="0" w:line="247"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Quarterly repayments of the principal for Term Loan A will total 5.0% per year for years one and two and 10.0% per year for years three, four, and five, with the remaining principal due upon maturity. Quarterly repayments of the principal for Term Loan B will total 1.0% per year with the remaining principal due upon maturity. Any outstanding principle under the Revolving Credit Facility will be due upon maturity.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 and Security</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loans under the Credit Agreement are secured primarily through pledges of the capital stock in certain of our subsidiaries.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 and Events of Default</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Credit Agreement contains a number of covenants that, among other things, restrict, subject to certain exceptions, our ability to:</w:t>
      </w:r>
    </w:p>
    <w:p>
      <w:pPr>
        <w:spacing w:after="0" w:line="225" w:lineRule="exact"/>
        <w:rPr>
          <w:sz w:val="20"/>
          <w:szCs w:val="20"/>
          <w:color w:val="auto"/>
        </w:rPr>
      </w:pPr>
    </w:p>
    <w:p>
      <w:pPr>
        <w:ind w:left="520" w:hanging="120"/>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enter into sale and leaseback transactions;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engage in mergers or consolidations;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sell or transfer assets;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pay dividends and distributions or repurchase our capital stock;</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make investments, loans or advances;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prepay certain subordinated indebtedness;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engage in certain transactions with affiliates;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amend material agreements governing certain subordinated indebtedness and</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 our lines of business.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Credit Agreement prohibits us from paying dividends and distributions or repurchasing our capital stock</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814" w:right="239" w:bottom="1440" w:gutter="0" w:footer="0" w:header="0"/>
        </w:sectPr>
      </w:pPr>
    </w:p>
    <w:bookmarkStart w:id="54" w:name="page55"/>
    <w:bookmarkEnd w:id="54"/>
    <w:p>
      <w:pPr>
        <w:ind w:right="20"/>
        <w:spacing w:after="0" w:line="251" w:lineRule="auto"/>
        <w:rPr>
          <w:sz w:val="20"/>
          <w:szCs w:val="20"/>
          <w:color w:val="auto"/>
        </w:rPr>
      </w:pPr>
      <w:r>
        <w:rPr>
          <w:rFonts w:ascii="Arial" w:cs="Arial" w:eastAsia="Arial" w:hAnsi="Arial"/>
          <w:sz w:val="18"/>
          <w:szCs w:val="18"/>
          <w:color w:val="auto"/>
        </w:rPr>
        <w:t>except for limited purposes, including, but not limited to payments in connection with: (i) redemption, repurchase, retirement or other acquisition of our equity interests from present or former officers, managers, consultants, employees and directors upon the death, disability, retirement, or termination of employment of any such person or otherwise in accordance with any stock option or stock appreciate rights plan, any management or employee stock ownership plan, stock subscription plan, employment termination agreement or any employment agreements or stockholders’ agreement, in an aggregate amount not to exceed $10.0 million in any fiscal year plus the amount of cash proceeds from certain equity issuances to such persons, and the amount of certain key-man life insurance proceeds, (ii) franchise taxes, general corporate and operating expenses not to exceed $3.0 million in any fiscal year, and fees and expenses related to any unsuccessful equity or debt offering permitted by the Credit Agreement, (iii) tax liabilities to the extent attributable to our business and our subsidiaries and (iv) dividends and other distributions in an aggregate amount not to exceed the sum of (a) the greater of (i) $250,000,000 and (ii) 6.75% of our consolidated total assets, (b) the available amount (as defined in the Credit Agreement) and (c) the available equity amount (as defined in the Credit Agreement). Notwithstanding the foregoing, we may make unlimited dividends and distributions provided that after giving pro forma effect thereto, our total leverage ratio does not exceed 2.0 to 1.0.</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share repurchase programs approved in May 2012 and September 2012 were authorized by the Board of Directors pursuant to item</w:t>
      </w:r>
    </w:p>
    <w:p>
      <w:pPr>
        <w:spacing w:after="0" w:line="9" w:lineRule="exact"/>
        <w:rPr>
          <w:sz w:val="20"/>
          <w:szCs w:val="20"/>
          <w:color w:val="auto"/>
        </w:rPr>
      </w:pPr>
    </w:p>
    <w:p>
      <w:pPr>
        <w:ind w:right="120" w:firstLine="8"/>
        <w:spacing w:after="0" w:line="262" w:lineRule="auto"/>
        <w:tabs>
          <w:tab w:leader="none" w:pos="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above. Our special dividend was authorized by the Board of Directors pursuant to a one-time exception to the restriction on dividends. Any future declarations of quarterly cash dividends will be authorized pursuant to item (iv) above.</w:t>
      </w:r>
    </w:p>
    <w:p>
      <w:pPr>
        <w:spacing w:after="0" w:line="196"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In addition, our financial covenant requirements include a total leverage ratio test and an interest coverage ratio test. Under our total leverage ratio test, we covenant not to allow the ratio of our consolidated total debt (as defined in our Credit Agreement) to an adjusted EBITDA reflecting financial covenants in our Credit Agreement (“Credit Agreement Adjusted EBITDA”) to exceed certain prescribed levels set forth in the Credit Agreement. Under our interest coverage ratio test, we covenant not to allow the ratio of our Credit Agreement Adjusted EBITDA to our consolidated interest expense (as defined in our Credit Agreement) to be less than certain prescribed levels set forth in the Credit Agreement. Each of our financial ratios is measured at the end of each fiscal quarter.</w:t>
      </w:r>
    </w:p>
    <w:p>
      <w:pPr>
        <w:spacing w:after="0" w:line="209" w:lineRule="exact"/>
        <w:rPr>
          <w:sz w:val="20"/>
          <w:szCs w:val="20"/>
          <w:color w:val="auto"/>
        </w:rPr>
      </w:pPr>
    </w:p>
    <w:p>
      <w:pPr>
        <w:ind w:right="100" w:firstLine="486"/>
        <w:spacing w:after="0" w:line="291" w:lineRule="auto"/>
        <w:rPr>
          <w:sz w:val="20"/>
          <w:szCs w:val="20"/>
          <w:color w:val="auto"/>
        </w:rPr>
      </w:pPr>
      <w:r>
        <w:rPr>
          <w:rFonts w:ascii="Arial" w:cs="Arial" w:eastAsia="Arial" w:hAnsi="Arial"/>
          <w:sz w:val="17"/>
          <w:szCs w:val="17"/>
          <w:color w:val="auto"/>
        </w:rPr>
        <w:t>Our Credit Agreement provides us with a right to cure in the event we fail to comply with our leverage ratio test or our interest coverage test. We must exercise this right to cure within ten days of the delivery of our quarterly certificate calculating the financial ratios for that quarter.</w:t>
      </w:r>
    </w:p>
    <w:p>
      <w:pPr>
        <w:spacing w:after="0" w:line="174"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If we fail to comply with these covenants and are unable to cure, we could face substantial liquidity problems and could be forced to sell assets, seek additional capital or seek to restructure or refinance our indebtedness. These alternative measures may not be successful or feasible. Our Credit Agreement restricts our ability to sell assets. Even if we could consummate those sales, the proceeds that we realize from them may not be adequate to meet any debt service obligations then due. Furthermore, if an event of default were to occur with respect to our Credit Agreement, our creditors could, among other things, accelerate the maturity of our indebtedness.</w:t>
      </w:r>
    </w:p>
    <w:p>
      <w:pPr>
        <w:spacing w:after="0" w:line="206" w:lineRule="exact"/>
        <w:rPr>
          <w:sz w:val="20"/>
          <w:szCs w:val="20"/>
          <w:color w:val="auto"/>
        </w:rPr>
      </w:pPr>
    </w:p>
    <w:p>
      <w:pPr>
        <w:ind w:right="820" w:firstLine="486"/>
        <w:spacing w:after="0" w:line="262" w:lineRule="auto"/>
        <w:rPr>
          <w:sz w:val="20"/>
          <w:szCs w:val="20"/>
          <w:color w:val="auto"/>
        </w:rPr>
      </w:pPr>
      <w:r>
        <w:rPr>
          <w:rFonts w:ascii="Arial" w:cs="Arial" w:eastAsia="Arial" w:hAnsi="Arial"/>
          <w:sz w:val="18"/>
          <w:szCs w:val="18"/>
          <w:color w:val="auto"/>
        </w:rPr>
        <w:t>As of September 30, 2012 and December 31, 2011 we were in compliance with all of our covenant requirements. Our covenant requirements and actual ratios as of September 30, 2012 and December 31, 2011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880" w:type="dxa"/>
            <w:vAlign w:val="bottom"/>
            <w:gridSpan w:val="4"/>
          </w:tcPr>
          <w:p>
            <w:pPr>
              <w:ind w:left="640"/>
              <w:spacing w:after="0"/>
              <w:rPr>
                <w:sz w:val="20"/>
                <w:szCs w:val="20"/>
                <w:color w:val="auto"/>
              </w:rPr>
            </w:pPr>
            <w:r>
              <w:rPr>
                <w:rFonts w:ascii="Arial" w:cs="Arial" w:eastAsia="Arial" w:hAnsi="Arial"/>
                <w:sz w:val="16"/>
                <w:szCs w:val="16"/>
                <w:b w:val="1"/>
                <w:bCs w:val="1"/>
                <w:color w:val="auto"/>
              </w:rPr>
              <w:t>September 30, 2012</w:t>
            </w:r>
          </w:p>
        </w:tc>
        <w:tc>
          <w:tcPr>
            <w:tcW w:w="2720" w:type="dxa"/>
            <w:vAlign w:val="bottom"/>
            <w:gridSpan w:val="3"/>
          </w:tcPr>
          <w:p>
            <w:pPr>
              <w:ind w:left="640"/>
              <w:spacing w:after="0"/>
              <w:rPr>
                <w:sz w:val="20"/>
                <w:szCs w:val="20"/>
                <w:color w:val="auto"/>
              </w:rPr>
            </w:pPr>
            <w:r>
              <w:rPr>
                <w:rFonts w:ascii="Arial" w:cs="Arial" w:eastAsia="Arial" w:hAnsi="Arial"/>
                <w:sz w:val="16"/>
                <w:szCs w:val="16"/>
                <w:b w:val="1"/>
                <w:bCs w:val="1"/>
                <w:color w:val="auto"/>
              </w:rPr>
              <w:t>December 31, 2011</w:t>
            </w:r>
          </w:p>
        </w:tc>
        <w:tc>
          <w:tcPr>
            <w:tcW w:w="0" w:type="dxa"/>
            <w:vAlign w:val="bottom"/>
          </w:tcPr>
          <w:p>
            <w:pPr>
              <w:spacing w:after="0"/>
              <w:rPr>
                <w:sz w:val="1"/>
                <w:szCs w:val="1"/>
                <w:color w:val="auto"/>
              </w:rPr>
            </w:pPr>
          </w:p>
        </w:tc>
      </w:tr>
      <w:tr>
        <w:trPr>
          <w:trHeight w:val="198"/>
        </w:trPr>
        <w:tc>
          <w:tcPr>
            <w:tcW w:w="398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Financial Ratio</w:t>
            </w:r>
          </w:p>
        </w:tc>
        <w:tc>
          <w:tcPr>
            <w:tcW w:w="1840" w:type="dxa"/>
            <w:vAlign w:val="bottom"/>
          </w:tcPr>
          <w:p>
            <w:pPr>
              <w:spacing w:after="0"/>
              <w:rPr>
                <w:sz w:val="17"/>
                <w:szCs w:val="17"/>
                <w:color w:val="auto"/>
              </w:rPr>
            </w:pPr>
          </w:p>
        </w:tc>
        <w:tc>
          <w:tcPr>
            <w:tcW w:w="162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rPr>
              <w:t>Covenant</w:t>
            </w: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6"/>
                <w:szCs w:val="16"/>
                <w:b w:val="1"/>
                <w:bCs w:val="1"/>
                <w:color w:val="auto"/>
              </w:rPr>
              <w:t>Covenant</w:t>
            </w: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980" w:type="dxa"/>
            <w:vAlign w:val="bottom"/>
            <w:gridSpan w:val="3"/>
            <w:vMerge w:val="continue"/>
          </w:tcPr>
          <w:p>
            <w:pPr>
              <w:spacing w:after="0"/>
              <w:rPr>
                <w:sz w:val="15"/>
                <w:szCs w:val="15"/>
                <w:color w:val="auto"/>
              </w:rPr>
            </w:pPr>
          </w:p>
        </w:tc>
        <w:tc>
          <w:tcPr>
            <w:tcW w:w="1840" w:type="dxa"/>
            <w:vAlign w:val="bottom"/>
          </w:tcPr>
          <w:p>
            <w:pPr>
              <w:spacing w:after="0"/>
              <w:rPr>
                <w:sz w:val="15"/>
                <w:szCs w:val="15"/>
                <w:color w:val="auto"/>
              </w:rPr>
            </w:pPr>
          </w:p>
        </w:tc>
        <w:tc>
          <w:tcPr>
            <w:tcW w:w="1620" w:type="dxa"/>
            <w:vAlign w:val="bottom"/>
            <w:gridSpan w:val="2"/>
          </w:tcPr>
          <w:p>
            <w:pPr>
              <w:jc w:val="center"/>
              <w:ind w:right="120"/>
              <w:spacing w:after="0" w:line="181" w:lineRule="exact"/>
              <w:rPr>
                <w:sz w:val="20"/>
                <w:szCs w:val="20"/>
                <w:color w:val="auto"/>
              </w:rPr>
            </w:pPr>
            <w:r>
              <w:rPr>
                <w:rFonts w:ascii="Arial" w:cs="Arial" w:eastAsia="Arial" w:hAnsi="Arial"/>
                <w:sz w:val="16"/>
                <w:szCs w:val="16"/>
                <w:b w:val="1"/>
                <w:bCs w:val="1"/>
                <w:color w:val="auto"/>
              </w:rPr>
              <w:t>Requirement</w:t>
            </w:r>
          </w:p>
        </w:tc>
        <w:tc>
          <w:tcPr>
            <w:tcW w:w="1260" w:type="dxa"/>
            <w:vAlign w:val="bottom"/>
            <w:gridSpan w:val="2"/>
          </w:tcPr>
          <w:p>
            <w:pPr>
              <w:ind w:left="100"/>
              <w:spacing w:after="0" w:line="181" w:lineRule="exact"/>
              <w:rPr>
                <w:sz w:val="20"/>
                <w:szCs w:val="20"/>
                <w:color w:val="auto"/>
              </w:rPr>
            </w:pPr>
            <w:r>
              <w:rPr>
                <w:rFonts w:ascii="Arial" w:cs="Arial" w:eastAsia="Arial" w:hAnsi="Arial"/>
                <w:sz w:val="16"/>
                <w:szCs w:val="16"/>
                <w:b w:val="1"/>
                <w:bCs w:val="1"/>
                <w:color w:val="auto"/>
              </w:rPr>
              <w:t>Actual Ratio</w:t>
            </w:r>
          </w:p>
        </w:tc>
        <w:tc>
          <w:tcPr>
            <w:tcW w:w="1580" w:type="dxa"/>
            <w:vAlign w:val="bottom"/>
            <w:gridSpan w:val="2"/>
          </w:tcPr>
          <w:p>
            <w:pPr>
              <w:jc w:val="center"/>
              <w:ind w:right="100"/>
              <w:spacing w:after="0" w:line="181" w:lineRule="exact"/>
              <w:rPr>
                <w:sz w:val="20"/>
                <w:szCs w:val="20"/>
                <w:color w:val="auto"/>
              </w:rPr>
            </w:pPr>
            <w:r>
              <w:rPr>
                <w:rFonts w:ascii="Arial" w:cs="Arial" w:eastAsia="Arial" w:hAnsi="Arial"/>
                <w:sz w:val="16"/>
                <w:szCs w:val="16"/>
                <w:b w:val="1"/>
                <w:bCs w:val="1"/>
                <w:color w:val="auto"/>
              </w:rPr>
              <w:t>Requirement</w:t>
            </w:r>
          </w:p>
        </w:tc>
        <w:tc>
          <w:tcPr>
            <w:tcW w:w="11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Actual Ratio</w:t>
            </w:r>
          </w:p>
        </w:tc>
        <w:tc>
          <w:tcPr>
            <w:tcW w:w="0" w:type="dxa"/>
            <w:vAlign w:val="bottom"/>
          </w:tcPr>
          <w:p>
            <w:pPr>
              <w:spacing w:after="0"/>
              <w:rPr>
                <w:sz w:val="1"/>
                <w:szCs w:val="1"/>
                <w:color w:val="auto"/>
              </w:rPr>
            </w:pPr>
          </w:p>
        </w:tc>
      </w:tr>
      <w:tr>
        <w:trPr>
          <w:trHeight w:val="34"/>
        </w:trPr>
        <w:tc>
          <w:tcPr>
            <w:tcW w:w="4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9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Leverage Test (Maximum)</w:t>
            </w:r>
          </w:p>
        </w:tc>
        <w:tc>
          <w:tcPr>
            <w:tcW w:w="3340" w:type="dxa"/>
            <w:vAlign w:val="bottom"/>
            <w:gridSpan w:val="2"/>
            <w:shd w:val="clear" w:color="auto" w:fill="CCEEFF"/>
          </w:tcPr>
          <w:p>
            <w:pPr>
              <w:jc w:val="center"/>
              <w:ind w:left="1750"/>
              <w:spacing w:after="0"/>
              <w:rPr>
                <w:sz w:val="20"/>
                <w:szCs w:val="20"/>
                <w:color w:val="auto"/>
              </w:rPr>
            </w:pPr>
            <w:r>
              <w:rPr>
                <w:rFonts w:ascii="Arial" w:cs="Arial" w:eastAsia="Arial" w:hAnsi="Arial"/>
                <w:sz w:val="18"/>
                <w:szCs w:val="18"/>
                <w:color w:val="auto"/>
                <w:w w:val="96"/>
              </w:rPr>
              <w:t>4.00</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1.77</w:t>
            </w:r>
          </w:p>
        </w:tc>
        <w:tc>
          <w:tcPr>
            <w:tcW w:w="0" w:type="dxa"/>
            <w:vAlign w:val="bottom"/>
          </w:tcPr>
          <w:p>
            <w:pPr>
              <w:spacing w:after="0"/>
              <w:rPr>
                <w:sz w:val="1"/>
                <w:szCs w:val="1"/>
                <w:color w:val="auto"/>
              </w:rPr>
            </w:pPr>
          </w:p>
        </w:tc>
      </w:tr>
      <w:tr>
        <w:trPr>
          <w:trHeight w:val="257"/>
        </w:trPr>
        <w:tc>
          <w:tcPr>
            <w:tcW w:w="3980" w:type="dxa"/>
            <w:vAlign w:val="bottom"/>
            <w:gridSpan w:val="3"/>
          </w:tcPr>
          <w:p>
            <w:pPr>
              <w:ind w:left="40"/>
              <w:spacing w:after="0"/>
              <w:rPr>
                <w:sz w:val="20"/>
                <w:szCs w:val="20"/>
                <w:color w:val="auto"/>
              </w:rPr>
            </w:pPr>
            <w:r>
              <w:rPr>
                <w:rFonts w:ascii="Arial" w:cs="Arial" w:eastAsia="Arial" w:hAnsi="Arial"/>
                <w:sz w:val="18"/>
                <w:szCs w:val="18"/>
                <w:color w:val="auto"/>
              </w:rPr>
              <w:t>Interest Coverage (Minimum)</w:t>
            </w:r>
          </w:p>
        </w:tc>
        <w:tc>
          <w:tcPr>
            <w:tcW w:w="3340" w:type="dxa"/>
            <w:vAlign w:val="bottom"/>
            <w:gridSpan w:val="2"/>
          </w:tcPr>
          <w:p>
            <w:pPr>
              <w:jc w:val="center"/>
              <w:ind w:left="1750"/>
              <w:spacing w:after="0"/>
              <w:rPr>
                <w:sz w:val="20"/>
                <w:szCs w:val="20"/>
                <w:color w:val="auto"/>
              </w:rPr>
            </w:pPr>
            <w:r>
              <w:rPr>
                <w:rFonts w:ascii="Arial" w:cs="Arial" w:eastAsia="Arial" w:hAnsi="Arial"/>
                <w:sz w:val="18"/>
                <w:szCs w:val="18"/>
                <w:color w:val="auto"/>
                <w:w w:val="96"/>
              </w:rPr>
              <w:t>3.00</w:t>
            </w:r>
          </w:p>
        </w:tc>
        <w:tc>
          <w:tcPr>
            <w:tcW w:w="120" w:type="dxa"/>
            <w:vAlign w:val="bottom"/>
          </w:tcPr>
          <w:p>
            <w:pPr>
              <w:spacing w:after="0"/>
              <w:rPr>
                <w:sz w:val="22"/>
                <w:szCs w:val="22"/>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6"/>
              </w:rPr>
              <w:t>7.10</w:t>
            </w:r>
          </w:p>
        </w:tc>
        <w:tc>
          <w:tcPr>
            <w:tcW w:w="0" w:type="dxa"/>
            <w:vAlign w:val="bottom"/>
          </w:tcPr>
          <w:p>
            <w:pPr>
              <w:spacing w:after="0"/>
              <w:rPr>
                <w:sz w:val="1"/>
                <w:szCs w:val="1"/>
                <w:color w:val="auto"/>
              </w:rPr>
            </w:pPr>
          </w:p>
        </w:tc>
      </w:tr>
      <w:tr>
        <w:trPr>
          <w:trHeight w:val="689"/>
        </w:trPr>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52</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98" w:right="239" w:bottom="1440" w:gutter="0" w:footer="0" w:header="0"/>
        </w:sectPr>
      </w:pPr>
    </w:p>
    <w:bookmarkStart w:id="55" w:name="page56"/>
    <w:bookmarkEnd w:id="55"/>
    <w:p>
      <w:pPr>
        <w:ind w:right="420" w:firstLine="486"/>
        <w:spacing w:after="0" w:line="262" w:lineRule="auto"/>
        <w:rPr>
          <w:sz w:val="20"/>
          <w:szCs w:val="20"/>
          <w:color w:val="auto"/>
        </w:rPr>
      </w:pPr>
      <w:r>
        <w:rPr>
          <w:rFonts w:ascii="Arial" w:cs="Arial" w:eastAsia="Arial" w:hAnsi="Arial"/>
          <w:sz w:val="18"/>
          <w:szCs w:val="18"/>
          <w:color w:val="auto"/>
        </w:rPr>
        <w:t>Set forth below is a reconciliation from EBITDA, Adjusted EBITDA and Credit Agreement Adjusted EBITDA to our net income for the trailing twelve months ended September 30, 2012 and December 31, 2011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8"/>
                <w:szCs w:val="18"/>
                <w:color w:val="auto"/>
              </w:rPr>
            </w:pPr>
          </w:p>
        </w:tc>
        <w:tc>
          <w:tcPr>
            <w:tcW w:w="1320" w:type="dxa"/>
            <w:vAlign w:val="bottom"/>
          </w:tcPr>
          <w:p>
            <w:pPr>
              <w:jc w:val="right"/>
              <w:ind w:right="131"/>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83"/>
        </w:trPr>
        <w:tc>
          <w:tcPr>
            <w:tcW w:w="83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154,428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170,382</w:t>
            </w:r>
          </w:p>
        </w:tc>
        <w:tc>
          <w:tcPr>
            <w:tcW w:w="0" w:type="dxa"/>
            <w:vAlign w:val="bottom"/>
          </w:tcPr>
          <w:p>
            <w:pPr>
              <w:spacing w:after="0"/>
              <w:rPr>
                <w:sz w:val="1"/>
                <w:szCs w:val="1"/>
                <w:color w:val="auto"/>
              </w:rPr>
            </w:pPr>
          </w:p>
        </w:tc>
      </w:tr>
      <w:tr>
        <w:trPr>
          <w:trHeight w:val="263"/>
        </w:trPr>
        <w:tc>
          <w:tcPr>
            <w:tcW w:w="8340" w:type="dxa"/>
            <w:vAlign w:val="bottom"/>
          </w:tcPr>
          <w:p>
            <w:pPr>
              <w:ind w:left="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58,132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68,764</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97,567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112,303</w:t>
            </w:r>
          </w:p>
        </w:tc>
        <w:tc>
          <w:tcPr>
            <w:tcW w:w="0" w:type="dxa"/>
            <w:vAlign w:val="bottom"/>
          </w:tcPr>
          <w:p>
            <w:pPr>
              <w:spacing w:after="0"/>
              <w:rPr>
                <w:sz w:val="1"/>
                <w:szCs w:val="1"/>
                <w:color w:val="auto"/>
              </w:rPr>
            </w:pPr>
          </w:p>
        </w:tc>
      </w:tr>
      <w:tr>
        <w:trPr>
          <w:trHeight w:val="263"/>
        </w:trPr>
        <w:tc>
          <w:tcPr>
            <w:tcW w:w="8340" w:type="dxa"/>
            <w:vAlign w:val="bottom"/>
          </w:tcPr>
          <w:p>
            <w:pPr>
              <w:ind w:left="80"/>
              <w:spacing w:after="0"/>
              <w:rPr>
                <w:sz w:val="20"/>
                <w:szCs w:val="20"/>
                <w:color w:val="auto"/>
              </w:rPr>
            </w:pPr>
            <w:r>
              <w:rPr>
                <w:rFonts w:ascii="Arial" w:cs="Arial" w:eastAsia="Arial" w:hAnsi="Arial"/>
                <w:sz w:val="18"/>
                <w:szCs w:val="18"/>
                <w:color w:val="auto"/>
              </w:rPr>
              <w:t>Amortization of purchased intangible assets and software(1)</w:t>
            </w:r>
          </w:p>
        </w:tc>
        <w:tc>
          <w:tcPr>
            <w:tcW w:w="16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39,600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38,981</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Depreciation and amortization of all other fixed assets</w:t>
            </w: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30,357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33,760</w:t>
            </w:r>
          </w:p>
        </w:tc>
        <w:tc>
          <w:tcPr>
            <w:tcW w:w="0" w:type="dxa"/>
            <w:vAlign w:val="bottom"/>
          </w:tcPr>
          <w:p>
            <w:pPr>
              <w:spacing w:after="0"/>
              <w:rPr>
                <w:sz w:val="1"/>
                <w:szCs w:val="1"/>
                <w:color w:val="auto"/>
              </w:rPr>
            </w:pPr>
          </w:p>
        </w:tc>
      </w:tr>
      <w:tr>
        <w:trPr>
          <w:trHeight w:val="250"/>
        </w:trPr>
        <w:tc>
          <w:tcPr>
            <w:tcW w:w="8340" w:type="dxa"/>
            <w:vAlign w:val="bottom"/>
          </w:tcPr>
          <w:p>
            <w:pPr>
              <w:ind w:left="80"/>
              <w:spacing w:after="0"/>
              <w:rPr>
                <w:sz w:val="20"/>
                <w:szCs w:val="20"/>
                <w:color w:val="auto"/>
              </w:rPr>
            </w:pPr>
            <w:r>
              <w:rPr>
                <w:rFonts w:ascii="Arial" w:cs="Arial" w:eastAsia="Arial" w:hAnsi="Arial"/>
                <w:sz w:val="18"/>
                <w:szCs w:val="18"/>
                <w:color w:val="auto"/>
              </w:rPr>
              <w:t>EBITDA</w:t>
            </w: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380,084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424,190</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EBITDA Adjustments:</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340" w:type="dxa"/>
            <w:vAlign w:val="bottom"/>
          </w:tcPr>
          <w:p>
            <w:pPr>
              <w:ind w:left="220"/>
              <w:spacing w:after="0"/>
              <w:rPr>
                <w:sz w:val="20"/>
                <w:szCs w:val="20"/>
                <w:color w:val="auto"/>
              </w:rPr>
            </w:pPr>
            <w:r>
              <w:rPr>
                <w:rFonts w:ascii="Arial" w:cs="Arial" w:eastAsia="Arial" w:hAnsi="Arial"/>
                <w:sz w:val="18"/>
                <w:szCs w:val="18"/>
                <w:color w:val="auto"/>
              </w:rPr>
              <w:t>Employee share-based compensation expense(2)</w:t>
            </w:r>
          </w:p>
        </w:tc>
        <w:tc>
          <w:tcPr>
            <w:tcW w:w="16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17,633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14,978</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 and integration related expenses(3)</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9,422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(3,815)</w:t>
            </w:r>
          </w:p>
        </w:tc>
        <w:tc>
          <w:tcPr>
            <w:tcW w:w="0" w:type="dxa"/>
            <w:vAlign w:val="bottom"/>
          </w:tcPr>
          <w:p>
            <w:pPr>
              <w:spacing w:after="0"/>
              <w:rPr>
                <w:sz w:val="1"/>
                <w:szCs w:val="1"/>
                <w:color w:val="auto"/>
              </w:rPr>
            </w:pPr>
          </w:p>
        </w:tc>
      </w:tr>
      <w:tr>
        <w:trPr>
          <w:trHeight w:val="263"/>
        </w:trPr>
        <w:tc>
          <w:tcPr>
            <w:tcW w:w="8340" w:type="dxa"/>
            <w:vAlign w:val="bottom"/>
          </w:tcPr>
          <w:p>
            <w:pPr>
              <w:ind w:left="220"/>
              <w:spacing w:after="0"/>
              <w:rPr>
                <w:sz w:val="20"/>
                <w:szCs w:val="20"/>
                <w:color w:val="auto"/>
              </w:rPr>
            </w:pPr>
            <w:r>
              <w:rPr>
                <w:rFonts w:ascii="Arial" w:cs="Arial" w:eastAsia="Arial" w:hAnsi="Arial"/>
                <w:sz w:val="18"/>
                <w:szCs w:val="18"/>
                <w:color w:val="auto"/>
              </w:rPr>
              <w:t>Restructuring and conversion costs(4)</w:t>
            </w:r>
          </w:p>
        </w:tc>
        <w:tc>
          <w:tcPr>
            <w:tcW w:w="16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13,923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22,052</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 extinguishment costs(5)</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16,652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8340" w:type="dxa"/>
            <w:vAlign w:val="bottom"/>
          </w:tcPr>
          <w:p>
            <w:pPr>
              <w:ind w:left="220"/>
              <w:spacing w:after="0"/>
              <w:rPr>
                <w:sz w:val="20"/>
                <w:szCs w:val="20"/>
                <w:color w:val="auto"/>
              </w:rPr>
            </w:pPr>
            <w:r>
              <w:rPr>
                <w:rFonts w:ascii="Arial" w:cs="Arial" w:eastAsia="Arial" w:hAnsi="Arial"/>
                <w:sz w:val="18"/>
                <w:szCs w:val="18"/>
                <w:color w:val="auto"/>
              </w:rPr>
              <w:t>Equity issuance and related offering costs(6)</w:t>
            </w:r>
          </w:p>
        </w:tc>
        <w:tc>
          <w:tcPr>
            <w:tcW w:w="16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4,486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2,062</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Other(7)</w:t>
            </w: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3,130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Total EBITDA Adjustments</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65,246</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35,530</w:t>
            </w: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Adjusted EBITDA</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445,330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459,720</w:t>
            </w:r>
          </w:p>
        </w:tc>
        <w:tc>
          <w:tcPr>
            <w:tcW w:w="0" w:type="dxa"/>
            <w:vAlign w:val="bottom"/>
          </w:tcPr>
          <w:p>
            <w:pPr>
              <w:spacing w:after="0"/>
              <w:rPr>
                <w:sz w:val="1"/>
                <w:szCs w:val="1"/>
                <w:color w:val="auto"/>
              </w:rPr>
            </w:pPr>
          </w:p>
        </w:tc>
      </w:tr>
      <w:tr>
        <w:trPr>
          <w:trHeight w:val="263"/>
        </w:trPr>
        <w:tc>
          <w:tcPr>
            <w:tcW w:w="8340" w:type="dxa"/>
            <w:vAlign w:val="bottom"/>
          </w:tcPr>
          <w:p>
            <w:pPr>
              <w:ind w:left="220"/>
              <w:spacing w:after="0"/>
              <w:rPr>
                <w:sz w:val="20"/>
                <w:szCs w:val="20"/>
                <w:color w:val="auto"/>
              </w:rPr>
            </w:pPr>
            <w:r>
              <w:rPr>
                <w:rFonts w:ascii="Arial" w:cs="Arial" w:eastAsia="Arial" w:hAnsi="Arial"/>
                <w:sz w:val="18"/>
                <w:szCs w:val="18"/>
                <w:color w:val="auto"/>
              </w:rPr>
              <w:t>Advisor and financial institution share-based compensation expense(8)</w:t>
            </w:r>
          </w:p>
        </w:tc>
        <w:tc>
          <w:tcPr>
            <w:tcW w:w="16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4,722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3,272</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Other(9)</w:t>
            </w: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3,872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340" w:type="dxa"/>
            <w:vAlign w:val="bottom"/>
          </w:tcPr>
          <w:p>
            <w:pPr>
              <w:ind w:left="80"/>
              <w:spacing w:after="0"/>
              <w:rPr>
                <w:sz w:val="20"/>
                <w:szCs w:val="20"/>
                <w:color w:val="auto"/>
              </w:rPr>
            </w:pPr>
            <w:r>
              <w:rPr>
                <w:rFonts w:ascii="Arial" w:cs="Arial" w:eastAsia="Arial" w:hAnsi="Arial"/>
                <w:sz w:val="18"/>
                <w:szCs w:val="18"/>
                <w:color w:val="auto"/>
              </w:rPr>
              <w:t>Credit Agreement Adjusted EBITDA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453,924</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462,992</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680" w:hanging="328"/>
        <w:spacing w:after="0" w:line="262"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amortization of intangible assets and software as a result of our purchase accounting adjustments from our merger transaction in 2005 and various acquisitions.</w:t>
      </w:r>
    </w:p>
    <w:p>
      <w:pPr>
        <w:spacing w:after="0" w:line="88" w:lineRule="exact"/>
        <w:rPr>
          <w:rFonts w:ascii="Arial" w:cs="Arial" w:eastAsia="Arial" w:hAnsi="Arial"/>
          <w:sz w:val="18"/>
          <w:szCs w:val="18"/>
          <w:color w:val="auto"/>
        </w:rPr>
      </w:pPr>
    </w:p>
    <w:p>
      <w:pPr>
        <w:ind w:left="660" w:right="160" w:hanging="328"/>
        <w:spacing w:after="0" w:line="256"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share-based compensation expense based on the grant date fair value under the Black-Scholes valuation model for: i) stock options awarded to employees and officers; ii) restricted stock awarded to non-employee directors; and iii) beginning in the third quarter of 2012, shares awarded to employees under the ESPP.</w:t>
      </w:r>
    </w:p>
    <w:p>
      <w:pPr>
        <w:spacing w:after="0" w:line="107" w:lineRule="exact"/>
        <w:rPr>
          <w:rFonts w:ascii="Arial" w:cs="Arial" w:eastAsia="Arial" w:hAnsi="Arial"/>
          <w:sz w:val="18"/>
          <w:szCs w:val="18"/>
          <w:color w:val="auto"/>
        </w:rPr>
      </w:pPr>
    </w:p>
    <w:p>
      <w:pPr>
        <w:ind w:left="660" w:right="120" w:hanging="328"/>
        <w:spacing w:after="0" w:line="265"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Represents acquisition and integration costs resulting from various acquisitions, including changes in the estimated fair value of future payments, or contingent consideration, required to be made to former shareholders of certain acquired entities. During the trailing twelve months ended September 30, 2012 and December 31, 2011, approximately $10.2 million was recognized as a charge against earnings due to a net increase in the estimated fair value of contingent consideration and $1.3 million was recognized as a charge against earnings representing the accretion of contingent consideration as we approached the future expected payment, respectively. Also </w:t>
      </w:r>
      <w:r>
        <w:rPr>
          <w:rFonts w:ascii="Arial" w:cs="Arial" w:eastAsia="Arial" w:hAnsi="Arial"/>
          <w:sz w:val="19"/>
          <w:szCs w:val="19"/>
          <w:color w:val="auto"/>
        </w:rPr>
        <w:t>i</w:t>
      </w:r>
      <w:r>
        <w:rPr>
          <w:rFonts w:ascii="Arial" w:cs="Arial" w:eastAsia="Arial" w:hAnsi="Arial"/>
          <w:sz w:val="18"/>
          <w:szCs w:val="18"/>
          <w:color w:val="auto"/>
        </w:rPr>
        <w:t>ncluded in the trailing twelve months ended September 30, 2012 and December 31, 2011, is a cash settlement of $10.5 million for certain legal settlements that were resolved with an indemnifying party in the fourth quarter of 2011. Of this settlement, $9.8 million has been excluded from the presentation of Adjusted EBITDA, a non-GAAP measure.</w:t>
      </w:r>
    </w:p>
    <w:p>
      <w:pPr>
        <w:spacing w:after="0" w:line="90" w:lineRule="exact"/>
        <w:rPr>
          <w:rFonts w:ascii="Arial" w:cs="Arial" w:eastAsia="Arial" w:hAnsi="Arial"/>
          <w:sz w:val="18"/>
          <w:szCs w:val="18"/>
          <w:color w:val="auto"/>
        </w:rPr>
      </w:pPr>
    </w:p>
    <w:p>
      <w:pPr>
        <w:ind w:left="660" w:right="20" w:hanging="328"/>
        <w:spacing w:after="0" w:line="25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organizational restructuring charges and conversion and other related costs incurred resulting from the 2011 consolidation of UVEST and the 2009 consolidation of the Affiliated Entities. As of September 30, 2012, approximately 86% and 98%, respectively, of costs related to these two initiatives have been recognized. The remaining costs largely consist of the amortization of transition payments that have been made in connection with these two conversions for the retention of advisors and financial institutions that are expected to be recognized into earnings by December 2014.</w:t>
      </w:r>
    </w:p>
    <w:p>
      <w:pPr>
        <w:spacing w:after="0" w:line="97" w:lineRule="exact"/>
        <w:rPr>
          <w:rFonts w:ascii="Arial" w:cs="Arial" w:eastAsia="Arial" w:hAnsi="Arial"/>
          <w:sz w:val="18"/>
          <w:szCs w:val="18"/>
          <w:color w:val="auto"/>
        </w:rPr>
      </w:pPr>
    </w:p>
    <w:p>
      <w:pPr>
        <w:ind w:left="660" w:right="180" w:hanging="328"/>
        <w:spacing w:after="0" w:line="254"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expenses incurred resulting from the early extinguishment and repayment of amounts outstanding under our Original Credit Agreement, including the write-off of $16.5 million of unamortized debt issuance costs that have no future economic benefit, as well as various other charges incurred in connection with the repayment of the prior senior secured credit facilities and the establishment of the new Credit Agreement.</w:t>
      </w:r>
    </w:p>
    <w:p>
      <w:pPr>
        <w:spacing w:after="0" w:line="96" w:lineRule="exact"/>
        <w:rPr>
          <w:rFonts w:ascii="Arial" w:cs="Arial" w:eastAsia="Arial" w:hAnsi="Arial"/>
          <w:sz w:val="18"/>
          <w:szCs w:val="18"/>
          <w:color w:val="auto"/>
        </w:rPr>
      </w:pPr>
    </w:p>
    <w:p>
      <w:pPr>
        <w:ind w:left="660" w:right="440" w:hanging="328"/>
        <w:spacing w:after="0" w:line="262"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equity issuance and offering costs incurred in the twelve months ended September 30, 2012 and December 31, 2011, related to the closing of a secondary offering in the second quarter of 2012, and</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98" w:right="239" w:bottom="1440" w:gutter="0" w:footer="0" w:header="0"/>
        </w:sectPr>
      </w:pPr>
    </w:p>
    <w:bookmarkStart w:id="56" w:name="page57"/>
    <w:bookmarkEnd w:id="56"/>
    <w:p>
      <w:pPr>
        <w:ind w:left="660" w:right="60"/>
        <w:spacing w:after="0" w:line="301" w:lineRule="auto"/>
        <w:rPr>
          <w:sz w:val="20"/>
          <w:szCs w:val="20"/>
          <w:color w:val="auto"/>
        </w:rPr>
      </w:pPr>
      <w:r>
        <w:rPr>
          <w:rFonts w:ascii="Arial" w:cs="Arial" w:eastAsia="Arial" w:hAnsi="Arial"/>
          <w:sz w:val="18"/>
          <w:szCs w:val="18"/>
          <w:color w:val="auto"/>
        </w:rPr>
        <w:t xml:space="preserve">the closing of a secondary offering in the second quarter of 2011. In addition, results for the twelve months ended September 30, 2012 include a $3.9 million charge for the late deposit of withholding taxes related to the exercise of certain non-qualified stock options in connection with the 2010 initial public offering. See </w:t>
      </w:r>
      <w:r>
        <w:rPr>
          <w:rFonts w:ascii="Arial" w:cs="Arial" w:eastAsia="Arial" w:hAnsi="Arial"/>
          <w:sz w:val="18"/>
          <w:szCs w:val="18"/>
          <w:i w:val="1"/>
          <w:iCs w:val="1"/>
          <w:color w:val="auto"/>
        </w:rPr>
        <w:t>Note 10 - Commitments and Contingencies</w:t>
      </w:r>
      <w:r>
        <w:rPr>
          <w:rFonts w:ascii="Arial" w:cs="Arial" w:eastAsia="Arial" w:hAnsi="Arial"/>
          <w:sz w:val="18"/>
          <w:szCs w:val="18"/>
          <w:color w:val="auto"/>
        </w:rPr>
        <w:t>, within the unaudited condensed consolidated financial statements for additional information.</w:t>
      </w:r>
    </w:p>
    <w:p>
      <w:pPr>
        <w:spacing w:after="0" w:line="69" w:lineRule="exact"/>
        <w:rPr>
          <w:sz w:val="20"/>
          <w:szCs w:val="20"/>
          <w:color w:val="auto"/>
        </w:rPr>
      </w:pPr>
    </w:p>
    <w:p>
      <w:pPr>
        <w:ind w:left="660" w:right="40" w:hanging="328"/>
        <w:spacing w:after="0" w:line="291"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Represents certain excise and other taxes. In addition, results for the twelve months ended September 30, 2012 include approximately $2.3 million for consulting services aimed at enhancing our performance in support of our advisors while operating at a lower cost.</w:t>
      </w:r>
    </w:p>
    <w:p>
      <w:pPr>
        <w:spacing w:after="0" w:line="66" w:lineRule="exact"/>
        <w:rPr>
          <w:rFonts w:ascii="Arial" w:cs="Arial" w:eastAsia="Arial" w:hAnsi="Arial"/>
          <w:sz w:val="17"/>
          <w:szCs w:val="17"/>
          <w:color w:val="auto"/>
        </w:rPr>
      </w:pPr>
    </w:p>
    <w:p>
      <w:pPr>
        <w:ind w:left="660" w:right="140" w:hanging="328"/>
        <w:spacing w:after="0" w:line="271"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Credit Agreement Adjusted EBITDA excludes the recognition of share-based compensation expense from stock options and warrants granted to advisors and financial institutions based on the fair value of the awards at each interim reporting period under the Black-Scholes valuation model, as defined under the terms of the Credit Agreement. Pro-forma disclosure has been made for the trailing twelve months ended December 31, 2011, to exclude the recognition of share-based compensation expense from stock options and warrants granted to advisors and financial institutions, as if the terms of the Credit Agreement were in effect as of January 1, 2011.</w:t>
      </w:r>
    </w:p>
    <w:p>
      <w:pPr>
        <w:spacing w:after="0" w:line="84" w:lineRule="exact"/>
        <w:rPr>
          <w:rFonts w:ascii="Arial" w:cs="Arial" w:eastAsia="Arial" w:hAnsi="Arial"/>
          <w:sz w:val="17"/>
          <w:szCs w:val="17"/>
          <w:color w:val="auto"/>
        </w:rPr>
      </w:pPr>
    </w:p>
    <w:p>
      <w:pPr>
        <w:ind w:left="660" w:right="220" w:hanging="328"/>
        <w:spacing w:after="0" w:line="262"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other items that are adjustable in accordance with our Credit Agreement to arrive at Credit Agreement Adjusted EBITDA including employee severance costs, employee signing costs, and employee retention or completion bonuses.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An interest rate swap is a financial derivative instrument whereby two parties enter into a contractual agreement to exchange payments based on underlying interest rates. Prior to its expiration on June 30, 2012, we used an interest rate swap agreement to hedge the variability on our floating interest rate for $65.0 million of our Term Loan A under our Credit Agreement. We were required to pay the counterparty to the agreement fixed interest payments on a notional balance and in turn received variable interest payments on that notional balance. Payments were settled quarterly on a net basis. While our term loan is unhedged as of September 30, 2012, the risk of variability on our floating interest rate is partially mitigated by the client margin loans, which carry floating interest rates, as well as fees received from the cash sweep programs. At September 30, 2012, our receivables from our advisors’ clients for margin loan activity were approximately $252.4 million, and the balance of deposits in the cash sweep programs was $21.6 billion.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47" w:lineRule="exact"/>
        <w:rPr>
          <w:sz w:val="20"/>
          <w:szCs w:val="20"/>
          <w:color w:val="auto"/>
        </w:rPr>
      </w:pPr>
    </w:p>
    <w:p>
      <w:pPr>
        <w:jc w:val="both"/>
        <w:ind w:right="260" w:firstLine="486"/>
        <w:spacing w:after="0" w:line="256" w:lineRule="auto"/>
        <w:rPr>
          <w:sz w:val="20"/>
          <w:szCs w:val="20"/>
          <w:color w:val="auto"/>
        </w:rPr>
      </w:pPr>
      <w:r>
        <w:rPr>
          <w:rFonts w:ascii="Arial" w:cs="Arial" w:eastAsia="Arial" w:hAnsi="Arial"/>
          <w:sz w:val="18"/>
          <w:szCs w:val="18"/>
          <w:color w:val="auto"/>
        </w:rPr>
        <w:t>We enter into various off-balance-sheet arrangements in the ordinary course of business, primarily to meet the needs of our advisors’ clients. These arrangements include firm commitments to extend credit. For information on these arrangements, see Notes 10 and 15 of our unaudited condensed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following table provides information with respect to our commitments and obligations as of September 30, 2012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6"/>
                <w:szCs w:val="16"/>
                <w:b w:val="1"/>
                <w:bCs w:val="1"/>
                <w:color w:val="auto"/>
              </w:rPr>
              <w:t>Payments Due by Period</w:t>
            </w: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0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&lt; 1 Year</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1-3 Years</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4-5 Years</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&gt; 5 Years</w:t>
            </w:r>
          </w:p>
        </w:tc>
        <w:tc>
          <w:tcPr>
            <w:tcW w:w="0" w:type="dxa"/>
            <w:vAlign w:val="bottom"/>
          </w:tcPr>
          <w:p>
            <w:pPr>
              <w:spacing w:after="0"/>
              <w:rPr>
                <w:sz w:val="1"/>
                <w:szCs w:val="1"/>
                <w:color w:val="auto"/>
              </w:rPr>
            </w:pPr>
          </w:p>
        </w:tc>
      </w:tr>
      <w:tr>
        <w:trPr>
          <w:trHeight w:val="257"/>
        </w:trPr>
        <w:tc>
          <w:tcPr>
            <w:tcW w:w="4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Leases and other obligations(1)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385,114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27,574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57,118</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51,454</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248,968</w:t>
            </w:r>
          </w:p>
        </w:tc>
        <w:tc>
          <w:tcPr>
            <w:tcW w:w="0" w:type="dxa"/>
            <w:vAlign w:val="bottom"/>
          </w:tcPr>
          <w:p>
            <w:pPr>
              <w:spacing w:after="0"/>
              <w:rPr>
                <w:sz w:val="1"/>
                <w:szCs w:val="1"/>
                <w:color w:val="auto"/>
              </w:rPr>
            </w:pPr>
          </w:p>
        </w:tc>
      </w:tr>
      <w:tr>
        <w:trPr>
          <w:trHeight w:val="263"/>
        </w:trPr>
        <w:tc>
          <w:tcPr>
            <w:tcW w:w="4040" w:type="dxa"/>
            <w:vAlign w:val="bottom"/>
          </w:tcPr>
          <w:p>
            <w:pPr>
              <w:ind w:left="80"/>
              <w:spacing w:after="0"/>
              <w:rPr>
                <w:sz w:val="20"/>
                <w:szCs w:val="20"/>
                <w:color w:val="auto"/>
              </w:rPr>
            </w:pPr>
            <w:r>
              <w:rPr>
                <w:rFonts w:ascii="Arial" w:cs="Arial" w:eastAsia="Arial" w:hAnsi="Arial"/>
                <w:sz w:val="18"/>
                <w:szCs w:val="18"/>
                <w:color w:val="auto"/>
              </w:rPr>
              <w:t>Senior secured term loan facilities(2)</w:t>
            </w:r>
          </w:p>
        </w:tc>
        <w:tc>
          <w:tcPr>
            <w:tcW w:w="28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1,328,550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42,900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140,925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563,550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581,175</w:t>
            </w:r>
          </w:p>
        </w:tc>
        <w:tc>
          <w:tcPr>
            <w:tcW w:w="0" w:type="dxa"/>
            <w:vAlign w:val="bottom"/>
          </w:tcPr>
          <w:p>
            <w:pPr>
              <w:spacing w:after="0"/>
              <w:rPr>
                <w:sz w:val="1"/>
                <w:szCs w:val="1"/>
                <w:color w:val="auto"/>
              </w:rPr>
            </w:pPr>
          </w:p>
        </w:tc>
      </w:tr>
      <w:tr>
        <w:trPr>
          <w:trHeight w:val="277"/>
        </w:trPr>
        <w:tc>
          <w:tcPr>
            <w:tcW w:w="4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Commitment fee on revolving line of credit(3)</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5,018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1,137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2,217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1,664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040" w:type="dxa"/>
            <w:vAlign w:val="bottom"/>
          </w:tcPr>
          <w:p>
            <w:pPr>
              <w:ind w:left="80"/>
              <w:spacing w:after="0"/>
              <w:rPr>
                <w:sz w:val="20"/>
                <w:szCs w:val="20"/>
                <w:color w:val="auto"/>
              </w:rPr>
            </w:pPr>
            <w:r>
              <w:rPr>
                <w:rFonts w:ascii="Arial" w:cs="Arial" w:eastAsia="Arial" w:hAnsi="Arial"/>
                <w:sz w:val="18"/>
                <w:szCs w:val="18"/>
                <w:color w:val="auto"/>
              </w:rPr>
              <w:t>Variable interest payments(4):</w:t>
            </w: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0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Term Loan A</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74,830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19,345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34,706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20,779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40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Term Loan B</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156,080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24,722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48,697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47,765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34,896</w:t>
            </w:r>
          </w:p>
        </w:tc>
        <w:tc>
          <w:tcPr>
            <w:tcW w:w="0" w:type="dxa"/>
            <w:vAlign w:val="bottom"/>
          </w:tcPr>
          <w:p>
            <w:pPr>
              <w:spacing w:after="0"/>
              <w:rPr>
                <w:sz w:val="1"/>
                <w:szCs w:val="1"/>
                <w:color w:val="auto"/>
              </w:rPr>
            </w:pPr>
          </w:p>
        </w:tc>
      </w:tr>
      <w:tr>
        <w:trPr>
          <w:trHeight w:val="257"/>
        </w:trPr>
        <w:tc>
          <w:tcPr>
            <w:tcW w:w="40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contractual cash obligations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1,949,592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115,678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283,663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685,212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865,039</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660" w:right="300" w:hanging="328"/>
        <w:spacing w:after="0" w:line="262"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Included in the payments due by period is a fifteen year lease commitment that was executed in December 2011 for the Company's future San Diego office building with a lease commencement date of May 1, 2014.</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625" w:right="259" w:bottom="1440" w:gutter="0" w:footer="0" w:header="0"/>
        </w:sectPr>
      </w:pPr>
    </w:p>
    <w:bookmarkStart w:id="57" w:name="page58"/>
    <w:bookmarkEnd w:id="57"/>
    <w:p>
      <w:pPr>
        <w:ind w:left="660" w:right="140"/>
        <w:spacing w:after="0" w:line="301" w:lineRule="auto"/>
        <w:rPr>
          <w:sz w:val="20"/>
          <w:szCs w:val="20"/>
          <w:color w:val="auto"/>
        </w:rPr>
      </w:pPr>
      <w:r>
        <w:rPr>
          <w:rFonts w:ascii="Arial" w:cs="Arial" w:eastAsia="Arial" w:hAnsi="Arial"/>
          <w:sz w:val="18"/>
          <w:szCs w:val="18"/>
          <w:color w:val="auto"/>
        </w:rPr>
        <w:t>Future minimum payments for this lease commitment are $20.7 million, $31.1 million and $224.9 million for the periods 1-3 Years, 4-5 Years and &gt; 5 Years, respectively. Minimum payments for applicable leases have not been reduced by minimum sublease rental income of $5.2 million due in the future under noncancelable subleases. Note 10 of our unaudited condensed consolidated financial statements provides further detail on operating lease obligations and obligations under noncancelable service contracts.</w:t>
      </w:r>
    </w:p>
    <w:p>
      <w:pPr>
        <w:spacing w:after="0" w:line="69" w:lineRule="exact"/>
        <w:rPr>
          <w:sz w:val="20"/>
          <w:szCs w:val="20"/>
          <w:color w:val="auto"/>
        </w:rPr>
      </w:pPr>
    </w:p>
    <w:p>
      <w:pPr>
        <w:ind w:left="660" w:hanging="328"/>
        <w:spacing w:after="0" w:line="262"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principal payments under our Credit Agreement. See Note 9 of our unaudited condensed consolidated financial statements for further detail.</w:t>
      </w:r>
    </w:p>
    <w:p>
      <w:pPr>
        <w:spacing w:after="0" w:line="88" w:lineRule="exact"/>
        <w:rPr>
          <w:rFonts w:ascii="Arial" w:cs="Arial" w:eastAsia="Arial" w:hAnsi="Arial"/>
          <w:sz w:val="18"/>
          <w:szCs w:val="18"/>
          <w:color w:val="auto"/>
        </w:rPr>
      </w:pPr>
    </w:p>
    <w:p>
      <w:pPr>
        <w:ind w:left="660" w:right="940" w:hanging="328"/>
        <w:spacing w:after="0" w:line="262"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commitment fees for unused borrowings on our revolving credit facility. See Note 9 of our unaudited condensed consolidated financial statements for further detail.</w:t>
      </w:r>
    </w:p>
    <w:p>
      <w:pPr>
        <w:spacing w:after="0" w:line="88" w:lineRule="exact"/>
        <w:rPr>
          <w:rFonts w:ascii="Arial" w:cs="Arial" w:eastAsia="Arial" w:hAnsi="Arial"/>
          <w:sz w:val="18"/>
          <w:szCs w:val="18"/>
          <w:color w:val="auto"/>
        </w:rPr>
      </w:pPr>
    </w:p>
    <w:p>
      <w:pPr>
        <w:ind w:left="660" w:right="80" w:hanging="328"/>
        <w:spacing w:after="0" w:line="256"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senior secured term loan facilities bear interest at floating rates. Variable interest payments are shown assuming the applicable LIBOR rates at September 30, 2012 remain unchanged. See Note 9 of our unaudited condensed consolidated financial statements for further detail.</w:t>
      </w:r>
    </w:p>
    <w:p>
      <w:pPr>
        <w:spacing w:after="0" w:line="148"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Our acquisitions of NRP, Concord and Veritat involve the potential payment of contingent consideration dependent upon the achievement of certain revenue, gross-margin and assets under management milestones. The table above does not reflect any such obligations, as the amounts are uncertain. See Note 3 and Note 5 of our unaudited condensed consolidated financial statements for further discussion of the amount of future contingent consideration we could be required to pay in connection with these acquisitions.</w:t>
      </w:r>
    </w:p>
    <w:p>
      <w:pPr>
        <w:spacing w:after="0" w:line="164"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As of September 30, 2012, we have a liability for unrecognized tax benefits of $20.4 million, which we have netted against income taxes receivable in the unaudited condensed consolidated statements of financial condition. This amount has been excluded from the contractual obligations table because we are unable to reasonably predict the ultimate amount or timing of future tax payments.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use fair value measurements to record certain financial assets and liabilities at fair value and to determine fair value disclosures.</w:t>
      </w:r>
    </w:p>
    <w:p>
      <w:pPr>
        <w:spacing w:after="0" w:line="225" w:lineRule="exact"/>
        <w:rPr>
          <w:sz w:val="20"/>
          <w:szCs w:val="20"/>
          <w:color w:val="auto"/>
        </w:rPr>
      </w:pPr>
    </w:p>
    <w:p>
      <w:pPr>
        <w:ind w:right="280" w:firstLine="486"/>
        <w:spacing w:after="0" w:line="278" w:lineRule="auto"/>
        <w:rPr>
          <w:sz w:val="20"/>
          <w:szCs w:val="20"/>
          <w:color w:val="auto"/>
        </w:rPr>
      </w:pPr>
      <w:r>
        <w:rPr>
          <w:rFonts w:ascii="Arial" w:cs="Arial" w:eastAsia="Arial" w:hAnsi="Arial"/>
          <w:sz w:val="17"/>
          <w:szCs w:val="17"/>
          <w:color w:val="auto"/>
        </w:rPr>
        <w:t>We use prices obtained from an independent third-party pricing service to measure the fair value of our trading securities. We validate prices received from the pricing service using various methods, including comparison to prices received from additional pricing services, comparison to available market prices and review of other relevant market data including implied yields of major categories of securities.</w:t>
      </w:r>
    </w:p>
    <w:p>
      <w:pPr>
        <w:spacing w:after="0" w:line="185" w:lineRule="exact"/>
        <w:rPr>
          <w:sz w:val="20"/>
          <w:szCs w:val="20"/>
          <w:color w:val="auto"/>
        </w:rPr>
      </w:pPr>
    </w:p>
    <w:p>
      <w:pPr>
        <w:ind w:right="80" w:firstLine="486"/>
        <w:spacing w:after="0" w:line="256" w:lineRule="auto"/>
        <w:rPr>
          <w:sz w:val="20"/>
          <w:szCs w:val="20"/>
          <w:color w:val="auto"/>
        </w:rPr>
      </w:pPr>
      <w:r>
        <w:rPr>
          <w:rFonts w:ascii="Arial" w:cs="Arial" w:eastAsia="Arial" w:hAnsi="Arial"/>
          <w:sz w:val="18"/>
          <w:szCs w:val="18"/>
          <w:color w:val="auto"/>
        </w:rPr>
        <w:t>At September 30, 2012, we did not adjust prices received from the independent third-party pricing service. For certificates of deposit and treasury securities, we utilize market-based inputs including observable market interest rates that correspond to the remaining maturities or next interest reset dates.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7"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We have disclosed in our unaudited condensed consolidated financial statements and in “Item 7-Management’s Discussion and Analysis of Financial Condition and Results of Operations” included in our 2011 Annual Report on Form 10-K, those accounting policies that we consider to be significant in determining our results of operations and financial condition. The accounting principles used in preparing our unaudited condensed consolidated financial statements conform in all material respects to GAAP. There have been no material changes to those policies that we consider to be significant since the filing of our 2011 Annual Report on Form 10-K except for the following: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47" w:lineRule="exact"/>
        <w:rPr>
          <w:sz w:val="20"/>
          <w:szCs w:val="20"/>
          <w:color w:val="auto"/>
        </w:rPr>
      </w:pPr>
    </w:p>
    <w:p>
      <w:pPr>
        <w:ind w:right="280" w:firstLine="486"/>
        <w:spacing w:after="0" w:line="250" w:lineRule="auto"/>
        <w:rPr>
          <w:sz w:val="20"/>
          <w:szCs w:val="20"/>
          <w:color w:val="auto"/>
        </w:rPr>
      </w:pPr>
      <w:r>
        <w:rPr>
          <w:rFonts w:ascii="Arial" w:cs="Arial" w:eastAsia="Arial" w:hAnsi="Arial"/>
          <w:sz w:val="18"/>
          <w:szCs w:val="18"/>
          <w:color w:val="auto"/>
        </w:rPr>
        <w:t>Substantially all of our revenues are based on contractual arrangements. Revenues are recognized in the periods in which the related services are performed provided that persuasive evidence of an arrangement exists, the fee is fixed or determinable and collectability is reasonably assured. Certain portions of our revenues require consideration of the nature of the client relationship in determining whether to recognize the gross amount billed or net amount retained after payments are made to providers for certain services related to the product or service offering. The main factors we use to determine whether to record revenue on a gross or net basis is based on whether:</w:t>
      </w:r>
    </w:p>
    <w:p>
      <w:pPr>
        <w:spacing w:after="0" w:line="2" w:lineRule="exact"/>
        <w:rPr>
          <w:sz w:val="20"/>
          <w:szCs w:val="20"/>
          <w:color w:val="auto"/>
        </w:rPr>
      </w:pPr>
    </w:p>
    <w:p>
      <w:pPr>
        <w:ind w:left="1300" w:hanging="320"/>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have a direct contract with the third party provider;</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625" w:right="259" w:bottom="1440" w:gutter="0" w:footer="0" w:header="0"/>
        </w:sectPr>
      </w:pPr>
    </w:p>
    <w:bookmarkStart w:id="58" w:name="page59"/>
    <w:bookmarkEnd w:id="58"/>
    <w:p>
      <w:pPr>
        <w:ind w:left="1300" w:hanging="320"/>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are the fiduciary in the arrangement; and</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have discretion in establishing fees paid by the customer and fees due to the third party service provider.</w:t>
      </w:r>
    </w:p>
    <w:p>
      <w:pPr>
        <w:spacing w:after="0" w:line="171"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We record commissions earned from clients for purchases of securities including mutual funds, annuity, insurance, equity, fixed income, direct investment, option and commodity transactions on a trade-date basis. Commissions also include mutual fund and variable annuity trails, which are recognized as a percentage of assets under custody over the period for which services are performed. A substantial portion of the commissions revenue is ultimately paid to the advisors. Due to the significant volume of mutual fund and variable annuity purchases and sales transacted by advisors directly with product manufacturers, management must estimate a portion of its upfront commission and trail revenues for each accounting period for which the proceeds have not yet been received. These estimates are based on a number of factors including market levels, the volume of transactions in prior periods and cash receipts in the current period. We record commissions payable to advisors based upon historical payout ratios for each product for which we have accrued commission revenue.</w:t>
      </w:r>
    </w:p>
    <w:p>
      <w:pPr>
        <w:spacing w:after="0" w:line="206" w:lineRule="exact"/>
        <w:rPr>
          <w:sz w:val="20"/>
          <w:szCs w:val="20"/>
          <w:color w:val="auto"/>
        </w:rPr>
      </w:pPr>
    </w:p>
    <w:p>
      <w:pPr>
        <w:ind w:right="140" w:firstLine="648"/>
        <w:spacing w:after="0" w:line="252" w:lineRule="auto"/>
        <w:rPr>
          <w:sz w:val="20"/>
          <w:szCs w:val="20"/>
          <w:color w:val="auto"/>
        </w:rPr>
      </w:pPr>
      <w:r>
        <w:rPr>
          <w:rFonts w:ascii="Arial" w:cs="Arial" w:eastAsia="Arial" w:hAnsi="Arial"/>
          <w:sz w:val="18"/>
          <w:szCs w:val="18"/>
          <w:color w:val="auto"/>
        </w:rPr>
        <w:t>We record fees charged to clients as advisory fee revenue in advisory accounts where LPL Financial or Independent Advisers Group Corporation is the RIA. A substantial portion of these advisory fees are paid to the related advisor; such payments are recorded as production expense. Certain advisors conduct their advisory business through separate entities by establishing their own RIA pursuant to the Investment Advisers Act of 1940, rather than using our corporate registered RIA. These stand-alone RIAs engage us for technology, clearing, regulatory and custody services, as well as access to our investment advisory platforms. The fee-based production generated by the stand-alone RIA is earned by the advisor, and accordingly not included in our advisory fee revenue. We charge administrative fees based on the value of assets within these advisory accounts, and classify such revenues as asset-based fees and transaction and other fees.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47" w:lineRule="exact"/>
        <w:rPr>
          <w:sz w:val="20"/>
          <w:szCs w:val="20"/>
          <w:color w:val="auto"/>
        </w:rPr>
      </w:pPr>
    </w:p>
    <w:p>
      <w:pPr>
        <w:ind w:right="240" w:firstLine="486"/>
        <w:spacing w:after="0" w:line="254" w:lineRule="auto"/>
        <w:rPr>
          <w:sz w:val="20"/>
          <w:szCs w:val="20"/>
          <w:color w:val="auto"/>
        </w:rPr>
      </w:pPr>
      <w:r>
        <w:rPr>
          <w:rFonts w:ascii="Arial" w:cs="Arial" w:eastAsia="Arial" w:hAnsi="Arial"/>
          <w:sz w:val="18"/>
          <w:szCs w:val="18"/>
          <w:color w:val="auto"/>
        </w:rPr>
        <w:t>Our stock incentive plan provides for granting stock options to certain employees, officers and advisors, warrants to certain financial institutions and restricted stock to non-employee directors. Beginning in the third quarter of 2012, certain employees participate in the ESPP. Stock options and warrants generally vest in equal increments over a three- to five-year period and expire on the tenth anniversary following the date of grant. Restricted stock awards cliff vest after a two year period.</w:t>
      </w:r>
    </w:p>
    <w:p>
      <w:pPr>
        <w:spacing w:after="0" w:line="204"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We recognize share-based compensation expense for stock options awarded to employees and officers, and restricted stock awarded to non-employee directors, based on the grant-date fair value over the requisite service period of the award, which generally equals the vesting period. We account for stock options and warrants awarded to our advisors and financial institutions as commissions and advisory expense based on the fair value of the award at each interim reporting period. If the value of our common stock increases over a given period, this accounting treatment results in additional commissions and advisory expense.</w:t>
      </w:r>
    </w:p>
    <w:p>
      <w:pPr>
        <w:spacing w:after="0" w:line="206" w:lineRule="exact"/>
        <w:rPr>
          <w:sz w:val="20"/>
          <w:szCs w:val="20"/>
          <w:color w:val="auto"/>
        </w:rPr>
      </w:pPr>
    </w:p>
    <w:p>
      <w:pPr>
        <w:ind w:right="160" w:firstLine="486"/>
        <w:spacing w:after="0" w:line="253" w:lineRule="auto"/>
        <w:rPr>
          <w:sz w:val="20"/>
          <w:szCs w:val="20"/>
          <w:color w:val="auto"/>
        </w:rPr>
      </w:pPr>
      <w:r>
        <w:rPr>
          <w:rFonts w:ascii="Arial" w:cs="Arial" w:eastAsia="Arial" w:hAnsi="Arial"/>
          <w:sz w:val="18"/>
          <w:szCs w:val="18"/>
          <w:color w:val="auto"/>
        </w:rPr>
        <w:t>As there are no observable market prices for identical or similar instruments, we estimate fair value using a Black-Scholes valuation model. We must make assumptions regarding the number of share-based awards that will be forfeited. The forfeiture assumption is ultimately adjusted to the actual forfeiture rate. Therefore, changes in the forfeiture assumptions do not impact the total amount of expense ultimately recognized over the vesting period. Rather, different forfeiture assumptions would only impact the timing of expense recognition over the vesting period.</w:t>
      </w:r>
    </w:p>
    <w:p>
      <w:pPr>
        <w:spacing w:after="0" w:line="206"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 xml:space="preserve">The risk-free interest rates are based on the implied yield available on U.S. Treasury constant maturities in effect at the time of the grant with remaining terms equivalent to the respective expected terms of the options. Options granted during the three months ended March 31, 2012 and in periods prior were granted before the declaration of our special dividend and announcement of our intention, subject in each instance to board approval, to pay regular quarterly dividends. Therefore, those options had an expected dividend yield of zero. For any options granted after the March 30, 2012 announcement regarding regular quarterly dividends, the dividend yield is based on an expected dividend of $0.48 per share per year as a percentage of our stock price on the valuation date. We estimate the expected term for our employee option awards using the simplified method in accordance with Staff Accounting Bulletin 110, </w:t>
      </w:r>
      <w:r>
        <w:rPr>
          <w:rFonts w:ascii="Arial" w:cs="Arial" w:eastAsia="Arial" w:hAnsi="Arial"/>
          <w:sz w:val="18"/>
          <w:szCs w:val="18"/>
          <w:i w:val="1"/>
          <w:iCs w:val="1"/>
          <w:color w:val="auto"/>
        </w:rPr>
        <w:t>Certain Assumptions Used in Valuation Methods</w:t>
      </w:r>
      <w:r>
        <w:rPr>
          <w:rFonts w:ascii="Arial" w:cs="Arial" w:eastAsia="Arial" w:hAnsi="Arial"/>
          <w:sz w:val="18"/>
          <w:szCs w:val="18"/>
          <w:color w:val="auto"/>
        </w:rPr>
        <w:t>, because we do not have sufficient relevant historical information to develop reasonable expectations about future exercise patterns. We estimate the expected term for stock options and warrants awarded to our advisors using the contractual term. Beginning in the first quarter of 2012, we base our assumptions about stock-price volatility not only on the stock-price volatility of comparable companies, but also on the historical trading data for the period of time there was a public market for</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598" w:right="259" w:bottom="1440" w:gutter="0" w:footer="0" w:header="0"/>
        </w:sectPr>
      </w:pPr>
    </w:p>
    <w:bookmarkStart w:id="59" w:name="page60"/>
    <w:bookmarkEnd w:id="59"/>
    <w:p>
      <w:pPr>
        <w:jc w:val="both"/>
        <w:ind w:right="20"/>
        <w:spacing w:after="0" w:line="254" w:lineRule="auto"/>
        <w:rPr>
          <w:sz w:val="20"/>
          <w:szCs w:val="20"/>
          <w:color w:val="auto"/>
        </w:rPr>
      </w:pPr>
      <w:r>
        <w:rPr>
          <w:rFonts w:ascii="Arial" w:cs="Arial" w:eastAsia="Arial" w:hAnsi="Arial"/>
          <w:sz w:val="18"/>
          <w:szCs w:val="18"/>
          <w:color w:val="auto"/>
        </w:rPr>
        <w:t>our stock and the implied volatility to buy and sell our stock. We will continue to use peer group volatility information until our historical volatility is sufficient to measure expected volatility for future grants. In the future, as we gain historical data for volatility of our stock and the actual term over which employees hold our options, expected volatility and the expected term may change, which could substantially change the grant-date fair value of future awards of stock options and, ultimately, compensation recorded on future grants.</w:t>
      </w:r>
    </w:p>
    <w:p>
      <w:pPr>
        <w:spacing w:after="0" w:line="204"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We recognized $12.8 million and $10.9 million of share-based compensation related to the vesting of employee and officer stock option awards, and non-employee director restricted stock awards, during the nine months ended September 30, 2012 and 2011, respectively. These amounts may not be representative of future share-based compensation expense since the estimated fair value of stock options is amortized over the requisite service period using the straight-line method and additional options may be granted in future years. The following table presents the weighted-average assumptions used in calculating the fair value of our employee stock options with the Black-Scholes valuation model that have been granted during the nine months ended September 30, 2012 and 2011:</w:t>
      </w:r>
    </w:p>
    <w:p>
      <w:pPr>
        <w:spacing w:after="0" w:line="137" w:lineRule="exact"/>
        <w:rPr>
          <w:sz w:val="20"/>
          <w:szCs w:val="20"/>
          <w:color w:val="auto"/>
        </w:rPr>
      </w:pPr>
    </w:p>
    <w:p>
      <w:pPr>
        <w:jc w:val="center"/>
        <w:ind w:left="8640"/>
        <w:spacing w:after="0"/>
        <w:rPr>
          <w:sz w:val="20"/>
          <w:szCs w:val="20"/>
          <w:color w:val="auto"/>
        </w:rPr>
      </w:pPr>
      <w:r>
        <w:rPr>
          <w:rFonts w:ascii="Arial" w:cs="Arial" w:eastAsia="Arial" w:hAnsi="Arial"/>
          <w:sz w:val="16"/>
          <w:szCs w:val="16"/>
          <w:b w:val="1"/>
          <w:bCs w:val="1"/>
          <w:color w:val="auto"/>
        </w:rPr>
        <w:t>Nine Months Ended</w:t>
      </w:r>
    </w:p>
    <w:p>
      <w:pPr>
        <w:spacing w:after="0" w:line="25" w:lineRule="exact"/>
        <w:rPr>
          <w:sz w:val="20"/>
          <w:szCs w:val="20"/>
          <w:color w:val="auto"/>
        </w:rPr>
      </w:pPr>
    </w:p>
    <w:p>
      <w:pPr>
        <w:jc w:val="center"/>
        <w:ind w:left="864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5467985</wp:posOffset>
            </wp:positionH>
            <wp:positionV relativeFrom="paragraph">
              <wp:posOffset>19050</wp:posOffset>
            </wp:positionV>
            <wp:extent cx="17837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2011</w:t>
            </w:r>
          </w:p>
        </w:tc>
      </w:tr>
      <w:tr>
        <w:trPr>
          <w:trHeight w:val="257"/>
        </w:trPr>
        <w:tc>
          <w:tcPr>
            <w:tcW w:w="8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life (in years)</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6.49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6.50</w:t>
            </w:r>
          </w:p>
        </w:tc>
      </w:tr>
      <w:tr>
        <w:trPr>
          <w:trHeight w:val="263"/>
        </w:trPr>
        <w:tc>
          <w:tcPr>
            <w:tcW w:w="8620" w:type="dxa"/>
            <w:vAlign w:val="bottom"/>
          </w:tcPr>
          <w:p>
            <w:pPr>
              <w:ind w:left="40"/>
              <w:spacing w:after="0"/>
              <w:rPr>
                <w:sz w:val="20"/>
                <w:szCs w:val="20"/>
                <w:color w:val="auto"/>
              </w:rPr>
            </w:pPr>
            <w:r>
              <w:rPr>
                <w:rFonts w:ascii="Arial" w:cs="Arial" w:eastAsia="Arial" w:hAnsi="Arial"/>
                <w:sz w:val="18"/>
                <w:szCs w:val="18"/>
                <w:color w:val="auto"/>
              </w:rPr>
              <w:t>Expected stock price volatility</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45.74%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48.74%</w:t>
            </w:r>
          </w:p>
        </w:tc>
      </w:tr>
      <w:tr>
        <w:trPr>
          <w:trHeight w:val="277"/>
        </w:trPr>
        <w:tc>
          <w:tcPr>
            <w:tcW w:w="8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8620" w:type="dxa"/>
            <w:vAlign w:val="bottom"/>
          </w:tcPr>
          <w:p>
            <w:pPr>
              <w:ind w:left="40"/>
              <w:spacing w:after="0"/>
              <w:rPr>
                <w:sz w:val="20"/>
                <w:szCs w:val="20"/>
                <w:color w:val="auto"/>
              </w:rPr>
            </w:pPr>
            <w:r>
              <w:rPr>
                <w:rFonts w:ascii="Arial" w:cs="Arial" w:eastAsia="Arial" w:hAnsi="Arial"/>
                <w:sz w:val="18"/>
                <w:szCs w:val="18"/>
                <w:color w:val="auto"/>
              </w:rPr>
              <w:t>Fair value of options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14.49</w:t>
            </w:r>
          </w:p>
        </w:tc>
        <w:tc>
          <w:tcPr>
            <w:tcW w:w="100" w:type="dxa"/>
            <w:vAlign w:val="bottom"/>
          </w:tcPr>
          <w:p>
            <w:pPr>
              <w:spacing w:after="0"/>
              <w:rPr>
                <w:sz w:val="22"/>
                <w:szCs w:val="22"/>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16.11</w:t>
            </w:r>
          </w:p>
        </w:tc>
      </w:tr>
      <w:tr>
        <w:trPr>
          <w:trHeight w:val="277"/>
        </w:trPr>
        <w:tc>
          <w:tcPr>
            <w:tcW w:w="8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r>
    </w:tbl>
    <w:p>
      <w:pPr>
        <w:spacing w:after="0" w:line="215"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We recognized $ 2.9 million and $1.4 million of share-based compensation during the nine months ended September 30, 2012 and 2011, respectively, related to the vesting of stock options and warrants awarded to our advisors and financial institutions. These amounts may not be representative of future share-based compensation expense since additional options may be granted in future years, our stock price is subject to market fluctuations and the estimated fair value of stock options is amortized over the requisite service period using the straight-line method. The fair value of each option or warrant grant awarded to advisors and financial institutions is estimated on the date of grant and revalued at each interim reporting period using the Black-Scholes option pricing model with the following weighted-average assumptions used as of September 30, 2012 and 2011:</w:t>
      </w:r>
    </w:p>
    <w:p>
      <w:pPr>
        <w:spacing w:after="0" w:line="136" w:lineRule="exact"/>
        <w:rPr>
          <w:sz w:val="20"/>
          <w:szCs w:val="20"/>
          <w:color w:val="auto"/>
        </w:rPr>
      </w:pPr>
    </w:p>
    <w:p>
      <w:pPr>
        <w:jc w:val="center"/>
        <w:ind w:left="8640"/>
        <w:spacing w:after="0"/>
        <w:rPr>
          <w:sz w:val="20"/>
          <w:szCs w:val="20"/>
          <w:color w:val="auto"/>
        </w:rPr>
      </w:pPr>
      <w:r>
        <w:rPr>
          <w:rFonts w:ascii="Arial" w:cs="Arial" w:eastAsia="Arial" w:hAnsi="Arial"/>
          <w:sz w:val="16"/>
          <w:szCs w:val="16"/>
          <w:b w:val="1"/>
          <w:bCs w:val="1"/>
          <w:color w:val="auto"/>
        </w:rPr>
        <w:t>As of</w:t>
      </w:r>
    </w:p>
    <w:p>
      <w:pPr>
        <w:spacing w:after="0" w:line="25" w:lineRule="exact"/>
        <w:rPr>
          <w:sz w:val="20"/>
          <w:szCs w:val="20"/>
          <w:color w:val="auto"/>
        </w:rPr>
      </w:pPr>
    </w:p>
    <w:p>
      <w:pPr>
        <w:jc w:val="center"/>
        <w:ind w:left="864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5467985</wp:posOffset>
            </wp:positionH>
            <wp:positionV relativeFrom="paragraph">
              <wp:posOffset>19050</wp:posOffset>
            </wp:positionV>
            <wp:extent cx="17837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2011</w:t>
            </w:r>
          </w:p>
        </w:tc>
      </w:tr>
      <w:tr>
        <w:trPr>
          <w:trHeight w:val="257"/>
        </w:trPr>
        <w:tc>
          <w:tcPr>
            <w:tcW w:w="8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life (in years)</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7.58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8.12</w:t>
            </w:r>
          </w:p>
        </w:tc>
      </w:tr>
      <w:tr>
        <w:trPr>
          <w:trHeight w:val="263"/>
        </w:trPr>
        <w:tc>
          <w:tcPr>
            <w:tcW w:w="8620" w:type="dxa"/>
            <w:vAlign w:val="bottom"/>
          </w:tcPr>
          <w:p>
            <w:pPr>
              <w:ind w:left="40"/>
              <w:spacing w:after="0"/>
              <w:rPr>
                <w:sz w:val="20"/>
                <w:szCs w:val="20"/>
                <w:color w:val="auto"/>
              </w:rPr>
            </w:pPr>
            <w:r>
              <w:rPr>
                <w:rFonts w:ascii="Arial" w:cs="Arial" w:eastAsia="Arial" w:hAnsi="Arial"/>
                <w:sz w:val="18"/>
                <w:szCs w:val="18"/>
                <w:color w:val="auto"/>
              </w:rPr>
              <w:t>Expected stock price volatility</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44.26%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47.93%</w:t>
            </w:r>
          </w:p>
        </w:tc>
      </w:tr>
      <w:tr>
        <w:trPr>
          <w:trHeight w:val="277"/>
        </w:trPr>
        <w:tc>
          <w:tcPr>
            <w:tcW w:w="8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8620" w:type="dxa"/>
            <w:vAlign w:val="bottom"/>
          </w:tcPr>
          <w:p>
            <w:pPr>
              <w:ind w:left="40"/>
              <w:spacing w:after="0"/>
              <w:rPr>
                <w:sz w:val="20"/>
                <w:szCs w:val="20"/>
                <w:color w:val="auto"/>
              </w:rPr>
            </w:pPr>
            <w:r>
              <w:rPr>
                <w:rFonts w:ascii="Arial" w:cs="Arial" w:eastAsia="Arial" w:hAnsi="Arial"/>
                <w:sz w:val="18"/>
                <w:szCs w:val="18"/>
                <w:color w:val="auto"/>
              </w:rPr>
              <w:t>Fair value of options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22"/>
                <w:szCs w:val="22"/>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13.73</w:t>
            </w:r>
          </w:p>
        </w:tc>
      </w:tr>
      <w:tr>
        <w:trPr>
          <w:trHeight w:val="277"/>
        </w:trPr>
        <w:tc>
          <w:tcPr>
            <w:tcW w:w="8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r>
    </w:tbl>
    <w:p>
      <w:pPr>
        <w:spacing w:after="0" w:line="215" w:lineRule="exact"/>
        <w:rPr>
          <w:sz w:val="20"/>
          <w:szCs w:val="20"/>
          <w:color w:val="auto"/>
        </w:rPr>
      </w:pPr>
    </w:p>
    <w:p>
      <w:pPr>
        <w:ind w:right="320" w:firstLine="486"/>
        <w:spacing w:after="0" w:line="254" w:lineRule="auto"/>
        <w:rPr>
          <w:sz w:val="20"/>
          <w:szCs w:val="20"/>
          <w:color w:val="auto"/>
        </w:rPr>
      </w:pPr>
      <w:r>
        <w:rPr>
          <w:rFonts w:ascii="Arial" w:cs="Arial" w:eastAsia="Arial" w:hAnsi="Arial"/>
          <w:sz w:val="18"/>
          <w:szCs w:val="18"/>
          <w:color w:val="auto"/>
        </w:rPr>
        <w:t>We have assumed an annualized forfeiture rate for our stock options and warrants based on a combined review of industry and employee turnover data, as well as an analytical review performed of historical pre-vesting forfeitures occurring over the previous year. We record additional expense if the actual forfeiture rate is lower than estimated and record a recovery of prior expense if the actual forfeiture is higher than estimated.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47" w:lineRule="exact"/>
        <w:rPr>
          <w:sz w:val="20"/>
          <w:szCs w:val="20"/>
          <w:color w:val="auto"/>
        </w:rPr>
      </w:pPr>
    </w:p>
    <w:p>
      <w:pPr>
        <w:ind w:right="560" w:firstLine="486"/>
        <w:spacing w:after="0" w:line="262" w:lineRule="auto"/>
        <w:rPr>
          <w:sz w:val="20"/>
          <w:szCs w:val="20"/>
          <w:color w:val="auto"/>
        </w:rPr>
      </w:pPr>
      <w:r>
        <w:rPr>
          <w:rFonts w:ascii="Arial" w:cs="Arial" w:eastAsia="Arial" w:hAnsi="Arial"/>
          <w:sz w:val="18"/>
          <w:szCs w:val="18"/>
          <w:color w:val="auto"/>
        </w:rPr>
        <w:t>Refer to Note 2 of our unaudited condensed consolidated financial statements for a discussion of recent accounting standards and pronouncements.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maintain trading securities owned and securities sold, but not yet purchased in order to facilitate client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98" w:right="239" w:bottom="1440" w:gutter="0" w:footer="0" w:header="0"/>
        </w:sectPr>
      </w:pPr>
    </w:p>
    <w:bookmarkStart w:id="60" w:name="page61"/>
    <w:bookmarkEnd w:id="60"/>
    <w:p>
      <w:pPr>
        <w:ind w:right="200"/>
        <w:spacing w:after="0" w:line="256" w:lineRule="auto"/>
        <w:rPr>
          <w:sz w:val="20"/>
          <w:szCs w:val="20"/>
          <w:color w:val="auto"/>
        </w:rPr>
      </w:pPr>
      <w:r>
        <w:rPr>
          <w:rFonts w:ascii="Arial" w:cs="Arial" w:eastAsia="Arial" w:hAnsi="Arial"/>
          <w:sz w:val="18"/>
          <w:szCs w:val="18"/>
          <w:color w:val="auto"/>
        </w:rPr>
        <w:t>transactions, to meet a portion of our clearing deposit requirements at various clearing organizations, and to track the performance of our research models. These securities include mutual funds, debt securities issued by the U.S. government, money market funds, corporate debt securities, certificates of deposit and equity securities.</w:t>
      </w:r>
    </w:p>
    <w:p>
      <w:pPr>
        <w:spacing w:after="0" w:line="202"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Changes in the value of our trading inventory may result from fluctuations in interest rates, credit ratings of the issuer, equity prices and the correlation among these factors. We manage our trading inventory by product type. Our activities to facilitate client transactions generally involve mutual fund activities, including dividend reinvestments. The balances are based upon pending client activities which are monitored by our broker dealer support services department. Because these positions arise from pending client transactions, there are no specific trading or position limits. Positions held to meet clearing deposit requirements consist of U.S. government securities. The amount of securities deposited depends upon the requirements of the clearing organization. The level of securities deposited is monitored by the settlement area within our broker dealer support services department. Our research department develops model portfolios that are used by advisors in developing client portfolios. We currently maintain approximately 185 accounts based on model portfolios. At the time the portfolio is developed, we purchase the securities in that model portfolio in an amount equal to the account minimum for a client. Account minimums vary by product and can range from $10,000 to $50,000 per model. We utilize these positions to track the performance of the research department. The limits on this activity are based at the inception of each new model.</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September 30, 2012, the fair value of our trading securities owned were $7.2 million. Securities sold, but not yet purchased were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$60.1 million at September 30, 2012. See Note 5 of our unaudited condensed consolidated financial statements for information regarding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fair value of trading securities owned and securities sold, but not yet purchased associated with our client facilitation activities. See Note 6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our unaudited condensed consolidated financial statements for information regarding the fair value of securities held to maturity.</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do not enter into contracts involving derivatives or other similar financial instruments for trading or proprietary purposes.</w:t>
      </w:r>
    </w:p>
    <w:p>
      <w:pPr>
        <w:spacing w:after="0" w:line="225"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We also have market risk on the fees we earn that are based on the market value of advisory and brokerage assets, assets on which trail commissions are paid and assets eligible for sponsor payments.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47" w:lineRule="exact"/>
        <w:rPr>
          <w:sz w:val="20"/>
          <w:szCs w:val="20"/>
          <w:color w:val="auto"/>
        </w:rPr>
      </w:pPr>
    </w:p>
    <w:p>
      <w:pPr>
        <w:jc w:val="both"/>
        <w:ind w:right="100" w:firstLine="486"/>
        <w:spacing w:after="0" w:line="256" w:lineRule="auto"/>
        <w:rPr>
          <w:sz w:val="20"/>
          <w:szCs w:val="20"/>
          <w:color w:val="auto"/>
        </w:rPr>
      </w:pPr>
      <w:r>
        <w:rPr>
          <w:rFonts w:ascii="Arial" w:cs="Arial" w:eastAsia="Arial" w:hAnsi="Arial"/>
          <w:sz w:val="18"/>
          <w:szCs w:val="18"/>
          <w:color w:val="auto"/>
        </w:rPr>
        <w:t>We are exposed to risk associated with changes in interest rates. As of September 30, 2012, all of the outstanding debt under our Credit Agreement, $1.3 billion, was subject to floating interest rate risk. While our senior secured term loans are subject to increases in interest rates, we do not believe that a short-term change in interest rates would have a material impact on our income before taxes.</w:t>
      </w:r>
    </w:p>
    <w:p>
      <w:pPr>
        <w:spacing w:after="0" w:line="202" w:lineRule="exact"/>
        <w:rPr>
          <w:sz w:val="20"/>
          <w:szCs w:val="20"/>
          <w:color w:val="auto"/>
        </w:rPr>
      </w:pPr>
    </w:p>
    <w:p>
      <w:pPr>
        <w:ind w:right="460" w:firstLine="486"/>
        <w:spacing w:after="0" w:line="262" w:lineRule="auto"/>
        <w:rPr>
          <w:sz w:val="20"/>
          <w:szCs w:val="20"/>
          <w:color w:val="auto"/>
        </w:rPr>
      </w:pPr>
      <w:r>
        <w:rPr>
          <w:rFonts w:ascii="Arial" w:cs="Arial" w:eastAsia="Arial" w:hAnsi="Arial"/>
          <w:sz w:val="18"/>
          <w:szCs w:val="18"/>
          <w:color w:val="auto"/>
        </w:rPr>
        <w:t>The following table summarizes the impact of increasing interest rates on our interest expense from our debt outstanding at variable interest rates at September 30, 2012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Outstanding at</w:t>
            </w:r>
          </w:p>
        </w:tc>
        <w:tc>
          <w:tcPr>
            <w:tcW w:w="160" w:type="dxa"/>
            <w:vAlign w:val="bottom"/>
            <w:tcBorders>
              <w:bottom w:val="single" w:sz="8" w:color="auto"/>
            </w:tcBorders>
          </w:tcPr>
          <w:p>
            <w:pPr>
              <w:spacing w:after="0"/>
              <w:rPr>
                <w:sz w:val="19"/>
                <w:szCs w:val="19"/>
                <w:color w:val="auto"/>
              </w:rPr>
            </w:pPr>
          </w:p>
        </w:tc>
        <w:tc>
          <w:tcPr>
            <w:tcW w:w="4320" w:type="dxa"/>
            <w:vAlign w:val="bottom"/>
            <w:tcBorders>
              <w:bottom w:val="single" w:sz="8" w:color="auto"/>
            </w:tcBorders>
            <w:gridSpan w:val="10"/>
          </w:tcPr>
          <w:p>
            <w:pPr>
              <w:jc w:val="right"/>
              <w:ind w:right="414"/>
              <w:spacing w:after="0"/>
              <w:rPr>
                <w:sz w:val="20"/>
                <w:szCs w:val="20"/>
                <w:color w:val="auto"/>
              </w:rPr>
            </w:pPr>
            <w:r>
              <w:rPr>
                <w:rFonts w:ascii="Arial" w:cs="Arial" w:eastAsia="Arial" w:hAnsi="Arial"/>
                <w:sz w:val="16"/>
                <w:szCs w:val="16"/>
                <w:b w:val="1"/>
                <w:bCs w:val="1"/>
                <w:color w:val="auto"/>
              </w:rPr>
              <w:t>Annual Impact of an Interest Rate Increase of</w:t>
            </w:r>
          </w:p>
        </w:tc>
        <w:tc>
          <w:tcPr>
            <w:tcW w:w="0" w:type="dxa"/>
            <w:vAlign w:val="bottom"/>
          </w:tcPr>
          <w:p>
            <w:pPr>
              <w:spacing w:after="0"/>
              <w:rPr>
                <w:sz w:val="1"/>
                <w:szCs w:val="1"/>
                <w:color w:val="auto"/>
              </w:rPr>
            </w:pPr>
          </w:p>
        </w:tc>
      </w:tr>
      <w:tr>
        <w:trPr>
          <w:trHeight w:val="251"/>
        </w:trPr>
        <w:tc>
          <w:tcPr>
            <w:tcW w:w="4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Variable Interest</w:t>
            </w:r>
          </w:p>
        </w:tc>
        <w:tc>
          <w:tcPr>
            <w:tcW w:w="160" w:type="dxa"/>
            <w:vAlign w:val="bottom"/>
          </w:tcPr>
          <w:p>
            <w:pPr>
              <w:spacing w:after="0"/>
              <w:rPr>
                <w:sz w:val="21"/>
                <w:szCs w:val="21"/>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10 Basis</w:t>
            </w:r>
          </w:p>
        </w:tc>
        <w:tc>
          <w:tcPr>
            <w:tcW w:w="160" w:type="dxa"/>
            <w:vAlign w:val="bottom"/>
          </w:tcPr>
          <w:p>
            <w:pPr>
              <w:spacing w:after="0"/>
              <w:rPr>
                <w:sz w:val="21"/>
                <w:szCs w:val="21"/>
                <w:color w:val="auto"/>
              </w:rPr>
            </w:pPr>
          </w:p>
        </w:tc>
        <w:tc>
          <w:tcPr>
            <w:tcW w:w="1000" w:type="dxa"/>
            <w:vAlign w:val="bottom"/>
            <w:gridSpan w:val="2"/>
          </w:tcPr>
          <w:p>
            <w:pPr>
              <w:ind w:left="40"/>
              <w:spacing w:after="0"/>
              <w:rPr>
                <w:sz w:val="20"/>
                <w:szCs w:val="20"/>
                <w:color w:val="auto"/>
              </w:rPr>
            </w:pPr>
            <w:r>
              <w:rPr>
                <w:rFonts w:ascii="Arial" w:cs="Arial" w:eastAsia="Arial" w:hAnsi="Arial"/>
                <w:sz w:val="16"/>
                <w:szCs w:val="16"/>
                <w:b w:val="1"/>
                <w:bCs w:val="1"/>
                <w:color w:val="auto"/>
              </w:rPr>
              <w:t>25 Basis</w:t>
            </w:r>
          </w:p>
        </w:tc>
        <w:tc>
          <w:tcPr>
            <w:tcW w:w="160" w:type="dxa"/>
            <w:vAlign w:val="bottom"/>
          </w:tcPr>
          <w:p>
            <w:pPr>
              <w:spacing w:after="0"/>
              <w:rPr>
                <w:sz w:val="21"/>
                <w:szCs w:val="21"/>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50 Basis</w:t>
            </w:r>
          </w:p>
        </w:tc>
        <w:tc>
          <w:tcPr>
            <w:tcW w:w="140" w:type="dxa"/>
            <w:vAlign w:val="bottom"/>
          </w:tcPr>
          <w:p>
            <w:pPr>
              <w:spacing w:after="0"/>
              <w:rPr>
                <w:sz w:val="21"/>
                <w:szCs w:val="21"/>
                <w:color w:val="auto"/>
              </w:rPr>
            </w:pPr>
          </w:p>
        </w:tc>
        <w:tc>
          <w:tcPr>
            <w:tcW w:w="900" w:type="dxa"/>
            <w:vAlign w:val="bottom"/>
          </w:tcPr>
          <w:p>
            <w:pPr>
              <w:jc w:val="right"/>
              <w:ind w:right="54"/>
              <w:spacing w:after="0"/>
              <w:rPr>
                <w:sz w:val="20"/>
                <w:szCs w:val="20"/>
                <w:color w:val="auto"/>
              </w:rPr>
            </w:pPr>
            <w:r>
              <w:rPr>
                <w:rFonts w:ascii="Arial" w:cs="Arial" w:eastAsia="Arial" w:hAnsi="Arial"/>
                <w:sz w:val="16"/>
                <w:szCs w:val="16"/>
                <w:b w:val="1"/>
                <w:bCs w:val="1"/>
                <w:color w:val="auto"/>
              </w:rPr>
              <w:t>100 Basis</w:t>
            </w:r>
          </w:p>
        </w:tc>
        <w:tc>
          <w:tcPr>
            <w:tcW w:w="0" w:type="dxa"/>
            <w:vAlign w:val="bottom"/>
          </w:tcPr>
          <w:p>
            <w:pPr>
              <w:spacing w:after="0"/>
              <w:rPr>
                <w:sz w:val="1"/>
                <w:szCs w:val="1"/>
                <w:color w:val="auto"/>
              </w:rPr>
            </w:pPr>
          </w:p>
        </w:tc>
      </w:tr>
      <w:tr>
        <w:trPr>
          <w:trHeight w:val="283"/>
        </w:trPr>
        <w:tc>
          <w:tcPr>
            <w:tcW w:w="47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Senior Secured Term Loans</w:t>
            </w:r>
          </w:p>
        </w:tc>
        <w:tc>
          <w:tcPr>
            <w:tcW w:w="3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center"/>
              <w:ind w:right="94"/>
              <w:spacing w:after="0"/>
              <w:rPr>
                <w:sz w:val="20"/>
                <w:szCs w:val="20"/>
                <w:color w:val="auto"/>
              </w:rPr>
            </w:pPr>
            <w:r>
              <w:rPr>
                <w:rFonts w:ascii="Arial" w:cs="Arial" w:eastAsia="Arial" w:hAnsi="Arial"/>
                <w:sz w:val="16"/>
                <w:szCs w:val="16"/>
                <w:b w:val="1"/>
                <w:bCs w:val="1"/>
                <w:color w:val="auto"/>
              </w:rPr>
              <w:t>Rates</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Points</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74"/>
              <w:spacing w:after="0"/>
              <w:rPr>
                <w:sz w:val="20"/>
                <w:szCs w:val="20"/>
                <w:color w:val="auto"/>
              </w:rPr>
            </w:pPr>
            <w:r>
              <w:rPr>
                <w:rFonts w:ascii="Arial" w:cs="Arial" w:eastAsia="Arial" w:hAnsi="Arial"/>
                <w:sz w:val="16"/>
                <w:szCs w:val="16"/>
                <w:b w:val="1"/>
                <w:bCs w:val="1"/>
                <w:color w:val="auto"/>
              </w:rPr>
              <w:t>Points</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Points</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Points</w:t>
            </w:r>
          </w:p>
        </w:tc>
        <w:tc>
          <w:tcPr>
            <w:tcW w:w="0" w:type="dxa"/>
            <w:vAlign w:val="bottom"/>
          </w:tcPr>
          <w:p>
            <w:pPr>
              <w:spacing w:after="0"/>
              <w:rPr>
                <w:sz w:val="1"/>
                <w:szCs w:val="1"/>
                <w:color w:val="auto"/>
              </w:rPr>
            </w:pPr>
          </w:p>
        </w:tc>
      </w:tr>
      <w:tr>
        <w:trPr>
          <w:trHeight w:val="257"/>
        </w:trPr>
        <w:tc>
          <w:tcPr>
            <w:tcW w:w="5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Term Loan A(1)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716,625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703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1,757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3,514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7,028</w:t>
            </w:r>
          </w:p>
        </w:tc>
        <w:tc>
          <w:tcPr>
            <w:tcW w:w="0" w:type="dxa"/>
            <w:vAlign w:val="bottom"/>
          </w:tcPr>
          <w:p>
            <w:pPr>
              <w:spacing w:after="0"/>
              <w:rPr>
                <w:sz w:val="1"/>
                <w:szCs w:val="1"/>
                <w:color w:val="auto"/>
              </w:rPr>
            </w:pPr>
          </w:p>
        </w:tc>
      </w:tr>
      <w:tr>
        <w:trPr>
          <w:trHeight w:val="264"/>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Term Loan B(2)</w:t>
            </w:r>
          </w:p>
        </w:tc>
        <w:tc>
          <w:tcPr>
            <w:tcW w:w="180" w:type="dxa"/>
            <w:vAlign w:val="bottom"/>
          </w:tcPr>
          <w:p>
            <w:pPr>
              <w:spacing w:after="0"/>
              <w:rPr>
                <w:sz w:val="22"/>
                <w:szCs w:val="22"/>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611,925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57"/>
        </w:trPr>
        <w:tc>
          <w:tcPr>
            <w:tcW w:w="51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Variable Rate Debt Outstanding</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1,328,550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703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1,757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3,514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8,342</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1"/>
                <w:szCs w:val="11"/>
                <w:color w:val="auto"/>
              </w:rPr>
              <w:t>_______________________</w:t>
            </w: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478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right="200" w:hanging="328"/>
        <w:spacing w:after="0" w:line="262"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variable interest rate for our Term Loan A is based on the one-month LIBOR of 0.22%, plus the applicable interest rate margin of 2.50%.</w:t>
      </w:r>
    </w:p>
    <w:p>
      <w:pPr>
        <w:spacing w:after="0" w:line="88" w:lineRule="exact"/>
        <w:rPr>
          <w:rFonts w:ascii="Arial" w:cs="Arial" w:eastAsia="Arial" w:hAnsi="Arial"/>
          <w:sz w:val="18"/>
          <w:szCs w:val="18"/>
          <w:color w:val="auto"/>
        </w:rPr>
      </w:pPr>
    </w:p>
    <w:p>
      <w:pPr>
        <w:ind w:left="660" w:right="120" w:hanging="328"/>
        <w:spacing w:after="0" w:line="262"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variable interest rate for our Term Loan B is based on the greater of the one-month LIBOR of 0.22% or 1.00%, plus the applicable interest rate margin of 3.00%.</w:t>
      </w:r>
    </w:p>
    <w:p>
      <w:pPr>
        <w:spacing w:after="0" w:line="156" w:lineRule="exact"/>
        <w:rPr>
          <w:sz w:val="20"/>
          <w:szCs w:val="20"/>
          <w:color w:val="auto"/>
        </w:rPr>
      </w:pPr>
    </w:p>
    <w:p>
      <w:pPr>
        <w:jc w:val="both"/>
        <w:ind w:right="20" w:firstLine="486"/>
        <w:spacing w:after="0" w:line="254" w:lineRule="auto"/>
        <w:rPr>
          <w:sz w:val="20"/>
          <w:szCs w:val="20"/>
          <w:color w:val="auto"/>
        </w:rPr>
      </w:pPr>
      <w:r>
        <w:rPr>
          <w:rFonts w:ascii="Arial" w:cs="Arial" w:eastAsia="Arial" w:hAnsi="Arial"/>
          <w:sz w:val="18"/>
          <w:szCs w:val="18"/>
          <w:color w:val="auto"/>
        </w:rPr>
        <w:t>We offer our advisors and their clients two primary cash sweep programs that are interest rate sensitive: our insured cash programs and money market sweep vehicles involving multiple money market fund providers. Our insured cash programs use multiple non-affiliated banks to provide up to $1.5 million ($3.0 million in joint accounts) of FDIC insurance for client deposits custodied at the banks. While clients earn interest for balances on deposit in the insured cash programs, we earn a fee. Our fees from the insured cash programs are based on prevailing</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598" w:right="239" w:bottom="1440" w:gutter="0" w:footer="0" w:header="0"/>
        </w:sectPr>
      </w:pPr>
    </w:p>
    <w:bookmarkStart w:id="61" w:name="page62"/>
    <w:bookmarkEnd w:id="61"/>
    <w:p>
      <w:pPr>
        <w:spacing w:after="0" w:line="253" w:lineRule="auto"/>
        <w:rPr>
          <w:sz w:val="20"/>
          <w:szCs w:val="20"/>
          <w:color w:val="auto"/>
        </w:rPr>
      </w:pPr>
      <w:r>
        <w:rPr>
          <w:rFonts w:ascii="Arial" w:cs="Arial" w:eastAsia="Arial" w:hAnsi="Arial"/>
          <w:sz w:val="18"/>
          <w:szCs w:val="18"/>
          <w:color w:val="auto"/>
        </w:rPr>
        <w:t>interest rates in the current interest rate environment. Changes in interest rates and fees for the insured cash programs are monitored by our fee and rate setting committee (the “FRS committee”), which governs and approves any changes to our fees. By meeting promptly after interest rates change, or for other market or non-market reasons, the FRS committee balances financial risk of the insured cash programs with products that offer competitive client yields. However, as short-term interest rates hit lower levels, the FRS committee may be compelled to lower fees.</w:t>
      </w:r>
    </w:p>
    <w:p>
      <w:pPr>
        <w:spacing w:after="0" w:line="219" w:lineRule="exact"/>
        <w:rPr>
          <w:sz w:val="20"/>
          <w:szCs w:val="20"/>
          <w:color w:val="auto"/>
        </w:rPr>
      </w:pPr>
    </w:p>
    <w:p>
      <w:pPr>
        <w:ind w:right="240" w:firstLine="486"/>
        <w:spacing w:after="0" w:line="256" w:lineRule="auto"/>
        <w:rPr>
          <w:sz w:val="20"/>
          <w:szCs w:val="20"/>
          <w:color w:val="auto"/>
        </w:rPr>
      </w:pPr>
      <w:r>
        <w:rPr>
          <w:rFonts w:ascii="Arial" w:cs="Arial" w:eastAsia="Arial" w:hAnsi="Arial"/>
          <w:sz w:val="18"/>
          <w:szCs w:val="18"/>
          <w:color w:val="auto"/>
        </w:rPr>
        <w:t>The average Federal Reserve effective federal funds rate ("FFER") for September 2012 was 0.14%. The following table reflects the approximate annual impact to asset-based fees on our insured cash programs (assuming that client balances at September 30, 2012 remain unchanged) of an upward or downward change in short-term interest rates of one basis point (dollars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Federal Reserve Effective Federal Funds</w:t>
            </w:r>
          </w:p>
        </w:tc>
        <w:tc>
          <w:tcPr>
            <w:tcW w:w="7360" w:type="dxa"/>
            <w:vAlign w:val="bottom"/>
          </w:tcPr>
          <w:p>
            <w:pPr>
              <w:jc w:val="center"/>
              <w:ind w:left="656"/>
              <w:spacing w:after="0"/>
              <w:rPr>
                <w:sz w:val="20"/>
                <w:szCs w:val="20"/>
                <w:color w:val="auto"/>
              </w:rPr>
            </w:pPr>
            <w:r>
              <w:rPr>
                <w:rFonts w:ascii="Arial" w:cs="Arial" w:eastAsia="Arial" w:hAnsi="Arial"/>
                <w:sz w:val="16"/>
                <w:szCs w:val="16"/>
                <w:b w:val="1"/>
                <w:bCs w:val="1"/>
                <w:color w:val="auto"/>
              </w:rPr>
              <w:t>Annualized Increase or Decrease in Asset-Based</w:t>
            </w:r>
          </w:p>
        </w:tc>
        <w:tc>
          <w:tcPr>
            <w:tcW w:w="740" w:type="dxa"/>
            <w:vAlign w:val="bottom"/>
          </w:tcPr>
          <w:p>
            <w:pPr>
              <w:spacing w:after="0"/>
              <w:rPr>
                <w:sz w:val="16"/>
                <w:szCs w:val="16"/>
                <w:color w:val="auto"/>
              </w:rPr>
            </w:pPr>
          </w:p>
        </w:tc>
      </w:tr>
      <w:tr>
        <w:trPr>
          <w:trHeight w:val="228"/>
        </w:trPr>
        <w:tc>
          <w:tcPr>
            <w:tcW w:w="3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Rate</w:t>
            </w:r>
          </w:p>
        </w:tc>
        <w:tc>
          <w:tcPr>
            <w:tcW w:w="7360" w:type="dxa"/>
            <w:vAlign w:val="bottom"/>
          </w:tcPr>
          <w:p>
            <w:pPr>
              <w:jc w:val="center"/>
              <w:ind w:left="656"/>
              <w:spacing w:after="0"/>
              <w:rPr>
                <w:sz w:val="20"/>
                <w:szCs w:val="20"/>
                <w:color w:val="auto"/>
              </w:rPr>
            </w:pPr>
            <w:r>
              <w:rPr>
                <w:rFonts w:ascii="Arial" w:cs="Arial" w:eastAsia="Arial" w:hAnsi="Arial"/>
                <w:sz w:val="16"/>
                <w:szCs w:val="16"/>
                <w:b w:val="1"/>
                <w:bCs w:val="1"/>
                <w:color w:val="auto"/>
              </w:rPr>
              <w:t>Fees per One Basis Point Change</w:t>
            </w:r>
          </w:p>
        </w:tc>
        <w:tc>
          <w:tcPr>
            <w:tcW w:w="740" w:type="dxa"/>
            <w:vAlign w:val="bottom"/>
          </w:tcPr>
          <w:p>
            <w:pPr>
              <w:spacing w:after="0"/>
              <w:rPr>
                <w:sz w:val="19"/>
                <w:szCs w:val="19"/>
                <w:color w:val="auto"/>
              </w:rPr>
            </w:pPr>
          </w:p>
        </w:tc>
      </w:tr>
      <w:tr>
        <w:trPr>
          <w:trHeight w:val="257"/>
        </w:trPr>
        <w:tc>
          <w:tcPr>
            <w:tcW w:w="3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0.00% - 0.25%</w:t>
            </w:r>
          </w:p>
        </w:tc>
        <w:tc>
          <w:tcPr>
            <w:tcW w:w="120" w:type="dxa"/>
            <w:vAlign w:val="bottom"/>
            <w:tcBorders>
              <w:top w:val="single" w:sz="8" w:color="CCEEFF"/>
            </w:tcBorders>
            <w:shd w:val="clear" w:color="auto" w:fill="CCEEFF"/>
          </w:tcPr>
          <w:p>
            <w:pPr>
              <w:spacing w:after="0"/>
              <w:rPr>
                <w:sz w:val="22"/>
                <w:szCs w:val="22"/>
                <w:color w:val="auto"/>
              </w:rPr>
            </w:pPr>
          </w:p>
        </w:tc>
        <w:tc>
          <w:tcPr>
            <w:tcW w:w="736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1,400</w:t>
            </w:r>
          </w:p>
        </w:tc>
      </w:tr>
      <w:tr>
        <w:trPr>
          <w:trHeight w:val="263"/>
        </w:trPr>
        <w:tc>
          <w:tcPr>
            <w:tcW w:w="3200" w:type="dxa"/>
            <w:vAlign w:val="bottom"/>
          </w:tcPr>
          <w:p>
            <w:pPr>
              <w:jc w:val="center"/>
              <w:spacing w:after="0"/>
              <w:rPr>
                <w:sz w:val="20"/>
                <w:szCs w:val="20"/>
                <w:color w:val="auto"/>
              </w:rPr>
            </w:pPr>
            <w:r>
              <w:rPr>
                <w:rFonts w:ascii="Arial" w:cs="Arial" w:eastAsia="Arial" w:hAnsi="Arial"/>
                <w:sz w:val="18"/>
                <w:szCs w:val="18"/>
                <w:color w:val="auto"/>
                <w:w w:val="99"/>
              </w:rPr>
              <w:t>0.26% - 1.25%</w:t>
            </w:r>
          </w:p>
        </w:tc>
        <w:tc>
          <w:tcPr>
            <w:tcW w:w="120" w:type="dxa"/>
            <w:vAlign w:val="bottom"/>
          </w:tcPr>
          <w:p>
            <w:pPr>
              <w:spacing w:after="0"/>
              <w:rPr>
                <w:sz w:val="22"/>
                <w:szCs w:val="22"/>
                <w:color w:val="auto"/>
              </w:rPr>
            </w:pPr>
          </w:p>
        </w:tc>
        <w:tc>
          <w:tcPr>
            <w:tcW w:w="736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700</w:t>
            </w:r>
          </w:p>
        </w:tc>
      </w:tr>
      <w:tr>
        <w:trPr>
          <w:trHeight w:val="277"/>
        </w:trPr>
        <w:tc>
          <w:tcPr>
            <w:tcW w:w="3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1.26% - 2.00%</w:t>
            </w:r>
          </w:p>
        </w:tc>
        <w:tc>
          <w:tcPr>
            <w:tcW w:w="120" w:type="dxa"/>
            <w:vAlign w:val="bottom"/>
            <w:shd w:val="clear" w:color="auto" w:fill="CCEEFF"/>
          </w:tcPr>
          <w:p>
            <w:pPr>
              <w:spacing w:after="0"/>
              <w:rPr>
                <w:sz w:val="24"/>
                <w:szCs w:val="24"/>
                <w:color w:val="auto"/>
              </w:rPr>
            </w:pPr>
          </w:p>
        </w:tc>
        <w:tc>
          <w:tcPr>
            <w:tcW w:w="73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r>
    </w:tbl>
    <w:p>
      <w:pPr>
        <w:spacing w:after="0" w:line="107" w:lineRule="exact"/>
        <w:rPr>
          <w:sz w:val="20"/>
          <w:szCs w:val="20"/>
          <w:color w:val="auto"/>
        </w:rPr>
      </w:pPr>
    </w:p>
    <w:p>
      <w:pPr>
        <w:ind w:right="540" w:firstLine="486"/>
        <w:spacing w:after="0" w:line="256" w:lineRule="auto"/>
        <w:rPr>
          <w:sz w:val="20"/>
          <w:szCs w:val="20"/>
          <w:color w:val="auto"/>
        </w:rPr>
      </w:pPr>
      <w:r>
        <w:rPr>
          <w:rFonts w:ascii="Arial" w:cs="Arial" w:eastAsia="Arial" w:hAnsi="Arial"/>
          <w:sz w:val="18"/>
          <w:szCs w:val="18"/>
          <w:color w:val="auto"/>
        </w:rPr>
        <w:t>The actual impact to asset-based fees, including a change in the FFER of greater than 2.00%, may vary depending on the FRS committee's strategy in response to a change in interest rate levels, the significance of a change, and actual balances at the time of such change.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247" w:lineRule="exact"/>
        <w:rPr>
          <w:sz w:val="20"/>
          <w:szCs w:val="20"/>
          <w:color w:val="auto"/>
        </w:rPr>
      </w:pPr>
    </w:p>
    <w:p>
      <w:pPr>
        <w:ind w:right="260" w:firstLine="486"/>
        <w:spacing w:after="0" w:line="256" w:lineRule="auto"/>
        <w:rPr>
          <w:sz w:val="20"/>
          <w:szCs w:val="20"/>
          <w:color w:val="auto"/>
        </w:rPr>
      </w:pPr>
      <w:r>
        <w:rPr>
          <w:rFonts w:ascii="Arial" w:cs="Arial" w:eastAsia="Arial" w:hAnsi="Arial"/>
          <w:sz w:val="18"/>
          <w:szCs w:val="18"/>
          <w:color w:val="auto"/>
        </w:rPr>
        <w:t>Credit risk is the risk of loss due to adverse changes in a borrower’s, issuer’s or counterparty’s ability to meet its financial obligations under contractual or agreed upon terms. We bear credit risk on the activities of our advisors’ clients, including the execution, settlement, and financing of various transactions on behalf of these clients.</w:t>
      </w:r>
    </w:p>
    <w:p>
      <w:pPr>
        <w:spacing w:after="0" w:line="202" w:lineRule="exact"/>
        <w:rPr>
          <w:sz w:val="20"/>
          <w:szCs w:val="20"/>
          <w:color w:val="auto"/>
        </w:rPr>
      </w:pPr>
    </w:p>
    <w:p>
      <w:pPr>
        <w:jc w:val="both"/>
        <w:ind w:right="140" w:firstLine="486"/>
        <w:spacing w:after="0" w:line="254" w:lineRule="auto"/>
        <w:rPr>
          <w:sz w:val="20"/>
          <w:szCs w:val="20"/>
          <w:color w:val="auto"/>
        </w:rPr>
      </w:pPr>
      <w:r>
        <w:rPr>
          <w:rFonts w:ascii="Arial" w:cs="Arial" w:eastAsia="Arial" w:hAnsi="Arial"/>
          <w:sz w:val="18"/>
          <w:szCs w:val="18"/>
          <w:color w:val="auto"/>
        </w:rPr>
        <w:t>These activities are transacted on either a cash or margin basis. Our credit exposure in these transactions consists primarily of margin accounts, through which we extend credit to clients collateralized by cash (for purposes of margin lending, cash is not used as collateral) and securities in the client’s account. Under many of these agreements, we are permitted to sell or repledge these securities held as collateral and use these securities to enter into securities lending arrangements or to deliver to counterparties to cover short positions.</w:t>
      </w:r>
    </w:p>
    <w:p>
      <w:pPr>
        <w:spacing w:after="0" w:line="204"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As our advisors execute margin transactions on behalf of their clients, we may incur losses if clients do not fulfill their obligations, the collateral in the client’s account is insufficient to fully cover losses from such investments and our advisors fail to reimburse us for such losses. Our loss on margin accounts did not exceed $0.1 million during the nine months ended September 30, 2012 and 2011. We monitor exposure to industry sectors and individual securities and perform analyses on a regular basis in connection with our margin lending activities. We adjust our margin requirements if we believe our risk exposure is not appropriate based on market conditions.</w:t>
      </w:r>
    </w:p>
    <w:p>
      <w:pPr>
        <w:spacing w:after="0" w:line="206"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We are subject to concentration risk if we extend large loans to or have large commitments with a single counterparty, borrower, or group of similar counterparties or borrowers (e.g. in the same industry). Receivables from and payables to clients and stock borrowing and lending activities are conducted with a large number of clients and counterparties and potential concentration is carefully monitored. We seek to limit this risk through careful review of the underlying business and the use of limits established by senior management, taking into consideration factors including the financial strength of the counterparty, the size of the position or commitment, the expected duration of the position or commitment and other positions or commitments outstanding.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Operational risk generally refers to the risk of loss resulting from our operations, including, but not limited to, improper or unauthorized execution and processing of transactions, deficiencies in our technology or financial operating systems and inadequacies or breaches in our control processes. We operate in diverse markets and are reliant on the ability of our employees and systems to process a large number of transactions. These risks are less direct and quantifiable than credit and market risk, but managing them is critical, particularly in a rapidly changing environment with increasing transaction volumes. In the event of a breakdown or improper operation of systems or improper action by employees or advisors, we could suffer financial loss, regulatory sanctions and damage to our</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598" w:right="239" w:bottom="1440" w:gutter="0" w:footer="0" w:header="0"/>
        </w:sectPr>
      </w:pPr>
    </w:p>
    <w:bookmarkStart w:id="62" w:name="page63"/>
    <w:bookmarkEnd w:id="62"/>
    <w:p>
      <w:pPr>
        <w:spacing w:after="0" w:line="253" w:lineRule="auto"/>
        <w:rPr>
          <w:sz w:val="20"/>
          <w:szCs w:val="20"/>
          <w:color w:val="auto"/>
        </w:rPr>
      </w:pPr>
      <w:r>
        <w:rPr>
          <w:rFonts w:ascii="Arial" w:cs="Arial" w:eastAsia="Arial" w:hAnsi="Arial"/>
          <w:sz w:val="18"/>
          <w:szCs w:val="18"/>
          <w:color w:val="auto"/>
        </w:rPr>
        <w:t>reputation. Business continuity plans exist for critical systems, and redundancies are built into the systems as deemed appropriate. In order to mitigate and control operational risk, we have developed and continue to enhance specific policies and procedures that are designed to identify and manage operational risk at appropriate levels throughout our organization and within various departments. These control mechanisms attempt to ensure that operational policies and procedures are being followed and that our employees and advisors operate within established corporate policies and limits.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47"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We have established various committees of the Board of Directors to manage the risks associated with our business. Our Audit Committee was established for the primary purpose of overseeing (i) the integrity of our unaudited and audited condensed consolidated financial statements, (ii) our compliance with legal and regulatory requirements that may impact our unaudited condensed consolidated financial statements or financial operations, (iii) the independent auditor’s qualifications and independence and (iv) the performance of our independent auditor and internal audit function. Our Compensation and Human Resources Committee was established for the primary purpose of (i) overseeing our efforts to attract, retain and motivate members of our senior management team in partnership with the Chief Executive Officer, (ii) to carry out the Board’s overall responsibility relating to the determination of compensation for all executive officers to achieve the proper risk-reward balance and not encourage unnecessary or excessive risk-taking, (iii) to oversee all other aspects of our compensation and human resource policies and (iv) to oversee our management resources, succession planning and management development activities. As mandated by the Audit Committee, we also have established a Risk Oversight Committee comprised of a group of our senior-most executives to oversee the risk management activities of the Company.</w:t>
      </w:r>
    </w:p>
    <w:p>
      <w:pPr>
        <w:spacing w:after="0" w:line="212"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In addition to various committees, we have written policies and procedures that govern the conduct of business by our advisors, our employees, our relationship with advisors' clients and the terms and conditions of our relationships with product manufacturers. Our client and advisor policies address the extension of credit for client accounts, data and physical security, compliance with industry regulation and codes of ethics to govern employee and advisor conduct among other matters.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47"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Our Disclosure Committee, with the participation of our Chief Executive Officer and Chief Financial Officer, evaluated the effectiveness of our disclosure controls and procedures, as defined in Rules 13a-15(e) and 15d-15(e) under the Securities Exchange Act of 1934, as amended, as of the end of the period covered by this report. Based on that evaluation, the Chief Executive Officer and Chief Financial Officer concluded that our disclosure controls and procedures as of the end of the period covered by this report were effective.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Internal Control over Financial Reporting</w:t>
      </w:r>
    </w:p>
    <w:p>
      <w:pPr>
        <w:spacing w:after="0" w:line="247" w:lineRule="exact"/>
        <w:rPr>
          <w:sz w:val="20"/>
          <w:szCs w:val="20"/>
          <w:color w:val="auto"/>
        </w:rPr>
      </w:pPr>
    </w:p>
    <w:p>
      <w:pPr>
        <w:ind w:right="140" w:firstLine="486"/>
        <w:spacing w:after="0" w:line="262" w:lineRule="auto"/>
        <w:rPr>
          <w:sz w:val="20"/>
          <w:szCs w:val="20"/>
          <w:color w:val="auto"/>
        </w:rPr>
      </w:pPr>
      <w:r>
        <w:rPr>
          <w:rFonts w:ascii="Arial" w:cs="Arial" w:eastAsia="Arial" w:hAnsi="Arial"/>
          <w:sz w:val="18"/>
          <w:szCs w:val="18"/>
          <w:color w:val="auto"/>
        </w:rPr>
        <w:t>There were no changes in our internal control over financial reporting that occurred during the third quarter ended September 30, 2012, that have materially affected, or are reasonably likely to materially affect, our internal control over financial reporting.</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598" w:right="279" w:bottom="1440" w:gutter="0" w:footer="0" w:header="0"/>
        </w:sectPr>
      </w:pPr>
    </w:p>
    <w:bookmarkStart w:id="63" w:name="page64"/>
    <w:bookmarkEnd w:id="63"/>
    <w:p>
      <w:pPr>
        <w:jc w:val="center"/>
        <w:ind w:right="-5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7" w:lineRule="exact"/>
        <w:rPr>
          <w:sz w:val="20"/>
          <w:szCs w:val="20"/>
          <w:color w:val="auto"/>
        </w:rPr>
      </w:pPr>
    </w:p>
    <w:p>
      <w:pPr>
        <w:ind w:right="360" w:firstLine="486"/>
        <w:spacing w:after="0" w:line="262" w:lineRule="auto"/>
        <w:rPr>
          <w:sz w:val="20"/>
          <w:szCs w:val="20"/>
          <w:color w:val="auto"/>
        </w:rPr>
      </w:pPr>
      <w:r>
        <w:rPr>
          <w:rFonts w:ascii="Arial" w:cs="Arial" w:eastAsia="Arial" w:hAnsi="Arial"/>
          <w:sz w:val="18"/>
          <w:szCs w:val="18"/>
          <w:color w:val="auto"/>
        </w:rPr>
        <w:t>Information regarding the Company’s risks is set forth under Part I, “Item 1A. Risk Factors” in the Company’s 2011 Annual Report on Form 10-K.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sets forth information regarding repurchases on a monthly basis during the third quarter of 2012:</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Total Number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center"/>
              <w:ind w:right="101"/>
              <w:spacing w:after="0"/>
              <w:rPr>
                <w:sz w:val="20"/>
                <w:szCs w:val="20"/>
                <w:color w:val="auto"/>
              </w:rPr>
            </w:pPr>
            <w:r>
              <w:rPr>
                <w:rFonts w:ascii="Arial" w:cs="Arial" w:eastAsia="Arial" w:hAnsi="Arial"/>
                <w:sz w:val="14"/>
                <w:szCs w:val="14"/>
                <w:b w:val="1"/>
                <w:bCs w:val="1"/>
                <w:color w:val="auto"/>
              </w:rPr>
              <w:t>Approximate</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of Shares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center"/>
              <w:ind w:right="101"/>
              <w:spacing w:after="0"/>
              <w:rPr>
                <w:sz w:val="20"/>
                <w:szCs w:val="20"/>
                <w:color w:val="auto"/>
              </w:rPr>
            </w:pPr>
            <w:r>
              <w:rPr>
                <w:rFonts w:ascii="Arial" w:cs="Arial" w:eastAsia="Arial" w:hAnsi="Arial"/>
                <w:sz w:val="14"/>
                <w:szCs w:val="14"/>
                <w:b w:val="1"/>
                <w:bCs w:val="1"/>
                <w:color w:val="auto"/>
              </w:rPr>
              <w:t>Dollar Value of</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Purchased as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center"/>
              <w:ind w:right="101"/>
              <w:spacing w:after="0"/>
              <w:rPr>
                <w:sz w:val="20"/>
                <w:szCs w:val="20"/>
                <w:color w:val="auto"/>
              </w:rPr>
            </w:pPr>
            <w:r>
              <w:rPr>
                <w:rFonts w:ascii="Arial" w:cs="Arial" w:eastAsia="Arial" w:hAnsi="Arial"/>
                <w:sz w:val="14"/>
                <w:szCs w:val="14"/>
                <w:b w:val="1"/>
                <w:bCs w:val="1"/>
                <w:color w:val="auto"/>
              </w:rPr>
              <w:t>Shares That May</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Total Number</w:t>
            </w:r>
          </w:p>
        </w:tc>
        <w:tc>
          <w:tcPr>
            <w:tcW w:w="100" w:type="dxa"/>
            <w:vAlign w:val="bottom"/>
          </w:tcPr>
          <w:p>
            <w:pPr>
              <w:spacing w:after="0"/>
              <w:rPr>
                <w:sz w:val="14"/>
                <w:szCs w:val="14"/>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Weighted Average</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Part of Publicly</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center"/>
              <w:ind w:right="101"/>
              <w:spacing w:after="0"/>
              <w:rPr>
                <w:sz w:val="20"/>
                <w:szCs w:val="20"/>
                <w:color w:val="auto"/>
              </w:rPr>
            </w:pPr>
            <w:r>
              <w:rPr>
                <w:rFonts w:ascii="Arial" w:cs="Arial" w:eastAsia="Arial" w:hAnsi="Arial"/>
                <w:sz w:val="14"/>
                <w:szCs w:val="14"/>
                <w:b w:val="1"/>
                <w:bCs w:val="1"/>
                <w:color w:val="auto"/>
              </w:rPr>
              <w:t>Yet Be</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Price</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Announced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center"/>
              <w:ind w:right="101"/>
              <w:spacing w:after="0"/>
              <w:rPr>
                <w:sz w:val="20"/>
                <w:szCs w:val="20"/>
                <w:color w:val="auto"/>
              </w:rPr>
            </w:pPr>
            <w:r>
              <w:rPr>
                <w:rFonts w:ascii="Arial" w:cs="Arial" w:eastAsia="Arial" w:hAnsi="Arial"/>
                <w:sz w:val="14"/>
                <w:szCs w:val="14"/>
                <w:b w:val="1"/>
                <w:bCs w:val="1"/>
                <w:color w:val="auto"/>
              </w:rPr>
              <w:t>Purchased Under</w:t>
            </w:r>
          </w:p>
        </w:tc>
        <w:tc>
          <w:tcPr>
            <w:tcW w:w="0" w:type="dxa"/>
            <w:vAlign w:val="bottom"/>
          </w:tcPr>
          <w:p>
            <w:pPr>
              <w:spacing w:after="0"/>
              <w:rPr>
                <w:sz w:val="1"/>
                <w:szCs w:val="1"/>
                <w:color w:val="auto"/>
              </w:rPr>
            </w:pPr>
          </w:p>
        </w:tc>
      </w:tr>
      <w:tr>
        <w:trPr>
          <w:trHeight w:val="162"/>
        </w:trPr>
        <w:tc>
          <w:tcPr>
            <w:tcW w:w="438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Purchased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Paid per Share</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Programs(1)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center"/>
              <w:ind w:right="101"/>
              <w:spacing w:after="0"/>
              <w:rPr>
                <w:sz w:val="20"/>
                <w:szCs w:val="20"/>
                <w:color w:val="auto"/>
              </w:rPr>
            </w:pPr>
            <w:r>
              <w:rPr>
                <w:rFonts w:ascii="Arial" w:cs="Arial" w:eastAsia="Arial" w:hAnsi="Arial"/>
                <w:sz w:val="14"/>
                <w:szCs w:val="14"/>
                <w:b w:val="1"/>
                <w:bCs w:val="1"/>
                <w:color w:val="auto"/>
              </w:rPr>
              <w:t>the Programs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July 1, 2012 through July 31, 2012</w:t>
            </w:r>
          </w:p>
        </w:tc>
        <w:tc>
          <w:tcPr>
            <w:tcW w:w="16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80,127,754</w:t>
            </w:r>
          </w:p>
        </w:tc>
        <w:tc>
          <w:tcPr>
            <w:tcW w:w="0" w:type="dxa"/>
            <w:vAlign w:val="bottom"/>
          </w:tcPr>
          <w:p>
            <w:pPr>
              <w:spacing w:after="0"/>
              <w:rPr>
                <w:sz w:val="1"/>
                <w:szCs w:val="1"/>
                <w:color w:val="auto"/>
              </w:rPr>
            </w:pPr>
          </w:p>
        </w:tc>
      </w:tr>
      <w:tr>
        <w:trPr>
          <w:trHeight w:val="263"/>
        </w:trPr>
        <w:tc>
          <w:tcPr>
            <w:tcW w:w="4380" w:type="dxa"/>
            <w:vAlign w:val="bottom"/>
            <w:gridSpan w:val="3"/>
          </w:tcPr>
          <w:p>
            <w:pPr>
              <w:ind w:left="40"/>
              <w:spacing w:after="0"/>
              <w:rPr>
                <w:sz w:val="20"/>
                <w:szCs w:val="20"/>
                <w:color w:val="auto"/>
              </w:rPr>
            </w:pPr>
            <w:r>
              <w:rPr>
                <w:rFonts w:ascii="Arial" w:cs="Arial" w:eastAsia="Arial" w:hAnsi="Arial"/>
                <w:sz w:val="18"/>
                <w:szCs w:val="18"/>
                <w:color w:val="auto"/>
              </w:rPr>
              <w:t>August 1, 2012 through August 31, 2012</w:t>
            </w:r>
          </w:p>
        </w:tc>
        <w:tc>
          <w:tcPr>
            <w:tcW w:w="1660" w:type="dxa"/>
            <w:vAlign w:val="bottom"/>
          </w:tcPr>
          <w:p>
            <w:pPr>
              <w:jc w:val="right"/>
              <w:ind w:right="38"/>
              <w:spacing w:after="0"/>
              <w:rPr>
                <w:sz w:val="20"/>
                <w:szCs w:val="20"/>
                <w:color w:val="auto"/>
              </w:rPr>
            </w:pPr>
            <w:r>
              <w:rPr>
                <w:rFonts w:ascii="Arial" w:cs="Arial" w:eastAsia="Arial" w:hAnsi="Arial"/>
                <w:sz w:val="18"/>
                <w:szCs w:val="18"/>
                <w:color w:val="auto"/>
              </w:rPr>
              <w:t>1,350,501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28.48</w:t>
            </w:r>
          </w:p>
        </w:tc>
        <w:tc>
          <w:tcPr>
            <w:tcW w:w="100" w:type="dxa"/>
            <w:vAlign w:val="bottom"/>
          </w:tcPr>
          <w:p>
            <w:pPr>
              <w:spacing w:after="0"/>
              <w:rPr>
                <w:sz w:val="22"/>
                <w:szCs w:val="22"/>
                <w:color w:val="auto"/>
              </w:rPr>
            </w:pPr>
          </w:p>
        </w:tc>
        <w:tc>
          <w:tcPr>
            <w:tcW w:w="1660" w:type="dxa"/>
            <w:vAlign w:val="bottom"/>
          </w:tcPr>
          <w:p>
            <w:pPr>
              <w:jc w:val="right"/>
              <w:ind w:right="21"/>
              <w:spacing w:after="0"/>
              <w:rPr>
                <w:sz w:val="20"/>
                <w:szCs w:val="20"/>
                <w:color w:val="auto"/>
              </w:rPr>
            </w:pPr>
            <w:r>
              <w:rPr>
                <w:rFonts w:ascii="Arial" w:cs="Arial" w:eastAsia="Arial" w:hAnsi="Arial"/>
                <w:sz w:val="18"/>
                <w:szCs w:val="18"/>
                <w:color w:val="auto"/>
              </w:rPr>
              <w:t>1,350,501</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21"/>
              <w:spacing w:after="0"/>
              <w:rPr>
                <w:sz w:val="20"/>
                <w:szCs w:val="20"/>
                <w:color w:val="auto"/>
              </w:rPr>
            </w:pPr>
            <w:r>
              <w:rPr>
                <w:rFonts w:ascii="Arial" w:cs="Arial" w:eastAsia="Arial" w:hAnsi="Arial"/>
                <w:sz w:val="18"/>
                <w:szCs w:val="18"/>
                <w:color w:val="auto"/>
              </w:rPr>
              <w:t>41,691,136</w:t>
            </w:r>
          </w:p>
        </w:tc>
        <w:tc>
          <w:tcPr>
            <w:tcW w:w="0" w:type="dxa"/>
            <w:vAlign w:val="bottom"/>
          </w:tcPr>
          <w:p>
            <w:pPr>
              <w:spacing w:after="0"/>
              <w:rPr>
                <w:sz w:val="1"/>
                <w:szCs w:val="1"/>
                <w:color w:val="auto"/>
              </w:rPr>
            </w:pPr>
          </w:p>
        </w:tc>
      </w:tr>
      <w:tr>
        <w:trPr>
          <w:trHeight w:val="270"/>
        </w:trPr>
        <w:tc>
          <w:tcPr>
            <w:tcW w:w="4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September 1, 2012 through September 30, 2012(2)</w:t>
            </w:r>
          </w:p>
        </w:tc>
        <w:tc>
          <w:tcPr>
            <w:tcW w:w="16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555,428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29.12</w:t>
            </w:r>
          </w:p>
        </w:tc>
        <w:tc>
          <w:tcPr>
            <w:tcW w:w="100" w:type="dxa"/>
            <w:vAlign w:val="bottom"/>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555,428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175,526,467</w:t>
            </w:r>
          </w:p>
        </w:tc>
        <w:tc>
          <w:tcPr>
            <w:tcW w:w="0" w:type="dxa"/>
            <w:vAlign w:val="bottom"/>
          </w:tcPr>
          <w:p>
            <w:pPr>
              <w:spacing w:after="0"/>
              <w:rPr>
                <w:sz w:val="1"/>
                <w:szCs w:val="1"/>
                <w:color w:val="auto"/>
              </w:rPr>
            </w:pPr>
          </w:p>
        </w:tc>
      </w:tr>
      <w:tr>
        <w:trPr>
          <w:trHeight w:val="257"/>
        </w:trPr>
        <w:tc>
          <w:tcPr>
            <w:tcW w:w="4380" w:type="dxa"/>
            <w:vAlign w:val="bottom"/>
            <w:gridSpan w:val="3"/>
          </w:tcPr>
          <w:p>
            <w:pPr>
              <w:ind w:left="40"/>
              <w:spacing w:after="0"/>
              <w:rPr>
                <w:sz w:val="20"/>
                <w:szCs w:val="20"/>
                <w:color w:val="auto"/>
              </w:rPr>
            </w:pPr>
            <w:r>
              <w:rPr>
                <w:rFonts w:ascii="Arial" w:cs="Arial" w:eastAsia="Arial" w:hAnsi="Arial"/>
                <w:sz w:val="18"/>
                <w:szCs w:val="18"/>
                <w:color w:val="auto"/>
              </w:rPr>
              <w:t>July 1, 2012 through September 30, 2012</w:t>
            </w:r>
          </w:p>
        </w:tc>
        <w:tc>
          <w:tcPr>
            <w:tcW w:w="16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1,905,929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28.67</w:t>
            </w:r>
          </w:p>
        </w:tc>
        <w:tc>
          <w:tcPr>
            <w:tcW w:w="100" w:type="dxa"/>
            <w:vAlign w:val="bottom"/>
          </w:tcPr>
          <w:p>
            <w:pPr>
              <w:spacing w:after="0"/>
              <w:rPr>
                <w:sz w:val="22"/>
                <w:szCs w:val="22"/>
                <w:color w:val="auto"/>
              </w:rPr>
            </w:pPr>
          </w:p>
        </w:tc>
        <w:tc>
          <w:tcPr>
            <w:tcW w:w="166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1,905,929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21"/>
              <w:spacing w:after="0"/>
              <w:rPr>
                <w:sz w:val="20"/>
                <w:szCs w:val="20"/>
                <w:color w:val="auto"/>
              </w:rPr>
            </w:pPr>
            <w:r>
              <w:rPr>
                <w:rFonts w:ascii="Arial" w:cs="Arial" w:eastAsia="Arial" w:hAnsi="Arial"/>
                <w:sz w:val="18"/>
                <w:szCs w:val="18"/>
                <w:color w:val="auto"/>
              </w:rPr>
              <w:t>175,526,467</w:t>
            </w:r>
          </w:p>
        </w:tc>
        <w:tc>
          <w:tcPr>
            <w:tcW w:w="0" w:type="dxa"/>
            <w:vAlign w:val="bottom"/>
          </w:tcPr>
          <w:p>
            <w:pPr>
              <w:spacing w:after="0"/>
              <w:rPr>
                <w:sz w:val="1"/>
                <w:szCs w:val="1"/>
                <w:color w:val="auto"/>
              </w:rPr>
            </w:pPr>
          </w:p>
        </w:tc>
      </w:tr>
      <w:tr>
        <w:trPr>
          <w:trHeight w:val="20"/>
        </w:trPr>
        <w:tc>
          <w:tcPr>
            <w:tcW w:w="438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w:t>
            </w: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80" w:type="dxa"/>
            <w:vAlign w:val="bottom"/>
            <w:gridSpan w:val="3"/>
            <w:vMerge w:val="continue"/>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00" w:right="160" w:hanging="492"/>
        <w:spacing w:after="0" w:line="256" w:lineRule="auto"/>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repurchase of shares was executed under the share repurchase programs approved by the Board of Directors on August 16, 2011 and May 25, 2012, through which the Company may repurchase $70.0 million and $75.0 million of its outstanding shares of common stock, respectively. See Note 11 of the unaudited condensed consolidated financial statements for additional information.</w:t>
      </w:r>
    </w:p>
    <w:p>
      <w:pPr>
        <w:spacing w:after="0" w:line="93" w:lineRule="exact"/>
        <w:rPr>
          <w:rFonts w:ascii="Arial" w:cs="Arial" w:eastAsia="Arial" w:hAnsi="Arial"/>
          <w:sz w:val="18"/>
          <w:szCs w:val="18"/>
          <w:color w:val="auto"/>
        </w:rPr>
      </w:pPr>
    </w:p>
    <w:p>
      <w:pPr>
        <w:jc w:val="both"/>
        <w:ind w:left="500" w:hanging="492"/>
        <w:spacing w:after="0" w:line="256" w:lineRule="auto"/>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On September 27, 2012, the Board of Directors approved a share repurchase program pursuant to which the Company may repurchase up to an additional $150.0 million of its outstanding shares of common stock from time to time in the future. See Note 11 of the unaudited condensed consolidated financial statements for additional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630" w:right="27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Item 6. Exhibits</w:t>
      </w:r>
    </w:p>
    <w:p>
      <w:pPr>
        <w:spacing w:after="0" w:line="189"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3.1</w:t>
            </w:r>
          </w:p>
        </w:tc>
        <w:tc>
          <w:tcPr>
            <w:tcW w:w="10040" w:type="dxa"/>
            <w:vAlign w:val="bottom"/>
          </w:tcPr>
          <w:p>
            <w:pPr>
              <w:ind w:left="180"/>
              <w:spacing w:after="0"/>
              <w:rPr>
                <w:sz w:val="20"/>
                <w:szCs w:val="20"/>
                <w:color w:val="auto"/>
              </w:rPr>
            </w:pPr>
            <w:r>
              <w:rPr>
                <w:rFonts w:ascii="Arial" w:cs="Arial" w:eastAsia="Arial" w:hAnsi="Arial"/>
                <w:sz w:val="18"/>
                <w:szCs w:val="18"/>
                <w:color w:val="auto"/>
              </w:rPr>
              <w:t>Amended and Restated Certificate of Incorporation (previously filed as Exhibit 3.1 to the registration statement on Form S-1</w:t>
            </w:r>
          </w:p>
        </w:tc>
      </w:tr>
      <w:tr>
        <w:trPr>
          <w:trHeight w:val="217"/>
        </w:trPr>
        <w:tc>
          <w:tcPr>
            <w:tcW w:w="920" w:type="dxa"/>
            <w:vAlign w:val="bottom"/>
          </w:tcPr>
          <w:p>
            <w:pPr>
              <w:spacing w:after="0"/>
              <w:rPr>
                <w:sz w:val="18"/>
                <w:szCs w:val="18"/>
                <w:color w:val="auto"/>
              </w:rPr>
            </w:pPr>
          </w:p>
        </w:tc>
        <w:tc>
          <w:tcPr>
            <w:tcW w:w="10040" w:type="dxa"/>
            <w:vAlign w:val="bottom"/>
          </w:tcPr>
          <w:p>
            <w:pPr>
              <w:ind w:left="180"/>
              <w:spacing w:after="0"/>
              <w:rPr>
                <w:sz w:val="20"/>
                <w:szCs w:val="20"/>
                <w:color w:val="auto"/>
              </w:rPr>
            </w:pPr>
            <w:r>
              <w:rPr>
                <w:rFonts w:ascii="Arial" w:cs="Arial" w:eastAsia="Arial" w:hAnsi="Arial"/>
                <w:sz w:val="18"/>
                <w:szCs w:val="18"/>
                <w:color w:val="auto"/>
              </w:rPr>
              <w:t>(File Number 333-167325) on July 9, 2010, and incorporated herein by reference)</w:t>
            </w:r>
          </w:p>
        </w:tc>
      </w:tr>
      <w:tr>
        <w:trPr>
          <w:trHeight w:val="242"/>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3.2</w:t>
            </w:r>
          </w:p>
        </w:tc>
        <w:tc>
          <w:tcPr>
            <w:tcW w:w="10040" w:type="dxa"/>
            <w:vAlign w:val="bottom"/>
          </w:tcPr>
          <w:p>
            <w:pPr>
              <w:ind w:left="180"/>
              <w:spacing w:after="0"/>
              <w:rPr>
                <w:sz w:val="20"/>
                <w:szCs w:val="20"/>
                <w:color w:val="auto"/>
              </w:rPr>
            </w:pPr>
            <w:r>
              <w:rPr>
                <w:rFonts w:ascii="Arial" w:cs="Arial" w:eastAsia="Arial" w:hAnsi="Arial"/>
                <w:sz w:val="18"/>
                <w:szCs w:val="18"/>
                <w:color w:val="auto"/>
              </w:rPr>
              <w:t>Certificate of Ownership and Merger (previously filed as Exhibit 3.1 to the Current Report on Form 8-K (File Number 001-</w:t>
            </w:r>
          </w:p>
        </w:tc>
      </w:tr>
      <w:tr>
        <w:trPr>
          <w:trHeight w:val="217"/>
        </w:trPr>
        <w:tc>
          <w:tcPr>
            <w:tcW w:w="920" w:type="dxa"/>
            <w:vAlign w:val="bottom"/>
          </w:tcPr>
          <w:p>
            <w:pPr>
              <w:spacing w:after="0"/>
              <w:rPr>
                <w:sz w:val="18"/>
                <w:szCs w:val="18"/>
                <w:color w:val="auto"/>
              </w:rPr>
            </w:pPr>
          </w:p>
        </w:tc>
        <w:tc>
          <w:tcPr>
            <w:tcW w:w="10040" w:type="dxa"/>
            <w:vAlign w:val="bottom"/>
          </w:tcPr>
          <w:p>
            <w:pPr>
              <w:ind w:left="180"/>
              <w:spacing w:after="0"/>
              <w:rPr>
                <w:sz w:val="20"/>
                <w:szCs w:val="20"/>
                <w:color w:val="auto"/>
              </w:rPr>
            </w:pPr>
            <w:r>
              <w:rPr>
                <w:rFonts w:ascii="Arial" w:cs="Arial" w:eastAsia="Arial" w:hAnsi="Arial"/>
                <w:sz w:val="18"/>
                <w:szCs w:val="18"/>
                <w:color w:val="auto"/>
              </w:rPr>
              <w:t>34963) on June 19, 2012, and incorporated herein by reference)</w:t>
            </w:r>
          </w:p>
        </w:tc>
      </w:tr>
      <w:tr>
        <w:trPr>
          <w:trHeight w:val="242"/>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3.3</w:t>
            </w:r>
          </w:p>
        </w:tc>
        <w:tc>
          <w:tcPr>
            <w:tcW w:w="10040" w:type="dxa"/>
            <w:vAlign w:val="bottom"/>
          </w:tcPr>
          <w:p>
            <w:pPr>
              <w:ind w:left="180"/>
              <w:spacing w:after="0"/>
              <w:rPr>
                <w:sz w:val="20"/>
                <w:szCs w:val="20"/>
                <w:color w:val="auto"/>
              </w:rPr>
            </w:pPr>
            <w:r>
              <w:rPr>
                <w:rFonts w:ascii="Arial" w:cs="Arial" w:eastAsia="Arial" w:hAnsi="Arial"/>
                <w:sz w:val="18"/>
                <w:szCs w:val="18"/>
                <w:color w:val="auto"/>
                <w:w w:val="99"/>
              </w:rPr>
              <w:t>Third Amended and Restated Bylaws (previously filed as Exhibit 3.1 to the Current Report on Form 8-K/A (File Number 001-</w:t>
            </w:r>
          </w:p>
        </w:tc>
      </w:tr>
      <w:tr>
        <w:trPr>
          <w:trHeight w:val="217"/>
        </w:trPr>
        <w:tc>
          <w:tcPr>
            <w:tcW w:w="920" w:type="dxa"/>
            <w:vAlign w:val="bottom"/>
          </w:tcPr>
          <w:p>
            <w:pPr>
              <w:spacing w:after="0"/>
              <w:rPr>
                <w:sz w:val="18"/>
                <w:szCs w:val="18"/>
                <w:color w:val="auto"/>
              </w:rPr>
            </w:pPr>
          </w:p>
        </w:tc>
        <w:tc>
          <w:tcPr>
            <w:tcW w:w="10040" w:type="dxa"/>
            <w:vAlign w:val="bottom"/>
          </w:tcPr>
          <w:p>
            <w:pPr>
              <w:ind w:left="180"/>
              <w:spacing w:after="0"/>
              <w:rPr>
                <w:sz w:val="20"/>
                <w:szCs w:val="20"/>
                <w:color w:val="auto"/>
              </w:rPr>
            </w:pPr>
            <w:r>
              <w:rPr>
                <w:rFonts w:ascii="Arial" w:cs="Arial" w:eastAsia="Arial" w:hAnsi="Arial"/>
                <w:sz w:val="18"/>
                <w:szCs w:val="18"/>
                <w:color w:val="auto"/>
              </w:rPr>
              <w:t>34963) on August 8, 2012 and incorporated herein by reference)</w:t>
            </w:r>
          </w:p>
        </w:tc>
      </w:tr>
      <w:tr>
        <w:trPr>
          <w:trHeight w:val="445"/>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10.1</w:t>
            </w:r>
          </w:p>
        </w:tc>
        <w:tc>
          <w:tcPr>
            <w:tcW w:w="10040" w:type="dxa"/>
            <w:vAlign w:val="bottom"/>
          </w:tcPr>
          <w:p>
            <w:pPr>
              <w:ind w:left="180"/>
              <w:spacing w:after="0"/>
              <w:rPr>
                <w:sz w:val="20"/>
                <w:szCs w:val="20"/>
                <w:color w:val="auto"/>
              </w:rPr>
            </w:pPr>
            <w:r>
              <w:rPr>
                <w:rFonts w:ascii="Arial" w:cs="Arial" w:eastAsia="Arial" w:hAnsi="Arial"/>
                <w:sz w:val="18"/>
                <w:szCs w:val="18"/>
                <w:color w:val="auto"/>
              </w:rPr>
              <w:t>Form of Restricted Stock Award granted under the LPL Financial Holdings Inc. 2010 Omnibus Equity Incentive Plan (filed</w:t>
            </w:r>
          </w:p>
        </w:tc>
      </w:tr>
      <w:tr>
        <w:trPr>
          <w:trHeight w:val="217"/>
        </w:trPr>
        <w:tc>
          <w:tcPr>
            <w:tcW w:w="920" w:type="dxa"/>
            <w:vAlign w:val="bottom"/>
          </w:tcPr>
          <w:p>
            <w:pPr>
              <w:spacing w:after="0"/>
              <w:rPr>
                <w:sz w:val="18"/>
                <w:szCs w:val="18"/>
                <w:color w:val="auto"/>
              </w:rPr>
            </w:pPr>
          </w:p>
        </w:tc>
        <w:tc>
          <w:tcPr>
            <w:tcW w:w="10040" w:type="dxa"/>
            <w:vAlign w:val="bottom"/>
          </w:tcPr>
          <w:p>
            <w:pPr>
              <w:ind w:left="180"/>
              <w:spacing w:after="0"/>
              <w:rPr>
                <w:sz w:val="20"/>
                <w:szCs w:val="20"/>
                <w:color w:val="auto"/>
              </w:rPr>
            </w:pPr>
            <w:r>
              <w:rPr>
                <w:rFonts w:ascii="Arial" w:cs="Arial" w:eastAsia="Arial" w:hAnsi="Arial"/>
                <w:sz w:val="18"/>
                <w:szCs w:val="18"/>
                <w:color w:val="auto"/>
              </w:rPr>
              <w:t>herewith)</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31.1</w:t>
            </w:r>
          </w:p>
        </w:tc>
        <w:tc>
          <w:tcPr>
            <w:tcW w:w="10040" w:type="dxa"/>
            <w:vAlign w:val="bottom"/>
          </w:tcPr>
          <w:p>
            <w:pPr>
              <w:ind w:left="180"/>
              <w:spacing w:after="0"/>
              <w:rPr>
                <w:sz w:val="20"/>
                <w:szCs w:val="20"/>
                <w:color w:val="auto"/>
              </w:rPr>
            </w:pPr>
            <w:r>
              <w:rPr>
                <w:rFonts w:ascii="Arial" w:cs="Arial" w:eastAsia="Arial" w:hAnsi="Arial"/>
                <w:sz w:val="18"/>
                <w:szCs w:val="18"/>
                <w:color w:val="auto"/>
              </w:rPr>
              <w:t>Certification of the Chief Executive Officer pursuant to Rule 13a-14(a) (filed herewith)</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31.2</w:t>
            </w:r>
          </w:p>
        </w:tc>
        <w:tc>
          <w:tcPr>
            <w:tcW w:w="10040" w:type="dxa"/>
            <w:vAlign w:val="bottom"/>
          </w:tcPr>
          <w:p>
            <w:pPr>
              <w:ind w:left="180"/>
              <w:spacing w:after="0"/>
              <w:rPr>
                <w:sz w:val="20"/>
                <w:szCs w:val="20"/>
                <w:color w:val="auto"/>
              </w:rPr>
            </w:pPr>
            <w:r>
              <w:rPr>
                <w:rFonts w:ascii="Arial" w:cs="Arial" w:eastAsia="Arial" w:hAnsi="Arial"/>
                <w:sz w:val="18"/>
                <w:szCs w:val="18"/>
                <w:color w:val="auto"/>
              </w:rPr>
              <w:t>Certification of the Chief Financial Officer pursuant to Rule 13a-14(a) (filed herewith)</w:t>
            </w:r>
          </w:p>
        </w:tc>
      </w:tr>
      <w:tr>
        <w:trPr>
          <w:trHeight w:val="242"/>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32.1</w:t>
            </w:r>
          </w:p>
        </w:tc>
        <w:tc>
          <w:tcPr>
            <w:tcW w:w="10040" w:type="dxa"/>
            <w:vAlign w:val="bottom"/>
          </w:tcPr>
          <w:p>
            <w:pPr>
              <w:ind w:left="180"/>
              <w:spacing w:after="0"/>
              <w:rPr>
                <w:sz w:val="20"/>
                <w:szCs w:val="20"/>
                <w:color w:val="auto"/>
              </w:rPr>
            </w:pPr>
            <w:r>
              <w:rPr>
                <w:rFonts w:ascii="Arial" w:cs="Arial" w:eastAsia="Arial" w:hAnsi="Arial"/>
                <w:sz w:val="18"/>
                <w:szCs w:val="18"/>
                <w:color w:val="auto"/>
              </w:rPr>
              <w:t>Certification of the Chief Executive Officer pursuant to 18 U.S.C. Section 1350, as adopted pursuant to Section 906 of the</w:t>
            </w:r>
          </w:p>
        </w:tc>
      </w:tr>
      <w:tr>
        <w:trPr>
          <w:trHeight w:val="217"/>
        </w:trPr>
        <w:tc>
          <w:tcPr>
            <w:tcW w:w="920" w:type="dxa"/>
            <w:vAlign w:val="bottom"/>
          </w:tcPr>
          <w:p>
            <w:pPr>
              <w:spacing w:after="0"/>
              <w:rPr>
                <w:sz w:val="18"/>
                <w:szCs w:val="18"/>
                <w:color w:val="auto"/>
              </w:rPr>
            </w:pPr>
          </w:p>
        </w:tc>
        <w:tc>
          <w:tcPr>
            <w:tcW w:w="10040" w:type="dxa"/>
            <w:vAlign w:val="bottom"/>
          </w:tcPr>
          <w:p>
            <w:pPr>
              <w:ind w:left="180"/>
              <w:spacing w:after="0"/>
              <w:rPr>
                <w:sz w:val="20"/>
                <w:szCs w:val="20"/>
                <w:color w:val="auto"/>
              </w:rPr>
            </w:pPr>
            <w:r>
              <w:rPr>
                <w:rFonts w:ascii="Arial" w:cs="Arial" w:eastAsia="Arial" w:hAnsi="Arial"/>
                <w:sz w:val="18"/>
                <w:szCs w:val="18"/>
                <w:color w:val="auto"/>
              </w:rPr>
              <w:t>Sarbanes-Oxley Act of 2002 (furnished herewith)</w:t>
            </w:r>
          </w:p>
        </w:tc>
      </w:tr>
      <w:tr>
        <w:trPr>
          <w:trHeight w:val="242"/>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32.2</w:t>
            </w:r>
          </w:p>
        </w:tc>
        <w:tc>
          <w:tcPr>
            <w:tcW w:w="10040" w:type="dxa"/>
            <w:vAlign w:val="bottom"/>
          </w:tcPr>
          <w:p>
            <w:pPr>
              <w:ind w:left="180"/>
              <w:spacing w:after="0"/>
              <w:rPr>
                <w:sz w:val="20"/>
                <w:szCs w:val="20"/>
                <w:color w:val="auto"/>
              </w:rPr>
            </w:pPr>
            <w:r>
              <w:rPr>
                <w:rFonts w:ascii="Arial" w:cs="Arial" w:eastAsia="Arial" w:hAnsi="Arial"/>
                <w:sz w:val="18"/>
                <w:szCs w:val="18"/>
                <w:color w:val="auto"/>
              </w:rPr>
              <w:t>Certification of the Chief Financial Officer pursuant to 18 U.S.C. Section 1350, as adopted pursuant to Section 906 of the</w:t>
            </w:r>
          </w:p>
        </w:tc>
      </w:tr>
      <w:tr>
        <w:trPr>
          <w:trHeight w:val="217"/>
        </w:trPr>
        <w:tc>
          <w:tcPr>
            <w:tcW w:w="920" w:type="dxa"/>
            <w:vAlign w:val="bottom"/>
          </w:tcPr>
          <w:p>
            <w:pPr>
              <w:spacing w:after="0"/>
              <w:rPr>
                <w:sz w:val="18"/>
                <w:szCs w:val="18"/>
                <w:color w:val="auto"/>
              </w:rPr>
            </w:pPr>
          </w:p>
        </w:tc>
        <w:tc>
          <w:tcPr>
            <w:tcW w:w="10040" w:type="dxa"/>
            <w:vAlign w:val="bottom"/>
          </w:tcPr>
          <w:p>
            <w:pPr>
              <w:ind w:left="180"/>
              <w:spacing w:after="0"/>
              <w:rPr>
                <w:sz w:val="20"/>
                <w:szCs w:val="20"/>
                <w:color w:val="auto"/>
              </w:rPr>
            </w:pPr>
            <w:r>
              <w:rPr>
                <w:rFonts w:ascii="Arial" w:cs="Arial" w:eastAsia="Arial" w:hAnsi="Arial"/>
                <w:sz w:val="18"/>
                <w:szCs w:val="18"/>
                <w:color w:val="auto"/>
              </w:rPr>
              <w:t>Sarbanes-Oxley Act of 2002 (furnished herewith)</w:t>
            </w:r>
          </w:p>
        </w:tc>
      </w:tr>
      <w:tr>
        <w:trPr>
          <w:trHeight w:val="513"/>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101.INS</w:t>
            </w:r>
          </w:p>
        </w:tc>
        <w:tc>
          <w:tcPr>
            <w:tcW w:w="1004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95"/>
              </w:rPr>
              <w:t>101.SCH</w:t>
            </w:r>
          </w:p>
        </w:tc>
        <w:tc>
          <w:tcPr>
            <w:tcW w:w="10040" w:type="dxa"/>
            <w:vAlign w:val="bottom"/>
          </w:tcPr>
          <w:p>
            <w:pPr>
              <w:ind w:left="180"/>
              <w:spacing w:after="0"/>
              <w:rPr>
                <w:sz w:val="20"/>
                <w:szCs w:val="20"/>
                <w:color w:val="auto"/>
              </w:rPr>
            </w:pPr>
            <w:r>
              <w:rPr>
                <w:rFonts w:ascii="Arial" w:cs="Arial" w:eastAsia="Arial" w:hAnsi="Arial"/>
                <w:sz w:val="18"/>
                <w:szCs w:val="18"/>
                <w:color w:val="auto"/>
              </w:rPr>
              <w:t>XBRL Taxonomy Extension Schema</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99"/>
              </w:rPr>
              <w:t>101.CAL</w:t>
            </w:r>
          </w:p>
        </w:tc>
        <w:tc>
          <w:tcPr>
            <w:tcW w:w="10040" w:type="dxa"/>
            <w:vAlign w:val="bottom"/>
          </w:tcPr>
          <w:p>
            <w:pPr>
              <w:ind w:left="180"/>
              <w:spacing w:after="0"/>
              <w:rPr>
                <w:sz w:val="20"/>
                <w:szCs w:val="20"/>
                <w:color w:val="auto"/>
              </w:rPr>
            </w:pPr>
            <w:r>
              <w:rPr>
                <w:rFonts w:ascii="Arial" w:cs="Arial" w:eastAsia="Arial" w:hAnsi="Arial"/>
                <w:sz w:val="18"/>
                <w:szCs w:val="18"/>
                <w:color w:val="auto"/>
              </w:rPr>
              <w:t>XBRL Taxonomy Extension Calculation</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101.LAB</w:t>
            </w:r>
          </w:p>
        </w:tc>
        <w:tc>
          <w:tcPr>
            <w:tcW w:w="10040" w:type="dxa"/>
            <w:vAlign w:val="bottom"/>
          </w:tcPr>
          <w:p>
            <w:pPr>
              <w:ind w:left="180"/>
              <w:spacing w:after="0"/>
              <w:rPr>
                <w:sz w:val="20"/>
                <w:szCs w:val="20"/>
                <w:color w:val="auto"/>
              </w:rPr>
            </w:pPr>
            <w:r>
              <w:rPr>
                <w:rFonts w:ascii="Arial" w:cs="Arial" w:eastAsia="Arial" w:hAnsi="Arial"/>
                <w:sz w:val="18"/>
                <w:szCs w:val="18"/>
                <w:color w:val="auto"/>
              </w:rPr>
              <w:t>XBRL Taxonomy Extension Label</w:t>
            </w:r>
          </w:p>
        </w:tc>
      </w:tr>
      <w:tr>
        <w:trPr>
          <w:trHeight w:val="270"/>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97"/>
              </w:rPr>
              <w:t>101.PRE</w:t>
            </w:r>
          </w:p>
        </w:tc>
        <w:tc>
          <w:tcPr>
            <w:tcW w:w="10040" w:type="dxa"/>
            <w:vAlign w:val="bottom"/>
          </w:tcPr>
          <w:p>
            <w:pPr>
              <w:ind w:left="180"/>
              <w:spacing w:after="0"/>
              <w:rPr>
                <w:sz w:val="20"/>
                <w:szCs w:val="20"/>
                <w:color w:val="auto"/>
              </w:rPr>
            </w:pPr>
            <w:r>
              <w:rPr>
                <w:rFonts w:ascii="Arial" w:cs="Arial" w:eastAsia="Arial" w:hAnsi="Arial"/>
                <w:sz w:val="18"/>
                <w:szCs w:val="18"/>
                <w:color w:val="auto"/>
              </w:rPr>
              <w:t>XBRL Taxonomy Extension Presentation</w:t>
            </w:r>
          </w:p>
        </w:tc>
      </w:tr>
      <w:tr>
        <w:trPr>
          <w:trHeight w:val="270"/>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98"/>
              </w:rPr>
              <w:t>101.DEF</w:t>
            </w:r>
          </w:p>
        </w:tc>
        <w:tc>
          <w:tcPr>
            <w:tcW w:w="10040" w:type="dxa"/>
            <w:vAlign w:val="bottom"/>
          </w:tcPr>
          <w:p>
            <w:pPr>
              <w:ind w:left="180"/>
              <w:spacing w:after="0"/>
              <w:rPr>
                <w:sz w:val="20"/>
                <w:szCs w:val="20"/>
                <w:color w:val="auto"/>
              </w:rPr>
            </w:pPr>
            <w:r>
              <w:rPr>
                <w:rFonts w:ascii="Arial" w:cs="Arial" w:eastAsia="Arial" w:hAnsi="Arial"/>
                <w:sz w:val="18"/>
                <w:szCs w:val="18"/>
                <w:color w:val="auto"/>
              </w:rPr>
              <w:t>XBRL Taxonomy Extension Definition</w:t>
            </w:r>
          </w:p>
        </w:tc>
      </w:tr>
      <w:tr>
        <w:trPr>
          <w:trHeight w:val="918"/>
        </w:trPr>
        <w:tc>
          <w:tcPr>
            <w:tcW w:w="920" w:type="dxa"/>
            <w:vAlign w:val="bottom"/>
          </w:tcPr>
          <w:p>
            <w:pPr>
              <w:spacing w:after="0"/>
              <w:rPr>
                <w:sz w:val="24"/>
                <w:szCs w:val="24"/>
                <w:color w:val="auto"/>
              </w:rPr>
            </w:pPr>
          </w:p>
        </w:tc>
        <w:tc>
          <w:tcPr>
            <w:tcW w:w="10040" w:type="dxa"/>
            <w:vAlign w:val="bottom"/>
          </w:tcPr>
          <w:p>
            <w:pPr>
              <w:ind w:left="4380"/>
              <w:spacing w:after="0"/>
              <w:rPr>
                <w:sz w:val="20"/>
                <w:szCs w:val="20"/>
                <w:color w:val="auto"/>
              </w:rPr>
            </w:pPr>
            <w:r>
              <w:rPr>
                <w:rFonts w:ascii="Arial" w:cs="Arial" w:eastAsia="Arial" w:hAnsi="Arial"/>
                <w:sz w:val="18"/>
                <w:szCs w:val="18"/>
                <w:color w:val="auto"/>
              </w:rPr>
              <w:t>62</w:t>
            </w:r>
          </w:p>
        </w:tc>
      </w:tr>
    </w:tbl>
    <w:p>
      <w:pPr>
        <w:sectPr>
          <w:pgSz w:w="11900" w:h="16838" w:orient="portrait"/>
          <w:cols w:equalWidth="0" w:num="1">
            <w:col w:w="11280"/>
          </w:cols>
          <w:pgMar w:left="240" w:top="576" w:right="379" w:bottom="1440" w:gutter="0" w:footer="0" w:header="0"/>
        </w:sectPr>
      </w:pPr>
    </w:p>
    <w:bookmarkStart w:id="65" w:name="page66"/>
    <w:bookmarkEnd w:id="65"/>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07"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6"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LPL Financial Holdings Inc.</w:t>
      </w:r>
    </w:p>
    <w:p>
      <w:pPr>
        <w:spacing w:after="0" w:line="274" w:lineRule="exact"/>
        <w:rPr>
          <w:sz w:val="20"/>
          <w:szCs w:val="20"/>
          <w:color w:val="auto"/>
        </w:rPr>
      </w:pPr>
    </w:p>
    <w:p>
      <w:pPr>
        <w:ind w:left="260"/>
        <w:spacing w:after="0"/>
        <w:tabs>
          <w:tab w:leader="none" w:pos="5260" w:val="left"/>
          <w:tab w:leader="none" w:pos="5680" w:val="left"/>
        </w:tabs>
        <w:rPr>
          <w:sz w:val="20"/>
          <w:szCs w:val="20"/>
          <w:color w:val="auto"/>
        </w:rPr>
      </w:pPr>
      <w:r>
        <w:rPr>
          <w:rFonts w:ascii="Arial" w:cs="Arial" w:eastAsia="Arial" w:hAnsi="Arial"/>
          <w:sz w:val="18"/>
          <w:szCs w:val="18"/>
          <w:color w:val="auto"/>
        </w:rPr>
        <w:t>Date: October 31, 2012</w:t>
      </w:r>
      <w:r>
        <w:rPr>
          <w:sz w:val="20"/>
          <w:szCs w:val="20"/>
          <w:color w:val="auto"/>
        </w:rPr>
        <w:tab/>
      </w:r>
      <w:r>
        <w:rPr>
          <w:rFonts w:ascii="Arial" w:cs="Arial" w:eastAsia="Arial" w:hAnsi="Arial"/>
          <w:sz w:val="18"/>
          <w:szCs w:val="18"/>
          <w:color w:val="auto"/>
        </w:rPr>
        <w:t>By:</w:t>
        <w:tab/>
        <w:t>/s/ MARK S.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20237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4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Mark S. Casady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and Chief Executive Officer</w:t>
      </w:r>
    </w:p>
    <w:p>
      <w:pPr>
        <w:spacing w:after="0" w:line="320" w:lineRule="exact"/>
        <w:rPr>
          <w:sz w:val="20"/>
          <w:szCs w:val="20"/>
          <w:color w:val="auto"/>
        </w:rPr>
      </w:pPr>
    </w:p>
    <w:p>
      <w:pPr>
        <w:ind w:left="260"/>
        <w:spacing w:after="0"/>
        <w:tabs>
          <w:tab w:leader="none" w:pos="5260" w:val="left"/>
          <w:tab w:leader="none" w:pos="5680" w:val="left"/>
        </w:tabs>
        <w:rPr>
          <w:sz w:val="20"/>
          <w:szCs w:val="20"/>
          <w:color w:val="auto"/>
        </w:rPr>
      </w:pPr>
      <w:r>
        <w:rPr>
          <w:rFonts w:ascii="Arial" w:cs="Arial" w:eastAsia="Arial" w:hAnsi="Arial"/>
          <w:sz w:val="18"/>
          <w:szCs w:val="18"/>
          <w:color w:val="auto"/>
        </w:rPr>
        <w:t>Date: October 31, 2012</w:t>
      </w:r>
      <w:r>
        <w:rPr>
          <w:sz w:val="20"/>
          <w:szCs w:val="20"/>
          <w:color w:val="auto"/>
        </w:rPr>
        <w:tab/>
      </w:r>
      <w:r>
        <w:rPr>
          <w:rFonts w:ascii="Arial" w:cs="Arial" w:eastAsia="Arial" w:hAnsi="Arial"/>
          <w:sz w:val="18"/>
          <w:szCs w:val="18"/>
          <w:color w:val="auto"/>
        </w:rPr>
        <w:t>By:</w:t>
        <w:tab/>
        <w:t>/s/ DAN H.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20237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4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Dan H. Arnold</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576" w:right="279" w:bottom="1440" w:gutter="0" w:footer="0" w:header="0"/>
        </w:sectPr>
      </w:pPr>
    </w:p>
    <w:bookmarkStart w:id="66" w:name="page67"/>
    <w:bookmarkEnd w:id="66"/>
    <w:p>
      <w:pPr>
        <w:ind w:left="4180"/>
        <w:spacing w:after="0"/>
        <w:rPr>
          <w:sz w:val="20"/>
          <w:szCs w:val="20"/>
          <w:color w:val="auto"/>
        </w:rPr>
      </w:pPr>
      <w:r>
        <w:rPr>
          <w:rFonts w:ascii="Arial" w:cs="Arial" w:eastAsia="Arial" w:hAnsi="Arial"/>
          <w:sz w:val="22"/>
          <w:szCs w:val="22"/>
          <w:b w:val="1"/>
          <w:bCs w:val="1"/>
          <w:color w:val="auto"/>
        </w:rPr>
        <w:t>RESTRICTED STOCK AWARD</w:t>
      </w:r>
    </w:p>
    <w:p>
      <w:pPr>
        <w:spacing w:after="0" w:line="112"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granted under the</w:t>
      </w:r>
    </w:p>
    <w:p>
      <w:pPr>
        <w:spacing w:after="0" w:line="58"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LPL Financial Holdings Inc.</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2010 OMNIBUS EQUITY INCENTIVE PLAN</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 of Restricted Stock.</w:t>
      </w:r>
    </w:p>
    <w:p>
      <w:pPr>
        <w:spacing w:after="0" w:line="220" w:lineRule="exact"/>
        <w:rPr>
          <w:sz w:val="20"/>
          <w:szCs w:val="20"/>
          <w:color w:val="auto"/>
        </w:rPr>
      </w:pPr>
    </w:p>
    <w:p>
      <w:pPr>
        <w:ind w:right="80" w:firstLine="648"/>
        <w:spacing w:after="0" w:line="249" w:lineRule="auto"/>
        <w:rPr>
          <w:sz w:val="20"/>
          <w:szCs w:val="20"/>
          <w:color w:val="auto"/>
        </w:rPr>
      </w:pPr>
      <w:r>
        <w:rPr>
          <w:rFonts w:ascii="Arial" w:cs="Arial" w:eastAsia="Arial" w:hAnsi="Arial"/>
          <w:sz w:val="22"/>
          <w:szCs w:val="22"/>
          <w:color w:val="auto"/>
        </w:rPr>
        <w:t xml:space="preserve">This certificate (the </w:t>
      </w:r>
      <w:r>
        <w:rPr>
          <w:rFonts w:ascii="Arial" w:cs="Arial" w:eastAsia="Arial" w:hAnsi="Arial"/>
          <w:sz w:val="22"/>
          <w:szCs w:val="22"/>
          <w:b w:val="1"/>
          <w:bCs w:val="1"/>
          <w:color w:val="auto"/>
        </w:rPr>
        <w:t>“Agreement”</w:t>
      </w:r>
      <w:r>
        <w:rPr>
          <w:rFonts w:ascii="Arial" w:cs="Arial" w:eastAsia="Arial" w:hAnsi="Arial"/>
          <w:sz w:val="22"/>
          <w:szCs w:val="22"/>
          <w:color w:val="auto"/>
        </w:rPr>
        <w:t xml:space="preserve">) evidences an award of Restricted Stock (this </w:t>
      </w:r>
      <w:r>
        <w:rPr>
          <w:rFonts w:ascii="Arial" w:cs="Arial" w:eastAsia="Arial" w:hAnsi="Arial"/>
          <w:sz w:val="22"/>
          <w:szCs w:val="22"/>
          <w:b w:val="1"/>
          <w:bCs w:val="1"/>
          <w:color w:val="auto"/>
        </w:rPr>
        <w:t>“Award”</w:t>
      </w:r>
      <w:r>
        <w:rPr>
          <w:rFonts w:ascii="Arial" w:cs="Arial" w:eastAsia="Arial" w:hAnsi="Arial"/>
          <w:sz w:val="22"/>
          <w:szCs w:val="22"/>
          <w:color w:val="auto"/>
        </w:rPr>
        <w:t xml:space="preserve">) granted by LPL Financial Holdings Inc.,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xml:space="preserve">), on [•] (the </w:t>
      </w:r>
      <w:r>
        <w:rPr>
          <w:rFonts w:ascii="Arial" w:cs="Arial" w:eastAsia="Arial" w:hAnsi="Arial"/>
          <w:sz w:val="22"/>
          <w:szCs w:val="22"/>
          <w:b w:val="1"/>
          <w:bCs w:val="1"/>
          <w:color w:val="auto"/>
        </w:rPr>
        <w:t>“Grant Date”</w:t>
      </w:r>
      <w:r>
        <w:rPr>
          <w:rFonts w:ascii="Arial" w:cs="Arial" w:eastAsia="Arial" w:hAnsi="Arial"/>
          <w:sz w:val="22"/>
          <w:szCs w:val="22"/>
          <w:color w:val="auto"/>
        </w:rPr>
        <w:t xml:space="preserve">) to [•] (the </w:t>
      </w:r>
      <w:r>
        <w:rPr>
          <w:rFonts w:ascii="Arial" w:cs="Arial" w:eastAsia="Arial" w:hAnsi="Arial"/>
          <w:sz w:val="22"/>
          <w:szCs w:val="22"/>
          <w:b w:val="1"/>
          <w:bCs w:val="1"/>
          <w:color w:val="auto"/>
        </w:rPr>
        <w:t>“Participant”</w:t>
      </w:r>
      <w:r>
        <w:rPr>
          <w:rFonts w:ascii="Arial" w:cs="Arial" w:eastAsia="Arial" w:hAnsi="Arial"/>
          <w:sz w:val="22"/>
          <w:szCs w:val="22"/>
          <w:color w:val="auto"/>
        </w:rPr>
        <w:t xml:space="preserve">) pursuant to the Company's 2010 Omnibus Equity Incentive Plan(as from time to time in effect, the </w:t>
      </w:r>
      <w:r>
        <w:rPr>
          <w:rFonts w:ascii="Arial" w:cs="Arial" w:eastAsia="Arial" w:hAnsi="Arial"/>
          <w:sz w:val="22"/>
          <w:szCs w:val="22"/>
          <w:b w:val="1"/>
          <w:bCs w:val="1"/>
          <w:color w:val="auto"/>
        </w:rPr>
        <w:t>“Plan”</w:t>
      </w:r>
      <w:r>
        <w:rPr>
          <w:rFonts w:ascii="Arial" w:cs="Arial" w:eastAsia="Arial" w:hAnsi="Arial"/>
          <w:sz w:val="22"/>
          <w:szCs w:val="22"/>
          <w:color w:val="auto"/>
        </w:rPr>
        <w:t>). The Award consists of [•] shares (the “</w:t>
      </w:r>
      <w:r>
        <w:rPr>
          <w:rFonts w:ascii="Arial" w:cs="Arial" w:eastAsia="Arial" w:hAnsi="Arial"/>
          <w:sz w:val="22"/>
          <w:szCs w:val="22"/>
          <w:b w:val="1"/>
          <w:bCs w:val="1"/>
          <w:color w:val="auto"/>
        </w:rPr>
        <w:t>Shares</w:t>
      </w:r>
      <w:r>
        <w:rPr>
          <w:rFonts w:ascii="Arial" w:cs="Arial" w:eastAsia="Arial" w:hAnsi="Arial"/>
          <w:sz w:val="22"/>
          <w:szCs w:val="22"/>
          <w:color w:val="auto"/>
        </w:rPr>
        <w:t>”) of Stock, subject to restrictions described in this Agreement and the Plan in addition to such other restrictions, if any, as may be imposed by law.</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It is understood and agreed that the Shares are subject to the following additional terms and conditions:</w:t>
      </w:r>
    </w:p>
    <w:p>
      <w:pPr>
        <w:spacing w:after="0" w:line="220" w:lineRule="exact"/>
        <w:rPr>
          <w:sz w:val="20"/>
          <w:szCs w:val="20"/>
          <w:color w:val="auto"/>
        </w:rPr>
      </w:pPr>
    </w:p>
    <w:p>
      <w:pPr>
        <w:ind w:left="660" w:right="120" w:firstLine="1306"/>
        <w:spacing w:after="0" w:line="248" w:lineRule="auto"/>
        <w:tabs>
          <w:tab w:leader="none" w:pos="2430"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Vesting and Forfeiture.</w:t>
      </w:r>
      <w:r>
        <w:rPr>
          <w:rFonts w:ascii="Arial" w:cs="Arial" w:eastAsia="Arial" w:hAnsi="Arial"/>
          <w:sz w:val="22"/>
          <w:szCs w:val="22"/>
          <w:color w:val="auto"/>
        </w:rPr>
        <w:t xml:space="preserve"> Subject to the following provisions and the other terms and conditions of this Award and the Plan, the Shares shall vest in full on the second anniversary of the Grant Date (the </w:t>
      </w:r>
      <w:r>
        <w:rPr>
          <w:rFonts w:ascii="Arial" w:cs="Arial" w:eastAsia="Arial" w:hAnsi="Arial"/>
          <w:sz w:val="22"/>
          <w:szCs w:val="22"/>
          <w:b w:val="1"/>
          <w:bCs w:val="1"/>
          <w:color w:val="auto"/>
        </w:rPr>
        <w:t>“Vesting Date”</w:t>
      </w:r>
      <w:r>
        <w:rPr>
          <w:rFonts w:ascii="Arial" w:cs="Arial" w:eastAsia="Arial" w:hAnsi="Arial"/>
          <w:sz w:val="22"/>
          <w:szCs w:val="22"/>
          <w:color w:val="auto"/>
        </w:rPr>
        <w:t>), provided that the Participant has been continuously serving as a director of the Company at all times between the Grant Date and the Vesting Date. Notwithstanding the foregoing, all unvested Shares shall vest upon the occurrence of a Change in Control prior to the Vesting Date, provided that the director remains in service at such date. Upon the termination of the Participant's Service prior to the Vesting Date for any reason, the Shares which are not vested at the time of such termination, shall be automatically and immediately forfeited to the Company without payment or consideration to the Participant.</w:t>
      </w:r>
    </w:p>
    <w:p>
      <w:pPr>
        <w:spacing w:after="0" w:line="191" w:lineRule="exact"/>
        <w:rPr>
          <w:rFonts w:ascii="Arial" w:cs="Arial" w:eastAsia="Arial" w:hAnsi="Arial"/>
          <w:sz w:val="22"/>
          <w:szCs w:val="22"/>
          <w:color w:val="auto"/>
        </w:rPr>
      </w:pPr>
    </w:p>
    <w:p>
      <w:pPr>
        <w:ind w:left="660" w:firstLine="1306"/>
        <w:spacing w:after="0" w:line="250" w:lineRule="auto"/>
        <w:tabs>
          <w:tab w:leader="none" w:pos="2442"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Certificates.</w:t>
      </w:r>
      <w:r>
        <w:rPr>
          <w:rFonts w:ascii="Arial" w:cs="Arial" w:eastAsia="Arial" w:hAnsi="Arial"/>
          <w:sz w:val="22"/>
          <w:szCs w:val="22"/>
          <w:color w:val="auto"/>
        </w:rPr>
        <w:t xml:space="preserve"> Each certificate issued in respect of Shares shall be deposited with the Company, or its designee, together with, if requested by the Company, a stock power executed in blank by the Participant, and shall bear a legend determined by the Company that discloses the restrictions on transferability imposed on such Shares. Upon the vesting of the Award and the satisfaction of any withholding tax liability pursuant this Agreement and the Plan, a certificate or certificates evidencing such Shares shall be delivered to the Participant or other evidence of unrestricted Shares shall be provided to the Participant.</w:t>
      </w:r>
    </w:p>
    <w:p>
      <w:pPr>
        <w:spacing w:after="0" w:line="188" w:lineRule="exact"/>
        <w:rPr>
          <w:rFonts w:ascii="Arial" w:cs="Arial" w:eastAsia="Arial" w:hAnsi="Arial"/>
          <w:sz w:val="22"/>
          <w:szCs w:val="22"/>
          <w:color w:val="auto"/>
        </w:rPr>
      </w:pPr>
    </w:p>
    <w:p>
      <w:pPr>
        <w:ind w:left="2380" w:hanging="414"/>
        <w:spacing w:after="0"/>
        <w:tabs>
          <w:tab w:leader="none" w:pos="2380"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The Award may be transferred only as the Administrator expressly provides in writing.</w:t>
      </w:r>
    </w:p>
    <w:p>
      <w:pPr>
        <w:spacing w:after="0" w:line="267" w:lineRule="exact"/>
        <w:rPr>
          <w:rFonts w:ascii="Arial" w:cs="Arial" w:eastAsia="Arial" w:hAnsi="Arial"/>
          <w:sz w:val="19"/>
          <w:szCs w:val="19"/>
          <w:color w:val="auto"/>
        </w:rPr>
      </w:pPr>
    </w:p>
    <w:p>
      <w:pPr>
        <w:ind w:left="660" w:right="20" w:firstLine="1306"/>
        <w:spacing w:after="0" w:line="260" w:lineRule="auto"/>
        <w:tabs>
          <w:tab w:leader="none" w:pos="2388"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Taxes</w:t>
      </w:r>
      <w:r>
        <w:rPr>
          <w:rFonts w:ascii="Arial" w:cs="Arial" w:eastAsia="Arial" w:hAnsi="Arial"/>
          <w:sz w:val="22"/>
          <w:szCs w:val="22"/>
          <w:color w:val="auto"/>
        </w:rPr>
        <w:t>. The Administrator will make such provision for the withholding and payment of taxes as it deems necessary. Such taxes shall be remitted to the Company by cash or check acceptable to the Administrator or by other means acceptable to the Administrator.</w:t>
      </w:r>
    </w:p>
    <w:p>
      <w:pPr>
        <w:sectPr>
          <w:pgSz w:w="11900" w:h="16838" w:orient="portrait"/>
          <w:cols w:equalWidth="0" w:num="1">
            <w:col w:w="11360"/>
          </w:cols>
          <w:pgMar w:left="240" w:top="639" w:right="299" w:bottom="1440" w:gutter="0" w:footer="0" w:header="0"/>
        </w:sectPr>
      </w:pPr>
    </w:p>
    <w:bookmarkStart w:id="67" w:name="page68"/>
    <w:bookmarkEnd w:id="67"/>
    <w:p>
      <w:pPr>
        <w:spacing w:after="0"/>
        <w:rPr>
          <w:sz w:val="20"/>
          <w:szCs w:val="20"/>
          <w:color w:val="auto"/>
        </w:rPr>
      </w:pPr>
      <w:r>
        <w:rPr>
          <w:rFonts w:ascii="Arial" w:cs="Arial" w:eastAsia="Arial" w:hAnsi="Arial"/>
          <w:sz w:val="22"/>
          <w:szCs w:val="22"/>
          <w:b w:val="1"/>
          <w:bCs w:val="1"/>
          <w:color w:val="auto"/>
        </w:rPr>
        <w:t>Provisions of the Plan.</w:t>
      </w:r>
    </w:p>
    <w:p>
      <w:pPr>
        <w:spacing w:after="0" w:line="266" w:lineRule="exact"/>
        <w:rPr>
          <w:sz w:val="20"/>
          <w:szCs w:val="20"/>
          <w:color w:val="auto"/>
        </w:rPr>
      </w:pPr>
    </w:p>
    <w:p>
      <w:pPr>
        <w:ind w:right="100" w:firstLine="648"/>
        <w:spacing w:after="0" w:line="250" w:lineRule="auto"/>
        <w:rPr>
          <w:sz w:val="20"/>
          <w:szCs w:val="20"/>
          <w:color w:val="auto"/>
        </w:rPr>
      </w:pPr>
      <w:r>
        <w:rPr>
          <w:rFonts w:ascii="Arial" w:cs="Arial" w:eastAsia="Arial" w:hAnsi="Arial"/>
          <w:sz w:val="22"/>
          <w:szCs w:val="22"/>
          <w:color w:val="auto"/>
        </w:rPr>
        <w:t>This Award is subject to the provisions of the Plan, which are incorporated herein by reference. A copy of the Plan as in effect on the Grant Date has been furnished to the Participant. The Participant agrees to be bound by the terms of the Plan and this Agreement. For purposes of this Agreement and any determinations to be made by the Administrator, the determinations by the Administrator shall be binding upon the Participant.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Definitions.</w:t>
      </w:r>
    </w:p>
    <w:p>
      <w:pPr>
        <w:spacing w:after="0" w:line="226" w:lineRule="exact"/>
        <w:rPr>
          <w:sz w:val="20"/>
          <w:szCs w:val="20"/>
          <w:color w:val="auto"/>
        </w:rPr>
      </w:pPr>
    </w:p>
    <w:p>
      <w:pPr>
        <w:ind w:right="160" w:firstLine="648"/>
        <w:spacing w:after="0" w:line="253" w:lineRule="auto"/>
        <w:rPr>
          <w:sz w:val="20"/>
          <w:szCs w:val="20"/>
          <w:color w:val="auto"/>
        </w:rPr>
      </w:pPr>
      <w:r>
        <w:rPr>
          <w:rFonts w:ascii="Arial" w:cs="Arial" w:eastAsia="Arial" w:hAnsi="Arial"/>
          <w:sz w:val="22"/>
          <w:szCs w:val="22"/>
          <w:color w:val="auto"/>
        </w:rPr>
        <w:t>Initially capitalized terms shall have the meanings set forth in this Agreement and initially capitalized terms not otherwise defined herein shall have the meaning provided in the Plan, and, as used herein, the following terms shall have the meanings set forth below:</w:t>
      </w:r>
    </w:p>
    <w:p>
      <w:pPr>
        <w:spacing w:after="0" w:line="186" w:lineRule="exact"/>
        <w:rPr>
          <w:sz w:val="20"/>
          <w:szCs w:val="20"/>
          <w:color w:val="auto"/>
        </w:rPr>
      </w:pPr>
    </w:p>
    <w:p>
      <w:pPr>
        <w:ind w:firstLine="1297"/>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Change in Control</w:t>
      </w:r>
      <w:r>
        <w:rPr>
          <w:rFonts w:ascii="Arial" w:cs="Arial" w:eastAsia="Arial" w:hAnsi="Arial"/>
          <w:sz w:val="21"/>
          <w:szCs w:val="21"/>
          <w:color w:val="auto"/>
        </w:rPr>
        <w:t>” means the consummation, after the Grant Date, of (i) any transaction or series of related transactions, whether or not the Company is party thereto, after giving effect to which in excess of fifty percent (50%) of the Company's voting power is owned directly, or indirectly through one or more entities, by any person and its “affiliates” or “associates” (as such terms are defined in the Exchange Act Rules) or any “group” (as defined in the Exchange Act Rules) other than, in each case, the Company or an Affiliate of the Company immediately following the Grant Date, or (ii) a sale or other disposition of all or substantially all of the consolidated assets of the Company (each of the foregoing, a “</w:t>
      </w:r>
      <w:r>
        <w:rPr>
          <w:rFonts w:ascii="Arial" w:cs="Arial" w:eastAsia="Arial" w:hAnsi="Arial"/>
          <w:sz w:val="21"/>
          <w:szCs w:val="21"/>
          <w:u w:val="single" w:color="auto"/>
          <w:color w:val="auto"/>
        </w:rPr>
        <w:t>Business Combination</w:t>
      </w:r>
      <w:r>
        <w:rPr>
          <w:rFonts w:ascii="Arial" w:cs="Arial" w:eastAsia="Arial" w:hAnsi="Arial"/>
          <w:sz w:val="21"/>
          <w:szCs w:val="21"/>
          <w:color w:val="auto"/>
        </w:rPr>
        <w:t>”), provided that, notwithstanding the foregoing, a Change in Control shall not be deemed to occur as a result of a Business Combination following which the individuals or entities who were beneficial owners of the outstanding securities entitled to vote generally in the election of directors of the Company immediately prior to such Business Combination beneficially own, directly or indirectly, 50% or more of the outstanding securities entitled to vote generally in the election of directors of the resulting, surviving or acquiring corporation in such transaction.</w:t>
      </w:r>
    </w:p>
    <w:p>
      <w:pPr>
        <w:sectPr>
          <w:pgSz w:w="11900" w:h="16838" w:orient="portrait"/>
          <w:cols w:equalWidth="0" w:num="1">
            <w:col w:w="11360"/>
          </w:cols>
          <w:pgMar w:left="240" w:top="585" w:right="299" w:bottom="1440" w:gutter="0" w:footer="0" w:header="0"/>
        </w:sectPr>
      </w:pPr>
    </w:p>
    <w:bookmarkStart w:id="68" w:name="page69"/>
    <w:bookmarkEnd w:id="68"/>
    <w:p>
      <w:pPr>
        <w:ind w:left="620"/>
        <w:spacing w:after="0"/>
        <w:rPr>
          <w:sz w:val="20"/>
          <w:szCs w:val="20"/>
          <w:color w:val="auto"/>
        </w:rPr>
      </w:pPr>
      <w:r>
        <w:rPr>
          <w:rFonts w:ascii="Arial" w:cs="Arial" w:eastAsia="Arial" w:hAnsi="Arial"/>
          <w:sz w:val="19"/>
          <w:szCs w:val="19"/>
          <w:color w:val="auto"/>
        </w:rPr>
        <w:t>IN WITNESS WHEREOF, the Company has caused this instrument to be executed by its duly authorized officer.</w:t>
      </w:r>
    </w:p>
    <w:p>
      <w:pPr>
        <w:spacing w:after="0" w:line="200" w:lineRule="exact"/>
        <w:rPr>
          <w:sz w:val="20"/>
          <w:szCs w:val="20"/>
          <w:color w:val="auto"/>
        </w:rPr>
      </w:pPr>
    </w:p>
    <w:p>
      <w:pPr>
        <w:spacing w:after="0" w:line="203" w:lineRule="exact"/>
        <w:rPr>
          <w:sz w:val="20"/>
          <w:szCs w:val="20"/>
          <w:color w:val="auto"/>
        </w:rPr>
      </w:pPr>
    </w:p>
    <w:p>
      <w:pPr>
        <w:ind w:left="3540"/>
        <w:spacing w:after="0"/>
        <w:rPr>
          <w:sz w:val="20"/>
          <w:szCs w:val="20"/>
          <w:color w:val="auto"/>
        </w:rPr>
      </w:pPr>
      <w:r>
        <w:rPr>
          <w:rFonts w:ascii="Arial" w:cs="Arial" w:eastAsia="Arial" w:hAnsi="Arial"/>
          <w:sz w:val="22"/>
          <w:szCs w:val="22"/>
          <w:color w:val="auto"/>
        </w:rPr>
        <w:t>LPL FINANCIAL HOLDINGS INC.</w:t>
      </w:r>
    </w:p>
    <w:p>
      <w:pPr>
        <w:spacing w:after="0" w:line="44" w:lineRule="exact"/>
        <w:rPr>
          <w:sz w:val="20"/>
          <w:szCs w:val="20"/>
          <w:color w:val="auto"/>
        </w:rPr>
      </w:pPr>
    </w:p>
    <w:p>
      <w:pPr>
        <w:ind w:left="35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2655570</wp:posOffset>
            </wp:positionH>
            <wp:positionV relativeFrom="paragraph">
              <wp:posOffset>24765</wp:posOffset>
            </wp:positionV>
            <wp:extent cx="21609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38"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Title:</w:t>
      </w:r>
    </w:p>
    <w:p>
      <w:pPr>
        <w:spacing w:after="0" w:line="328" w:lineRule="exact"/>
        <w:rPr>
          <w:sz w:val="20"/>
          <w:szCs w:val="20"/>
          <w:color w:val="auto"/>
        </w:rPr>
      </w:pPr>
    </w:p>
    <w:p>
      <w:pPr>
        <w:ind w:left="3540"/>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2655570</wp:posOffset>
            </wp:positionH>
            <wp:positionV relativeFrom="paragraph">
              <wp:posOffset>24765</wp:posOffset>
            </wp:positionV>
            <wp:extent cx="21609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Acknowledged and Agreed: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24765</wp:posOffset>
            </wp:positionV>
            <wp:extent cx="27273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8" w:lineRule="exact"/>
        <w:rPr>
          <w:sz w:val="20"/>
          <w:szCs w:val="20"/>
          <w:color w:val="auto"/>
        </w:rPr>
      </w:pPr>
    </w:p>
    <w:p>
      <w:pPr>
        <w:ind w:left="680"/>
        <w:spacing w:after="0"/>
        <w:rPr>
          <w:sz w:val="20"/>
          <w:szCs w:val="20"/>
          <w:color w:val="auto"/>
        </w:rPr>
      </w:pPr>
      <w:r>
        <w:rPr>
          <w:rFonts w:ascii="Arial" w:cs="Arial" w:eastAsia="Arial" w:hAnsi="Arial"/>
          <w:sz w:val="22"/>
          <w:szCs w:val="22"/>
          <w:color w:val="auto"/>
        </w:rPr>
        <w:t>Participant Name:</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24765</wp:posOffset>
            </wp:positionV>
            <wp:extent cx="27273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ectPr>
          <w:pgSz w:w="11900" w:h="16838" w:orient="portrait"/>
          <w:cols w:equalWidth="0" w:num="1">
            <w:col w:w="10420"/>
          </w:cols>
          <w:pgMar w:left="280" w:top="591" w:right="119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Mark S. Casady, certify that:</w:t>
      </w:r>
    </w:p>
    <w:p>
      <w:pPr>
        <w:spacing w:after="0" w:line="225"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LPL Financial Holdings Inc.;</w:t>
      </w:r>
    </w:p>
    <w:p>
      <w:pPr>
        <w:spacing w:after="0" w:line="225"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660" w:right="20" w:hanging="652"/>
        <w:spacing w:after="0" w:line="291"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ind w:left="660" w:right="300" w:hanging="652"/>
        <w:spacing w:after="0" w:line="256"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ind w:left="1300" w:right="180" w:hanging="644"/>
        <w:spacing w:after="0" w:line="256"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1300" w:right="160" w:hanging="644"/>
        <w:spacing w:after="0" w:line="256"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1300" w:right="100" w:hanging="644"/>
        <w:spacing w:after="0" w:line="256"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1300" w:right="240" w:hanging="644"/>
        <w:spacing w:after="0" w:line="256"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660" w:right="520" w:hanging="652"/>
        <w:spacing w:after="0" w:line="256"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300" w:right="20" w:hanging="644"/>
        <w:spacing w:after="0" w:line="262"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2012</w:t>
      </w:r>
    </w:p>
    <w:p>
      <w:pPr>
        <w:spacing w:after="0" w:line="17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Mark S.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Mark S. Casady</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Executive Officer</w:t>
      </w:r>
    </w:p>
    <w:p>
      <w:pPr>
        <w:spacing w:after="0" w:line="14"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76"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Dan H. Arnold, certify that:</w:t>
      </w:r>
    </w:p>
    <w:p>
      <w:pPr>
        <w:spacing w:after="0" w:line="225"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LPL Financial Holdings Inc.;</w:t>
      </w:r>
    </w:p>
    <w:p>
      <w:pPr>
        <w:spacing w:after="0" w:line="225"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660" w:right="20" w:hanging="652"/>
        <w:spacing w:after="0" w:line="291" w:lineRule="auto"/>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ind w:left="660" w:right="300" w:hanging="652"/>
        <w:spacing w:after="0" w:line="256"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ind w:left="1300" w:right="180" w:hanging="644"/>
        <w:spacing w:after="0" w:line="256"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1300" w:right="160" w:hanging="644"/>
        <w:spacing w:after="0" w:line="256"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1300" w:right="100" w:hanging="644"/>
        <w:spacing w:after="0" w:line="256"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1300" w:right="240" w:hanging="644"/>
        <w:spacing w:after="0" w:line="256"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660" w:right="520" w:hanging="652"/>
        <w:spacing w:after="0" w:line="256"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300" w:right="20" w:hanging="644"/>
        <w:spacing w:after="0" w:line="262"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2012</w:t>
      </w:r>
    </w:p>
    <w:p>
      <w:pPr>
        <w:spacing w:after="0" w:line="17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Dan H.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Dan H. Arnold</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Financial Officer</w:t>
      </w:r>
    </w:p>
    <w:p>
      <w:pPr>
        <w:spacing w:after="0" w:line="14"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576"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ind w:right="140" w:firstLine="250"/>
        <w:spacing w:after="0" w:line="256" w:lineRule="auto"/>
        <w:rPr>
          <w:sz w:val="20"/>
          <w:szCs w:val="20"/>
          <w:color w:val="auto"/>
        </w:rPr>
      </w:pPr>
      <w:r>
        <w:rPr>
          <w:rFonts w:ascii="Arial" w:cs="Arial" w:eastAsia="Arial" w:hAnsi="Arial"/>
          <w:sz w:val="18"/>
          <w:szCs w:val="18"/>
          <w:color w:val="auto"/>
        </w:rPr>
        <w:t>In connection with the Quarterly Report on Form 10-Q of LPL Financial Holdings Inc. (the “Company”) for the period ending September 30, 2012 as filed with the Securities and Exchange Commission (“SEC”) on the date hereof (the “Report”), I, Mark S. Casady, Chief Executive Officer of the Company, certify, pursuant to 18 U.S.C. 1350, as adopted pursuant to section 906 of the Sarbanes-Oxley Act of 2002, that:</w:t>
      </w:r>
    </w:p>
    <w:p>
      <w:pPr>
        <w:spacing w:after="0" w:line="202" w:lineRule="exact"/>
        <w:rPr>
          <w:sz w:val="20"/>
          <w:szCs w:val="20"/>
          <w:color w:val="auto"/>
        </w:rPr>
      </w:pPr>
    </w:p>
    <w:p>
      <w:pPr>
        <w:ind w:left="820" w:hanging="488"/>
        <w:spacing w:after="0"/>
        <w:tabs>
          <w:tab w:leader="none" w:pos="8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20" w:right="20" w:hanging="488"/>
        <w:spacing w:after="0" w:line="262" w:lineRule="auto"/>
        <w:tabs>
          <w:tab w:leader="none" w:pos="8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ind w:right="20" w:firstLine="240"/>
        <w:spacing w:after="0" w:line="262"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 or its staff upon request.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2012</w:t>
      </w:r>
    </w:p>
    <w:p>
      <w:pPr>
        <w:spacing w:after="0" w:line="387"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Mark S.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Mark S. Casady</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76"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ind w:right="100" w:firstLine="250"/>
        <w:spacing w:after="0" w:line="256" w:lineRule="auto"/>
        <w:rPr>
          <w:sz w:val="20"/>
          <w:szCs w:val="20"/>
          <w:color w:val="auto"/>
        </w:rPr>
      </w:pPr>
      <w:r>
        <w:rPr>
          <w:rFonts w:ascii="Arial" w:cs="Arial" w:eastAsia="Arial" w:hAnsi="Arial"/>
          <w:sz w:val="18"/>
          <w:szCs w:val="18"/>
          <w:color w:val="auto"/>
        </w:rPr>
        <w:t>In connection with the Quarterly Report on Form 10-Q of LPL Financial Holdings Inc. (the “Company”) for the period ending September 30, 2012 as filed with the Securities and Exchange Commission (“SEC”) on the date hereof (the “Report”), I, Dan H. Arnold, Chief Financial Officer of the Company, certify, pursuant to 18 U.S.C. 1350, as adopted pursuant to section 906 of the Sarbanes-Oxley Act of 2002, that:</w:t>
      </w:r>
    </w:p>
    <w:p>
      <w:pPr>
        <w:spacing w:after="0" w:line="202" w:lineRule="exact"/>
        <w:rPr>
          <w:sz w:val="20"/>
          <w:szCs w:val="20"/>
          <w:color w:val="auto"/>
        </w:rPr>
      </w:pPr>
    </w:p>
    <w:p>
      <w:pPr>
        <w:ind w:left="820" w:hanging="488"/>
        <w:spacing w:after="0"/>
        <w:tabs>
          <w:tab w:leader="none" w:pos="8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20" w:right="20" w:hanging="488"/>
        <w:spacing w:after="0" w:line="262" w:lineRule="auto"/>
        <w:tabs>
          <w:tab w:leader="none" w:pos="8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ind w:right="20" w:firstLine="240"/>
        <w:spacing w:after="0" w:line="262"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 or its staff upon request.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2012</w:t>
      </w:r>
    </w:p>
    <w:p>
      <w:pPr>
        <w:spacing w:after="0" w:line="387"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Dan H.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Dan H. Arnold</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x"/>
      <w:numFmt w:val="bullet"/>
      <w:start w:val="1"/>
    </w:lvl>
  </w:abstractNum>
  <w:abstractNum w:abstractNumId="1">
    <w:nsid w:val="7C3DBD3D"/>
    <w:multiLevelType w:val="hybridMultilevel"/>
    <w:lvl w:ilvl="0">
      <w:lvlJc w:val="left"/>
      <w:lvlText w:val="o"/>
      <w:numFmt w:val="bullet"/>
      <w:start w:val="1"/>
    </w:lvl>
  </w:abstractNum>
  <w:abstractNum w:abstractNumId="2">
    <w:nsid w:val="737B8DDC"/>
    <w:multiLevelType w:val="hybridMultilevel"/>
    <w:lvl w:ilvl="0">
      <w:lvlJc w:val="left"/>
      <w:lvlText w:val="%1."/>
      <w:numFmt w:val="decimal"/>
      <w:start w:val="1"/>
    </w:lvl>
  </w:abstractNum>
  <w:abstractNum w:abstractNumId="3">
    <w:nsid w:val="6CEAF087"/>
    <w:multiLevelType w:val="hybridMultilevel"/>
    <w:lvl w:ilvl="0">
      <w:lvlJc w:val="left"/>
      <w:lvlText w:val="%1."/>
      <w:numFmt w:val="decimal"/>
      <w:start w:val="2"/>
    </w:lvl>
  </w:abstractNum>
  <w:abstractNum w:abstractNumId="4">
    <w:nsid w:val="22221A70"/>
    <w:multiLevelType w:val="hybridMultilevel"/>
    <w:lvl w:ilvl="0">
      <w:lvlJc w:val="left"/>
      <w:lvlText w:val="%1."/>
      <w:numFmt w:val="decimal"/>
      <w:start w:val="3"/>
    </w:lvl>
  </w:abstractNum>
  <w:abstractNum w:abstractNumId="5">
    <w:nsid w:val="4516DDE9"/>
    <w:multiLevelType w:val="hybridMultilevel"/>
    <w:lvl w:ilvl="0">
      <w:lvlJc w:val="left"/>
      <w:lvlText w:val="(%1)"/>
      <w:numFmt w:val="decimal"/>
      <w:start w:val="1"/>
    </w:lvl>
  </w:abstractNum>
  <w:abstractNum w:abstractNumId="6">
    <w:nsid w:val="3006C83E"/>
    <w:multiLevelType w:val="hybridMultilevel"/>
    <w:lvl w:ilvl="0">
      <w:lvlJc w:val="left"/>
      <w:lvlText w:val="(%1)"/>
      <w:numFmt w:val="decimal"/>
      <w:start w:val="1"/>
    </w:lvl>
  </w:abstractNum>
  <w:abstractNum w:abstractNumId="7">
    <w:nsid w:val="614FD4A1"/>
    <w:multiLevelType w:val="hybridMultilevel"/>
    <w:lvl w:ilvl="0">
      <w:lvlJc w:val="left"/>
      <w:lvlText w:val="%1."/>
      <w:numFmt w:val="decimal"/>
      <w:start w:val="5"/>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1."/>
      <w:numFmt w:val="decimal"/>
      <w:start w:val="6"/>
    </w:lvl>
  </w:abstractNum>
  <w:abstractNum w:abstractNumId="10">
    <w:nsid w:val="440BADFC"/>
    <w:multiLevelType w:val="hybridMultilevel"/>
    <w:lvl w:ilvl="0">
      <w:lvlJc w:val="left"/>
      <w:lvlText w:val="(%1)"/>
      <w:numFmt w:val="decimal"/>
      <w:start w:val="1"/>
    </w:lvl>
  </w:abstractNum>
  <w:abstractNum w:abstractNumId="11">
    <w:nsid w:val="5072367"/>
    <w:multiLevelType w:val="hybridMultilevel"/>
    <w:lvl w:ilvl="0">
      <w:lvlJc w:val="left"/>
      <w:lvlText w:val="%1."/>
      <w:numFmt w:val="decimal"/>
      <w:start w:val="8"/>
    </w:lvl>
  </w:abstractNum>
  <w:abstractNum w:abstractNumId="12">
    <w:nsid w:val="3804823E"/>
    <w:multiLevelType w:val="hybridMultilevel"/>
    <w:lvl w:ilvl="0">
      <w:lvlJc w:val="left"/>
      <w:lvlText w:val="%1."/>
      <w:numFmt w:val="decimal"/>
      <w:start w:val="9"/>
    </w:lvl>
  </w:abstractNum>
  <w:abstractNum w:abstractNumId="13">
    <w:nsid w:val="77465F01"/>
    <w:multiLevelType w:val="hybridMultilevel"/>
    <w:lvl w:ilvl="0">
      <w:lvlJc w:val="left"/>
      <w:lvlText w:val="(%1)"/>
      <w:numFmt w:val="decimal"/>
      <w:start w:val="1"/>
    </w:lvl>
  </w:abstractNum>
  <w:abstractNum w:abstractNumId="14">
    <w:nsid w:val="7724C67E"/>
    <w:multiLevelType w:val="hybridMultilevel"/>
    <w:lvl w:ilvl="0">
      <w:lvlJc w:val="left"/>
      <w:lvlText w:val="%1."/>
      <w:numFmt w:val="decimal"/>
      <w:start w:val="10"/>
    </w:lvl>
  </w:abstractNum>
  <w:abstractNum w:abstractNumId="15">
    <w:nsid w:val="5C482A97"/>
    <w:multiLevelType w:val="hybridMultilevel"/>
    <w:lvl w:ilvl="0">
      <w:lvlJc w:val="left"/>
      <w:lvlText w:val="(%1)"/>
      <w:numFmt w:val="decimal"/>
      <w:start w:val="1"/>
    </w:lvl>
  </w:abstractNum>
  <w:abstractNum w:abstractNumId="16">
    <w:nsid w:val="2463B9EA"/>
    <w:multiLevelType w:val="hybridMultilevel"/>
    <w:lvl w:ilvl="0">
      <w:lvlJc w:val="left"/>
      <w:lvlText w:val="%1."/>
      <w:numFmt w:val="decimal"/>
      <w:start w:val="11"/>
    </w:lvl>
  </w:abstractNum>
  <w:abstractNum w:abstractNumId="17">
    <w:nsid w:val="5E884ADC"/>
    <w:multiLevelType w:val="hybridMultilevel"/>
    <w:lvl w:ilvl="0">
      <w:lvlJc w:val="left"/>
      <w:lvlText w:val="%1."/>
      <w:numFmt w:val="decimal"/>
      <w:start w:val="12"/>
    </w:lvl>
  </w:abstractNum>
  <w:abstractNum w:abstractNumId="18">
    <w:nsid w:val="51EAD36B"/>
    <w:multiLevelType w:val="hybridMultilevel"/>
    <w:lvl w:ilvl="0">
      <w:lvlJc w:val="left"/>
      <w:lvlText w:val="(%1)"/>
      <w:numFmt w:val="decimal"/>
      <w:start w:val="1"/>
    </w:lvl>
  </w:abstractNum>
  <w:abstractNum w:abstractNumId="19">
    <w:nsid w:val="2D517796"/>
    <w:multiLevelType w:val="hybridMultilevel"/>
    <w:lvl w:ilvl="0">
      <w:lvlJc w:val="left"/>
      <w:lvlText w:val="%1."/>
      <w:numFmt w:val="decimal"/>
      <w:start w:val="13"/>
    </w:lvl>
  </w:abstractNum>
  <w:abstractNum w:abstractNumId="20">
    <w:nsid w:val="580BD78F"/>
    <w:multiLevelType w:val="hybridMultilevel"/>
    <w:lvl w:ilvl="0">
      <w:lvlJc w:val="left"/>
      <w:lvlText w:val="%1."/>
      <w:numFmt w:val="decimal"/>
      <w:start w:val="14"/>
    </w:lvl>
  </w:abstractNum>
  <w:abstractNum w:abstractNumId="21">
    <w:nsid w:val="153EA438"/>
    <w:multiLevelType w:val="hybridMultilevel"/>
    <w:lvl w:ilvl="0">
      <w:lvlJc w:val="left"/>
      <w:lvlText w:val="%1."/>
      <w:numFmt w:val="decimal"/>
      <w:start w:val="15"/>
    </w:lvl>
  </w:abstractNum>
  <w:abstractNum w:abstractNumId="22">
    <w:nsid w:val="3855585C"/>
    <w:multiLevelType w:val="hybridMultilevel"/>
    <w:lvl w:ilvl="0">
      <w:lvlJc w:val="left"/>
      <w:lvlText w:val="%1."/>
      <w:numFmt w:val="decimal"/>
      <w:start w:val="16"/>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lvl w:ilvl="1">
      <w:lvlJc w:val="left"/>
      <w:lvlText w:val="•"/>
      <w:numFmt w:val="bullet"/>
      <w:start w:val="1"/>
    </w:lvl>
  </w:abstractNum>
  <w:abstractNum w:abstractNumId="27">
    <w:nsid w:val="725A06FB"/>
    <w:multiLevelType w:val="hybridMultilevel"/>
    <w:lvl w:ilvl="0">
      <w:lvlJc w:val="left"/>
      <w:lvlText w:val="(%1)"/>
      <w:numFmt w:val="decimal"/>
      <w:start w:val="1"/>
    </w:lvl>
  </w:abstractNum>
  <w:abstractNum w:abstractNumId="28">
    <w:nsid w:val="2CD89A32"/>
    <w:multiLevelType w:val="hybridMultilevel"/>
    <w:lvl w:ilvl="0">
      <w:lvlJc w:val="left"/>
      <w:lvlText w:val="(%1)"/>
      <w:numFmt w:val="decimal"/>
      <w:start w:val="4"/>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1)"/>
      <w:numFmt w:val="decimal"/>
      <w:start w:val="1"/>
    </w:lvl>
  </w:abstractNum>
  <w:abstractNum w:abstractNumId="33">
    <w:nsid w:val="6DE91B18"/>
    <w:multiLevelType w:val="hybridMultilevel"/>
    <w:lvl w:ilvl="0">
      <w:lvlJc w:val="left"/>
      <w:lvlText w:val="(%1)"/>
      <w:numFmt w:val="decimal"/>
      <w:start w:val="4"/>
    </w:lvl>
  </w:abstractNum>
  <w:abstractNum w:abstractNumId="34">
    <w:nsid w:val="38437FDB"/>
    <w:multiLevelType w:val="hybridMultilevel"/>
    <w:lvl w:ilvl="0">
      <w:lvlJc w:val="left"/>
      <w:lvlText w:val="(%1)"/>
      <w:numFmt w:val="lowerLetter"/>
      <w:start w:val="3"/>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1)"/>
      <w:numFmt w:val="decimal"/>
      <w:start w:val="1"/>
    </w:lvl>
  </w:abstractNum>
  <w:abstractNum w:abstractNumId="38">
    <w:nsid w:val="579478FE"/>
    <w:multiLevelType w:val="hybridMultilevel"/>
    <w:lvl w:ilvl="0">
      <w:lvlJc w:val="left"/>
      <w:lvlText w:val="(%1)"/>
      <w:numFmt w:val="decimal"/>
      <w:start w:val="2"/>
    </w:lvl>
  </w:abstractNum>
  <w:abstractNum w:abstractNumId="39">
    <w:nsid w:val="749ABB43"/>
    <w:multiLevelType w:val="hybridMultilevel"/>
    <w:lvl w:ilvl="0">
      <w:lvlJc w:val="left"/>
      <w:lvlText w:val="(%1)"/>
      <w:numFmt w:val="decimal"/>
      <w:start w:val="7"/>
    </w:lvl>
  </w:abstractNum>
  <w:abstractNum w:abstractNumId="40">
    <w:nsid w:val="3DC240FB"/>
    <w:multiLevelType w:val="hybridMultilevel"/>
    <w:lvl w:ilvl="0">
      <w:lvlJc w:val="left"/>
      <w:lvlText w:val="(%1)"/>
      <w:numFmt w:val="decimal"/>
      <w:start w:val="1"/>
    </w:lvl>
  </w:abstractNum>
  <w:abstractNum w:abstractNumId="41">
    <w:nsid w:val="1BA026FA"/>
    <w:multiLevelType w:val="hybridMultilevel"/>
    <w:lvl w:ilvl="0">
      <w:lvlJc w:val="left"/>
      <w:lvlText w:val="(%1)"/>
      <w:numFmt w:val="decimal"/>
      <w:start w:val="1"/>
    </w:lvl>
  </w:abstractNum>
  <w:abstractNum w:abstractNumId="42">
    <w:nsid w:val="79A1DEAA"/>
    <w:multiLevelType w:val="hybridMultilevel"/>
    <w:lvl w:ilvl="0">
      <w:lvlJc w:val="left"/>
      <w:lvlText w:val="(%1)"/>
      <w:numFmt w:val="lowerLetter"/>
      <w:start w:val="3"/>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
      <w:numFmt w:val="bullet"/>
      <w:start w:val="1"/>
    </w:lvl>
  </w:abstractNum>
  <w:abstractNum w:abstractNumId="46">
    <w:nsid w:val="520EEDD1"/>
    <w:multiLevelType w:val="hybridMultilevel"/>
    <w:lvl w:ilvl="0">
      <w:lvlJc w:val="left"/>
      <w:lvlText w:val="(%1)"/>
      <w:numFmt w:val="lowerRoman"/>
      <w:start w:val="4"/>
    </w:lvl>
  </w:abstractNum>
  <w:abstractNum w:abstractNumId="47">
    <w:nsid w:val="374A3FE6"/>
    <w:multiLevelType w:val="hybridMultilevel"/>
    <w:lvl w:ilvl="0">
      <w:lvlJc w:val="left"/>
      <w:lvlText w:val="(%1)"/>
      <w:numFmt w:val="decimal"/>
      <w:start w:val="1"/>
    </w:lvl>
  </w:abstractNum>
  <w:abstractNum w:abstractNumId="48">
    <w:nsid w:val="4F4EF005"/>
    <w:multiLevelType w:val="hybridMultilevel"/>
    <w:lvl w:ilvl="0">
      <w:lvlJc w:val="left"/>
      <w:lvlText w:val="(%1)"/>
      <w:numFmt w:val="decimal"/>
      <w:start w:val="7"/>
    </w:lvl>
  </w:abstractNum>
  <w:abstractNum w:abstractNumId="49">
    <w:nsid w:val="23F9C13C"/>
    <w:multiLevelType w:val="hybridMultilevel"/>
    <w:lvl w:ilvl="0">
      <w:lvlJc w:val="left"/>
      <w:lvlText w:val="(%1)"/>
      <w:numFmt w:val="decimal"/>
      <w:start w:val="1"/>
    </w:lvl>
  </w:abstractNum>
  <w:abstractNum w:abstractNumId="50">
    <w:nsid w:val="649BB77C"/>
    <w:multiLevelType w:val="hybridMultilevel"/>
    <w:lvl w:ilvl="0">
      <w:lvlJc w:val="left"/>
      <w:lvlText w:val="(%1)"/>
      <w:numFmt w:val="decimal"/>
      <w:start w:val="2"/>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
      <w:numFmt w:val="bullet"/>
      <w:start w:val="1"/>
    </w:lvl>
  </w:abstractNum>
  <w:abstractNum w:abstractNumId="53">
    <w:nsid w:val="1CF10FD8"/>
    <w:multiLevelType w:val="hybridMultilevel"/>
    <w:lvl w:ilvl="0">
      <w:lvlJc w:val="left"/>
      <w:lvlText w:val="(%1)"/>
      <w:numFmt w:val="decimal"/>
      <w:start w:val="1"/>
    </w:lvl>
  </w:abstractNum>
  <w:abstractNum w:abstractNumId="54">
    <w:nsid w:val="180115BE"/>
    <w:multiLevelType w:val="hybridMultilevel"/>
    <w:lvl w:ilvl="0">
      <w:lvlJc w:val="left"/>
      <w:lvlText w:val="(%1)"/>
      <w:numFmt w:val="decimal"/>
      <w:start w:val="1"/>
    </w:lvl>
  </w:abstractNum>
  <w:abstractNum w:abstractNumId="55">
    <w:nsid w:val="235BA861"/>
    <w:multiLevelType w:val="hybridMultilevel"/>
    <w:lvl w:ilvl="0">
      <w:lvlJc w:val="left"/>
      <w:lvlText w:val="(%1)"/>
      <w:numFmt w:val="lowerLetter"/>
      <w:start w:val="1"/>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2019-12-09T17:51:45Z</dcterms:created>
  <dcterms:modified xsi:type="dcterms:W3CDTF">2019-12-09T17:51:45Z</dcterms:modified>
</cp:coreProperties>
</file>