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333-285503</w:t>
      </w:r>
    </w:p>
    <w:p>
      <w:pPr>
        <w:spacing w:after="0" w:line="284"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620" w:type="dxa"/>
            <w:vAlign w:val="bottom"/>
            <w:vMerge w:val="restart"/>
            <w:textDirection w:val="btLr"/>
          </w:tcPr>
          <w:p>
            <w:pPr>
              <w:ind w:left="5"/>
              <w:spacing w:after="0"/>
              <w:rPr>
                <w:sz w:val="20"/>
                <w:szCs w:val="20"/>
                <w:color w:val="auto"/>
              </w:rPr>
            </w:pPr>
            <w:r>
              <w:rPr>
                <w:rFonts w:ascii="Times New Roman" w:cs="Times New Roman" w:eastAsia="Times New Roman" w:hAnsi="Times New Roman"/>
                <w:sz w:val="18"/>
                <w:szCs w:val="18"/>
                <w:b w:val="1"/>
                <w:bCs w:val="1"/>
                <w:color w:val="FF4338"/>
                <w:w w:val="96"/>
              </w:rPr>
              <w:t>nor</w:t>
            </w:r>
          </w:p>
        </w:tc>
        <w:tc>
          <w:tcPr>
            <w:tcW w:w="7160" w:type="dxa"/>
            <w:vAlign w:val="bottom"/>
          </w:tcPr>
          <w:p>
            <w:pPr>
              <w:jc w:val="center"/>
              <w:ind w:left="2533"/>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MARCH 31, 2025</w:t>
            </w:r>
          </w:p>
        </w:tc>
        <w:tc>
          <w:tcPr>
            <w:tcW w:w="0" w:type="dxa"/>
            <w:vAlign w:val="bottom"/>
          </w:tcPr>
          <w:p>
            <w:pPr>
              <w:spacing w:after="0"/>
              <w:rPr>
                <w:sz w:val="1"/>
                <w:szCs w:val="1"/>
                <w:color w:val="auto"/>
              </w:rPr>
            </w:pPr>
          </w:p>
        </w:tc>
      </w:tr>
      <w:tr>
        <w:trPr>
          <w:trHeight w:val="181"/>
        </w:trPr>
        <w:tc>
          <w:tcPr>
            <w:tcW w:w="620" w:type="dxa"/>
            <w:vAlign w:val="bottom"/>
            <w:vMerge w:val="continue"/>
          </w:tcPr>
          <w:p>
            <w:pPr>
              <w:spacing w:after="0"/>
              <w:rPr>
                <w:sz w:val="15"/>
                <w:szCs w:val="15"/>
                <w:color w:val="auto"/>
              </w:rPr>
            </w:pPr>
          </w:p>
        </w:tc>
        <w:tc>
          <w:tcPr>
            <w:tcW w:w="71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0" w:type="dxa"/>
            <w:vAlign w:val="bottom"/>
          </w:tcPr>
          <w:p>
            <w:pPr>
              <w:spacing w:after="0"/>
              <w:rPr>
                <w:sz w:val="1"/>
                <w:szCs w:val="1"/>
                <w:color w:val="auto"/>
              </w:rPr>
            </w:pPr>
          </w:p>
        </w:tc>
      </w:tr>
      <w:tr>
        <w:trPr>
          <w:trHeight w:val="143"/>
        </w:trPr>
        <w:tc>
          <w:tcPr>
            <w:tcW w:w="620" w:type="dxa"/>
            <w:vAlign w:val="bottom"/>
            <w:vMerge w:val="restart"/>
            <w:textDirection w:val="btLr"/>
          </w:tcPr>
          <w:p>
            <w:pPr>
              <w:ind w:left="417"/>
              <w:spacing w:after="0"/>
              <w:rPr>
                <w:sz w:val="20"/>
                <w:szCs w:val="20"/>
                <w:color w:val="auto"/>
              </w:rPr>
            </w:pPr>
            <w:r>
              <w:rPr>
                <w:rFonts w:ascii="Times New Roman" w:cs="Times New Roman" w:eastAsia="Times New Roman" w:hAnsi="Times New Roman"/>
                <w:sz w:val="1"/>
                <w:szCs w:val="1"/>
                <w:b w:val="1"/>
                <w:bCs w:val="1"/>
                <w:color w:val="FF4338"/>
                <w:w w:val="50"/>
              </w:rPr>
              <w:t>thispreliminaryprospectussupplementwheretheofferorsaleisnotpermitted.</w:t>
            </w:r>
          </w:p>
        </w:tc>
        <w:tc>
          <w:tcPr>
            <w:tcW w:w="7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
        </w:trPr>
        <w:tc>
          <w:tcPr>
            <w:tcW w:w="620" w:type="dxa"/>
            <w:vAlign w:val="bottom"/>
            <w:vMerge w:val="continue"/>
          </w:tcPr>
          <w:p>
            <w:pPr>
              <w:spacing w:after="0" w:line="20" w:lineRule="exact"/>
              <w:rPr>
                <w:sz w:val="1"/>
                <w:szCs w:val="1"/>
                <w:color w:val="auto"/>
              </w:rPr>
            </w:pPr>
          </w:p>
        </w:tc>
        <w:tc>
          <w:tcPr>
            <w:tcW w:w="7160" w:type="dxa"/>
            <w:vAlign w:val="bottom"/>
          </w:tcPr>
          <w:p>
            <w:pPr>
              <w:jc w:val="center"/>
              <w:ind w:left="2513"/>
              <w:spacing w:after="0" w:line="2" w:lineRule="exact"/>
              <w:rPr>
                <w:sz w:val="20"/>
                <w:szCs w:val="20"/>
                <w:color w:val="auto"/>
              </w:rPr>
            </w:pPr>
            <w:r>
              <w:rPr>
                <w:rFonts w:ascii="Times New Roman" w:cs="Times New Roman" w:eastAsia="Times New Roman" w:hAnsi="Times New Roman"/>
                <w:sz w:val="1"/>
                <w:szCs w:val="1"/>
                <w:b w:val="1"/>
                <w:bCs w:val="1"/>
                <w:color w:val="auto"/>
              </w:rPr>
              <w:t>Shares of Common Stock</w:t>
            </w: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 Prospectus dated March 25, 2025)</w:t>
            </w:r>
          </w:p>
        </w:tc>
        <w:tc>
          <w:tcPr>
            <w:tcW w:w="0" w:type="dxa"/>
            <w:vAlign w:val="bottom"/>
          </w:tcPr>
          <w:p>
            <w:pPr>
              <w:spacing w:after="0"/>
              <w:rPr>
                <w:sz w:val="1"/>
                <w:szCs w:val="1"/>
                <w:color w:val="auto"/>
              </w:rPr>
            </w:pPr>
          </w:p>
        </w:tc>
      </w:tr>
      <w:tr>
        <w:trPr>
          <w:trHeight w:val="573"/>
        </w:trPr>
        <w:tc>
          <w:tcPr>
            <w:tcW w:w="620" w:type="dxa"/>
            <w:vAlign w:val="bottom"/>
          </w:tcPr>
          <w:p>
            <w:pPr>
              <w:spacing w:after="0"/>
              <w:rPr>
                <w:sz w:val="24"/>
                <w:szCs w:val="24"/>
                <w:color w:val="auto"/>
              </w:rPr>
            </w:pPr>
          </w:p>
        </w:tc>
        <w:tc>
          <w:tcPr>
            <w:tcW w:w="7160" w:type="dxa"/>
            <w:vAlign w:val="bottom"/>
          </w:tcPr>
          <w:p>
            <w:pPr>
              <w:jc w:val="center"/>
              <w:ind w:left="2533"/>
              <w:spacing w:after="0"/>
              <w:rPr>
                <w:sz w:val="20"/>
                <w:szCs w:val="20"/>
                <w:color w:val="auto"/>
              </w:rPr>
            </w:pPr>
            <w:r>
              <w:rPr>
                <w:rFonts w:ascii="Times New Roman" w:cs="Times New Roman" w:eastAsia="Times New Roman" w:hAnsi="Times New Roman"/>
                <w:sz w:val="32"/>
                <w:szCs w:val="32"/>
                <w:b w:val="1"/>
                <w:bCs w:val="1"/>
                <w:color w:val="auto"/>
              </w:rPr>
              <w:t>$1,500,000,000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1899285</wp:posOffset>
            </wp:positionH>
            <wp:positionV relativeFrom="paragraph">
              <wp:posOffset>143510</wp:posOffset>
            </wp:positionV>
            <wp:extent cx="334327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LPL Financial Holdings Inc.</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319"/>
        </w:trPr>
        <w:tc>
          <w:tcPr>
            <w:tcW w:w="180" w:type="dxa"/>
            <w:vAlign w:val="bottom"/>
            <w:vMerge w:val="restart"/>
            <w:textDirection w:val="btLr"/>
          </w:tcPr>
          <w:p>
            <w:pPr>
              <w:ind w:left="111"/>
              <w:spacing w:after="0"/>
              <w:rPr>
                <w:sz w:val="20"/>
                <w:szCs w:val="20"/>
                <w:color w:val="auto"/>
              </w:rPr>
            </w:pPr>
            <w:r>
              <w:rPr>
                <w:rFonts w:ascii="Times New Roman" w:cs="Times New Roman" w:eastAsia="Times New Roman" w:hAnsi="Times New Roman"/>
                <w:sz w:val="6"/>
                <w:szCs w:val="6"/>
                <w:b w:val="1"/>
                <w:bCs w:val="1"/>
                <w:color w:val="FF4338"/>
                <w:w w:val="78"/>
              </w:rPr>
              <w:t>completeandmaybechanged.Neither</w:t>
            </w:r>
          </w:p>
        </w:tc>
        <w:tc>
          <w:tcPr>
            <w:tcW w:w="680" w:type="dxa"/>
            <w:vAlign w:val="bottom"/>
            <w:vMerge w:val="restart"/>
            <w:textDirection w:val="btLr"/>
          </w:tcPr>
          <w:p>
            <w:pPr>
              <w:ind w:left="179"/>
              <w:spacing w:after="0"/>
              <w:rPr>
                <w:sz w:val="20"/>
                <w:szCs w:val="20"/>
                <w:color w:val="auto"/>
              </w:rPr>
            </w:pPr>
            <w:r>
              <w:rPr>
                <w:rFonts w:ascii="Times New Roman" w:cs="Times New Roman" w:eastAsia="Times New Roman" w:hAnsi="Times New Roman"/>
                <w:sz w:val="6"/>
                <w:szCs w:val="6"/>
                <w:b w:val="1"/>
                <w:bCs w:val="1"/>
                <w:color w:val="FF4338"/>
                <w:w w:val="79"/>
              </w:rPr>
              <w:t>buythesesecuritiesinanyjurisdiction</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8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9220" w:type="dxa"/>
            <w:vAlign w:val="bottom"/>
            <w:gridSpan w:val="12"/>
            <w:vMerge w:val="restart"/>
          </w:tcPr>
          <w:p>
            <w:pPr>
              <w:ind w:left="380"/>
              <w:spacing w:after="0"/>
              <w:rPr>
                <w:sz w:val="20"/>
                <w:szCs w:val="20"/>
                <w:color w:val="auto"/>
              </w:rPr>
            </w:pPr>
            <w:r>
              <w:rPr>
                <w:rFonts w:ascii="Times New Roman" w:cs="Times New Roman" w:eastAsia="Times New Roman" w:hAnsi="Times New Roman"/>
                <w:sz w:val="18"/>
                <w:szCs w:val="18"/>
                <w:color w:val="auto"/>
                <w:w w:val="99"/>
              </w:rPr>
              <w:t>We are offering $1.5 billion of shares of our common stock. We have granted the underwriters a 30-day option to purchase</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20" w:type="dxa"/>
            <w:vAlign w:val="bottom"/>
            <w:gridSpan w:val="1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up to $225 million of additional shares of our common stock from us at the public offering price, less the underwriting discount.</w:t>
            </w: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2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w w:val="99"/>
              </w:rPr>
              <w:t>We intend to use the net proceeds from this offering to fund a portion of the cash consideration payable in connection with</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the acquisition (the “Commonwealth Acquisition”) of Commonwealth Financial Network (“Commonwealth”) and, to the extent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that any proceeds remain thereafter, or if the Commonwealth Acquisition is not completed, for general corporate purposes. See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2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rPr>
              <w:t>On March 31, 2025, we announced that LPL Holdings, Inc. (“Holdings”) had entered into a definitive purchase agreement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“Commonwealth Agreement”) to acquire Commonwealth. This offering is not conditioned upon the completion of the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Commonwealth Acquisition.</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vMerge w:val="restart"/>
            <w:textDirection w:val="btLr"/>
          </w:tcPr>
          <w:p>
            <w:pPr>
              <w:ind w:left="146"/>
              <w:spacing w:after="0"/>
              <w:rPr>
                <w:sz w:val="20"/>
                <w:szCs w:val="20"/>
                <w:color w:val="auto"/>
              </w:rPr>
            </w:pPr>
            <w:r>
              <w:rPr>
                <w:rFonts w:ascii="Times New Roman" w:cs="Times New Roman" w:eastAsia="Times New Roman" w:hAnsi="Times New Roman"/>
                <w:sz w:val="3"/>
                <w:szCs w:val="3"/>
                <w:b w:val="1"/>
                <w:bCs w:val="1"/>
                <w:color w:val="FF4338"/>
                <w:w w:val="77"/>
              </w:rPr>
              <w:t>Theinformationinthispreliminaryprospectussupplementisnot</w:t>
            </w:r>
          </w:p>
        </w:tc>
        <w:tc>
          <w:tcPr>
            <w:tcW w:w="680" w:type="dxa"/>
            <w:vAlign w:val="bottom"/>
            <w:vMerge w:val="restart"/>
            <w:textDirection w:val="btLr"/>
          </w:tcPr>
          <w:p>
            <w:pPr>
              <w:ind w:left="214"/>
              <w:spacing w:after="0"/>
              <w:rPr>
                <w:sz w:val="20"/>
                <w:szCs w:val="20"/>
                <w:color w:val="auto"/>
              </w:rPr>
            </w:pPr>
            <w:r>
              <w:rPr>
                <w:rFonts w:ascii="Times New Roman" w:cs="Times New Roman" w:eastAsia="Times New Roman" w:hAnsi="Times New Roman"/>
                <w:sz w:val="3"/>
                <w:szCs w:val="3"/>
                <w:b w:val="1"/>
                <w:bCs w:val="1"/>
                <w:color w:val="FF4338"/>
                <w:w w:val="80"/>
              </w:rPr>
              <w:t>theaccompanyingprospectusisanoffertosellnorisitanofferto</w:t>
            </w:r>
          </w:p>
        </w:tc>
        <w:tc>
          <w:tcPr>
            <w:tcW w:w="922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“LPLA.” On March 28, 2025, the</w:t>
            </w:r>
          </w:p>
        </w:tc>
        <w:tc>
          <w:tcPr>
            <w:tcW w:w="0" w:type="dxa"/>
            <w:vAlign w:val="bottom"/>
          </w:tcPr>
          <w:p>
            <w:pPr>
              <w:spacing w:after="0"/>
              <w:rPr>
                <w:sz w:val="1"/>
                <w:szCs w:val="1"/>
                <w:color w:val="auto"/>
              </w:rPr>
            </w:pPr>
          </w:p>
        </w:tc>
      </w:tr>
      <w:tr>
        <w:trPr>
          <w:trHeight w:val="180"/>
        </w:trPr>
        <w:tc>
          <w:tcPr>
            <w:tcW w:w="1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closing price of our common stock on the Nasdaq Global Select Market was $336.89 per share.</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4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20" w:type="dxa"/>
            <w:vAlign w:val="bottom"/>
            <w:gridSpan w:val="12"/>
          </w:tcPr>
          <w:p>
            <w:pPr>
              <w:ind w:left="380"/>
              <w:spacing w:after="0"/>
              <w:rPr>
                <w:sz w:val="20"/>
                <w:szCs w:val="20"/>
                <w:color w:val="auto"/>
              </w:rPr>
            </w:pPr>
            <w:r>
              <w:rPr>
                <w:rFonts w:ascii="Times New Roman" w:cs="Times New Roman" w:eastAsia="Times New Roman" w:hAnsi="Times New Roman"/>
                <w:sz w:val="22"/>
                <w:szCs w:val="22"/>
                <w:b w:val="1"/>
                <w:bCs w:val="1"/>
                <w:color w:val="auto"/>
                <w:w w:val="99"/>
              </w:rPr>
              <w:t>Investing in our securities involves significant risks. See “</w:t>
            </w:r>
            <w:r>
              <w:rPr>
                <w:rFonts w:ascii="Times New Roman" w:cs="Times New Roman" w:eastAsia="Times New Roman" w:hAnsi="Times New Roman"/>
                <w:sz w:val="22"/>
                <w:szCs w:val="22"/>
                <w:b w:val="1"/>
                <w:bCs w:val="1"/>
                <w:color w:val="0000EE"/>
                <w:w w:val="99"/>
              </w:rPr>
              <w:t>RISK FACTORS</w:t>
            </w:r>
            <w:r>
              <w:rPr>
                <w:rFonts w:ascii="Times New Roman" w:cs="Times New Roman" w:eastAsia="Times New Roman" w:hAnsi="Times New Roman"/>
                <w:sz w:val="22"/>
                <w:szCs w:val="22"/>
                <w:b w:val="1"/>
                <w:bCs w:val="1"/>
                <w:color w:val="auto"/>
                <w:w w:val="99"/>
              </w:rPr>
              <w:t>” beginning on page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and the risk factors</w:t>
            </w:r>
          </w:p>
        </w:tc>
        <w:tc>
          <w:tcPr>
            <w:tcW w:w="0" w:type="dxa"/>
            <w:vAlign w:val="bottom"/>
          </w:tcPr>
          <w:p>
            <w:pPr>
              <w:spacing w:after="0" w:line="20" w:lineRule="exact"/>
              <w:rPr>
                <w:sz w:val="1"/>
                <w:szCs w:val="1"/>
                <w:color w:val="auto"/>
              </w:rPr>
            </w:pPr>
          </w:p>
        </w:tc>
      </w:tr>
      <w:tr>
        <w:trPr>
          <w:trHeight w:val="232"/>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40" w:type="dxa"/>
            <w:vAlign w:val="bottom"/>
            <w:gridSpan w:val="9"/>
          </w:tcPr>
          <w:p>
            <w:pPr>
              <w:spacing w:after="0" w:line="232" w:lineRule="exact"/>
              <w:rPr>
                <w:sz w:val="20"/>
                <w:szCs w:val="20"/>
                <w:color w:val="auto"/>
              </w:rPr>
            </w:pPr>
            <w:r>
              <w:rPr>
                <w:rFonts w:ascii="Times New Roman" w:cs="Times New Roman" w:eastAsia="Times New Roman" w:hAnsi="Times New Roman"/>
                <w:sz w:val="22"/>
                <w:szCs w:val="22"/>
                <w:b w:val="1"/>
                <w:bCs w:val="1"/>
                <w:color w:val="auto"/>
                <w:w w:val="98"/>
              </w:rPr>
              <w:t>S-13 of this prospectus supplement, on page 1 in the accompanying prospectus</w:t>
            </w:r>
          </w:p>
        </w:tc>
        <w:tc>
          <w:tcPr>
            <w:tcW w:w="1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20" w:type="dxa"/>
            <w:vAlign w:val="bottom"/>
            <w:gridSpan w:val="12"/>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described in the documents that are incorporated by reference into this prospectus supplement and</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20" w:type="dxa"/>
            <w:vAlign w:val="bottom"/>
            <w:gridSpan w:val="1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the accompanying prospectus, as they may be amended, updated or modified periodically in our</w:t>
            </w: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reports filed with the Securities and Exchange Commission.</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20" w:type="dxa"/>
            <w:vAlign w:val="bottom"/>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Neither the Securities and Exchange Commission nor any state securities commission has approved or disapproved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of these securities or passed upon the adequacy or accuracy of this prospectus supplement or the accompanying</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prospectus. Any representation to the contrary is a criminal offense.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w:t>
            </w:r>
            <w:r>
              <w:rPr>
                <w:rFonts w:ascii="Times New Roman" w:cs="Times New Roman" w:eastAsia="Times New Roman" w:hAnsi="Times New Roman"/>
                <w:sz w:val="25"/>
                <w:szCs w:val="25"/>
                <w:color w:val="auto"/>
                <w:vertAlign w:val="superscript"/>
              </w:rPr>
              <w:t>(1)</w:t>
            </w:r>
          </w:p>
        </w:tc>
        <w:tc>
          <w:tcPr>
            <w:tcW w:w="15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620" w:type="dxa"/>
            <w:vAlign w:val="bottom"/>
            <w:gridSpan w:val="5"/>
          </w:tcPr>
          <w:p>
            <w:pPr>
              <w:spacing w:after="0"/>
              <w:rPr>
                <w:sz w:val="12"/>
                <w:szCs w:val="12"/>
                <w:color w:val="auto"/>
              </w:rPr>
            </w:pPr>
          </w:p>
        </w:tc>
        <w:tc>
          <w:tcPr>
            <w:tcW w:w="35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  See “Underwriting” on page S-21 of this prospectus supplement for a description of the compensation payable to the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underwriters.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(2)  Assumes no exercise of the underwriters’ option to purchase additional shares of common stock.</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 xml:space="preserve">The underwriters expect to deliver the shares on or about           </w:t>
            </w:r>
          </w:p>
        </w:tc>
        <w:tc>
          <w:tcPr>
            <w:tcW w:w="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2025.</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Sole Lead Book-Running Manager</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Morgan Stanley</w:t>
      </w:r>
    </w:p>
    <w:p>
      <w:pPr>
        <w:sectPr>
          <w:pgSz w:w="11900" w:h="16838" w:orient="portrait"/>
          <w:cols w:equalWidth="0" w:num="1">
            <w:col w:w="11140"/>
          </w:cols>
          <w:pgMar w:left="320" w:top="225" w:right="439" w:bottom="1440" w:gutter="0" w:footer="0" w:header="0"/>
        </w:sect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2025</w:t>
      </w:r>
    </w:p>
    <w:p>
      <w:pPr>
        <w:sectPr>
          <w:pgSz w:w="11900" w:h="16838" w:orient="portrait"/>
          <w:cols w:equalWidth="0" w:num="1">
            <w:col w:w="11140"/>
          </w:cols>
          <w:pgMar w:left="32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80" w:type="dxa"/>
            <w:vAlign w:val="bottom"/>
          </w:tcPr>
          <w:p>
            <w:pPr>
              <w:spacing w:after="0"/>
              <w:rPr>
                <w:sz w:val="24"/>
                <w:szCs w:val="24"/>
                <w:color w:val="auto"/>
              </w:rPr>
            </w:pPr>
          </w:p>
        </w:tc>
      </w:tr>
      <w:tr>
        <w:trPr>
          <w:trHeight w:val="634"/>
        </w:trPr>
        <w:tc>
          <w:tcPr>
            <w:tcW w:w="12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7"/>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NON-GAAP FINANCIAL MEASURES</w:t>
            </w:r>
          </w:p>
        </w:tc>
        <w:tc>
          <w:tcPr>
            <w:tcW w:w="572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 AND FORECASTS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54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9"/>
          </w:tcPr>
          <w:p>
            <w:pPr>
              <w:spacing w:after="0"/>
              <w:rPr>
                <w:sz w:val="17"/>
                <w:szCs w:val="17"/>
                <w:color w:val="auto"/>
              </w:rPr>
            </w:pPr>
          </w:p>
        </w:tc>
        <w:tc>
          <w:tcPr>
            <w:tcW w:w="5760" w:type="dxa"/>
            <w:vAlign w:val="bottom"/>
            <w:gridSpan w:val="1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0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20" w:type="dxa"/>
            <w:vAlign w:val="bottom"/>
          </w:tcPr>
          <w:p>
            <w:pPr>
              <w:spacing w:after="0"/>
              <w:rPr>
                <w:sz w:val="17"/>
                <w:szCs w:val="17"/>
                <w:color w:val="auto"/>
              </w:rPr>
            </w:pPr>
          </w:p>
        </w:tc>
        <w:tc>
          <w:tcPr>
            <w:tcW w:w="56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02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MATTERS</w:t>
            </w:r>
          </w:p>
        </w:tc>
        <w:tc>
          <w:tcPr>
            <w:tcW w:w="7200" w:type="dxa"/>
            <w:vAlign w:val="bottom"/>
            <w:gridSpan w:val="1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196"/>
        </w:trPr>
        <w:tc>
          <w:tcPr>
            <w:tcW w:w="12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INDEPENDENT AUDITORS</w:t>
            </w:r>
          </w:p>
        </w:tc>
        <w:tc>
          <w:tcPr>
            <w:tcW w:w="648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362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r>
      <w:tr>
        <w:trPr>
          <w:trHeight w:val="668"/>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SUPPLEMENTAL GUARANTOR FINANCIAL INFORMATION</w:t>
            </w:r>
          </w:p>
        </w:tc>
        <w:tc>
          <w:tcPr>
            <w:tcW w:w="382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4"/>
          </w:tcPr>
          <w:p>
            <w:pPr>
              <w:spacing w:after="0"/>
              <w:rPr>
                <w:sz w:val="17"/>
                <w:szCs w:val="17"/>
                <w:color w:val="auto"/>
              </w:rPr>
            </w:pPr>
          </w:p>
        </w:tc>
        <w:tc>
          <w:tcPr>
            <w:tcW w:w="5760" w:type="dxa"/>
            <w:vAlign w:val="bottom"/>
            <w:gridSpan w:val="1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1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DEBT SECURITIES AND GUARANTEES</w:t>
            </w:r>
          </w:p>
        </w:tc>
        <w:tc>
          <w:tcPr>
            <w:tcW w:w="358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74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362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2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This document has two parts. The first consists of this prospectus supplement, which describes the specific terms of this offering of common stock. The second part, the accompanying prospectus, provides more general information, some of which may not apply to this offering. If the description of this offering varies between this prospectus supplement and the accompanying prospectus, you should rely on the information in this prospectus supplement.</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Before purchasing any of our common stock, you should carefully read both this prospectus supplement and the accompanying prospectus, together with the additional information incorporated by reference in this prospectus supplement.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the accompanying prospectus, the documents incorporated by reference and any written communication from us or the underwriters specifying the final terms of this offering. We have not, and the underwriters have not, authorized anyone to provide you with information that is different. This prospectus supplement and the accompanying prospectus may only be used where it is legal to sell these securities. The information in this prospectus supplement and the accompanying prospectus may only be accurate as of their respective dates and the information in the incorporated documents is only accurate as of their respective dates. Our business, financial condition, results of operations and prospects may have changed since the date of such information.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Persons into whose possession this prospectus supplement and the accompanying prospectus come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or as context otherwise requires, references in this prospectus supplement to “LPL,” “we,” “us,” “our,” and the “Company” mean LPL Financial Holdings Inc. (“LPLFH”) and its consolidated subsidiaries, taken as a whole.</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presents certain “non-GAAP measures” as a supplement to LPLFH’s consolidated results presented in accordance with generally accepted accounting principles (“GAAP”), such as Gross Profit and Core G&amp;A. Non-GAAP measures have limitations as analytical tools. They are not presentations made in accordance with GAAP, are not measures of financial condition or liquidity, and should not be considered as an alternative to profit or loss for the period determined in accordance with GAAP or operating cash flows determined in accordance with GAAP. Non-GAAP measures are not necessarily comparable to similarly titled measures used by other companies. As a result, you should not consider such performance measures in isolation from, or as a substitute analysis for, our results of operations as determined in accordance with GAAP. Definitions and reconciliations of certain non-GAAP measures to the most directly comparable GAAP measures are provided in “Summary—Summary Consolidated Financial and Other Data.”</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MARKETING AND INDUSTRY DATA AND FORECASTS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obtained the market and competitive position data used throughout this prospectus supplement, the accompanying prospectus and the documents incorporated by reference herein from internal company sources, as well as market research, publicly available information and industry publications as indicated herein. While we believe the industry publications to be reliable, the accuracy and completeness of such information cannot be guaranteed. Similarly, while we believe such internal information and market research are reliable, such sources have not been independently verified, and neither we nor the underwriters make any representation as to the accuracy or completeness of such information. Investors should note that market data and statistics are inherently subject to a range of limitations and possible errors, including errors in data collection and the possibility that relevant data has been omitted. As a result, this data is subject to uncertainty and is not necessarily reflective of actual market conditions. Estimates and forecasts involve additional risks and uncertainties and are subject to change based on various factors, including those discussed in “Forward-Looking Statements” and “Risk Factors” included in this prospectus supplement and the accompanying prospectus and under similar headings in the documents incorporated by reference into this prospectus supplement.</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Statements in this prospectus supplement and the accompanying prospectus (including the information incorporated by reference herein and therein) and any free writing prospectus that we may provide you in connection with this offering regarding our future financial and operating results, outlook, growth, plans, business strategies, liquidity, future share repurchases and dividends, including statements regarding future resolution of regulatory matters, legal proceedings and related costs; the Company’s future revenue and expense; future affiliation models and capabilities; the timing of and our expected closing of the Commonwealth Acquisition; the expected conversion, transition and onboarding of advisors, institutions and assets in connection with our acquisition and recruitment activity, including the conversion of assets of the broker-dealers and investment advisors acquired in connection with our acquisition of Commonwealth and Atria Wealth Solutions, Inc. (“Atria”); market and macroeconomic trends, including the effects of inflation and the interest rate environment; projected savings and anticipated improvements to our operating model, services, and technologies as a result of our investments, initiatives, programs and acquisitions; and any other statements that are not related to present facts or current conditions, or that are not purely historical, constitute forward-looking statements. These forward-looking statements reflect our expectations and objectives as of the date of this prospectus supplement.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us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 changes in general economic and financial market conditions, including retail investor sentiment; changes in interest rates and fees payable by banks participating in our client cash programs, including our success in negotiating agreements with current or additional counterparties; our strategy and success in managing client cash program fees; fluctuations in the levels of advisory and brokerage assets, including net new assets, and the related impact on revenue; effects of competition in the financial services industry and our success in attracting and retaining financial advisors and institutions, and their ability to provide financial products and services effectively; whether retail investors served by newly-recruited advisors choose to move their respective assets to new accounts with us; difficulties and delays in onboarding the assets of acquired, recruited or transitioned advisors, including the receipt and timing of regulatory approvals that may be required; disruptions in our businesses that could make it more difficult to maintain relationships with advisors and their clients; the choice by clients of acquired, recruited, or transitioned advisors not to open brokerage and/or advisory accounts at the Company; changes in the growth and profitability of our fee-based offerings and asset-based revenues; the effect of current, pending and future legislation, regulation and regulatory actions, including disciplinary actions</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imposed by federal and state regulators and self-regulatory organizations; the cost of defending, settling and remediating issues related to regulatory matters or legal proceedings, including civil monetary penalties or actual costs of reimbursing customers for losses in excess of our reserves or insurance; changes made to our services and pricing, including in response to competitive developments and current, pending and future legislation, regulation and regulatory actions, and the effect that such changes may have on our gross profit streams and costs; execution of our capital management plans, including its compliance with the terms of the Amended and Restated Credit Agreement, dated as of March 10, 2017, among Holdings, LPLFH, JPMorgan Chase Bank, N.A., as administrative agent and collateral agent, and the lenders and the other parties party thereto from time to time (as amended, amended and restated, extended, supplemented, refinanced, replaced or otherwise modified from time to time with borrowings or commitments from lenders under one or more credit agreements) (the “Credit Agreement”), the committed revolving credit facility at our primary broker-dealer subsidiary, LPL Financial LLC, and the indentures governing our senior unsecured notes; strategic acquisitions and investments, including pursuant to our Liquidity &amp; Succession solution, and the effect that such acquisitions and investments may have on our capital management plans and liquidity; the price, availability and trading volumes of shares of our common stock, which will affect the timing and size of future share repurchases by the Company, if any; execution of our plans and our success in realizing the synergies, expense savings, service improvements or efficiencies expected to result from our investments, initiatives and acquisitions, expense plans and technology initiatives; whether advisors affiliated with Commonwealth or Atria will transition registration to us and whether assets reported as serviced by such financial advisors will translate into our assets; the performance of third-party service providers to which business processes have been transitioned; our ability to control operating risks, information technology systems risks, cybersecurity risks and sourcing risks; and the other factors set forth in “Risk Factors” and in the section entitled “Part I, Item 1A. Risk Factors” in our Annual Report on Form 10-K for the fiscal year ended December 31, 2024 (our “2024 Annual Report”), which is incorporated by reference herein, and other information contained in our 2024 Annual Report and in this prospectus supplement, the accompanying prospectus or any free writing prospectus that we may provide to you in connection with this offering. Except as required by law, we specifically disclaim any obligation to update any forward-looking statements as a result of developments occurring after the date of this prospectus supplement, even if our estimates change, and you should not rely on statements contained herein as representing our views as of any date subsequent to the date of this prospectus supplement.</w:t>
      </w: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220" w:firstLine="426"/>
        <w:spacing w:after="0" w:line="255" w:lineRule="auto"/>
        <w:rPr>
          <w:sz w:val="20"/>
          <w:szCs w:val="20"/>
          <w:color w:val="auto"/>
        </w:rPr>
      </w:pPr>
      <w:r>
        <w:rPr>
          <w:rFonts w:ascii="Times New Roman" w:cs="Times New Roman" w:eastAsia="Times New Roman" w:hAnsi="Times New Roman"/>
          <w:sz w:val="18"/>
          <w:szCs w:val="18"/>
          <w:color w:val="auto"/>
        </w:rPr>
        <w:t>This summary highlights selected information contained elsewhere in this prospectus supplement, the accompanying prospectus and the documents incorporated by reference and any free writing prospectuses we provide to you. This summary may not contain all of the information that may be important to you or that you should consider before investing in our common stock. For a more complete understanding of our business, you should read this entire prospectus supplement and the accompanying prospectus carefully, particularly the discussion under “Risk Factors” herein, the sections entitled “Risk Factors” and “Management’s Discussion and Analysis of Financial Condition and Results of Operations” included in our 2024 Annual Report, which are incorporated by reference herein, and the financial statements and the related notes incorporated by reference in this prospectus supplement and the accompanying prospectus before making an investment decision.</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General Corporate Overview</w:t>
      </w:r>
    </w:p>
    <w:p>
      <w:pPr>
        <w:spacing w:after="0" w:line="229"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LPL serves the financial advisor-mediated marketplace as the nation’s largest independent broker-dealer, a leading investment advisory firm and a top custodian. We support nearly 29,000 financial advisors, and the wealth management practices of approximately 1,200 financial institutions, servicing and custodying approximately $1.7 trillion in brokerage and advisory assets. The firm provides a wide range of advisor affiliation models, investment solutions, fintech tools and practice management services, ensuring that advisors and institutions have the flexibility to choose the business model, services and technology resources they need to run successful businesses.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w:t>
      </w:r>
    </w:p>
    <w:p>
      <w:pPr>
        <w:spacing w:after="0" w:line="180"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 making.</w:t>
      </w:r>
    </w:p>
    <w:p>
      <w:pPr>
        <w:spacing w:after="0" w:line="176"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LPLFH, which is the parent company of our business, was incorporated in Delaware in 2005. LPLFH’s most significant wholly owned subsidiaries are described below:</w:t>
      </w:r>
    </w:p>
    <w:p>
      <w:pPr>
        <w:spacing w:after="0" w:line="67" w:lineRule="exact"/>
        <w:rPr>
          <w:sz w:val="20"/>
          <w:szCs w:val="20"/>
          <w:color w:val="auto"/>
        </w:rPr>
      </w:pPr>
    </w:p>
    <w:p>
      <w:pPr>
        <w:ind w:left="1240" w:right="56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direct subsidiary of LPLFH and is an intermediate holding company of the Company’s business and directly or indirectly owns 100% of the issued and outstanding equity interests of all of LPLFH’s indirect subsidiaries, including a captive insurance subsidiary that underwrites insurance for various legal and regulatory risks of the Company.</w:t>
      </w:r>
    </w:p>
    <w:p>
      <w:pPr>
        <w:spacing w:after="0" w:line="81" w:lineRule="exact"/>
        <w:rPr>
          <w:rFonts w:ascii="Times New Roman" w:cs="Times New Roman" w:eastAsia="Times New Roman" w:hAnsi="Times New Roman"/>
          <w:sz w:val="18"/>
          <w:szCs w:val="18"/>
          <w:color w:val="auto"/>
        </w:rPr>
      </w:pPr>
    </w:p>
    <w:p>
      <w:pPr>
        <w:ind w:left="1240" w:right="100" w:hanging="415"/>
        <w:spacing w:after="0" w:line="261"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LPL Financial LLC (“LPL Financial”), with primary offices in San Diego, California; Fort Mill, South Carolina; Tempe, Arizona; Boston, Massachusetts; and Austin, Texas, is a clearing broker-dealer and an investment advisor that principally transacts business as an agent for its advisors and enterprises on behalf of their clients in a broad array of financial products and services. LPL Financial is licensed to operate in all 50 states, Washington D.C., Puerto Rico and the U.S. Virgin Islands.</w:t>
      </w:r>
    </w:p>
    <w:p>
      <w:pPr>
        <w:spacing w:after="0" w:line="85"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LPL Enterprise, LLC (“LPL Enterprise”) is a limited product shelf introducing broker-dealer and registered investment advisor that supports a portion of the Company’s institutional businesses, providing brokerage and investment advisory services to the clients of those institutional businesses.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LPL Insurance Associates, Inc. (“LPLIA”) operates as a brokerage general agency that offers life and disability insurance products and services.</w:t>
      </w:r>
    </w:p>
    <w:p>
      <w:pPr>
        <w:spacing w:after="0" w:line="67"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Atria is a holding company for the registered broker-dealers and investment advisors that the Company acquired in connection with the acquisition of Atria. Atria has seven introducing broker-dealer subsidiaries, which clear transactions through third-party clearing and carrying firms. The Company expects to complete the conversion of assets from these acquired broker-dealers and investment advisors in 2025.</w:t>
      </w:r>
    </w:p>
    <w:p>
      <w:pPr>
        <w:spacing w:after="0" w:line="85"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Trust Company, N.A. (“PTC”) provides trust administration, investment management oversight and Individual Retirement Account (“IRA”) custodial services.</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LPL Employee Services, LLC and its subsidiary, Allen &amp; Company of Florida, LLC, along with their affiliate Financial Resources Group Investment Services, LLC, provide primary support for the Company’s employee advisor affiliation model.</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31, 2025, we announced that we had entered into the Commonwealth Agreement to acquire Commonwealth for a purchase price of approximately $2.7 billion in cash, subject to certain customary adjustments as set forth in the Commonwealth Agreement. The transaction is expected to close in the second half of 2025 and is subject to regulatory approvals and other customary closing conditions. Commonwealth is an independently owned wealth management firm based in the U.S. It provides integrated business solutions and services for approximately 2,900 independent financial advisors in the U.S., managing approximately $285 billion of brokerage and advisory assets as of December 31, 2024. As of December 31, 2024, Commonwealth’s asset mix is approximately 75% advisory and 25% brokerage, with client cash sweep balances of approximately $6 billion.</w:t>
      </w:r>
    </w:p>
    <w:p>
      <w:pPr>
        <w:spacing w:after="0" w:line="189"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Commonwealth Acquisition does not purport to be complete and is qualified in its entirety by reference to the definitive purchase agreement, which is included as an exhibit to our Current Report on Form 8-K filed with the Securities and Exchange Commission (the “SEC”) on March 31, 2025, certain items of which are incorporated by reference into this prospectus supplement. See “Information We Incorporate by Reference.” The definitive agreement has been incorporated by reference into this prospectus supplement solely to provide investors and security holders with information relating to its terms. It is not intended to be a source of financial, business or operational information about ourselves or Commonwealth. The representations, warranties and covenants contained in the definitive agreement are made only for the purposes of the definitive agreement and are made as of specific dates and are solely for the benefit of the parties to the definitive agreement. As to factual matters concerning ourselves or Commonwealth, you should not rely upon the representations and warranties in the definitive agreement.</w:t>
      </w:r>
    </w:p>
    <w:p>
      <w:pPr>
        <w:spacing w:after="0" w:line="18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available cash and available borrowings under the revolving credit facility provided for under the Credit Agreement (the “Revolving Credit Facility”), or other borrowings or debt financings, to fund the Commonwealth Acquisition. Subject to market conditions and other factors, we expect to raise additional amounts to fund the Commonwealth Acquisition in a public offering of Holdings’ senior notes. Any senior unsecured notes issued by Holdings will be fully and unconditionally guaranteed on a senior unsecured basis by us. See “Use of Proceeds.”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78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This offering is not conditioned upon the completion of the Commonwealth Acquisition or any potential offering of Holdings’ senior notes, and there can be no assurance that either any offering of Holdings’ senior notes or the Commonwealth Acquisition will be completed. This prospectus supplement is not, and should not be construed as, an offer of any securities other than the shares of common stock offered hereby.</w:t>
      </w:r>
    </w:p>
    <w:p>
      <w:pPr>
        <w:spacing w:after="0" w:line="17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connection with entering into the Commonwealth Acquisition, Holdings has obtained committed financing to fund a portion of the purchase price pursuant to a commitment letter (the “Commitment Letter”) entered into on March 28, 2025, with Morgan Stanley Senior Funding, Inc., which provides commitments for a 364-day senior unsecured bridge loan facility (the “Bridge Facility”) in an aggregate initial principal amount of $2.6 billion, with such principal amount to be reduced by, among other things, the aggregate net cash proceeds received by LPLFH or any of its subsidiaries from certain debt or equity transactions, including this offering. Loans under the Bridge Facility, if any, will be guaranteed by LPLFH. The funding of the Bridge Facility is contingent on the satisfaction of customary conditions, including (i) execution and delivery of definitive documentation with respect to the Bridge Facility in accordance with the terms set forth in the Commitment Letter and (ii) consummation of the Commonwealth Acquisition.</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were incorporated as a Delaware corporation in 2005. Our address is 4707 Executive Drive, San Diego, California 92121.</w:t>
      </w:r>
    </w:p>
    <w:p>
      <w:pPr>
        <w:spacing w:after="0" w:line="225"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Our telephone number is (800) 877-7210. Our website address is www.lpl.com. Information contained in, and that can be accessed through, our website is not incorporated into and does not form a part of this prospectus supplement or the accompanying prospectus.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8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following summary highlights information contained elsewhere in this prospectus supplement. You should read this summary in conjunction with the more detailed information appearing elsewhere in this prospectus supplement and the accompanying prospectus.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LPL Financial Holdings Inc.</w:t>
            </w:r>
          </w:p>
        </w:tc>
      </w:tr>
      <w:tr>
        <w:trPr>
          <w:trHeight w:val="47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$1,500,000,000 of shares of common stock.</w:t>
            </w:r>
          </w:p>
        </w:tc>
      </w:tr>
      <w:tr>
        <w:trPr>
          <w:trHeight w:val="45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have granted a 30-day option to the underwriters to purchase up to a total of</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$225 million of additional shares of common stock from us at the public offering price, less</w:t>
            </w:r>
          </w:p>
        </w:tc>
      </w:tr>
      <w:tr>
        <w:trPr>
          <w:trHeight w:val="234"/>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underwriting discount payable by us.</w:t>
            </w:r>
          </w:p>
        </w:tc>
      </w:tr>
      <w:tr>
        <w:trPr>
          <w:trHeight w:val="43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shares (            shares if the underwriters exercise their option to purchase</w:t>
            </w:r>
          </w:p>
        </w:tc>
      </w:tr>
      <w:tr>
        <w:trPr>
          <w:trHeight w:val="238"/>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shares in full).</w:t>
            </w:r>
          </w:p>
        </w:tc>
      </w:tr>
      <w:tr>
        <w:trPr>
          <w:trHeight w:val="45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We estimate that the net proceeds to us from this offering will be approximately $          </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or approximately $            million if the underwriters exercise their option to</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additional shares from us in full, in each case, after deducting the underwriting</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and estimated offering expenses payable by us. We intend to use the net proceeds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this offering to fund a portion of the cash consideration payable in connection with</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Commonwealth Acquisition and, to the extent that any proceeds remain thereafter, or if</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Commonwealth Acquisition is not completed, for general corporate purposes. See “Use</w:t>
            </w:r>
          </w:p>
        </w:tc>
      </w:tr>
      <w:tr>
        <w:trPr>
          <w:trHeight w:val="234"/>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Proceeds.”</w:t>
            </w:r>
          </w:p>
        </w:tc>
      </w:tr>
      <w:tr>
        <w:trPr>
          <w:trHeight w:val="441"/>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Symbol for Our Common Stock</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w:t>
            </w:r>
          </w:p>
        </w:tc>
      </w:tr>
      <w:tr>
        <w:trPr>
          <w:trHeight w:val="234"/>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“LPLA.”</w:t>
            </w:r>
          </w:p>
        </w:tc>
      </w:tr>
      <w:tr>
        <w:trPr>
          <w:trHeight w:val="441"/>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You should carefully consider the information set forth under the heading “Risk Factors” in</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as well as the other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included in or incorporated by reference in this prospectus supplement and the</w:t>
            </w:r>
          </w:p>
        </w:tc>
      </w:tr>
      <w:tr>
        <w:trPr>
          <w:trHeight w:val="234"/>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accompanying prospectus, before deciding whether to invest in our common stock.</w:t>
            </w:r>
          </w:p>
        </w:tc>
      </w:tr>
      <w:tr>
        <w:trPr>
          <w:trHeight w:val="441"/>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Proposed Notes Offering</w:t>
            </w: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market conditions and other factors, we expect to raise additional amounts to</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 the Commonwealth Acquisition in a public offering of Holdings’ senior notes. Any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unsecured notes issued by Holdings will be fully and unconditionally guaranteed on</w:t>
            </w:r>
          </w:p>
        </w:tc>
      </w:tr>
      <w:tr>
        <w:trPr>
          <w:trHeight w:val="234"/>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senior unsecured basis by us.</w:t>
            </w:r>
          </w:p>
        </w:tc>
      </w:tr>
      <w:tr>
        <w:trPr>
          <w:trHeight w:val="441"/>
        </w:trPr>
        <w:tc>
          <w:tcPr>
            <w:tcW w:w="400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completion of this offering is not conditioned upon the successful completion of any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potential offering of Holdings’ senior notes. We cannot assure you that any potential</w:t>
            </w:r>
          </w:p>
        </w:tc>
      </w:tr>
      <w:tr>
        <w:trPr>
          <w:trHeight w:val="234"/>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of Holdings’ senior</w:t>
            </w:r>
          </w:p>
        </w:tc>
      </w:tr>
      <w:tr>
        <w:trPr>
          <w:trHeight w:val="172"/>
        </w:trPr>
        <w:tc>
          <w:tcPr>
            <w:tcW w:w="4000" w:type="dxa"/>
            <w:vAlign w:val="bottom"/>
            <w:tcBorders>
              <w:bottom w:val="single" w:sz="8" w:color="auto"/>
            </w:tcBorders>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21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121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line="282" w:lineRule="auto"/>
        <w:rPr>
          <w:sz w:val="20"/>
          <w:szCs w:val="20"/>
          <w:color w:val="auto"/>
        </w:rPr>
      </w:pPr>
      <w:r>
        <w:rPr>
          <w:rFonts w:ascii="Times New Roman" w:cs="Times New Roman" w:eastAsia="Times New Roman" w:hAnsi="Times New Roman"/>
          <w:sz w:val="18"/>
          <w:szCs w:val="18"/>
          <w:color w:val="auto"/>
        </w:rPr>
        <w:t>notes will be completed. This prospectus supplement is not, and should not be construed as, an offer of any securities other than the shares of common stock offered hereby.</w:t>
      </w:r>
    </w:p>
    <w:p>
      <w:pPr>
        <w:spacing w:after="0" w:line="175"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74,660,632 shares of our common stock outstanding as of December 31, 2024 and excludes, as of that date, the following:</w:t>
      </w:r>
    </w:p>
    <w:p>
      <w:pPr>
        <w:spacing w:after="0" w:line="67" w:lineRule="exact"/>
        <w:rPr>
          <w:sz w:val="20"/>
          <w:szCs w:val="20"/>
          <w:color w:val="auto"/>
        </w:rPr>
      </w:pPr>
    </w:p>
    <w:p>
      <w:pPr>
        <w:ind w:left="1240" w:right="120" w:hanging="415"/>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135,510 shares of our common stock issuable upon exercise of outstanding options, of which 135,510 were exercisable at a weighted average exercise price of $61.08 per share, under our 2021 Omnibus Equity Incentive Plan, as amended (the “Incentive Plan”);</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622,564 shares of our common stock issuable upon vesting and settlement of restricted stock units, under the Incentive Plan;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12,513,365 shares of our common stock reserved for issuance pursuant to the Incentive Plan.</w:t>
      </w:r>
    </w:p>
    <w:p>
      <w:pPr>
        <w:spacing w:after="0" w:line="225"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by the underwriters of their option to purchase additional shares of our common stock.</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229"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We derived the following summary consolidated statements of income data for the years ended December 31, 2024, 2023 and 2022 and the consolidated statements of financial condition data and the consolidated statements of cash flows data for the years ended December 31, 2024 and 2023 from the audited financial statements of LPLFH incorporated by reference in this prospectus supplement.</w:t>
      </w:r>
    </w:p>
    <w:p>
      <w:pPr>
        <w:spacing w:after="0" w:line="176" w:lineRule="exact"/>
        <w:rPr>
          <w:sz w:val="20"/>
          <w:szCs w:val="20"/>
          <w:color w:val="auto"/>
        </w:rPr>
      </w:pPr>
    </w:p>
    <w:p>
      <w:pPr>
        <w:ind w:left="300" w:right="440" w:firstLine="426"/>
        <w:spacing w:after="0" w:line="258"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that may be expected for any future period. The following summaries of our consolidated financial data for the periods presented should be read in conjunction with “Risk Factors” included elsewhere in this prospectus supplement and the accompanying prospectus, the sections entitled “Risk Factors” and “Management’s Discussion and Analysis of Financial Condition and Results of Operations” included in our 2024 Annual Report and LPLFH’s audited consolidated historical financial statements and the related notes, included in our 2024 Annual Report, which are incorporated by reference herein.</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Years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3"/>
        </w:trPr>
        <w:tc>
          <w:tcPr>
            <w:tcW w:w="10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42"/>
        </w:trPr>
        <w:tc>
          <w:tcPr>
            <w:tcW w:w="104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1040" w:type="dxa"/>
            <w:vAlign w:val="bottom"/>
          </w:tcPr>
          <w:p>
            <w:pPr>
              <w:spacing w:after="0"/>
              <w:rPr>
                <w:sz w:val="17"/>
                <w:szCs w:val="17"/>
                <w:color w:val="auto"/>
              </w:rPr>
            </w:pPr>
          </w:p>
        </w:tc>
        <w:tc>
          <w:tcPr>
            <w:tcW w:w="5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Income Data (dollars in millions):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3,875.2</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2,326.2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Asset-based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1,760.3</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and fee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c>
          <w:tcPr>
            <w:tcW w:w="10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5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12,385.1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10,052.8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8,600.8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Advisory and commission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5,915.8</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5,324.8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Promotional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other intangibles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Brokerage, clearing and exchange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Communications and data processing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040" w:type="dxa"/>
            <w:vAlign w:val="bottom"/>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10,992.2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7,489.2</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6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1,111.7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6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9"/>
        </w:trPr>
        <w:tc>
          <w:tcPr>
            <w:tcW w:w="104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361"/>
        </w:trPr>
        <w:tc>
          <w:tcPr>
            <w:tcW w:w="1040" w:type="dxa"/>
            <w:vAlign w:val="bottom"/>
          </w:tcPr>
          <w:p>
            <w:pPr>
              <w:spacing w:after="0"/>
              <w:rPr>
                <w:sz w:val="24"/>
                <w:szCs w:val="24"/>
                <w:color w:val="auto"/>
              </w:rPr>
            </w:pPr>
          </w:p>
        </w:tc>
        <w:tc>
          <w:tcPr>
            <w:tcW w:w="53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S-9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87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60" w:type="dxa"/>
        <w:tblCellMar>
          <w:top w:w="0" w:type="dxa"/>
          <w:left w:w="0" w:type="dxa"/>
          <w:bottom w:w="0" w:type="dxa"/>
          <w:right w:w="0" w:type="dxa"/>
        </w:tblCellMar>
      </w:tblPr>
      <w:tr>
        <w:trPr>
          <w:trHeight w:val="142"/>
        </w:trPr>
        <w:tc>
          <w:tcPr>
            <w:tcW w:w="56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Cash Flows Data (dollars in millions):</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(1,592.1)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(376.4)</w:t>
            </w:r>
          </w:p>
        </w:tc>
      </w:tr>
      <w:tr>
        <w:trPr>
          <w:trHeight w:val="216"/>
        </w:trPr>
        <w:tc>
          <w:tcPr>
            <w:tcW w:w="5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(504.3)</w:t>
            </w: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increase (decrease) in cash and equivalents, cash and equivalents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segregated under federal or other regulations and restricted cash</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(556.1)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Other Financial Data (dollars in millions):</w:t>
            </w:r>
            <w:r>
              <w:rPr>
                <w:rFonts w:ascii="Times New Roman" w:cs="Times New Roman" w:eastAsia="Times New Roman" w:hAnsi="Times New Roman"/>
                <w:sz w:val="25"/>
                <w:szCs w:val="25"/>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5"/>
                <w:szCs w:val="25"/>
                <w:color w:val="auto"/>
                <w:vertAlign w:val="superscript"/>
              </w:rPr>
              <w:t>(1)(2)</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4,501.3</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$4,027.0</w:t>
            </w: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Core G&amp;A</w:t>
            </w:r>
            <w:r>
              <w:rPr>
                <w:rFonts w:ascii="Times New Roman" w:cs="Times New Roman" w:eastAsia="Times New Roman" w:hAnsi="Times New Roman"/>
                <w:sz w:val="25"/>
                <w:szCs w:val="25"/>
                <w:color w:val="auto"/>
                <w:vertAlign w:val="superscript"/>
              </w:rPr>
              <w:t>(1)(3)</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92"/>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4"/>
        </w:trPr>
        <w:tc>
          <w:tcPr>
            <w:tcW w:w="56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Statements of Financial Condition Data (at period end;</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equivalents</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$ 13,317.4</w:t>
            </w:r>
          </w:p>
        </w:tc>
        <w:tc>
          <w:tcPr>
            <w:tcW w:w="1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$ 10,385.5</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9,482.2</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Total debt</w:t>
            </w:r>
            <w:r>
              <w:rPr>
                <w:rFonts w:ascii="Times New Roman" w:cs="Times New Roman" w:eastAsia="Times New Roman" w:hAnsi="Times New Roman"/>
                <w:sz w:val="25"/>
                <w:szCs w:val="25"/>
                <w:color w:val="auto"/>
                <w:vertAlign w:val="superscript"/>
              </w:rPr>
              <w:t>(4)</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5,494.7</w:t>
            </w:r>
          </w:p>
        </w:tc>
        <w:tc>
          <w:tcPr>
            <w:tcW w:w="1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3,734.1</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2,717.4</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Total liabilities</w:t>
            </w:r>
            <w:r>
              <w:rPr>
                <w:rFonts w:ascii="Times New Roman" w:cs="Times New Roman" w:eastAsia="Times New Roman" w:hAnsi="Times New Roman"/>
                <w:sz w:val="25"/>
                <w:szCs w:val="25"/>
                <w:color w:val="auto"/>
                <w:vertAlign w:val="superscript"/>
              </w:rPr>
              <w:t>(4)</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$ 10,386.8</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8,306.5</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7,314.7</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2,167.6</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Metrics (at period end; dollars in billions, except advisors):</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Advisory and brokerage assets</w:t>
            </w:r>
            <w:r>
              <w:rPr>
                <w:rFonts w:ascii="Times New Roman" w:cs="Times New Roman" w:eastAsia="Times New Roman" w:hAnsi="Times New Roman"/>
                <w:sz w:val="25"/>
                <w:szCs w:val="25"/>
                <w:color w:val="auto"/>
                <w:vertAlign w:val="superscript"/>
              </w:rPr>
              <w:t>(5)</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1,110.8</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 assets</w:t>
            </w: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Brokerage assets</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Advisors</w:t>
            </w:r>
            <w:r>
              <w:rPr>
                <w:rFonts w:ascii="Times New Roman" w:cs="Times New Roman" w:eastAsia="Times New Roman" w:hAnsi="Times New Roman"/>
                <w:sz w:val="25"/>
                <w:szCs w:val="25"/>
                <w:color w:val="auto"/>
                <w:vertAlign w:val="superscript"/>
              </w:rPr>
              <w:t>(6)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21,275</w:t>
            </w:r>
          </w:p>
        </w:tc>
      </w:tr>
    </w:tbl>
    <w:p>
      <w:pPr>
        <w:spacing w:after="0" w:line="171" w:lineRule="exact"/>
        <w:rPr>
          <w:sz w:val="20"/>
          <w:szCs w:val="20"/>
          <w:color w:val="auto"/>
        </w:rPr>
      </w:pPr>
    </w:p>
    <w:p>
      <w:pPr>
        <w:ind w:left="720" w:right="80" w:hanging="422"/>
        <w:spacing w:after="0" w:line="25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presenting certain non-GAAP measures by excluding or including certain items can be helpful to investors and analysts who may wish to use some or all of this information to analyze our current performance, prospects and valuation. Management uses these non-GAAP measures internally to evaluate operating performance and in formulating the budget for future periods. Management believes that the non-GAAP measures and metrics discussed below are appropriate for evaluating our performance.</w:t>
      </w:r>
    </w:p>
    <w:p>
      <w:pPr>
        <w:spacing w:after="0" w:line="2" w:lineRule="exact"/>
        <w:rPr>
          <w:rFonts w:ascii="Times New Roman" w:cs="Times New Roman" w:eastAsia="Times New Roman" w:hAnsi="Times New Roman"/>
          <w:sz w:val="18"/>
          <w:szCs w:val="18"/>
          <w:color w:val="auto"/>
        </w:rPr>
      </w:pPr>
    </w:p>
    <w:p>
      <w:pPr>
        <w:ind w:left="720" w:hanging="422"/>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9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useful insight into our core operating performance before indirect costs that are general and administrative in nature.</w:t>
      </w: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 Reconciliation (dollars in millions)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10,052.8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$ 8,600.8</w:t>
            </w: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 and commission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80" w:type="dxa"/>
            <w:vAlign w:val="bottom"/>
            <w:shd w:val="clear" w:color="auto" w:fill="CCEEFF"/>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Brokerage, clearing and exchange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4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deferred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80" w:type="dxa"/>
            <w:vAlign w:val="bottom"/>
          </w:tcPr>
          <w:p>
            <w:pPr>
              <w:ind w:left="540"/>
              <w:spacing w:after="0" w:line="223" w:lineRule="exact"/>
              <w:rPr>
                <w:sz w:val="20"/>
                <w:szCs w:val="20"/>
                <w:color w:val="auto"/>
              </w:rPr>
            </w:pPr>
            <w:r>
              <w:rPr>
                <w:rFonts w:ascii="Times New Roman" w:cs="Times New Roman" w:eastAsia="Times New Roman" w:hAnsi="Times New Roman"/>
                <w:sz w:val="17"/>
                <w:szCs w:val="17"/>
                <w:b w:val="1"/>
                <w:bCs w:val="1"/>
                <w:color w:val="auto"/>
              </w:rPr>
              <w:t>Gross Profit</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5"/>
                <w:szCs w:val="25"/>
                <w:b w:val="1"/>
                <w:bCs w:val="1"/>
                <w:color w:val="auto"/>
                <w:vertAlign w:val="superscript"/>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4,501.3</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4,027.0</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$ 3,189.9</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1660" w:hanging="417"/>
        <w:spacing w:after="0"/>
        <w:tabs>
          <w:tab w:leader="none" w:pos="1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foot due to rounding.</w:t>
      </w:r>
    </w:p>
    <w:p>
      <w:pPr>
        <w:spacing w:after="0" w:line="130" w:lineRule="exact"/>
        <w:rPr>
          <w:rFonts w:ascii="Times New Roman" w:cs="Times New Roman" w:eastAsia="Times New Roman" w:hAnsi="Times New Roman"/>
          <w:sz w:val="18"/>
          <w:szCs w:val="18"/>
          <w:color w:val="auto"/>
        </w:rPr>
      </w:pPr>
    </w:p>
    <w:p>
      <w:pPr>
        <w:ind w:left="720" w:hanging="422"/>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G&amp;A is a non-GAAP financial measure defined as total expense less the following expenses: advisory and commission; depreciation and amortization; interest expense on borrowings; brokerage, clearing and exchange; amortization of other intangibles; market fluctuations on employee deferred compensation; losses on extinguishment of debt;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9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Core G&amp;A Reconciliation (dollars in millions)</w:t>
            </w:r>
          </w:p>
        </w:tc>
        <w:tc>
          <w:tcPr>
            <w:tcW w:w="1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10,992.2</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$ 8,608.1</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$ 7,489.2</w:t>
            </w:r>
          </w:p>
        </w:tc>
        <w:tc>
          <w:tcPr>
            <w:tcW w:w="12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Advisory and commission</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(7,751.0)</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(5,915.8)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(5,324.8)</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(308.5)</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(247.0)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(274.2)</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(186.8)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other intangibles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(135.2)</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(107.2)</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Brokerage, clearing and exchange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(127.9)</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deferred compensation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560" w:type="dxa"/>
            <w:vAlign w:val="bottom"/>
          </w:tcPr>
          <w:p>
            <w:pPr>
              <w:ind w:left="540"/>
              <w:spacing w:after="0" w:line="223" w:lineRule="exact"/>
              <w:rPr>
                <w:sz w:val="20"/>
                <w:szCs w:val="20"/>
                <w:color w:val="auto"/>
              </w:rPr>
            </w:pPr>
            <w:r>
              <w:rPr>
                <w:rFonts w:ascii="Times New Roman" w:cs="Times New Roman" w:eastAsia="Times New Roman" w:hAnsi="Times New Roman"/>
                <w:sz w:val="17"/>
                <w:szCs w:val="17"/>
                <w:b w:val="1"/>
                <w:bCs w:val="1"/>
                <w:color w:val="auto"/>
              </w:rPr>
              <w:t>Total G&amp;A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5"/>
                <w:szCs w:val="25"/>
                <w:b w:val="1"/>
                <w:bCs w:val="1"/>
                <w:color w:val="auto"/>
                <w:vertAlign w:val="superscript"/>
              </w:rPr>
              <w:t>)</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$ 2,041.2</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$ 1,664.7</w:t>
            </w:r>
          </w:p>
        </w:tc>
        <w:tc>
          <w:tcPr>
            <w:tcW w:w="120" w:type="dxa"/>
            <w:vAlign w:val="bottom"/>
          </w:tcPr>
          <w:p>
            <w:pPr>
              <w:spacing w:after="0"/>
              <w:rPr>
                <w:sz w:val="20"/>
                <w:szCs w:val="20"/>
                <w:color w:val="auto"/>
              </w:rPr>
            </w:pPr>
          </w:p>
        </w:tc>
      </w:tr>
      <w:tr>
        <w:trPr>
          <w:trHeight w:val="216"/>
        </w:trPr>
        <w:tc>
          <w:tcPr>
            <w:tcW w:w="4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Promotional (ongoing)</w:t>
            </w:r>
            <w:r>
              <w:rPr>
                <w:rFonts w:ascii="Times New Roman" w:cs="Times New Roman" w:eastAsia="Times New Roman" w:hAnsi="Times New Roman"/>
                <w:sz w:val="25"/>
                <w:szCs w:val="25"/>
                <w:color w:val="auto"/>
                <w:vertAlign w:val="superscript"/>
              </w:rPr>
              <w:t>(a)</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(628.9)</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(486.3)</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r>
      <w:tr>
        <w:trPr>
          <w:trHeight w:val="216"/>
        </w:trPr>
        <w:tc>
          <w:tcPr>
            <w:tcW w:w="45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Regulatory charges</w:t>
            </w:r>
            <w:r>
              <w:rPr>
                <w:rFonts w:ascii="Times New Roman" w:cs="Times New Roman" w:eastAsia="Times New Roman" w:hAnsi="Times New Roman"/>
                <w:sz w:val="25"/>
                <w:szCs w:val="25"/>
                <w:color w:val="auto"/>
                <w:vertAlign w:val="superscript"/>
              </w:rPr>
              <w:t>(b)</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(47.3)</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(71.3)</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4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Employee share-based compensation</w:t>
            </w:r>
            <w:r>
              <w:rPr>
                <w:rFonts w:ascii="Times New Roman" w:cs="Times New Roman" w:eastAsia="Times New Roman" w:hAnsi="Times New Roman"/>
                <w:sz w:val="25"/>
                <w:szCs w:val="25"/>
                <w:color w:val="auto"/>
                <w:vertAlign w:val="superscript"/>
              </w:rPr>
              <w:t>(c)</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(89.0)</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(105.9)</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(48.1)</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ind w:left="540"/>
              <w:spacing w:after="0" w:line="216" w:lineRule="exact"/>
              <w:rPr>
                <w:sz w:val="20"/>
                <w:szCs w:val="20"/>
                <w:color w:val="auto"/>
              </w:rPr>
            </w:pPr>
            <w:r>
              <w:rPr>
                <w:rFonts w:ascii="Times New Roman" w:cs="Times New Roman" w:eastAsia="Times New Roman" w:hAnsi="Times New Roman"/>
                <w:sz w:val="17"/>
                <w:szCs w:val="17"/>
                <w:b w:val="1"/>
                <w:bCs w:val="1"/>
                <w:color w:val="auto"/>
              </w:rPr>
              <w:t>Core G&amp;A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5"/>
                <w:szCs w:val="25"/>
                <w:b w:val="1"/>
                <w:bCs w:val="1"/>
                <w:color w:val="auto"/>
                <w:vertAlign w:val="superscript"/>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$ 1,369.4</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$ 1,191.9</w:t>
            </w:r>
          </w:p>
        </w:tc>
        <w:tc>
          <w:tcPr>
            <w:tcW w:w="12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hanging="417"/>
        <w:spacing w:after="0"/>
        <w:tabs>
          <w:tab w:leader="none" w:pos="1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foot due to rounding.</w:t>
      </w:r>
    </w:p>
    <w:p>
      <w:pPr>
        <w:spacing w:after="0" w:line="130" w:lineRule="exact"/>
        <w:rPr>
          <w:rFonts w:ascii="Times New Roman" w:cs="Times New Roman" w:eastAsia="Times New Roman" w:hAnsi="Times New Roman"/>
          <w:sz w:val="18"/>
          <w:szCs w:val="18"/>
          <w:color w:val="auto"/>
        </w:rPr>
      </w:pPr>
    </w:p>
    <w:p>
      <w:pPr>
        <w:ind w:left="1240" w:hanging="523"/>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expense includes business development costs related to advisor recruitment and retention, costs related to hosting certain advisory conferences that serve as training, sales and marketing events, and other costs that support advisor business growth as well as certain support costs related to full-time employees that are classified within compensation and benefits expense in the statements of income.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58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19583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charges consist of items that relate to the resolution of regulatory issues, including remediation, restitution and fines.</w:t>
      </w:r>
    </w:p>
    <w:p>
      <w:pPr>
        <w:spacing w:after="0" w:line="27" w:lineRule="exact"/>
        <w:rPr>
          <w:rFonts w:ascii="Times New Roman" w:cs="Times New Roman" w:eastAsia="Times New Roman" w:hAnsi="Times New Roman"/>
          <w:sz w:val="18"/>
          <w:szCs w:val="18"/>
          <w:color w:val="auto"/>
        </w:rPr>
      </w:pPr>
    </w:p>
    <w:p>
      <w:pPr>
        <w:ind w:left="1240" w:right="380" w:hanging="523"/>
        <w:spacing w:after="0" w:line="255"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share-based compensation expense represents share-based compensation resulting from equity awards granted to employees, officers, and directors. Such awards are measured based on the grant date fair value and recognized over the requisite service period of the awards, which generally equals the vesting period.</w:t>
      </w:r>
    </w:p>
    <w:p>
      <w:pPr>
        <w:spacing w:after="0" w:line="91" w:lineRule="exact"/>
        <w:rPr>
          <w:rFonts w:ascii="Times New Roman" w:cs="Times New Roman" w:eastAsia="Times New Roman" w:hAnsi="Times New Roman"/>
          <w:sz w:val="18"/>
          <w:szCs w:val="18"/>
          <w:color w:val="auto"/>
        </w:rPr>
      </w:pPr>
    </w:p>
    <w:p>
      <w:pPr>
        <w:ind w:left="720" w:right="920" w:hanging="422"/>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is presented net of approximately $22.3 million, $23.1 million and $20.5 million of unamortized debt issuance costs at December 31, 2024, 2023 and 2022, respectively.</w:t>
      </w:r>
    </w:p>
    <w:p>
      <w:pPr>
        <w:ind w:left="720" w:hanging="422"/>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total advisory and brokerage assets under custody at the Company’s primary broker-dealer subsidiary, LPL Financial, as well as assets under custody of a third-party custodian related to Atria’s seven introducing broker-dealer subsidiaries. See “Management’s Discussion and Analysis of Financial Condition and Results of Operations” in our 2024 Annual Report which is incorporated by reference herein for a tabular presentation of advisory and brokerage assets.</w:t>
      </w:r>
    </w:p>
    <w:p>
      <w:pPr>
        <w:spacing w:after="0" w:line="1" w:lineRule="exact"/>
        <w:rPr>
          <w:rFonts w:ascii="Times New Roman" w:cs="Times New Roman" w:eastAsia="Times New Roman" w:hAnsi="Times New Roman"/>
          <w:sz w:val="18"/>
          <w:szCs w:val="18"/>
          <w:color w:val="auto"/>
        </w:rPr>
      </w:pPr>
    </w:p>
    <w:p>
      <w:pPr>
        <w:ind w:left="720" w:right="300" w:hanging="422"/>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“Advisors” refers to registered representatives and/or investment advisor representatives affiliated with LPL Financial, an SEC-registered broker-dealer and investment advisor, or one of Atria’s seven introducing broker-dealer subsidiaries.</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In addition to the other information in this prospectus supplement and the accompanying prospectus, prospective investors should carefully consider the following risks together with the other information contained and incorporated by reference in this prospectus supplement and the accompanying prospectus, before making an investment in our common stock. The risks described below are not the only risks we face. Additional risks and uncertainties not currently known to us or that we currently deem to be immaterial may also materially and adversely affect our business and operations. If any of the following risks actually occur, our business, financial condition, operating results or growth prospects could be materially adversely affected, which could cause the trading price of our common stock to decline. In such a case, you may lose all or part of your original investment. We cannot assure you that any of the events discussed in the risk factors below will not occur. Along with the risks and uncertainties described below, you should carefully consider the risks and uncertainties described in the sections entitled “Forward-Looking Statements” in this prospectus supplement and in Item 1A under the heading “Risk Factors” in our 2024 Annual Report, which is incorporated by reference in this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necessarily improve our results of operations or enhance the value of our common stock. This offering is not conditioned upon the completion of the Commonwealth Acquisition. If the Commonwealth Acquisition is not successfully completed, our management may apply the net proceeds from this offering for other general corporate purposes. Our failure to apply these funds effectively could have a material adverse effect on our business, financial condition, operating results and cash flow, and could cause the price of our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could experience dilution if we issue additional equity securities in future fundraising transactions.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If we issue additional common stock, or securities convertible into or exchangeable or exercisable for common stock following the expiration of the lock-up agreement we entered into with the underwriters as described in the section entitled “Underwriting” elsewhere in this prospectus supplement, our stockholders, including investors who purchase shares of common stock in this offering, could experience dilution, and any such issuances may result in downward pressure on the price of our common stock.</w:t>
      </w:r>
    </w:p>
    <w:p>
      <w:pPr>
        <w:spacing w:after="0" w:line="287" w:lineRule="exact"/>
        <w:rPr>
          <w:sz w:val="20"/>
          <w:szCs w:val="20"/>
          <w:color w:val="auto"/>
        </w:rPr>
      </w:pPr>
    </w:p>
    <w:p>
      <w:pPr>
        <w:ind w:left="120"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press or analysts cease covering our common stock, publish negative research or reports about our business, or if they change their recommendations regarding our common stock adversely, the share price and trading volume of our common stock could decline.</w:t>
      </w:r>
    </w:p>
    <w:p>
      <w:pPr>
        <w:spacing w:after="0" w:line="28"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shares of our common stock may be influenced by the articles, research and reports that industry or securities analysts and press publish about us or our business. If one or more of the analysts who cover us downgrade our common stock, or if industry press publishes negative articles about our company, the share price of our common stock would likely decline. If one or more of these analysts ceased coverage of our company or failed to regularly publish reports on us, we could lose visibility in the financial markets, which in turn could cause our share price or trading volume to decline.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Proposed Acquisition</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Commonwealth Acquisition will be completed or that we will realize the expected benefits of the Commonwealth Acquisition.</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ability to complete the Commonwealth Acquisition may also be negatively impacted by general market conditions, volatility in the capital and debt markets and the other risks described herein. Although we currently anticipate that the Commonwealth Acquisition, should it occur, will be accretive to earnings per share on an as adjusted earnings basis in the long-term, this expectation is based on assumptions about our business, the operations to be acquired and preliminary estimates, which may change materially. As a result, should the Commonwealth Acquisition occur, certain other amounts to be paid in connection with the Commonwealth Acquisition may cause dilution to our earnings per share or decrease or delay the expected accretive effect of the Commonwealth Acquisition and cause a decrease in the market price of our common stock. In addition, a change in one or more of these assumptions may result in a change in future earnings, which could be 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onboarding or integration challenges, and the Commonwealth Acquisition may not perform as expected.</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can provide no assurance that we will be able to successfully onboard Commonwealth’s business, nor can we provide assurance that we will be able to successfully integrate the operations acquired in the Commonwealth Acquisition or achieve expected cost savings or synergies from such integration, that the acquired operations will perform as expected or that we will not incur unforeseen obligations or liabilities. We may experience difficulties or delays in onboarding Commonwealth financial advisors, staff or clients, and it is possible that our experience in running the operations acquired in the Commonwealth Acquisition will require us to adjust our expectations regarding the impact of the acquisition on our operating results. In addition, onboarding and integration efforts are anticipated to be complex and may divert management attention and resources, which could adversely affect our operating results.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made certain assumptions relating to the Commonwealth Acquisition which may prove to be materially inaccurate.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made certain assumptions relating to the Commonwealth Acquisition, which assumptions involve significant judgment and may not reflect the full range of uncertainties and unpredictable outcomes inherent in the Commonwealth Acquisition and may be materially inaccurate. These assumptions relate to numerous matters, including:</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of the Commonwealth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expected closing of the Commonwealth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conversion of assets of the broker-dealer and investment advisor acquired in connection with the Commonwealth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asset and advisor retention;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revenue, EBITDA and our earnings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develop and deepen relationships with financial advisors and employees associated with Commonwealth;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motivate key personnel who are critical to the operation of Commonwealth’s business;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debt or any other financing, or to generate and maintain needed cash from operations, to complete the Commonwealth Acquisition and the impact of such financing on our operating results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expenses and expense allocation relating to the Commonwealth Acquisition;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or contingent liabilities associated with the Commonwealth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goodwill and intangibles that will result from the Commonwealth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purchase accounting adjustments that we may record in our financial statements in connection with the Commonwealth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integration costs, including restructuring charges and transaction costs;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and strategic risks of the Commonwealth Acquisition.</w:t>
      </w:r>
    </w:p>
    <w:p>
      <w:pPr>
        <w:spacing w:after="0" w:line="32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required to and will not be providing historical financial statements of Commonwealth or pro forma financial statements reflecting the impact of the proposed Commonwealth Acquisition on our historical operating results.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not required to provide historical financial statements of Commonwealth or pro forma financial statements reflecting the impact of the proposed Commonwealth Acquisition on our historical operating results under Regulation S-X. As a result, we do not expect to file a Current Report on Form 8-K with historical financial information for Commonwealth and pro forma financial statement information and we are not otherwise including such information in this prospectus supplement. As a result, investors will be required to determine whether to participate in this offering without the benefit of such historical financial information and pro forma financial statement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transaction costs in connection with the proposed Commonwealth Acquisition.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incurred and expect to incur a number of non-recurring costs associated with the proposed Commonwealth Acquisition, which could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exceed the amounts currently estimated. These acquisition costs and expenses include financial advisory, legal, accounting, consulting and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advisory fees and expenses, filing fees and other related charges. Some of these costs are payable by us regardless of whether the proposed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Commonwealth Acquisition is completed. In addition, the success of the Commonwealth Acquisition depends on our ability to onboard and integrate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Commonwealth financial advisors, assets, personnel, processes, policies, procedures, operations, technologies and systems following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While we have assumed that a certain level of expense will be incurred in connection with the proposed Commonwealth Acquisition, there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many factors beyond our control that could affect the total amount or the timing of the acquisition, onboarding and integration expense.</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may also be additional unanticipated significant costs in connection with the proposed Commonwealth Acquisition that we may not recoup. These costs and expenses could reduce the benefits and additional income we expect to achieve from the proposed Commonwealth Acquisition. Although we expect that these benefits will offset the transaction expenses and implementation costs over time, this net benefit may not be achieved in the near term or at all.</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Commonwealth may have difficulty attracting, motivating and retaining key financial advisors, employees and other personnel in light of the Commonwealth Acquisition.</w:t>
      </w:r>
    </w:p>
    <w:p>
      <w:pPr>
        <w:spacing w:after="0" w:line="5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Commonwealth’s success after the Commonwealth Acquisition will depend in part on its ability to attract, motivate and retain key financial advisors, employees and other personnel. Prior to and following the Commonwealth Acquisition, Commonwealth and we may lose key financial advisors, employees or other personnel, or may be unable to attract, retain and motivate qualified individuals, or the associated costs may increase. If Commonwealth cannot retain key financial advisors, employees or other personnel of Commonwealth because of uncertainty relating to the Commonwealth Acquisition, or if we cannot retain them because of the difficulty of onboarding or integration, or for any other reason, our ability to realize the anticipated benefits of the Commonwealth Acquisition could be reduced, and it may have an adverse impact on our operating results.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        million (or approximately $        million if the underwriters exercise their option to purchase additional shares in full), in each case after deducting the underwriting discount and estimated offering expenses payable by us.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a portion of the cash consideration payable in connection with the Commonwealth Acquisition and, to the extent that any proceeds remain thereafter, or if the Commonwealth Acquisition is not completed, for general corporate purposes. On March 31, 2025, we announced that we had entered into the Commonwealth Agreement. The Commonwealth Acquisition is expected to close in the second half of 2025 and is subject to regulatory approvals and other closing conditions. In addition to the net proceeds from this offering, we expect to use available cash and available borrowings under the Revolving Credit Facility or other borrowings or debt financings to fund the Commonwealth Acquisition. Subject to market conditions and other factors, we expect to raise additional amounts to fund the Commonwealth Acquisition in a public offering of Holdings’ senior notes. Any senior unsecured notes issued by Holdings will be fully and unconditionally guaranteed on a senior unsecured basis by LPLFH.</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offering is not conditioned upon the completion of the Commonwealth Acquisition or any potential offering of Holdings’ senior notes, and there can be no assurance that either any offering of Holdings’ senior notes or the Commonwealth Acquisition will be completed. This prospectus supplement is not, and should not be construed as, an offer of any securities other than the shares of common stock offered hereby.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consequences applicable to the ownership and disposition of the shares of our common stock issued in this offering but does not purport to be a complete analysis of all potential U.S. federal income tax consequences. This summary is based on the U.S. Internal Revenue Code of 1986, as amended (the “Code”), U.S. Treasury regulations promulgated thereunder, Internal Revenue Service (“IRS”) rulings and judicial decisions, each as in effect or in existence as of the date of this prospectus supplement. All of these are subject to change or different interpretations, possibly with retroactive effect, which may result in U.S. federal income tax consequences different from those summarized below. No ruling has been requested from the IRS regarding the considerations discussed in this summary, and there is no assurance that the IRS would not assert, or that a court would not sustain, a position contrary to any of the tax considerations discussed below.</w:t>
      </w:r>
    </w:p>
    <w:p>
      <w:pPr>
        <w:spacing w:after="0" w:line="17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This summary does not address all aspects of U.S. federal income taxation that may be relevant to particular investors in shares of our common stock in light of their specific circumstances or to investors that may be subject to special rules under U.S. federal income tax law, including:</w:t>
      </w:r>
    </w:p>
    <w:p>
      <w:pPr>
        <w:spacing w:after="0" w:line="4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or traders in stocks,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traders that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as part of a synthetic security, a straddle or a hedging, integrated, conversion or constructive sale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the expatriation provisions of the Code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IRAs or other tax-deferred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and arrangements classified as partnerships for U.S. federal tax purposes, or investors in such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shares through non-U.S. brokers or other non-U.S. intermediaries;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income as a result of such income being included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subject to alternative minimum tax.</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summary also does not discuss alternative minimum tax consequences or the tax consequences arising under any state, local or non-U.S. law, or any U.S. federal tax consequences other than U.S. federal income tax consequences (such as estate or gift tax consequences or the 3.8% Medicare tax on certain investment income).</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discussion is limited to investors who purchase shares of our common stock for cash in this offering. Moreover, this discussion is limited to investors who purchase and hold shares of our common stock as “capital assets” within the meaning of Section 1221 of the Code.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summary, “U.S. Holder” means the beneficial owner of shares of our common stock that is, or that for U.S. federal income tax purposes is treated as:</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such trust and one or more “U.S. persons” (within the meaning of the Code) have the authority to control all substantial decisions of the trust, or (ii) the trust has validly elected to be treated as a U.S. person for U.S. federal income tax purposes.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purposes of this summary, the term “Non-U.S. Holder” means any beneficial owner of shares of our common stock that is, for U.S. federal income tax purposes, an individual, a corporation, a trust or an estate that is not a U.S. Holder.</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any entity or arrangement treated as a partnership for U.S. federal income tax purposes holds shares of our common stock, the U.S. federal income tax treatment of a partner in the partnership generally will depend on the status of the partner and the activities of the partnership. If you are a partnership or a partner in a partnership, you should consult your own tax advisor as to the tax consequences of the partnership’s purchase, ownership and disposition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FOR INFORMATIONAL PURPOSES ONLY AND IS NOT A SUBSTITUTE FOR CAREFUL TAX PLANNING AND ADVICE. PROSPECTIVE INVESTORS SHOULD CONSULT THEIR OWN TAX ADVISORS WITH REGARD TO THE APPLICATION OF THE U.S. FEDERAL INCOME TAX CONSEQUENCES DESCRIBED BELOW TO THEIR PARTICULAR SITUATIONS, AS WELL AS THE APPLICATION OF ANY STATE, LOCAL, NON-U.S. OR OTHER U.S. FEDERAL TAX LAWS, INCLUDING GIFT AND ESTATE TAX LAWS AND THE MEDICARE TAX ON INVESTMENT INCOME.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Distributions, if any, on shares of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tax basis in the shares of common stock. Any remaining excess will be treated as capital gain, subject to the tax treatment described below in “Gain on Sale or Other Taxable Disposition of our Shares of Common Stock.” Any such distributions will also be subject to the discussion below under the section titled “Withholding and Information Reporting Requirements—FATCA.”</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following two paragraphs in this section, dividends paid to a non-U.S. holder generally will be subject to withholding of U.S. federal income tax at a 30% rate or such lower rate specified by an applicable income tax treaty between the United States and such non-U.S. holder’s country of residence.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Any U.S. effectively connected income received by a non-U.S. holder that is a corporation may also, under certain circumstances, be subject to an additional “branch profits tax” at a 30% rate or such lower rate as specified by an applicable income tax treaty between the United States and such non-U.S. holder’s country of residence.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shares of our common stock who claims the benefit of an applicable income tax treaty between the United States and such non-U.S.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with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Shares of our Common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“Withholding and Information Reporting Requirements—FATCA,” a non-U.S. holder generally will not be subject to any U.S. federal income tax on any gain realized upon such non-U.S. holder’s sale, exchange or other taxable disposition of shares of our common stock unless:</w:t>
      </w:r>
    </w:p>
    <w:p>
      <w:pPr>
        <w:spacing w:after="0" w:line="81" w:lineRule="exact"/>
        <w:rPr>
          <w:sz w:val="20"/>
          <w:szCs w:val="20"/>
          <w:color w:val="auto"/>
        </w:rPr>
      </w:pPr>
    </w:p>
    <w:p>
      <w:pPr>
        <w:ind w:left="1080" w:right="100" w:hanging="532"/>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88"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non-U.S. holder’s country of residence) on the net gain derived from the disposition, which may be offset by certain U.S. source capital losses of</w:t>
      </w:r>
    </w:p>
    <w:p>
      <w:pPr>
        <w:spacing w:after="0" w:line="2"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if any (even though the individual is not considered a resident of the United States), provided that the non-U.S. holder has timely filed U.S. federal income tax returns with respect to such losses; or</w:t>
      </w:r>
    </w:p>
    <w:p>
      <w:pPr>
        <w:spacing w:after="0" w:line="86"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rules described above.</w:t>
      </w:r>
    </w:p>
    <w:p>
      <w:pPr>
        <w:spacing w:after="0" w:line="194" w:lineRule="exact"/>
        <w:rPr>
          <w:sz w:val="20"/>
          <w:szCs w:val="20"/>
          <w:color w:val="auto"/>
        </w:rPr>
      </w:pPr>
    </w:p>
    <w:p>
      <w:pPr>
        <w:jc w:val="center"/>
        <w:ind w:left="360" w:right="520"/>
        <w:spacing w:after="0" w:line="454"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 S-19</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shares of our common stock paid to such non-U.S. holder and the tax withheld, if any, with respect to such distributions.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Non-U.S. holders may have to comply with specific certification procedures to establish that the holder is not a United States person (as defined in the Code) in order to avoid backup withholding at the applicable rate with respect to dividends on shares of our common stock. Generally,</w:t>
      </w: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in “Distributions on our Common Stock,” generally will be exempt from U.S. backup withholding.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reporting and backup withholding will generally apply to the proceeds of a disposition of shares of our common stock by</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may be refunded or credited against the non-U.S. holder’s U.S. federal income tax liability, if any, provided that an appropriate claim is filed with the IRS in a timely manner.</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and Information Reporting Requirements—FATCA</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Foreign Account Tax Compliance Act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payments of gross proceeds of sales or other dispositions of shares of our common stock, although under proposed U.S. Treasury regulations (the preamble to which specifies that taxpayers, including withholding agents, are generally permitted to rely on them pending finalization), no withholding will apply to payments of gross proceeds.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shares of common stock, including, without limitation, the process and deadlines for meeting the applicable requirements to prevent the imposition of the 30% withholding tax under FATCA.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Morgan Stanley &amp; Co. LLC is acting as sole lead book-running manager of this offering and as representative of the underwriters named below. Subject to the terms and conditions contained in an underwriting agreement dated the date of this prospectus supplement, between the Company and the representative of the underwriters, each underwriter named below has severally, and not jointly, agreed to purchase, and the Company has agreed to sell to that underwriter, the number of shares set forth opposite the underwriter’s name.</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4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of the shares, if any are purchased, other than the shares covered by the option described below unless and until that option is exercised.</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to purchase up to $225 million of additional shares of common stock from us at the same price to the public, and with the same underwriting discount, as set forth in the table below. The underwriters may exercise this option, in whole or in part, any time during the 30-day period after the date of this prospectus supplement. To the extent the underwriters exercise the option, each underwriter will become obligated, subject to certain conditions, to purchase a number of additional shares proportionate to that underwriter’s initial purchase commitment as indicated in the table above.</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 to be paid to the underwriters by us. Such amounts are shown assuming both no exercise and full exercise of the underwriters’ option to purchase up to $225 million of additional shares from us.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3760" w:type="dxa"/>
            <w:vAlign w:val="bottom"/>
          </w:tcPr>
          <w:p>
            <w:pPr>
              <w:jc w:val="center"/>
              <w:ind w:left="2339"/>
              <w:spacing w:after="0"/>
              <w:rPr>
                <w:sz w:val="20"/>
                <w:szCs w:val="20"/>
                <w:color w:val="auto"/>
              </w:rPr>
            </w:pPr>
            <w:r>
              <w:rPr>
                <w:rFonts w:ascii="Times New Roman" w:cs="Times New Roman" w:eastAsia="Times New Roman" w:hAnsi="Times New Roman"/>
                <w:sz w:val="14"/>
                <w:szCs w:val="14"/>
                <w:b w:val="1"/>
                <w:bCs w:val="1"/>
                <w:color w:val="auto"/>
              </w:rPr>
              <w:t>Total with</w:t>
            </w:r>
          </w:p>
        </w:tc>
        <w:tc>
          <w:tcPr>
            <w:tcW w:w="124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Total with</w:t>
            </w:r>
          </w:p>
        </w:tc>
      </w:tr>
      <w:tr>
        <w:trPr>
          <w:trHeight w:val="175"/>
        </w:trPr>
        <w:tc>
          <w:tcPr>
            <w:tcW w:w="3360" w:type="dxa"/>
            <w:vAlign w:val="bottom"/>
          </w:tcPr>
          <w:p>
            <w:pPr>
              <w:spacing w:after="0"/>
              <w:rPr>
                <w:sz w:val="15"/>
                <w:szCs w:val="15"/>
                <w:color w:val="auto"/>
              </w:rPr>
            </w:pPr>
          </w:p>
        </w:tc>
        <w:tc>
          <w:tcPr>
            <w:tcW w:w="3760" w:type="dxa"/>
            <w:vAlign w:val="bottom"/>
          </w:tcPr>
          <w:p>
            <w:pPr>
              <w:jc w:val="center"/>
              <w:ind w:left="2339"/>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240" w:type="dxa"/>
            <w:vAlign w:val="bottom"/>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376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 xml:space="preserve">$          </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common stock sold by the underwriters to the public will initially be offered at the public offering price listed on the cover page of this prospectus supplement. Any shares sold by the underwriters to dealers may be sold at discount of up to $  per share from the public offering price. After the initial offering, the public offering price or any other term of this offering may be changed.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total expenses of this offering, excluding the underwriting discount, will be approximately $            .</w:t>
      </w:r>
    </w:p>
    <w:p>
      <w:pPr>
        <w:spacing w:after="0" w:line="225"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We have also agreed to indemnify and hold harmless the several underwriters against certain liabilities, including liabilities under the Securities Act of 1933, as amended (the “Securities Act”), or to contribute to payments the underwriters may be required to make in respect of those liabilities.</w:t>
      </w:r>
    </w:p>
    <w:p>
      <w:pPr>
        <w:spacing w:after="0" w:line="14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agreed that, without the prior written consent of Morgan Stanley &amp; Co. LLC on behalf of the underwriters, we will not, and will not publicly disclose an intention to, during the period ending 60 days after the date of this prospectus supplement (the “Restricted Period”):</w:t>
      </w:r>
    </w:p>
    <w:p>
      <w:pPr>
        <w:spacing w:after="0" w:line="67" w:lineRule="exact"/>
        <w:rPr>
          <w:sz w:val="20"/>
          <w:szCs w:val="20"/>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whether any such transaction described in this bullet or the immediately preceding bullet is to be settled by delivery of common stock or such other securities, in cash or otherwise; or</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exercisable or exchangeable for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offered hereby to the underwriters;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shares of common stock upon the exercise of an option or warrant or the conversion of a security, or the settlement of restricted stock units (“RSUs”) (including net settlement), in each case outstanding on the date of this prospectus supplement and described in this prospectus supplement;</w:t>
      </w:r>
    </w:p>
    <w:p>
      <w:pPr>
        <w:spacing w:after="0" w:line="81" w:lineRule="exact"/>
        <w:rPr>
          <w:rFonts w:ascii="Times New Roman" w:cs="Times New Roman" w:eastAsia="Times New Roman" w:hAnsi="Times New Roman"/>
          <w:sz w:val="18"/>
          <w:szCs w:val="18"/>
          <w:color w:val="auto"/>
        </w:rPr>
      </w:pPr>
    </w:p>
    <w:p>
      <w:pPr>
        <w:ind w:left="1080" w:right="22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current or former employees, officers, directors, advisors, or consultants pursuant to the terms of an equity compensation plan in effect as of the date of this prospectus supplement and described in this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recipients that are directors or executive officers of the Company enter into a lock-up agreement with the underwriters;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up to 1% of the outstanding shares of common stock, or securities convertible into, exercisable for, or which are otherwise exchangeable for, common stock, immediately following the closing date for the offering, in acquisitions or other similar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recipients enter into a lock-up agreement with the underwriters;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any plan in effect as of the date of this prospectus supplement and described in this prospectus supplement or any assumed benefit plan pursuant to an acquisition or similar strategic transaction; or</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establishment of a trading plan on behalf of a shareholder, officer or director of the Company pursuant to Rule 10b5-1 under the Exchange Act (a “10b5-1 Plan”)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each of our directors and officers, as defined in Rule 16a-1(f), agrees that, without the prior written consent of Morgan Stanley &amp; Co.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on behalf of the underwriters, they will not, and will not publicly disclose an intention to, during the Restricted Period:</w:t>
      </w:r>
    </w:p>
    <w:p>
      <w:pPr>
        <w:spacing w:after="0" w:line="112" w:lineRule="exact"/>
        <w:rPr>
          <w:sz w:val="20"/>
          <w:szCs w:val="20"/>
          <w:color w:val="auto"/>
        </w:rPr>
      </w:pPr>
    </w:p>
    <w:p>
      <w:pPr>
        <w:ind w:left="1080" w:right="6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such person, or any other securities so owned convertible into or exercisable or exchangeable for common stock; or</w:t>
      </w:r>
    </w:p>
    <w:p>
      <w:pPr>
        <w:spacing w:after="0" w:line="85"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whether any such transaction described in this bullet or the immediately preceding bullet is to be settled by delivery of common stock or such other securities, in cash or otherwise.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31" w:lineRule="exact"/>
        <w:rPr>
          <w:sz w:val="20"/>
          <w:szCs w:val="20"/>
          <w:color w:val="auto"/>
        </w:rPr>
      </w:pPr>
    </w:p>
    <w:p>
      <w:pPr>
        <w:ind w:left="1080" w:right="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open market transactions after the completion of this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such open market transactions;</w:t>
      </w:r>
    </w:p>
    <w:p>
      <w:pPr>
        <w:spacing w:after="0" w:line="79"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common stock as a bona fide gift or charitable contribution;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donee shall sign and deliver a lock-up agreement substantially in the form executed in connection with this offering;</w:t>
      </w:r>
    </w:p>
    <w:p>
      <w:pPr>
        <w:spacing w:after="0" w:line="6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pursuant to a 10b5-1 Plan prior to the date of this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 public announcement or filing under the Exchange Act, if any, is required of or voluntarily made by or on behalf of any such person or the Company regarding sales made under such plan during the Restricted Period, such announcement or filing shall include a statement to the effect that the sale of common stock is being made pursuant to such person’s 10b5-1 Plan established prior to the date of this prospectus supplement;</w:t>
      </w:r>
    </w:p>
    <w:p>
      <w:pPr>
        <w:spacing w:after="0" w:line="9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establishment or renewal of a 10b5-1 Plan on behalf of a shareholder, officer or director of the Company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any such person or the Company regarding the establishment or renewal of such plan, such announcement or filing shall include a statement to the effect that no transfer of common stock may be made under such plan during the Restricted Period;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common stock for bona fide estate planning purposes, by will or other testamentary document or intestate succession to the legal representative, heir, beneficiary or any immediate family member of any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transferee shall sign and deliver a lock-up agreement substantially in the form executed in connection with this offering;</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common stock as a result of the operation of law, or pursuant to an order of a court (including a domestic violence order, divorce settlement, divorce decree or separation agreement) or regulatory agency,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filing required by Section 16 of the Exchange Act shall indicate in the footnotes thereto that such transfer is being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circumstances described in this bullet and such common stock shall remain subject to the lock-up agreement executed in connection with this offering;</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common stock to any immediate family member of any such person, or any of its affiliates (as defined in Rule 405 promulgated under the Securities Act), or any trust for the direct or indirect benefit of any such person or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transfer shall not involve a disposition for value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transferee shall sign and deliver a lock-up agreement substantially in the form executed in connection with this offering; or</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common stock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other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common stock received as a result of such vesting, settlement or exercise shall remain subject to the terms of the lock-up agreement executed in connection with this offering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any such restricted stock units, options, warrants or other rights are held by any such person pursuant to an agreement or equity award granted under a stock incentive plan or other equity award plan, each such agreement or plan which is described in this prospectus supplement or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580"/>
        <w:spacing w:after="0" w:line="282" w:lineRule="auto"/>
        <w:rPr>
          <w:sz w:val="20"/>
          <w:szCs w:val="20"/>
          <w:color w:val="auto"/>
        </w:rPr>
      </w:pPr>
      <w:r>
        <w:rPr>
          <w:rFonts w:ascii="Times New Roman" w:cs="Times New Roman" w:eastAsia="Times New Roman" w:hAnsi="Times New Roman"/>
          <w:sz w:val="18"/>
          <w:szCs w:val="18"/>
          <w:color w:val="auto"/>
        </w:rPr>
        <w:t>accompanying prospectus and (ii) if required, any public report or filing under Section 16 of the Exchange Act shall indicate in the footnotes thereto that the filing is being made pursuant to circumstances described in this bullet.</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Furthermore, each of our directors and officers, as defined in Rule 16a-1(f), agrees that, without the prior written consent of Morgan Stanley &amp; Co. LLC on behalf of the underwriters, they will not, during the Restricted Period, make any demand for or exercise any right with respect to, the registration of any shares of common stock or any security convertible into or exercisable or exchangeable for common stock, and also agrees and consents to the entry of stop transfer instructions with the Company’s transfer agent and registrar against the transfer of such person’s shares of common stock except in compliance with the restrictions described above.</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Morgan Stanley &amp; Co. LLC, in its sole discretion, may release the common stock and other securities subject to the lock-up agreements described above in whole or in part at any time with or without notice.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common stock in the open market. These transactions may include over-allotment, stabilizing transactions and covering transactions. Over-allotment involves sales in excess of the shares the underwriters are obligated to purchase, which creates a short position for the underwriter. Stabilizing transactions permit bids to purchase the underlying security so long as the stabilizing bids do not exceed a specified maximum. Covering transactions involve purchases of the common stock in the open market after the distribution has been completed in order to cover short positions. These transactions may be effected in the over-the-counter market or otherwise. The underwriters are not required to engage in these activities and may end any of these activities at any time.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activities may stabilize, maintain or otherwise affect the market price of the common stock. As a result, the price of the common stock may be higher than the price that otherwise might exist in the open market. Neither the underwriters nor we make any representation or prediction as to the direction or magnitude of any effect that the transactions described above may have on the price of the common stock. In addition, there is no obligation on the part of the underwriters to engage in such transactions and neither the underwriters nor we make any representation that any underwriter will engage in these transactions or that these transactions, once commenced, will not be discontinued without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lending, financing and brokerage activities. The underwriters and certain of their affiliates have, from time to time, performed, and may in the future perform, various commercial and investment banking and financial advisory services for LPLFH, Holdings and their respective affiliates, for which they received or may in the future receive customary fees and expenses. In addition, Morgan Stanley Senior Funding, Inc., an affiliate of Morgan Stanley &amp; Co. LLC, committed to provide the Bridge Facility in connection with the Commonwealth Acquisition, for which such affiliate will be paid customary fees. The commitments in respect of the Bridge Facility will be reduced on a dollar-for-dollar basis by the net proceeds of this offering.</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LPLFH or its affiliates. If the underwriters or their affiliates have a lending relationship with us, certain of those underwriters or their affiliates routinely hedge, and certain of the underwriters or their affiliates may hedge, their credit exposure to us consistent with their customary risk management policies. Typically, the underwriters and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their affiliates would hedge such exposure by entering into transactions which consist of either the purchase of credit default swaps or the creation of short positions in our securities or the securities of our affiliates, including potentially the common stock offered hereby. Any such credit default swaps or short positions could adversely affect future trading prices of the common stock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common stock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common stock or otherwise making them available to retail investors in the EEA has been prepared and therefore offering or selling the common stock or otherwise making them available to any retail investor in the EEA may be unlawful under the PRIIPs Regulation.</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person in a member state of the EEA who receives any communication in respect of, or who acquires any common stock under, the offer to the public contemplated in this prospectus supplement and the accompanying prospectus or to whom the common stock are otherwise made available, will be deemed to have represented, warranted and agreed to and with each underwriter and the Company that it and any person on whose behalf it acquires the common stock is (1) a “qualified investor” within the meaning of Article 2(e) of the Prospectus Regulation; and (2) not a “retail investor” (as defined above).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distributor subject to MiFID II subsequently offering, selling or recommending the common stock is responsible for undertaking its own target market assessment in respect of the common stock and determining the appropriate distribution channels for the purposes of the MiFID II product governance rules under Commission Delegated Directive (EU) 2017/593 (the “Delegated Directive”). Neither the Company nor any of the underwriters make any representations or warranties as to a distributor’s compliance with the Delegated Directive.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common stock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common stock or otherwise making them available to retail</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investors in the UK has been prepared and therefore offering or selling the common stock or otherwise making them available to any retail investor in the UK may be unlawful under the UK PRIIPs Regulation.</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Each person in the UK who receives any communication in respect of, or who acquires any common stock under, the offer to the public contemplated in this prospectus supplement and the accompanying prospectus or to whom the common stock are otherwise made available, will be deemed to have represented, warranted and agreed to and with each underwriter and the Company that it and any person on whose behalf it acquires common stock is (1) a “qualified investor” within the meaning of Article 2(e) of the UK Prospectus Regulation; and (2) not a “retail investor” (as defined above).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Any distributor subject to the FCA Handbook Product Intervention and Product Governance Sourcebook (the “UK MiFIR Product Governance Rules”) subsequently offering, selling or recommending the common stock is responsible for undertaking its own target market assessment in respect of the common stock and determining appropriate distribution channels. Neither the Company nor any of the underwriters make any representations or warranties as to a distributor’s compliance with the UK MiFIR Product Governance Rules.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prospectus supplement and the accompanying prospectus is directed only at relevant persons and must not be acted on or relied on by persons who are not relevant persons. Any investment or investment activity to which this prospectus supplement and the accompanying prospectus relate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common stock may not be offered or sold in Hong Kong by means of any document other than (a) to “professional investors” as defined in the Securities and Futures Ordinance (Cap. 571) of Hong Kong (the “SFO”) and any rules made thereunder; or (b) in other circumstances which do not result in the document being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“prospectus” as defined in the Companies Ordinance (Cap. 32) of Hong Kong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common stock which are or are intended to be disposed of only to persons outside Hong Kong or only to “professional investors” as defined in the SFO and any rules made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common stock have not been and will not be registered under the Financial Instruments and Exchange Act of Japan (Act No. 25 of 1948, as amended), or the FIEA. The common stock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has not been registered as a prospectus with the Monetary Authority of Singapore. Accordingly, this prospectus supplement, the accompanying prospectus and any other document or material in connection with the offer or sale, or invitation for subscription or purchase, of common stock may not be circulated or distributed, nor may the common stock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common stock are subscribed or purchased under Section 275 of the SFA by a relevant person which is:</w:t>
      </w:r>
    </w:p>
    <w:p>
      <w:pPr>
        <w:spacing w:after="0" w:line="131" w:lineRule="exact"/>
        <w:rPr>
          <w:sz w:val="20"/>
          <w:szCs w:val="20"/>
          <w:color w:val="auto"/>
        </w:rPr>
      </w:pPr>
    </w:p>
    <w:p>
      <w:pPr>
        <w:ind w:left="540" w:right="8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6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 (1) of the SFA) of that corporation or the beneficiaries’ rights and interest (howsoever described) in that trust shall not be transferred within six months after that corporation or that trust has acquired the common stock pursuant to an offer made under Section 275 of the SFA except: except:</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74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Singapore SFA Product Classification: solely for the purposes of its obligations pursuant to sections 309B of the SFA and the Securities and Futures (Capital Markets Products) Regulations 2018, unless otherwise specified before an offering of the common stock, the Company has determined, and hereby notifies all relevant persons (as defined in Section 309A(1) of the SFA) that the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common stock described herein. The common stock may not be publicly offered, sold or advertised, directly or indirectly, in, into or from Switzerland and will not be listed on the SIX Swiss Exchange or on any other exchange or regulated trading facility in Switzerland. Neither this prospectus supplement nor the accompanying prospectus nor any other offering or marketing material relating to the common stock constitutes a prospectus as such term is understood pursuant to article 652a or article 1156 of the Swiss Code of Obligations, and neither this prospectus supplement nor the accompanying prospectus nor any other offering or marketing material relating to the common stock may be publicly distributed or otherwise made publicly available in Switzerland.</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nor any other offering or marketing material relating to the offering, nor the Company nor the common stock have been or will be filed with or approved by any Swiss regulatory authority. The common stock are not subject to the supervision by any Swiss regulatory authority, e.g., the Swiss Financial Markets Supervisory Authority FINMA, and investors in the common stock will not benefit from protection or supervision by such authority.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common stock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of Taiwan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common stock or the provision of information relating to this prospectus supplement and the accompanying prospectus. The common stock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common stock shall be binding on us until received and accepted by us or any underwriter outside of Taiwan (the “Place of Acceptance”), and the purchase/sale contract arising therefrom shall be deemed a contract entered into in the Place of Acceptance.</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Ropes &amp; Gray LLP, Boston, Massachusetts. The underwriters have been represented in connection with this offering by Cravath, Swaine &amp; Moore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22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consolidated statements of financial condition of LPLFH and its subsidiaries as of December 31, 2024 and 2023, and the related consolidated statements of income, stockholders’ equity, and cash flows, for the years ended December 31, 2024, December 31, 2023 and December 31, 2022, incorporated by reference in this prospectus supplement, and the effectiveness of internal control over financial reporting as of December 31, 2024, have been audited by Deloitte &amp; Touche LLP, an independent registered public accounting firm, as set forth in their report incorporated herein by reference.</w:t>
      </w: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we “incorporate by reference” certain information filed by LPLFH with the SEC, which means that important information can be disclosed to you by referring to those documents. We incorporate by reference in this prospectus supplement and the accompanying prospectus the following documents that LPLFH has filed with the SEC pursuant to Sections 13(a), 13(c), 14 or 15(d) of the Exchange Act, other than information in these documents that is not deemed to be filed with the SEC:</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LPLFH’s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as filed with the SEC on February 20, 2025;</w:t>
      </w:r>
    </w:p>
    <w:p>
      <w:pPr>
        <w:spacing w:after="0" w:line="130"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sections of our Definitive Proxy Statement on </w:t>
      </w:r>
      <w:hyperlink r:id="rId49">
        <w:r>
          <w:rPr>
            <w:rFonts w:ascii="Times New Roman" w:cs="Times New Roman" w:eastAsia="Times New Roman" w:hAnsi="Times New Roman"/>
            <w:sz w:val="17"/>
            <w:szCs w:val="17"/>
            <w:u w:val="single" w:color="auto"/>
            <w:color w:val="0000EE"/>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our Annual Meeting of Stockholders, as filed with the SEC on March 25, 2025, that are specifically incorporated by reference into our Annual Report on </w:t>
      </w:r>
      <w:hyperlink r:id="rId48">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LPLFH’s Current Reports on Form 8-K filed with the SEC on </w:t>
      </w:r>
      <w:hyperlink r:id="rId50">
        <w:r>
          <w:rPr>
            <w:rFonts w:ascii="Times New Roman" w:cs="Times New Roman" w:eastAsia="Times New Roman" w:hAnsi="Times New Roman"/>
            <w:sz w:val="18"/>
            <w:szCs w:val="18"/>
            <w:u w:val="single" w:color="auto"/>
            <w:color w:val="0000EE"/>
          </w:rPr>
          <w:t>February 25,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February 26,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March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which is contained in the Registration Statement on Form 8-A, as filed with the SEC</w:t>
      </w:r>
    </w:p>
    <w:p>
      <w:pPr>
        <w:spacing w:after="0" w:line="27" w:lineRule="exact"/>
        <w:rPr>
          <w:rFonts w:ascii="Times New Roman" w:cs="Times New Roman" w:eastAsia="Times New Roman" w:hAnsi="Times New Roman"/>
          <w:sz w:val="18"/>
          <w:szCs w:val="18"/>
          <w:color w:val="auto"/>
        </w:rPr>
      </w:pPr>
    </w:p>
    <w:p>
      <w:pPr>
        <w:ind w:left="10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54">
        <w:r>
          <w:rPr>
            <w:rFonts w:ascii="Times New Roman" w:cs="Times New Roman" w:eastAsia="Times New Roman" w:hAnsi="Times New Roman"/>
            <w:sz w:val="18"/>
            <w:szCs w:val="18"/>
            <w:u w:val="single" w:color="auto"/>
            <w:color w:val="0000EE"/>
          </w:rPr>
          <w:t>November 12, 2010</w:t>
        </w:r>
      </w:hyperlink>
      <w:r>
        <w:rPr>
          <w:rFonts w:ascii="Times New Roman" w:cs="Times New Roman" w:eastAsia="Times New Roman" w:hAnsi="Times New Roman"/>
          <w:sz w:val="18"/>
          <w:szCs w:val="18"/>
          <w:color w:val="auto"/>
        </w:rPr>
        <w:t xml:space="preserve">, as supplemented by </w:t>
      </w:r>
      <w:hyperlink r:id="rId55">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20, 2025, and including any amendments or reports filed for the purpose of updating such description; and</w:t>
      </w:r>
    </w:p>
    <w:p>
      <w:pPr>
        <w:spacing w:after="0" w:line="86"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filings LPLFH makes with the SEC under Section 13(a), 13(c), 14 or 15(d) of the Exchange Act before the completion of this offering.</w:t>
      </w:r>
    </w:p>
    <w:p>
      <w:pPr>
        <w:spacing w:after="0" w:line="162"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 2.02 or 7.01 of Form 8-K or any exhibits furnished pursuant to Item 9.01 of Form 8-K in relation to such furnished information.</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information incorporated by reference contains important information about us and our financial condition and is considered to be part of this prospectus supplement. Any statement contained in a document incorporated or deemed to be incorporated by reference in this prospectus supplement will be deemed to be modified or superseded to the extent that a statement contained herein or in any other subsequently filed document which is or is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upon the information contained or incorporated by reference in this prospectus supplement. We have not authorized anyone to provide you with different information. You should not assume that the information in this prospectus supplement is accurate as of any date other than the date of this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required by the Exchange Act with the SEC. Our SEC filings are also available to the public from the SEC’s internet site at http://www.sec.gov.</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our website, http://www.lpl.com,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(investor.relations@lplfinancial.com), telephone ((800) 877-7210), or mail (Secretary, LPL Financial Holdings Inc. at 4707 Executive Drive, San Diego, CA 92121). The information contained or incorporated on our website is not a part of this prospectus supplement or the accompanying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$4,000,000,000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182245</wp:posOffset>
            </wp:positionV>
            <wp:extent cx="327469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2746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LPL Financial Holdings Inc. may offer and sell shares of our common stock from time to time in amounts, at prices and on terms that will be determined at the time of any such offering.</w:t>
      </w:r>
    </w:p>
    <w:p>
      <w:pPr>
        <w:spacing w:after="0" w:line="162"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LPL Holdings, Inc. may, from time to time, offer to sell non-convertible debt securities consisting of senior or subordinated notes and debentures and/or other evidences of indebtedness in one or more series, and which will be fully and unconditionally guaranteed by LPL Financial Holdings Inc.</w:t>
      </w:r>
    </w:p>
    <w:p>
      <w:pPr>
        <w:spacing w:after="0" w:line="14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using this prospectus. Each time we sell these securities, the specific terms will be determined at the time of the offering and will be included in a supplement to this prospectus. We may sell these securities directly to our stockholders or to purchasers or through agents on our behalf or through underwriters or dealers as designated from time to time. If any agents or underwriters are involved in the sale of these securities, the applicable prospectus supplement will provide the names of the agents or underwriters and any applicable fees, commissions or discounts.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accompanied by the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LPL Financial Holdings Inc. common stock is listed on the Nasdaq Global Select Market under the symbol “LPLA.” On March 20, 2025, the last sale price of our common stock as reported on the Nasdaq Global Select Market was $334.45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w:t>
      </w:r>
    </w:p>
    <w:p>
      <w:pPr>
        <w:spacing w:after="0" w:line="21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dated March 25, 2025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500" w:type="dxa"/>
            <w:vAlign w:val="bottom"/>
            <w:gridSpan w:val="6"/>
            <w:vMerge w:val="restart"/>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6"/>
            <w:vMerge w:val="continue"/>
          </w:tcPr>
          <w:p>
            <w:pPr>
              <w:spacing w:after="0"/>
              <w:rPr>
                <w:sz w:val="14"/>
                <w:szCs w:val="14"/>
                <w:color w:val="auto"/>
              </w:rPr>
            </w:pPr>
          </w:p>
        </w:tc>
        <w:tc>
          <w:tcPr>
            <w:tcW w:w="2500" w:type="dxa"/>
            <w:vAlign w:val="bottom"/>
            <w:gridSpan w:val="6"/>
            <w:vMerge w:val="continue"/>
          </w:tcPr>
          <w:p>
            <w:pPr>
              <w:spacing w:after="0"/>
              <w:rPr>
                <w:sz w:val="14"/>
                <w:szCs w:val="14"/>
                <w:color w:val="auto"/>
              </w:rPr>
            </w:pPr>
          </w:p>
        </w:tc>
        <w:tc>
          <w:tcPr>
            <w:tcW w:w="65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Supplemental Guarantor Financial Information</w:t>
            </w:r>
          </w:p>
        </w:tc>
        <w:tc>
          <w:tcPr>
            <w:tcW w:w="700" w:type="dxa"/>
            <w:vAlign w:val="bottom"/>
            <w:gridSpan w:val="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980" w:type="dxa"/>
            <w:vAlign w:val="bottom"/>
            <w:gridSpan w:val="5"/>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Debt Securities and Guarantees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Common Stock</w:t>
            </w:r>
          </w:p>
        </w:tc>
        <w:tc>
          <w:tcPr>
            <w:tcW w:w="1400" w:type="dxa"/>
            <w:vAlign w:val="bottom"/>
            <w:tcBorders>
              <w:top w:val="single" w:sz="8" w:color="0000EE"/>
            </w:tcBorders>
            <w:gridSpan w:val="3"/>
          </w:tcPr>
          <w:p>
            <w:pPr>
              <w:spacing w:after="0"/>
              <w:rPr>
                <w:sz w:val="17"/>
                <w:szCs w:val="17"/>
                <w:color w:val="auto"/>
              </w:rPr>
            </w:pPr>
          </w:p>
        </w:tc>
        <w:tc>
          <w:tcPr>
            <w:tcW w:w="48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8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in or incorporated by reference into this prospectus, any accompanying prospectus supplement or in any free writing prospectuses we have prepared. We take no responsibility for, and can provide no assurance as to the reliability of, any other information that others may give you. This prospectus and any accompanying prospectus supplement are an offer to sell only the shares offered hereby, but only under circumstances and in jurisdictions where it is lawful to do so. The information contained in this prospectus and any accompanying prospectus supplement is current only as of the date of the applicable document.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When we use the terms “we”, “us”, “our”, and the “Company,” we mean LPL Financial Holdings Inc., a Delaware corporation, and its consolidated subsidiaries, taken as a whole, unless the context otherwise indicates. When we use the term “LPL Holdings, Inc.” we mean LPL Holdings, Inc., a Massachusetts corporation, unless the context indicates otherwise.</w:t>
      </w:r>
    </w:p>
    <w:p>
      <w:pPr>
        <w:spacing w:after="0" w:line="17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Securities and Exchange Commission (“SEC”) using a “shelf” registration process. Under this shelf registration process, we may from time to time sell different types of securities described in this prospectus in one or more offerings up to a total dollar amount of $4,000,000,000.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If the information in this prospectus is inconsistent with a prospectus supplement, you should rely on the prospectus supplement. You should read both this prospectus and any prospectus supplement, including all documents incorporated herein or therein by reference, together with additional information described under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See “Item 1A—Risk Factors” in our most recent Annual Report on Form 10-K incorporated by reference in this prospectus and in any subsequent Quarterly Report on Form 10-Q or subsequent filings with the SEC and the “Risk Factors” section in the applicable prospectus supplement for a discussion of the factors you should carefully consider before deciding to purchase our securities.</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LPL Holdings, Inc. may issue debt securities using this prospectus. LPL Holdings, Inc. is a direct subsidiary of the Company and an intermediate holding company of the Company’s business. The debt securities issued by LPL Holdings, Inc. will rank equally in right of payment with all of LPL Holdings, Inc.’s (i) other unsecured and unsubordinated indebtedness, in the case of senior debt securities, and (ii) unsecured and subordinated indebtedness, in the case of LPL Holdings, Inc.’s subordinated debt securities. Such obligations will be effectively subordinated to LPL Holdings, Inc.’s future secured obligations to the extent of the value of the collateral securing such obligations. Such obligations will be structurally subordinated to all of the existing and future liabilities of the existing and future subsidiaries of LPL Holdings, Inc.</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debt securities of LPL Holdings, Inc. issued hereunder will be fully and unconditionally guaranteed by LPL Financial Holdings Inc. The obligations of LPL Financial Holdings Inc. as guarantor of such debt securities will be senior unsecured obligations of the Company and will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 right of payment with all of existing and future senior unsecured obligations that are not expressly subordinated to LPL Financial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Inc.’s guarantee of the debt securities of LPL Holdings, Inc. and will be effectively subordinated to the Company’s future secured obligations to the extent of the value of the collateral securing such obligations. Such obligations will be structurally subordinated to all of the existing and future liabilities of the Company’s existing and future subsidiaries.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13-01 of Regulation S-X under the Securities Act of 1933, as amended, the following tables present unaudited summary financial information of LPL Financial Holdings Inc., as guarantor, excluding its consolidated subsidiaries, and LPL Holdings, Inc., as the issuer, excluding its consolidated subsidiaries on a combined basis. Balances and transactions between LPL Holdings, Inc. and the Company have been eliminated. Financial information for non-guarantor subsidiaries has been excluded. Intercompany balances and transactions between the Company, LPL Holdings, Inc. and the non-guarantor subsidiaries are presented on separate lines.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Summarized Guarantor Financial Information</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LPL Holdings, Inc. &amp; LPL Financial</w:t>
            </w:r>
          </w:p>
        </w:tc>
        <w:tc>
          <w:tcPr>
            <w:tcW w:w="0" w:type="dxa"/>
            <w:vAlign w:val="bottom"/>
          </w:tcPr>
          <w:p>
            <w:pPr>
              <w:spacing w:after="0"/>
              <w:rPr>
                <w:sz w:val="1"/>
                <w:szCs w:val="1"/>
                <w:color w:val="auto"/>
              </w:rPr>
            </w:pPr>
          </w:p>
        </w:tc>
      </w:tr>
      <w:tr>
        <w:trPr>
          <w:trHeight w:val="173"/>
        </w:trPr>
        <w:tc>
          <w:tcPr>
            <w:tcW w:w="47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Combined Summarized Statements of Income</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0" w:type="dxa"/>
            <w:vAlign w:val="bottom"/>
          </w:tcPr>
          <w:p>
            <w:pPr>
              <w:spacing w:after="0"/>
              <w:rPr>
                <w:sz w:val="1"/>
                <w:szCs w:val="1"/>
                <w:color w:val="auto"/>
              </w:rPr>
            </w:pPr>
          </w:p>
        </w:tc>
      </w:tr>
      <w:tr>
        <w:trPr>
          <w:trHeight w:val="117"/>
        </w:trPr>
        <w:tc>
          <w:tcPr>
            <w:tcW w:w="47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Revenues(1)</w:t>
            </w:r>
          </w:p>
        </w:tc>
        <w:tc>
          <w:tcPr>
            <w:tcW w:w="1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and commission expense(1)</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103,333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270,278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from non-guarantor subsidiaries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(354,528)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(269,956)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Combined Summarized Statements of Financial</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Condition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Cash and equivalents</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Other intangibles, net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Receivables from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Corporate debt and other borrowings,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Accounts payable and accrued liabilities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Payables to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LPL Holdings, Inc. &amp; LPL Financial</w:t>
      </w:r>
    </w:p>
    <w:p>
      <w:pPr>
        <w:spacing w:after="0" w:line="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4312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20" w:type="dxa"/>
            <w:vAlign w:val="bottom"/>
          </w:tcPr>
          <w:p>
            <w:pPr>
              <w:spacing w:after="0"/>
              <w:rPr>
                <w:sz w:val="16"/>
                <w:szCs w:val="16"/>
                <w:color w:val="auto"/>
              </w:rPr>
            </w:pPr>
          </w:p>
        </w:tc>
        <w:tc>
          <w:tcPr>
            <w:tcW w:w="300" w:type="dxa"/>
            <w:vAlign w:val="bottom"/>
            <w:tcBorders>
              <w:top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39,782</w:t>
            </w: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15,032</w:t>
            </w:r>
          </w:p>
        </w:tc>
      </w:tr>
    </w:tbl>
    <w:p>
      <w:pPr>
        <w:jc w:val="right"/>
        <w:ind w:right="1360"/>
        <w:spacing w:after="0"/>
        <w:rPr>
          <w:sz w:val="20"/>
          <w:szCs w:val="20"/>
          <w:color w:val="auto"/>
        </w:rPr>
      </w:pPr>
      <w:r>
        <w:rPr>
          <w:rFonts w:ascii="Times New Roman" w:cs="Times New Roman" w:eastAsia="Times New Roman" w:hAnsi="Times New Roman"/>
          <w:sz w:val="18"/>
          <w:szCs w:val="18"/>
          <w:color w:val="auto"/>
        </w:rPr>
        <w:t>161,845</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1,251,908</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67,486</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148,855</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1,333,061</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5,494,724</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66,818</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101,400</w:t>
      </w:r>
    </w:p>
    <w:p>
      <w:pPr>
        <w:spacing w:after="0" w:line="9"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1,247,792</w:t>
      </w:r>
    </w:p>
    <w:p>
      <w:pPr>
        <w:spacing w:after="0" w:line="825" w:lineRule="exact"/>
        <w:rPr>
          <w:sz w:val="20"/>
          <w:szCs w:val="20"/>
          <w:color w:val="auto"/>
        </w:rPr>
      </w:pPr>
    </w:p>
    <w:p>
      <w:pPr>
        <w:sectPr>
          <w:pgSz w:w="11900" w:h="16838" w:orient="portrait"/>
          <w:cols w:equalWidth="0" w:num="2">
            <w:col w:w="7180" w:space="320"/>
            <w:col w:w="3620"/>
          </w:cols>
          <w:pgMar w:left="320" w:top="455" w:right="459" w:bottom="1440" w:gutter="0" w:footer="0" w:header="0"/>
          <w:type w:val="continuous"/>
        </w:sectPr>
      </w:pPr>
    </w:p>
    <w:p>
      <w:pPr>
        <w:spacing w:after="0" w:line="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Statements in this prospectus, any prospectus supplement and the documents incorporated by reference herein and therein regarding the Company’s future financial and operating results, outlook, growth, plans, business strategies, liquidity, future indebtedness, future share repurchases and dividends, including statements regarding future resolution of regulatory matters, legal proceedings and related costs; future revenue and expense; future affiliation models and capabilities; the expected conversion, transition and onboarding of advisors, institutions and assets in connection with our acquisition and recruitment activity; market and macroeconomic trends, including the effects of inflation and the interest rate environment; and projected savings and anticipated improvements to the Company’s operating model, services and technologies as a result of its investments, initiatives, programs and acquisitions,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those expressed or implied by forward-looking statements. Important factors that could cause or contribute to such differences include:</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market conditions, including retail investor sentiment;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fees payable by banks participating in the Company’s client cash programs, including the Company’s success in negotiating agreements with current or additional counterparties;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strategy and success in managing client cash program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advisory and brokerage assets, including net new assets, and the related impact on revenue;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 the financial services industry and the success of the Company in attracting and retaining financial advisors and institutions, and their ability to provide financial products and services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retail investors served by newly-recruited advisors choose to move their respective assets to new accounts at the Company;</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onboarding the assets of acquired, recruited or transitioned advisors, including the receipt and timing of regulatory approvals that may be required;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businesses of the Company that could make it more difficult to maintain relationships with advisors and their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by clients of acquired, recruited or transitioned advisors not to open brokerage and/or advisory accounts at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and profitability of the Company’s fee-based offerings and asset-based revenues;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pending and future legislation, regulation and regulatory actions, including disciplinary actions imposed by federal and state regulators and self-regulatory organizations;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settling and remediating issues related to regulatory matters or legal proceedings, including civil monetary penalties or actual costs of reimbursing customers for losses in excess of our reserves or insurance;</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spacing w:after="0" w:line="45" w:lineRule="exact"/>
        <w:rPr>
          <w:rFonts w:ascii="Times New Roman" w:cs="Times New Roman" w:eastAsia="Times New Roman" w:hAnsi="Times New Roman"/>
          <w:sz w:val="17"/>
          <w:szCs w:val="17"/>
          <w:color w:val="auto"/>
        </w:rPr>
      </w:pPr>
    </w:p>
    <w:p>
      <w:pPr>
        <w:jc w:val="both"/>
        <w:ind w:left="1080" w:right="1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Company’s capital management plans, including its compliance with the terms of the Company’s amended and restated credit agreement, the committed revolving credit facility at our primary broker-dealer subsidiary, LPL Financial LLC, and the indentures governing the Company’s senior unsecured notes;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acquisitions and investments, including pursuant to the Company’s Liquidity &amp; Succession solution, and the effect that such acquisitions and investments may have on the Company’s capital management plans and liquidity;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availability and trading volumes of shares of the Company’s common stock, which will affect the timing and size of future share repurchases by the Company, if any;</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Company’s plans and its success in realizing the synergies, expense savings, service improvements or efficiencies expected to result from its investments, initiatives and acquisitions, expense plans and technology initiatives;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advisors affiliated with businesses that we acquire or enter into strategic relationships with will transition registration to the Company and whether assets reported as serviced by such financial advisors will translate into assets of the Company;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 to which business processes have been transitioned;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control operating risks, information technology systems risks, cybersecurity risks and sourcing risks;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in the Company’s most recent Annual Report on Form 10-K, as may be amended or updated in the Company’s Quarterly Reports on Form 10-Q.</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Except as required by law, the Company specifically disclaims any obligation to update any forward-looking statements as a result of developments occurring after the date such statements were made, even if its estimates change, and you should not rely on statements contained herein as representing the Company’s views as of any date subsequent to the date such statements were made.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applicable prospectus supplement, we intend to use the net proceeds we receive from our sale of the securities covered by this prospectus for general corporate purposes, which may include working capital, capital expenditures, possible acquisitions and repayment of debt. Additional information on the use of net proceeds we receive from the sale of securities covered by this prospectus may be set forth in the prospectus supplement relating to the specific offering.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DEBT SECURITIES AND GUARANTEES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LPL Holdings, Inc. may offer non-convertible debt securities, which may be senior debt securities or subordinated debt securities. The debt securities will be wholly and unconditionally guaranteed by LPL Financial Holdings Inc., its direct parent. The debt securities issued by LPL Holdings, Inc. will be issued under one or more indentures, each to be entered into by LPL Holdings, Inc., LPL Financial Holdings Inc., as guarantor, a trustee, registrar, paying agent and transfer agent and/or a collateral agent, as applicable. The trustee, registrar, paying agent, transfer agent, collateral agent, calculation agent and/or foreign currency agent (collectively, the “agents”), as applicable, shall be named in the applicable prospectus supplement. The terms of the debt securities will include those described in the applicable prospectus supplement and those stated in the indenture and those made part of the indenture by reference to the Trust Indenture Act of 1939, as amended (the “Trust Indenture Act”). We have included a copy of the form of indenture as an exhibit to this Registration Statement. The indenture will be subject to and governed by the terms of the Trust Indenture Act.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“us,” “we” or “our” in this section mean LPL Financial Holdings Inc. and do not include the subsidiaries of LPL Financial Holdings Inc.</w:t>
      </w:r>
    </w:p>
    <w:p>
      <w:pPr>
        <w:spacing w:after="0" w:line="16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of the terms of our common stock does not purport to be complete. You should refer to our Amended and Restated Certificate of Incorporation (our “Certificate”) and our Seventh Amended and Restated Bylaws (our “Bylaws”), both of which are on file with the SEC as exhibits to previous filings. The summary below is also qualified by provisions of applicable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our Certificate, we have authority to issue up to 600,000,000 shares of common stock, par value $0.001 per share. Our common stock is registered under Section 12 of the Securities Exchange Act of 1934, as amended (the “Exchange Act”), and is listed on the Nasdaq Global Select Market under the symbol “LPLA”. As of February 26, 2025, we had 74,679,757 shares of common stock outstanding, held by 789 record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Our Bylaws provide that a nominee for director will be elected if the number of votes properly cast “for” such nominee’s election exceeds the number of votes properly cast “against” such nominee’s election; however, if the number of persons properly nominated for election to our board of directors (the “Board of Directors”) exceeds the number of directors to be elected, the directors will be elected by the plurality of the votes properly cast. Holders of common stock are entitled to receive proportionately any dividends as may be declared by our Board of Directors, subject to any preferential dividend rights of any series of preferred stock that is outstanding at the time of the dividend.</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payment of all debts and other liabilities and subject to the prior rights of any outstanding preferred stock.</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shares of common stock will, when issued, be duly authorized, fully paid and nonassessable. The rights, preferences and privileges of holders of common stock are subject to the rights of the holders of shares of any series of preferred stock that the Company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Delaware General Corporation Law and Our Certificate of Incorporation and Bylaws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Certificate and our Bylaws contain certain provisions that may discourage, delay or prevent a change in our management or control over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 by Written Consent</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(“DGCL”) provides that, unless otherwise stated in a corporation’s certificate of incorporation, the stockholders may act by written consent without a meeting. Our Certificate provides that any action required or permitted to be taken by our stockholders may only be taken at a duly called annual or special meeting of stockholders, and not by written consent without a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Certificate and Bylaws provide that, subject to any special rights of the holders of any series of preferred stock and to the requirements of applicable law, special meetings of our stockholders can only be called by (a) our chair or vice chair of the Board of Directors, (b) our chief executive officer or (c) a majority of the Board of Directors through a special resolution.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Bylaws set forth advance notice procedures for stockholder proposals to be brought before an annual meeting of the stockholders, including the nomination of directors. Stockholders at an annual meeting may only consider the proposals specified in the notice of meeting, brought before the meeting by or at the direction of the Board of Directors or brought by a stockholder of record who is entitled to vote at the meeting and who has delivered a timely written notice in proper form (in accordance with both our Bylaws and applicable law) to our secretary of the stockholder’s intention to bring such business before the meeting. These provisions could have the effect of precluding the conduct of certain business at a meeting if the proper procedures are not followed or delaying until the next stockholder meeting stockholder actions that are favored by the holders of a majority of our outstanding voting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a stockholder (or a group of up to 20 stockholders) who has held at least 3% of our common stock for three years or more may nominate a specified number of directors and have those nominees included in our proxy materials, provided that the stockholder and nominees satisfy the requirements specified in our Bylaws. The maximum number of stockholder nominees permitted under these provisions is the greater of two or 20% of the number of directors in office. Any stockholder who intends to use these procedures to nominate a candidate for election to the Board of Directors for inclusion in our proxy statement must satisfy the requirements specified in our Bylaws.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Removal and Interim Election of Directors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Subject to the special rights of the holders of any series of preferred stock to elect directors, holders of at least two-thirds of the shares entitled to vote at an election of the directors must approve the removal of directors. Vacancies and newly-created directorships will be filled only by a vote of a majority of the directors then in office, even though less than a quorum, and not by the stockholders. In addition, the Certificate provides that any vacancy created by the removal of a director by the stockholders shall only be filled by, in addition to any other vote otherwise required by law, the affirmative vote of a majority of the outstanding shares of common stock. Our Bylaws allow the presiding officer at a meeting of the stockholders to adopt rules and regulations for the conduct of meetings which may have the effect of precluding the conduct of certain business at a meeting if the rules and regulations are not followed.</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These provisions may have the effect of deferring, delaying or discouraging hostile takeovers, or changes in control or management of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our Board of Directors or, in addition to any other vote otherwise required by law, the affirmative vote of at least two-thirds of the voting power of our outstanding shares of common stock. Additionally, the affirmative vote of at least two-thirds of the voting power of the outstanding shares of common stock is required to alter, amend or repeal, or to adopt any provision inconsistent with, the “Board of Directors,” “No Action by Written Consent,” “Special Meetings of Stockholders,” “Amendments to the Amended and Restated Certificate of Incorporation and Bylaws” and “Business Combinations” provisions described in our Certificate. These provisions may have the effect of deferring, delaying or discouraging the removal of any anti-takeover defenses provided for in our Certificate and our Bylaws.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Certificate requires, to the fullest extent permitted by law, that derivative actions brought in the name of the Company, actions against directors, officers and employees for breach of fiduciary duty and other similar actions may be brought only in the Court of Chancery of the State of Delaware.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the Nasdaq Global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Select Market. These additional shares may be used for a variety of corporate finance transactions, acquisitions and employee benefit plans. The existence of authorized but unissued common stock and preferred stock could make more difficult, or discourage an attempt to obtain control of us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elected to not be subject to Section 203 of the DGCL, which regulates business combinations with “interested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Inc.</w:t>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 in any of the ways described below or in any combination:</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to a single purchaser.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by us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will describe the terms of the offering of the securities, including the following:</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of the securities and the proceeds to us and any discounts, commissions or concessions allowed or reallowed or paid to dealers.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Only the agents or underwriters named in each prospectus supplement are agents or underwriters in connection with the securities being offered thereby.</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Agents, underwriters and other third parties described above may be entitled to indemnification by us against certain civil liabilities, including liabilities under the Securities Act, or to contribution from us with respect to payments which the agents, underwriters or third parties may be required to make in respect thereof. Agents, underwriters and such other third parties may be customers of, engage in transactions with or perform services for us in the ordinary course of business. We may also use underwriters or such other third parties with whom we have a material relationship. We will describe the nature of any such relationship in the applicable prospectus supplement.</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Underwriters may make a market in our common stock, but will not be obligated to do so and may discontinue any market making at any time without notice. We can make no assurance as to the development, maintenance or liquidity of any trading market for the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for the securities offered by this prospectus. This prospectus does not include all of the information contained in the registration statement. You should refer to the registration statement and its exhibits for additional information.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file annual and quarterly reports, special reports, proxy statements and other information with the SEC. We make these documents publicly available, free of charge, on our website at lpl.com as soon as reasonably practicable after filing such documents with the SEC. The information contained on our website is not a part of this prospectus. You can read our SEC filings, including the registration statement, on the SEC’s website at sec.gov.</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the registration statement of which this prospectus is part and prior to the effectiveness of such registration statement,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spacing w:after="0" w:line="9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as filed with the SEC on February 20,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as filed with the SEC on </w:t>
      </w:r>
      <w:hyperlink r:id="rId80">
        <w:r>
          <w:rPr>
            <w:rFonts w:ascii="Times New Roman" w:cs="Times New Roman" w:eastAsia="Times New Roman" w:hAnsi="Times New Roman"/>
            <w:sz w:val="18"/>
            <w:szCs w:val="18"/>
            <w:u w:val="single" w:color="auto"/>
            <w:color w:val="0000EE"/>
          </w:rPr>
          <w:t>February 25, 2025</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February 26,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March 6,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auto"/>
          </w:rPr>
          <w:t xml:space="preserve">Description of our Common Stock, which is contained in the Registration Statement on Form 8-A, as filed with the SEC on </w:t>
        </w:r>
        <w:r>
          <w:rPr>
            <w:rFonts w:ascii="Times New Roman" w:cs="Times New Roman" w:eastAsia="Times New Roman" w:hAnsi="Times New Roman"/>
            <w:sz w:val="18"/>
            <w:szCs w:val="18"/>
            <w:u w:val="single" w:color="auto"/>
            <w:color w:val="0000EE"/>
          </w:rPr>
          <w:t>November 12,</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2010</w:t>
        </w:r>
        <w:r>
          <w:rPr>
            <w:rFonts w:ascii="Times New Roman" w:cs="Times New Roman" w:eastAsia="Times New Roman" w:hAnsi="Times New Roman"/>
            <w:sz w:val="18"/>
            <w:szCs w:val="18"/>
            <w:color w:val="000000"/>
          </w:rPr>
          <w:t>, as supplemented by</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Exhibit 4.8 </w:t>
        </w:r>
      </w:hyperlink>
      <w:hyperlink r:id="rId54">
        <w:r>
          <w:rPr>
            <w:rFonts w:ascii="Times New Roman" w:cs="Times New Roman" w:eastAsia="Times New Roman" w:hAnsi="Times New Roman"/>
            <w:sz w:val="18"/>
            <w:szCs w:val="18"/>
            <w:color w:val="000000"/>
          </w:rPr>
          <w:t>to our Annual Report on Form 10-K for the year ended December 31, 2024, filed with the SEC 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February 20, 2025, and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LPL Financial Holdings Inc.</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4707 Executive Drive</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(800) 877-7210</w:t>
      </w:r>
    </w:p>
    <w:p>
      <w:pPr>
        <w:spacing w:after="0" w:line="207" w:lineRule="exact"/>
        <w:rPr>
          <w:rFonts w:ascii="Times New Roman" w:cs="Times New Roman" w:eastAsia="Times New Roman" w:hAnsi="Times New Roman"/>
          <w:sz w:val="18"/>
          <w:szCs w:val="18"/>
          <w:color w:val="0000EE"/>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Copies of these filings are also available, without charge, on the SEC’s website at sec.gov and on our website at lpl.com as soon as reasonably practicable after they are filed electronically with the SEC. The information contained on our website is not a part of this prospectus.</w:t>
      </w:r>
    </w:p>
    <w:p>
      <w:pPr>
        <w:spacing w:after="0" w:line="37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rFonts w:ascii="Times New Roman" w:cs="Times New Roman" w:eastAsia="Times New Roman" w:hAnsi="Times New Roman"/>
          <w:sz w:val="18"/>
          <w:szCs w:val="18"/>
          <w:color w:val="0000EE"/>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pursuant to this prospectus will be passed upon for us by Ropes &amp; Gray LLP, Boston, Massachusetts.</w:t>
      </w:r>
    </w:p>
    <w:p>
      <w:pPr>
        <w:spacing w:after="0" w:line="9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consolidated financial statements incorporated in this prospectus by reference from the Company’s Annual Report on Form 10-K for the year ended December 31, 2024,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180975</wp:posOffset>
            </wp:positionV>
            <wp:extent cx="3343275"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33432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LPL Financial Holdings Inc.</w:t>
      </w:r>
    </w:p>
    <w:p>
      <w:pPr>
        <w:spacing w:after="0" w:line="2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1798955</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Sole Lead Book-Running Manager</w:t>
      </w:r>
    </w:p>
    <w:p>
      <w:pPr>
        <w:spacing w:after="0" w:line="20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3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lvl w:ilvl="1">
      <w:lvlJc w:val="left"/>
      <w:lvlText w:val="(†)"/>
      <w:numFmt w:val="bullet"/>
      <w:start w:val="1"/>
    </w:lvl>
  </w:abstractNum>
  <w:abstractNum w:abstractNumId="5">
    <w:nsid w:val="25E45D32"/>
    <w:multiLevelType w:val="hybridMultilevel"/>
    <w:lvl w:ilvl="0">
      <w:lvlJc w:val="left"/>
      <w:lvlText w:val="(%1)"/>
      <w:numFmt w:val="lowerLetter"/>
    </w:lvl>
    <w:lvl w:ilvl="1">
      <w:lvlJc w:val="left"/>
      <w:lvlText w:val="(†)"/>
      <w:numFmt w:val="bullet"/>
      <w:start w:val="1"/>
    </w:lvl>
  </w:abstractNum>
  <w:abstractNum w:abstractNumId="6">
    <w:nsid w:val="519B500D"/>
    <w:multiLevelType w:val="hybridMultilevel"/>
    <w:lvl w:ilvl="0">
      <w:lvlJc w:val="left"/>
      <w:lvlText w:val="%1"/>
      <w:numFmt w:val="decimal"/>
      <w:start w:val="1"/>
    </w:lvl>
    <w:lvl w:ilvl="1">
      <w:lvlJc w:val="left"/>
      <w:lvlText w:val="(%2)"/>
      <w:numFmt w:val="lowerLetter"/>
      <w:start w:val="2"/>
    </w:lvl>
  </w:abstractNum>
  <w:abstractNum w:abstractNumId="7">
    <w:nsid w:val="431BD7B7"/>
    <w:multiLevelType w:val="hybridMultilevel"/>
    <w:lvl w:ilvl="0">
      <w:lvlJc w:val="left"/>
      <w:lvlText w:val="(%1)"/>
      <w:numFmt w:val="decimal"/>
      <w:start w:val="4"/>
    </w:lvl>
    <w:lvl w:ilvl="1">
      <w:lvlJc w:val="left"/>
      <w:lvlText w:val="%2"/>
      <w:numFmt w:val="low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1"/>
    </w:lvl>
    <w:lvl w:ilvl="1">
      <w:lvlJc w:val="left"/>
      <w:lvlText w:val="(%2)"/>
      <w:numFmt w:val="lowerRoman"/>
      <w:start w:val="1"/>
    </w:lvl>
  </w:abstractNum>
  <w:abstractNum w:abstractNumId="19">
    <w:nsid w:val="75A2A8D4"/>
    <w:multiLevelType w:val="hybridMultilevel"/>
    <w:lvl w:ilvl="0">
      <w:lvlJc w:val="left"/>
      <w:lvlText w:val="(%1)"/>
      <w:numFmt w:val="lowerRoman"/>
      <w:start w:val="5"/>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jpe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jpe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48" Type="http://schemas.openxmlformats.org/officeDocument/2006/relationships/hyperlink" Target="http://www.sec.gov/ix?doc=/Archives/edgar/data/1397911/000139791125000018/lpla-20241231.htm" TargetMode="External"/><Relationship Id="rId49" Type="http://schemas.openxmlformats.org/officeDocument/2006/relationships/hyperlink" Target="http://www.sec.gov/ix?doc=/Archives/edgar/data/1397911/000119312525062585/d859527ddef14a.htm" TargetMode="External"/><Relationship Id="rId50" Type="http://schemas.openxmlformats.org/officeDocument/2006/relationships/hyperlink" Target="http://www.sec.gov/ix?doc=/Archives/edgar/data/1397911/000119312525035129/d920333d8k.htm" TargetMode="External"/><Relationship Id="rId51" Type="http://schemas.openxmlformats.org/officeDocument/2006/relationships/hyperlink" Target="http://www.sec.gov/ix?doc=/Archives/edgar/data/1397911/000119312525036781/d919242d8k.htm" TargetMode="External"/><Relationship Id="rId52" Type="http://schemas.openxmlformats.org/officeDocument/2006/relationships/hyperlink" Target="http://www.sec.gov/ix?doc=/Archives/edgar/data/1397911/000139791125000037/lpla-20250228.htm" TargetMode="External"/><Relationship Id="rId53" Type="http://schemas.openxmlformats.org/officeDocument/2006/relationships/hyperlink" Target="http://www.sec.gov/ix?doc=/Archives/edgar/data/1397911/000119312525067661/d697025d8k.htm" TargetMode="External"/><Relationship Id="rId54" Type="http://schemas.openxmlformats.org/officeDocument/2006/relationships/hyperlink" Target="http://www.sec.gov/Archives/edgar/data/1397911/000095012310104778/b83403e8va12b.htm" TargetMode="External"/><Relationship Id="rId55" Type="http://schemas.openxmlformats.org/officeDocument/2006/relationships/hyperlink" Target="http://www.sec.gov/Archives/edgar/data/1397911/000139791125000018/exhibit4820241231.htm" TargetMode="External"/><Relationship Id="rId79" Type="http://schemas.openxmlformats.org/officeDocument/2006/relationships/hyperlink" Target="http://www.sec.gov/ix?doc=/Archives/edgar/data/0001397911/000139791125000018/lpla-20241231.htm" TargetMode="External"/><Relationship Id="rId80" Type="http://schemas.openxmlformats.org/officeDocument/2006/relationships/hyperlink" Target="http://www.sec.gov/ix?doc=/Archives/edgar/data/0001397911/000119312525035129/d920333d8k.htm" TargetMode="External"/><Relationship Id="rId81" Type="http://schemas.openxmlformats.org/officeDocument/2006/relationships/hyperlink" Target="http://www.sec.gov/ix?doc=/Archives/edgar/data/0001397911/000119312525036781/d91924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2025-03-31T06:02:12Z</dcterms:created>
  <dcterms:modified xsi:type="dcterms:W3CDTF">2025-03-31T06:02:12Z</dcterms:modified>
</cp:coreProperties>
</file>