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October 27, 2026</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LPL Financial Holdings Inc.</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1220" w:type="dxa"/>
        <w:tblCellMar>
          <w:top w:w="0" w:type="dxa"/>
          <w:left w:w="0" w:type="dxa"/>
          <w:bottom w:w="0" w:type="dxa"/>
          <w:right w:w="0" w:type="dxa"/>
        </w:tblCellMar>
      </w:tblPr>
      <w:tr>
        <w:trPr>
          <w:trHeight w:val="230"/>
        </w:trPr>
        <w:tc>
          <w:tcPr>
            <w:tcW w:w="2780" w:type="dxa"/>
            <w:vAlign w:val="bottom"/>
          </w:tcPr>
          <w:p>
            <w:pPr>
              <w:jc w:val="center"/>
              <w:ind w:right="450"/>
              <w:spacing w:after="0"/>
              <w:rPr>
                <w:sz w:val="20"/>
                <w:szCs w:val="20"/>
                <w:color w:val="auto"/>
              </w:rPr>
            </w:pPr>
            <w:r>
              <w:rPr>
                <w:rFonts w:ascii="Arial" w:cs="Arial" w:eastAsia="Arial" w:hAnsi="Arial"/>
                <w:sz w:val="18"/>
                <w:szCs w:val="18"/>
                <w:b w:val="1"/>
                <w:bCs w:val="1"/>
                <w:color w:val="auto"/>
              </w:rPr>
              <w:t>Delaware</w:t>
            </w:r>
          </w:p>
        </w:tc>
        <w:tc>
          <w:tcPr>
            <w:tcW w:w="324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001-34963</w:t>
            </w:r>
          </w:p>
        </w:tc>
        <w:tc>
          <w:tcPr>
            <w:tcW w:w="278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20-3717839</w:t>
            </w:r>
          </w:p>
        </w:tc>
        <w:tc>
          <w:tcPr>
            <w:tcW w:w="0" w:type="dxa"/>
            <w:vAlign w:val="bottom"/>
          </w:tcPr>
          <w:p>
            <w:pPr>
              <w:spacing w:after="0"/>
              <w:rPr>
                <w:sz w:val="1"/>
                <w:szCs w:val="1"/>
                <w:color w:val="auto"/>
              </w:rPr>
            </w:pPr>
          </w:p>
        </w:tc>
      </w:tr>
      <w:tr>
        <w:trPr>
          <w:trHeight w:val="181"/>
        </w:trPr>
        <w:tc>
          <w:tcPr>
            <w:tcW w:w="2780" w:type="dxa"/>
            <w:vAlign w:val="bottom"/>
          </w:tcPr>
          <w:p>
            <w:pPr>
              <w:jc w:val="center"/>
              <w:ind w:right="450"/>
              <w:spacing w:after="0" w:line="181" w:lineRule="exact"/>
              <w:rPr>
                <w:sz w:val="20"/>
                <w:szCs w:val="20"/>
                <w:color w:val="auto"/>
              </w:rPr>
            </w:pPr>
            <w:r>
              <w:rPr>
                <w:rFonts w:ascii="Arial" w:cs="Arial" w:eastAsia="Arial" w:hAnsi="Arial"/>
                <w:sz w:val="18"/>
                <w:szCs w:val="18"/>
                <w:color w:val="auto"/>
                <w:w w:val="99"/>
              </w:rPr>
              <w:t>(State or other jurisdiction of</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9"/>
              </w:rPr>
              <w:t>(Commission File Number)</w:t>
            </w:r>
          </w:p>
        </w:tc>
        <w:tc>
          <w:tcPr>
            <w:tcW w:w="2780" w:type="dxa"/>
            <w:vAlign w:val="bottom"/>
          </w:tcPr>
          <w:p>
            <w:pPr>
              <w:jc w:val="center"/>
              <w:ind w:left="450"/>
              <w:spacing w:after="0" w:line="181" w:lineRule="exact"/>
              <w:rPr>
                <w:sz w:val="20"/>
                <w:szCs w:val="20"/>
                <w:color w:val="auto"/>
              </w:rPr>
            </w:pPr>
            <w:r>
              <w:rPr>
                <w:rFonts w:ascii="Arial" w:cs="Arial" w:eastAsia="Arial" w:hAnsi="Arial"/>
                <w:sz w:val="18"/>
                <w:szCs w:val="18"/>
                <w:color w:val="auto"/>
              </w:rPr>
              <w:t>(IRS Employer Identification</w:t>
            </w:r>
          </w:p>
        </w:tc>
        <w:tc>
          <w:tcPr>
            <w:tcW w:w="0" w:type="dxa"/>
            <w:vAlign w:val="bottom"/>
          </w:tcPr>
          <w:p>
            <w:pPr>
              <w:spacing w:after="0"/>
              <w:rPr>
                <w:sz w:val="1"/>
                <w:szCs w:val="1"/>
                <w:color w:val="auto"/>
              </w:rPr>
            </w:pPr>
          </w:p>
        </w:tc>
      </w:tr>
      <w:tr>
        <w:trPr>
          <w:trHeight w:val="153"/>
        </w:trPr>
        <w:tc>
          <w:tcPr>
            <w:tcW w:w="2780" w:type="dxa"/>
            <w:vAlign w:val="bottom"/>
            <w:vMerge w:val="restart"/>
          </w:tcPr>
          <w:p>
            <w:pPr>
              <w:jc w:val="center"/>
              <w:ind w:right="470"/>
              <w:spacing w:after="0"/>
              <w:rPr>
                <w:sz w:val="20"/>
                <w:szCs w:val="20"/>
                <w:color w:val="auto"/>
              </w:rPr>
            </w:pPr>
            <w:r>
              <w:rPr>
                <w:rFonts w:ascii="Arial" w:cs="Arial" w:eastAsia="Arial" w:hAnsi="Arial"/>
                <w:sz w:val="18"/>
                <w:szCs w:val="18"/>
                <w:color w:val="auto"/>
                <w:w w:val="99"/>
              </w:rPr>
              <w:t>incorporation)</w:t>
            </w:r>
          </w:p>
        </w:tc>
        <w:tc>
          <w:tcPr>
            <w:tcW w:w="3240" w:type="dxa"/>
            <w:vAlign w:val="bottom"/>
            <w:vMerge w:val="continue"/>
          </w:tcPr>
          <w:p>
            <w:pPr>
              <w:spacing w:after="0"/>
              <w:rPr>
                <w:sz w:val="13"/>
                <w:szCs w:val="13"/>
                <w:color w:val="auto"/>
              </w:rPr>
            </w:pPr>
          </w:p>
        </w:tc>
        <w:tc>
          <w:tcPr>
            <w:tcW w:w="2780" w:type="dxa"/>
            <w:vAlign w:val="bottom"/>
            <w:vMerge w:val="restart"/>
          </w:tcPr>
          <w:p>
            <w:pPr>
              <w:jc w:val="center"/>
              <w:ind w:left="470"/>
              <w:spacing w:after="0"/>
              <w:rPr>
                <w:sz w:val="20"/>
                <w:szCs w:val="20"/>
                <w:color w:val="auto"/>
              </w:rPr>
            </w:pPr>
            <w:r>
              <w:rPr>
                <w:rFonts w:ascii="Arial" w:cs="Arial" w:eastAsia="Arial" w:hAnsi="Arial"/>
                <w:sz w:val="18"/>
                <w:szCs w:val="18"/>
                <w:color w:val="auto"/>
                <w:w w:val="99"/>
              </w:rPr>
              <w:t>No.)</w:t>
            </w:r>
          </w:p>
        </w:tc>
        <w:tc>
          <w:tcPr>
            <w:tcW w:w="0" w:type="dxa"/>
            <w:vAlign w:val="bottom"/>
          </w:tcPr>
          <w:p>
            <w:pPr>
              <w:spacing w:after="0"/>
              <w:rPr>
                <w:sz w:val="1"/>
                <w:szCs w:val="1"/>
                <w:color w:val="auto"/>
              </w:rPr>
            </w:pPr>
          </w:p>
        </w:tc>
      </w:tr>
      <w:tr>
        <w:trPr>
          <w:trHeight w:val="86"/>
        </w:trPr>
        <w:tc>
          <w:tcPr>
            <w:tcW w:w="2780" w:type="dxa"/>
            <w:vAlign w:val="bottom"/>
            <w:vMerge w:val="continue"/>
          </w:tcPr>
          <w:p>
            <w:pPr>
              <w:spacing w:after="0"/>
              <w:rPr>
                <w:sz w:val="7"/>
                <w:szCs w:val="7"/>
                <w:color w:val="auto"/>
              </w:rPr>
            </w:pPr>
          </w:p>
        </w:tc>
        <w:tc>
          <w:tcPr>
            <w:tcW w:w="324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8" w:lineRule="exact"/>
        <w:rPr>
          <w:sz w:val="24"/>
          <w:szCs w:val="24"/>
          <w:color w:val="auto"/>
        </w:rPr>
      </w:pPr>
    </w:p>
    <w:tbl>
      <w:tblPr>
        <w:tblLayout w:type="fixed"/>
        <w:tblInd w:w="1420" w:type="dxa"/>
        <w:tblCellMar>
          <w:top w:w="0" w:type="dxa"/>
          <w:left w:w="0" w:type="dxa"/>
          <w:bottom w:w="0" w:type="dxa"/>
          <w:right w:w="0" w:type="dxa"/>
        </w:tblCellMar>
      </w:tblPr>
      <w:tr>
        <w:trPr>
          <w:trHeight w:val="243"/>
        </w:trPr>
        <w:tc>
          <w:tcPr>
            <w:tcW w:w="2260" w:type="dxa"/>
            <w:vAlign w:val="bottom"/>
          </w:tcPr>
          <w:p>
            <w:pPr>
              <w:spacing w:after="0"/>
              <w:rPr>
                <w:sz w:val="20"/>
                <w:szCs w:val="20"/>
                <w:color w:val="auto"/>
              </w:rPr>
            </w:pPr>
            <w:r>
              <w:rPr>
                <w:rFonts w:ascii="Arial" w:cs="Arial" w:eastAsia="Arial" w:hAnsi="Arial"/>
                <w:sz w:val="18"/>
                <w:szCs w:val="18"/>
                <w:b w:val="1"/>
                <w:bCs w:val="1"/>
                <w:color w:val="auto"/>
              </w:rPr>
              <w:t>4707 Executive Drive,</w:t>
            </w:r>
          </w:p>
        </w:tc>
        <w:tc>
          <w:tcPr>
            <w:tcW w:w="2420" w:type="dxa"/>
            <w:vAlign w:val="bottom"/>
          </w:tcPr>
          <w:p>
            <w:pPr>
              <w:ind w:left="440"/>
              <w:spacing w:after="0"/>
              <w:rPr>
                <w:sz w:val="20"/>
                <w:szCs w:val="20"/>
                <w:color w:val="auto"/>
              </w:rPr>
            </w:pPr>
            <w:r>
              <w:rPr>
                <w:rFonts w:ascii="Arial" w:cs="Arial" w:eastAsia="Arial" w:hAnsi="Arial"/>
                <w:sz w:val="18"/>
                <w:szCs w:val="18"/>
                <w:b w:val="1"/>
                <w:bCs w:val="1"/>
                <w:color w:val="auto"/>
              </w:rPr>
              <w:t>San Diego,</w:t>
            </w:r>
          </w:p>
        </w:tc>
        <w:tc>
          <w:tcPr>
            <w:tcW w:w="1260" w:type="dxa"/>
            <w:vAlign w:val="bottom"/>
          </w:tcPr>
          <w:p>
            <w:pPr>
              <w:ind w:left="140"/>
              <w:spacing w:after="0"/>
              <w:rPr>
                <w:sz w:val="20"/>
                <w:szCs w:val="20"/>
                <w:color w:val="auto"/>
              </w:rPr>
            </w:pPr>
            <w:r>
              <w:rPr>
                <w:rFonts w:ascii="Arial" w:cs="Arial" w:eastAsia="Arial" w:hAnsi="Arial"/>
                <w:sz w:val="18"/>
                <w:szCs w:val="18"/>
                <w:b w:val="1"/>
                <w:bCs w:val="1"/>
                <w:color w:val="auto"/>
              </w:rPr>
              <w:t>California</w:t>
            </w:r>
          </w:p>
        </w:tc>
        <w:tc>
          <w:tcPr>
            <w:tcW w:w="1960" w:type="dxa"/>
            <w:vAlign w:val="bottom"/>
          </w:tcPr>
          <w:p>
            <w:pPr>
              <w:jc w:val="right"/>
              <w:ind w:right="70"/>
              <w:spacing w:after="0"/>
              <w:rPr>
                <w:sz w:val="20"/>
                <w:szCs w:val="20"/>
                <w:color w:val="auto"/>
              </w:rPr>
            </w:pPr>
            <w:r>
              <w:rPr>
                <w:rFonts w:ascii="Arial" w:cs="Arial" w:eastAsia="Arial" w:hAnsi="Arial"/>
                <w:sz w:val="18"/>
                <w:szCs w:val="18"/>
                <w:b w:val="1"/>
                <w:bCs w:val="1"/>
                <w:color w:val="auto"/>
              </w:rPr>
              <w:t>92121</w:t>
            </w:r>
          </w:p>
        </w:tc>
      </w:tr>
      <w:tr>
        <w:trPr>
          <w:trHeight w:val="239"/>
        </w:trPr>
        <w:tc>
          <w:tcPr>
            <w:tcW w:w="4680" w:type="dxa"/>
            <w:vAlign w:val="bottom"/>
            <w:gridSpan w:val="2"/>
          </w:tcPr>
          <w:p>
            <w:pPr>
              <w:ind w:left="1460"/>
              <w:spacing w:after="0"/>
              <w:rPr>
                <w:sz w:val="20"/>
                <w:szCs w:val="20"/>
                <w:color w:val="auto"/>
              </w:rPr>
            </w:pPr>
            <w:r>
              <w:rPr>
                <w:rFonts w:ascii="Arial" w:cs="Arial" w:eastAsia="Arial" w:hAnsi="Arial"/>
                <w:sz w:val="18"/>
                <w:szCs w:val="18"/>
                <w:color w:val="auto"/>
              </w:rPr>
              <w:t>(Address of principal executive offices)</w:t>
            </w:r>
          </w:p>
        </w:tc>
        <w:tc>
          <w:tcPr>
            <w:tcW w:w="1260" w:type="dxa"/>
            <w:vAlign w:val="bottom"/>
          </w:tcPr>
          <w:p>
            <w:pPr>
              <w:spacing w:after="0"/>
              <w:rPr>
                <w:sz w:val="20"/>
                <w:szCs w:val="20"/>
                <w:color w:val="auto"/>
              </w:rPr>
            </w:pPr>
          </w:p>
        </w:tc>
        <w:tc>
          <w:tcPr>
            <w:tcW w:w="1960" w:type="dxa"/>
            <w:vAlign w:val="bottom"/>
          </w:tcPr>
          <w:p>
            <w:pPr>
              <w:jc w:val="center"/>
              <w:ind w:left="1030"/>
              <w:spacing w:after="0"/>
              <w:rPr>
                <w:sz w:val="20"/>
                <w:szCs w:val="20"/>
                <w:color w:val="auto"/>
              </w:rPr>
            </w:pPr>
            <w:r>
              <w:rPr>
                <w:rFonts w:ascii="Arial" w:cs="Arial" w:eastAsia="Arial" w:hAnsi="Arial"/>
                <w:sz w:val="18"/>
                <w:szCs w:val="18"/>
                <w:color w:val="auto"/>
                <w:w w:val="98"/>
              </w:rPr>
              <w:t>(Zip Code)</w:t>
            </w:r>
          </w:p>
        </w:tc>
      </w:tr>
      <w:tr>
        <w:trPr>
          <w:trHeight w:val="666"/>
        </w:trPr>
        <w:tc>
          <w:tcPr>
            <w:tcW w:w="5940" w:type="dxa"/>
            <w:vAlign w:val="bottom"/>
            <w:gridSpan w:val="3"/>
          </w:tcPr>
          <w:p>
            <w:pPr>
              <w:ind w:left="1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35"/>
                <w:szCs w:val="35"/>
                <w:b w:val="1"/>
                <w:bCs w:val="1"/>
                <w:color w:val="auto"/>
                <w:vertAlign w:val="superscript"/>
              </w:rPr>
              <w:t>(800)</w:t>
            </w:r>
          </w:p>
        </w:tc>
        <w:tc>
          <w:tcPr>
            <w:tcW w:w="1960" w:type="dxa"/>
            <w:vAlign w:val="bottom"/>
          </w:tcPr>
          <w:p>
            <w:pPr>
              <w:jc w:val="right"/>
              <w:ind w:right="950"/>
              <w:spacing w:after="0"/>
              <w:rPr>
                <w:sz w:val="20"/>
                <w:szCs w:val="20"/>
                <w:color w:val="auto"/>
              </w:rPr>
            </w:pPr>
            <w:r>
              <w:rPr>
                <w:rFonts w:ascii="Arial" w:cs="Arial" w:eastAsia="Arial" w:hAnsi="Arial"/>
                <w:sz w:val="18"/>
                <w:szCs w:val="18"/>
                <w:b w:val="1"/>
                <w:bCs w:val="1"/>
                <w:color w:val="auto"/>
              </w:rPr>
              <w:t>877-7210</w:t>
            </w:r>
          </w:p>
        </w:tc>
      </w:tr>
      <w:tr>
        <w:trPr>
          <w:trHeight w:val="247"/>
        </w:trPr>
        <w:tc>
          <w:tcPr>
            <w:tcW w:w="2260" w:type="dxa"/>
            <w:vAlign w:val="bottom"/>
          </w:tcPr>
          <w:p>
            <w:pPr>
              <w:spacing w:after="0"/>
              <w:rPr>
                <w:sz w:val="21"/>
                <w:szCs w:val="21"/>
                <w:color w:val="auto"/>
              </w:rPr>
            </w:pPr>
          </w:p>
        </w:tc>
        <w:tc>
          <w:tcPr>
            <w:tcW w:w="2420" w:type="dxa"/>
            <w:vAlign w:val="bottom"/>
          </w:tcPr>
          <w:p>
            <w:pPr>
              <w:ind w:left="1780"/>
              <w:spacing w:after="0"/>
              <w:rPr>
                <w:sz w:val="20"/>
                <w:szCs w:val="20"/>
                <w:color w:val="auto"/>
              </w:rPr>
            </w:pPr>
            <w:r>
              <w:rPr>
                <w:rFonts w:ascii="Arial" w:cs="Arial" w:eastAsia="Arial" w:hAnsi="Arial"/>
                <w:sz w:val="18"/>
                <w:szCs w:val="18"/>
                <w:b w:val="1"/>
                <w:bCs w:val="1"/>
                <w:color w:val="auto"/>
              </w:rPr>
              <w:t>N/A</w:t>
            </w:r>
          </w:p>
        </w:tc>
        <w:tc>
          <w:tcPr>
            <w:tcW w:w="1260" w:type="dxa"/>
            <w:vAlign w:val="bottom"/>
          </w:tcPr>
          <w:p>
            <w:pPr>
              <w:spacing w:after="0"/>
              <w:rPr>
                <w:sz w:val="21"/>
                <w:szCs w:val="21"/>
                <w:color w:val="auto"/>
              </w:rPr>
            </w:pPr>
          </w:p>
        </w:tc>
        <w:tc>
          <w:tcPr>
            <w:tcW w:w="1960" w:type="dxa"/>
            <w:vAlign w:val="bottom"/>
          </w:tcPr>
          <w:p>
            <w:pPr>
              <w:spacing w:after="0"/>
              <w:rPr>
                <w:sz w:val="21"/>
                <w:szCs w:val="21"/>
                <w:color w:val="auto"/>
              </w:rPr>
            </w:pPr>
          </w:p>
        </w:tc>
      </w:tr>
    </w:tbl>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w:t>
      </w:r>
    </w:p>
    <w:p>
      <w:pPr>
        <w:spacing w:after="0" w:line="18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50"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Title of each class</w:t>
      </w:r>
    </w:p>
    <w:p>
      <w:pPr>
        <w:spacing w:after="0" w:line="32" w:lineRule="exact"/>
        <w:rPr>
          <w:sz w:val="24"/>
          <w:szCs w:val="24"/>
          <w:color w:val="auto"/>
        </w:rPr>
      </w:pPr>
    </w:p>
    <w:p>
      <w:pPr>
        <w:jc w:val="center"/>
        <w:ind w:left="480"/>
        <w:spacing w:after="0"/>
        <w:rPr>
          <w:sz w:val="20"/>
          <w:szCs w:val="20"/>
          <w:color w:val="auto"/>
        </w:rPr>
      </w:pPr>
      <w:r>
        <w:rPr>
          <w:rFonts w:ascii="Arial" w:cs="Arial" w:eastAsia="Arial" w:hAnsi="Arial"/>
          <w:sz w:val="17"/>
          <w:szCs w:val="17"/>
          <w:color w:val="auto"/>
        </w:rPr>
        <w:t>Common Stock - par value $0.001 per share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Trading Symbol(s)</w:t>
      </w:r>
    </w:p>
    <w:p>
      <w:pPr>
        <w:spacing w:after="0" w:line="4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LPLA</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Name of each exchange on which registered</w:t>
      </w:r>
    </w:p>
    <w:p>
      <w:pPr>
        <w:spacing w:after="0" w:line="4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The Nasdaq Global Select Market</w:t>
      </w:r>
    </w:p>
    <w:p>
      <w:pPr>
        <w:spacing w:after="0" w:line="148" w:lineRule="exact"/>
        <w:rPr>
          <w:sz w:val="24"/>
          <w:szCs w:val="24"/>
          <w:color w:val="auto"/>
        </w:rPr>
      </w:pPr>
    </w:p>
    <w:p>
      <w:pPr>
        <w:sectPr>
          <w:pgSz w:w="11900" w:h="16838" w:orient="portrait"/>
          <w:cols w:equalWidth="0" w:num="3">
            <w:col w:w="4220" w:space="720"/>
            <w:col w:w="1520" w:space="720"/>
            <w:col w:w="4060"/>
          </w:cols>
          <w:pgMar w:left="320" w:top="1440" w:right="3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1"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28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9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On October 27, 2026, LPL Financial Holdings Inc. (collectively with its subsidiaries, the “Company”) issued a press release announcing its financial results for the three months ended September 30, 2026. A copy of the press release is furnished with this Form 8-K and attached hereto as Exhibit 99.1.</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40" w:lineRule="exact"/>
        <w:rPr>
          <w:sz w:val="20"/>
          <w:szCs w:val="20"/>
          <w:color w:val="auto"/>
        </w:rPr>
      </w:pPr>
    </w:p>
    <w:p>
      <w:pPr>
        <w:ind w:left="1320" w:hanging="497"/>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tbl>
      <w:tblPr>
        <w:tblLayout w:type="fixed"/>
        <w:tblInd w:w="0" w:type="dxa"/>
        <w:tblCellMar>
          <w:top w:w="0" w:type="dxa"/>
          <w:left w:w="0" w:type="dxa"/>
          <w:bottom w:w="0" w:type="dxa"/>
          <w:right w:w="0" w:type="dxa"/>
        </w:tblCellMar>
      </w:tblPr>
      <w:tr>
        <w:trPr>
          <w:trHeight w:val="200"/>
        </w:trPr>
        <w:tc>
          <w:tcPr>
            <w:tcW w:w="1320" w:type="dxa"/>
            <w:vAlign w:val="bottom"/>
            <w:vMerge w:val="restart"/>
          </w:tcPr>
          <w:p>
            <w:pPr>
              <w:jc w:val="right"/>
              <w:ind w:right="250"/>
              <w:spacing w:after="0"/>
              <w:rPr>
                <w:sz w:val="20"/>
                <w:szCs w:val="20"/>
                <w:color w:val="auto"/>
              </w:rPr>
            </w:pPr>
            <w:r>
              <w:rPr>
                <w:rFonts w:ascii="Arial" w:cs="Arial" w:eastAsia="Arial" w:hAnsi="Arial"/>
                <w:sz w:val="18"/>
                <w:szCs w:val="18"/>
                <w:color w:val="auto"/>
              </w:rPr>
              <w:t>99.1</w:t>
            </w:r>
          </w:p>
        </w:tc>
        <w:tc>
          <w:tcPr>
            <w:tcW w:w="9920" w:type="dxa"/>
            <w:vAlign w:val="bottom"/>
            <w:gridSpan w:val="2"/>
          </w:tcPr>
          <w:p>
            <w:pPr>
              <w:spacing w:after="0" w:line="200" w:lineRule="exact"/>
              <w:rPr>
                <w:sz w:val="20"/>
                <w:szCs w:val="20"/>
                <w:color w:val="auto"/>
              </w:rPr>
            </w:pPr>
            <w:r>
              <w:rPr>
                <w:rFonts w:ascii="Arial" w:cs="Arial" w:eastAsia="Arial" w:hAnsi="Arial"/>
                <w:sz w:val="18"/>
                <w:szCs w:val="18"/>
                <w:color w:val="0000FF"/>
              </w:rPr>
              <w:t>Press Release dated October 27, 2026 ("LPL Financial Announces Third Quarter 2026 Results")</w:t>
            </w:r>
          </w:p>
        </w:tc>
        <w:tc>
          <w:tcPr>
            <w:tcW w:w="0" w:type="dxa"/>
            <w:vAlign w:val="bottom"/>
          </w:tcPr>
          <w:p>
            <w:pPr>
              <w:spacing w:after="0"/>
              <w:rPr>
                <w:sz w:val="1"/>
                <w:szCs w:val="1"/>
                <w:color w:val="auto"/>
              </w:rPr>
            </w:pPr>
          </w:p>
        </w:tc>
      </w:tr>
      <w:tr>
        <w:trPr>
          <w:trHeight w:val="92"/>
        </w:trPr>
        <w:tc>
          <w:tcPr>
            <w:tcW w:w="1320" w:type="dxa"/>
            <w:vAlign w:val="bottom"/>
            <w:vMerge w:val="continue"/>
          </w:tcPr>
          <w:p>
            <w:pPr>
              <w:spacing w:after="0"/>
              <w:rPr>
                <w:sz w:val="8"/>
                <w:szCs w:val="8"/>
                <w:color w:val="auto"/>
              </w:rPr>
            </w:pPr>
          </w:p>
        </w:tc>
        <w:tc>
          <w:tcPr>
            <w:tcW w:w="7680" w:type="dxa"/>
            <w:vAlign w:val="bottom"/>
            <w:tcBorders>
              <w:top w:val="single" w:sz="8" w:color="0000FF"/>
            </w:tcBorders>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99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12"/>
        </w:trPr>
        <w:tc>
          <w:tcPr>
            <w:tcW w:w="132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0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LPL FINANCIAL</w:t>
      </w:r>
    </w:p>
    <w:p>
      <w:pPr>
        <w:ind w:left="5960"/>
        <w:spacing w:after="0"/>
        <w:rPr>
          <w:sz w:val="20"/>
          <w:szCs w:val="20"/>
          <w:color w:val="auto"/>
        </w:rPr>
      </w:pPr>
      <w:r>
        <w:rPr>
          <w:rFonts w:ascii="Arial" w:cs="Arial" w:eastAsia="Arial" w:hAnsi="Arial"/>
          <w:sz w:val="18"/>
          <w:szCs w:val="18"/>
          <w:color w:val="auto"/>
        </w:rPr>
        <w:t>HOLDINGS INC.</w:t>
      </w:r>
    </w:p>
    <w:p>
      <w:pPr>
        <w:spacing w:after="0" w:line="23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Matthew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17780</wp:posOffset>
            </wp:positionV>
            <wp:extent cx="1859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Matthew Audette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 and Chief Financial</w:t>
      </w:r>
    </w:p>
    <w:p>
      <w:pPr>
        <w:ind w:left="56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2026</w:t>
      </w:r>
    </w:p>
    <w:p>
      <w:pPr>
        <w:sectPr>
          <w:pgSz w:w="11900" w:h="16838" w:orient="portrait"/>
          <w:cols w:equalWidth="0" w:num="1">
            <w:col w:w="11020"/>
          </w:cols>
          <w:pgMar w:left="320" w:top="931" w:right="559" w:bottom="1440" w:gutter="0" w:footer="0" w:header="0"/>
        </w:sectPr>
      </w:pPr>
    </w:p>
    <w:bookmarkStart w:id="3" w:name="page4"/>
    <w:bookmarkEnd w:id="3"/>
    <w:p>
      <w:pPr>
        <w:ind w:left="20"/>
        <w:spacing w:after="0"/>
        <w:rPr>
          <w:sz w:val="20"/>
          <w:szCs w:val="20"/>
          <w:color w:val="auto"/>
        </w:rPr>
      </w:pPr>
      <w:r>
        <w:rPr>
          <w:rFonts w:ascii="Arial" w:cs="Arial" w:eastAsia="Arial" w:hAnsi="Arial"/>
          <w:sz w:val="22"/>
          <w:szCs w:val="22"/>
          <w:color w:val="BE5500"/>
        </w:rPr>
        <w:drawing>
          <wp:anchor simplePos="0" relativeHeight="251657728" behindDoc="1" locked="0" layoutInCell="0" allowOverlap="1">
            <wp:simplePos x="0" y="0"/>
            <wp:positionH relativeFrom="page">
              <wp:posOffset>5523230</wp:posOffset>
            </wp:positionH>
            <wp:positionV relativeFrom="page">
              <wp:posOffset>466090</wp:posOffset>
            </wp:positionV>
            <wp:extent cx="180848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08480" cy="222885"/>
                    </a:xfrm>
                    <a:prstGeom prst="rect">
                      <a:avLst/>
                    </a:prstGeom>
                    <a:noFill/>
                  </pic:spPr>
                </pic:pic>
              </a:graphicData>
            </a:graphic>
          </wp:anchor>
        </w:drawing>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Georgia" w:cs="Georgia" w:eastAsia="Georgia" w:hAnsi="Georgia"/>
          <w:sz w:val="29"/>
          <w:szCs w:val="29"/>
          <w:color w:val="081D4D"/>
        </w:rPr>
        <w:t>LPL Financial Announces Third Quarter 2026 Results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Financial Results</w:t>
      </w:r>
    </w:p>
    <w:p>
      <w:pPr>
        <w:spacing w:after="0" w:line="6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was $357 million, translating to diluted earnings per share ("EPS") of $4.52</w:t>
      </w:r>
    </w:p>
    <w:p>
      <w:pPr>
        <w:spacing w:after="0" w:line="63" w:lineRule="exact"/>
        <w:rPr>
          <w:rFonts w:ascii="Arial" w:cs="Arial" w:eastAsia="Arial" w:hAnsi="Arial"/>
          <w:sz w:val="18"/>
          <w:szCs w:val="18"/>
          <w:b w:val="1"/>
          <w:bCs w:val="1"/>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Adjusted EPS* increased 15% year-over-year to $5.97</w:t>
      </w:r>
    </w:p>
    <w:p>
      <w:pPr>
        <w:spacing w:after="0" w:line="49" w:lineRule="exact"/>
        <w:rPr>
          <w:rFonts w:ascii="Arial" w:cs="Arial" w:eastAsia="Arial" w:hAnsi="Arial"/>
          <w:sz w:val="18"/>
          <w:szCs w:val="18"/>
          <w:b w:val="1"/>
          <w:bCs w:val="1"/>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Gross profit* increased 12% year-over-year to $1,662 million</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Core G&amp;A* increased 11% year-over-year to $532 million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pre-tax income* increased 13% year-over-year to $641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Business Results</w:t>
      </w:r>
    </w:p>
    <w:p>
      <w:pPr>
        <w:spacing w:after="0" w:line="63"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Total client assets increased 11% year-over-year to $2.6 trillion</w:t>
      </w:r>
    </w:p>
    <w:p>
      <w:pPr>
        <w:spacing w:after="0" w:line="39" w:lineRule="exact"/>
        <w:rPr>
          <w:rFonts w:ascii="Arial" w:cs="Arial" w:eastAsia="Arial" w:hAnsi="Arial"/>
          <w:sz w:val="18"/>
          <w:szCs w:val="18"/>
          <w:b w:val="1"/>
          <w:bCs w:val="1"/>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Advisory assets increased 16% year-over-year to $1.6 trillion</w:t>
      </w:r>
    </w:p>
    <w:p>
      <w:pPr>
        <w:spacing w:after="0" w:line="18"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Advisory assets as a percentage of total client assets increased to 60.9%, up from 58.2% a year ago</w:t>
      </w:r>
    </w:p>
    <w:p>
      <w:pPr>
        <w:spacing w:after="0" w:line="63"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Total organic net new assets were $29 billion, representing 5% annualized growth</w:t>
      </w:r>
    </w:p>
    <w:p>
      <w:pPr>
        <w:spacing w:after="0" w:line="58" w:lineRule="exact"/>
        <w:rPr>
          <w:rFonts w:ascii="Arial" w:cs="Arial" w:eastAsia="Arial" w:hAnsi="Arial"/>
          <w:sz w:val="18"/>
          <w:szCs w:val="18"/>
          <w:b w:val="1"/>
          <w:bCs w:val="1"/>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Recruited assets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were $24 billion, down 26% from a year ago</w:t>
      </w:r>
    </w:p>
    <w:p>
      <w:pPr>
        <w:spacing w:after="0" w:line="27" w:lineRule="exact"/>
        <w:rPr>
          <w:rFonts w:ascii="Arial" w:cs="Arial" w:eastAsia="Arial" w:hAnsi="Arial"/>
          <w:sz w:val="18"/>
          <w:szCs w:val="18"/>
          <w:b w:val="1"/>
          <w:bCs w:val="1"/>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Recruited assets over the trailing twelve months were $81 billion</w:t>
      </w:r>
    </w:p>
    <w:p>
      <w:pPr>
        <w:spacing w:after="0" w:line="31"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Total client cash balances were $57 billion, consistent with prior quarter and an increase of $1 billion year-over-year</w:t>
      </w:r>
    </w:p>
    <w:p>
      <w:pPr>
        <w:spacing w:after="0" w:line="27" w:lineRule="exact"/>
        <w:rPr>
          <w:rFonts w:ascii="Arial" w:cs="Arial" w:eastAsia="Arial" w:hAnsi="Arial"/>
          <w:sz w:val="18"/>
          <w:szCs w:val="18"/>
          <w:b w:val="1"/>
          <w:bCs w:val="1"/>
          <w:color w:val="auto"/>
        </w:rPr>
      </w:pPr>
    </w:p>
    <w:p>
      <w:pPr>
        <w:ind w:left="980" w:right="160" w:hanging="324"/>
        <w:spacing w:after="0" w:line="250" w:lineRule="auto"/>
        <w:tabs>
          <w:tab w:leader="none" w:pos="976" w:val="left"/>
        </w:tabs>
        <w:numPr>
          <w:ilvl w:val="1"/>
          <w:numId w:val="4"/>
        </w:numPr>
        <w:rPr>
          <w:rFonts w:ascii="Arial" w:cs="Arial" w:eastAsia="Arial" w:hAnsi="Arial"/>
          <w:sz w:val="18"/>
          <w:szCs w:val="18"/>
          <w:color w:val="auto"/>
        </w:rPr>
      </w:pPr>
      <w:r>
        <w:rPr>
          <w:rFonts w:ascii="Arial" w:cs="Arial" w:eastAsia="Arial" w:hAnsi="Arial"/>
          <w:sz w:val="18"/>
          <w:szCs w:val="18"/>
          <w:color w:val="auto"/>
        </w:rPr>
        <w:t>Client cash balances as a percentage of total client assets were 2.2%, consistent with prior quarter and down from 2.4% in the prior year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Capital and Liquidity Measures</w:t>
      </w:r>
    </w:p>
    <w:p>
      <w:pPr>
        <w:spacing w:after="0" w:line="6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cash</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was $563 million</w:t>
      </w:r>
    </w:p>
    <w:p>
      <w:pPr>
        <w:spacing w:after="0" w:line="23" w:lineRule="exact"/>
        <w:rPr>
          <w:rFonts w:ascii="Arial" w:cs="Arial" w:eastAsia="Arial" w:hAnsi="Arial"/>
          <w:sz w:val="18"/>
          <w:szCs w:val="18"/>
          <w:b w:val="1"/>
          <w:bCs w:val="1"/>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Leverage ratio</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was 1.93x</w:t>
      </w:r>
    </w:p>
    <w:p>
      <w:pPr>
        <w:spacing w:after="0" w:line="5" w:lineRule="exact"/>
        <w:rPr>
          <w:rFonts w:ascii="Arial" w:cs="Arial" w:eastAsia="Arial" w:hAnsi="Arial"/>
          <w:sz w:val="18"/>
          <w:szCs w:val="18"/>
          <w:b w:val="1"/>
          <w:bCs w:val="1"/>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repurchases were $301 million and dividends paid were $24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Updates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M&amp;A:</w:t>
      </w:r>
    </w:p>
    <w:p>
      <w:pPr>
        <w:spacing w:after="0" w:line="6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Commonwealth Financial Network ("Commonwealth"): </w:t>
      </w:r>
      <w:r>
        <w:rPr>
          <w:rFonts w:ascii="Arial" w:cs="Arial" w:eastAsia="Arial" w:hAnsi="Arial"/>
          <w:sz w:val="18"/>
          <w:szCs w:val="18"/>
          <w:color w:val="auto"/>
        </w:rPr>
        <w:t>On track to complete the conversion in the fourth quarter of 2026</w:t>
      </w:r>
    </w:p>
    <w:p>
      <w:pPr>
        <w:spacing w:after="0" w:line="63" w:lineRule="exact"/>
        <w:rPr>
          <w:rFonts w:ascii="Arial" w:cs="Arial" w:eastAsia="Arial" w:hAnsi="Arial"/>
          <w:sz w:val="18"/>
          <w:szCs w:val="18"/>
          <w:b w:val="1"/>
          <w:bCs w:val="1"/>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Asset retention is now expected to be approximately 83%</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Estimated run-rate EBITDA is now expected to be $415 million</w:t>
      </w:r>
    </w:p>
    <w:p>
      <w:pPr>
        <w:spacing w:after="0" w:line="63"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Liquidity &amp; Succession: </w:t>
      </w:r>
      <w:r>
        <w:rPr>
          <w:rFonts w:ascii="Arial" w:cs="Arial" w:eastAsia="Arial" w:hAnsi="Arial"/>
          <w:sz w:val="18"/>
          <w:szCs w:val="18"/>
          <w:color w:val="auto"/>
        </w:rPr>
        <w:t>Deployed approximately $20 million of capital to close three deals in Q3</w:t>
      </w:r>
    </w:p>
    <w:p>
      <w:pPr>
        <w:spacing w:after="0" w:line="320" w:lineRule="exact"/>
        <w:rPr>
          <w:sz w:val="20"/>
          <w:szCs w:val="20"/>
          <w:color w:val="auto"/>
        </w:rPr>
      </w:pPr>
    </w:p>
    <w:p>
      <w:pPr>
        <w:ind w:left="340" w:hanging="332"/>
        <w:spacing w:after="0" w:line="281" w:lineRule="auto"/>
        <w:tabs>
          <w:tab w:leader="none" w:pos="30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Given our performance to date, we are narrowing our 2026 Core G&amp;A* outlook range to $2,140-2,160 million, including expenses related to Commonwealth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63" w:lineRule="exact"/>
        <w:rPr>
          <w:sz w:val="20"/>
          <w:szCs w:val="20"/>
          <w:color w:val="auto"/>
        </w:rPr>
      </w:pPr>
    </w:p>
    <w:p>
      <w:pPr>
        <w:ind w:left="340" w:right="100" w:hanging="332"/>
        <w:spacing w:after="0" w:line="287" w:lineRule="auto"/>
        <w:tabs>
          <w:tab w:leader="none" w:pos="30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w:t>
      </w:r>
      <w:r>
        <w:rPr>
          <w:rFonts w:ascii="Arial" w:cs="Arial" w:eastAsia="Arial" w:hAnsi="Arial"/>
          <w:sz w:val="18"/>
          <w:szCs w:val="18"/>
          <w:color w:val="auto"/>
        </w:rPr>
        <w:t>The Company's Board of Directors declared a $0.30 per share dividend to be paid on November 30, 2026 to all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record as of November 12, 2026</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SAN DIEGO — October 27, 2026 — </w:t>
      </w:r>
      <w:r>
        <w:rPr>
          <w:rFonts w:ascii="Arial" w:cs="Arial" w:eastAsia="Arial" w:hAnsi="Arial"/>
          <w:sz w:val="18"/>
          <w:szCs w:val="18"/>
          <w:color w:val="auto"/>
        </w:rPr>
        <w:t>LPL Financial Holdings Inc. (Nasdaq: LPLA) (the "Company") today announced results for its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2026, reporting net income of $357 million, or $4.52 per share. This compares with a net loss of $30 million, or $0.37 per share, in the third quarter of 2025 and net income of $379 million, or $4.74 per share, in the prior quarter.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*See the Non-GAAP Financial Measures section and the endnotes to this release for further details about these non-GAAP financial measures</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320" w:top="842" w:right="419" w:bottom="1440" w:gutter="0" w:footer="0" w:header="0"/>
        </w:sectPr>
      </w:pPr>
    </w:p>
    <w:bookmarkStart w:id="4" w:name="page5"/>
    <w:bookmarkEnd w:id="4"/>
    <w:p>
      <w:pPr>
        <w:ind w:right="120"/>
        <w:spacing w:after="0" w:line="271" w:lineRule="auto"/>
        <w:rPr>
          <w:sz w:val="20"/>
          <w:szCs w:val="20"/>
          <w:color w:val="auto"/>
        </w:rPr>
      </w:pPr>
      <w:r>
        <w:rPr>
          <w:rFonts w:ascii="Arial" w:cs="Arial" w:eastAsia="Arial" w:hAnsi="Arial"/>
          <w:sz w:val="17"/>
          <w:szCs w:val="17"/>
          <w:i w:val="1"/>
          <w:iCs w:val="1"/>
          <w:color w:val="auto"/>
        </w:rPr>
        <w:t>"After an outstanding first half of the year, we delivered another quarter of strong business performance and excellent financial results, while making meaningful progress on key strategic initiatives,” said Rich Steinmeier, CEO. “We delivered improved organic growth, advanced our preparation to onboard Commonwealth, and began the roll out of our proprietary AI agent, Cyan, to advisors. These accomplishments underscore the strength of our platform and our continued focus on delivering unmatched value for advisors and their clients.</w:t>
      </w:r>
      <w:r>
        <w:rPr>
          <w:rFonts w:ascii="Arial" w:cs="Arial" w:eastAsia="Arial" w:hAnsi="Arial"/>
          <w:sz w:val="17"/>
          <w:szCs w:val="17"/>
          <w:color w:val="auto"/>
        </w:rPr>
        <w:t>"</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team delivered another quarter of outstanding results, highlighted by strong organic growth and record adjusted earnings per share, all</w:t>
      </w:r>
      <w:r>
        <w:rPr>
          <w:rFonts w:ascii="Arial" w:cs="Arial" w:eastAsia="Arial" w:hAnsi="Arial"/>
          <w:sz w:val="18"/>
          <w:szCs w:val="18"/>
          <w:color w:val="auto"/>
        </w:rPr>
        <w:t xml:space="preserve"> </w:t>
      </w:r>
      <w:r>
        <w:rPr>
          <w:rFonts w:ascii="Arial" w:cs="Arial" w:eastAsia="Arial" w:hAnsi="Arial"/>
          <w:sz w:val="18"/>
          <w:szCs w:val="18"/>
          <w:i w:val="1"/>
          <w:iCs w:val="1"/>
          <w:color w:val="auto"/>
        </w:rPr>
        <w:t>while advancing our advisor experience and executing on our capital allocation strategy" said Matt Audette, President and CFO. “These efforts position us to sustain that momentum through year-end and into 2027.</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Additional Information</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will hold a conference call to discuss its results at 5:00 p.m. ET on Tuesday, October 27, 2026. The conference call will be accessible and available for replay at investor.lpl.com/events.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investor.relations@lplfinancial.com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media.relations@lplfinancial.com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LPL Financial</w:t>
      </w:r>
    </w:p>
    <w:p>
      <w:pPr>
        <w:spacing w:after="0" w:line="2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LPL Financial Holdings Inc. (Nasdaq: LPLA) is among the fastest growing wealth management firms in the U.S. As a leader in the financial advisor-mediated marketplace</w:t>
      </w:r>
      <w:r>
        <w:rPr>
          <w:rFonts w:ascii="Arial" w:cs="Arial" w:eastAsia="Arial" w:hAnsi="Arial"/>
          <w:sz w:val="23"/>
          <w:szCs w:val="23"/>
          <w:color w:val="auto"/>
          <w:vertAlign w:val="superscript"/>
        </w:rPr>
        <w:t>(4)</w:t>
      </w:r>
      <w:r>
        <w:rPr>
          <w:rFonts w:ascii="Arial" w:cs="Arial" w:eastAsia="Arial" w:hAnsi="Arial"/>
          <w:sz w:val="18"/>
          <w:szCs w:val="18"/>
          <w:color w:val="auto"/>
        </w:rPr>
        <w:t>, LPL supports more than 32,000 financial advisors and the wealth management practices of approximately 1,100 financial institutions, servicing and custodying approximately $2.6 trillion in brokerage and advisory assets on behalf of approximately 8 million Americans. The firm provides a wide range of advisor affiliation models, investment solutions, fintech tools and practice management services, ensuring that advisors and institutions have the flexibility to choose the business model, services, and technology resources they need to run thriving businesses. For further information about LPL, please visit www.lpl.com.</w:t>
      </w:r>
    </w:p>
    <w:p>
      <w:pPr>
        <w:spacing w:after="0" w:line="76"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Securities and advisory services offered through LPL Financial LLC ("LPL Financial") or its affiliate LPL Enterprise, LLC ("LPL Enterprise"), both registered investment advisers and broker-dealers. Members FINRA/SIPC.</w:t>
      </w:r>
    </w:p>
    <w:p>
      <w:pPr>
        <w:spacing w:after="0" w:line="29"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Throughout this communication, the terms "financial advisors" and "advisors" are used to refer to registered representatives and/or investment advisor representatives affiliated with LPL Financial or LPL Enterprise.</w:t>
      </w:r>
    </w:p>
    <w:p>
      <w:pPr>
        <w:spacing w:after="0" w:line="45" w:lineRule="exact"/>
        <w:rPr>
          <w:sz w:val="20"/>
          <w:szCs w:val="20"/>
          <w:color w:val="auto"/>
        </w:rPr>
      </w:pPr>
    </w:p>
    <w:p>
      <w:pPr>
        <w:ind w:right="620"/>
        <w:spacing w:after="0" w:line="286" w:lineRule="auto"/>
        <w:rPr>
          <w:sz w:val="20"/>
          <w:szCs w:val="20"/>
          <w:color w:val="auto"/>
        </w:rPr>
      </w:pPr>
      <w:r>
        <w:rPr>
          <w:rFonts w:ascii="Arial" w:cs="Arial" w:eastAsia="Arial" w:hAnsi="Arial"/>
          <w:sz w:val="18"/>
          <w:szCs w:val="18"/>
          <w:color w:val="auto"/>
        </w:rPr>
        <w:t>We routinely disclose information that may be important to shareholders in the "Investor Relations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or "Press Releases" section of our website.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statements regarding:</w:t>
      </w:r>
    </w:p>
    <w:p>
      <w:pPr>
        <w:spacing w:after="0" w:line="239"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retention of Commonwealth assets and Commonwealth’s future financial and operating performance;</w:t>
      </w:r>
    </w:p>
    <w:p>
      <w:pPr>
        <w:spacing w:after="0" w:line="13" w:lineRule="exact"/>
        <w:rPr>
          <w:rFonts w:ascii="Arial" w:cs="Arial" w:eastAsia="Arial" w:hAnsi="Arial"/>
          <w:sz w:val="18"/>
          <w:szCs w:val="18"/>
          <w:color w:val="auto"/>
        </w:rPr>
      </w:pPr>
    </w:p>
    <w:p>
      <w:pPr>
        <w:ind w:left="640" w:hanging="308"/>
        <w:spacing w:after="0" w:line="23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run-rate EBITDA expectations in connection with the Company’s acquisition of Commonwealth;</w:t>
      </w:r>
    </w:p>
    <w:p>
      <w:pPr>
        <w:ind w:left="660" w:right="1080" w:hanging="328"/>
        <w:spacing w:after="0" w:line="242" w:lineRule="auto"/>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the onboarding of acquired, recruited or transitioned brokerage and advisory assets, including Commonwealth;</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plans to invest to drive growth and increase efficiency while scaling its business;</w:t>
      </w:r>
    </w:p>
    <w:p>
      <w:pPr>
        <w:spacing w:after="0" w:line="13" w:lineRule="exact"/>
        <w:rPr>
          <w:rFonts w:ascii="Arial" w:cs="Arial" w:eastAsia="Arial" w:hAnsi="Arial"/>
          <w:sz w:val="18"/>
          <w:szCs w:val="18"/>
          <w:color w:val="auto"/>
        </w:rPr>
      </w:pPr>
    </w:p>
    <w:p>
      <w:pPr>
        <w:ind w:left="640" w:hanging="308"/>
        <w:spacing w:after="0" w:line="213"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Company’s recruitment pipeline and expected organic growth;</w:t>
      </w:r>
    </w:p>
    <w:p>
      <w:pPr>
        <w:ind w:left="660" w:right="120" w:hanging="328"/>
        <w:spacing w:after="0" w:line="234" w:lineRule="auto"/>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future financial and operating results, growth, plans, priorities and business strategies, including forecasts and statements related to the Company's ICA yield, service and fee revenue, transaction revenue, core G&amp;A expense, interest expense and income, leverage ratio (including plans to reduce leverage), pricing and fees (including their effect on adjusted pre-tax margin), corporate cash, run-rate EBITDA, depreciation and amortization, operating leverage, pre-tax margin, transition assistance loan amortization, organic growth, payout rate, tax rate and share repurchases; and</w:t>
      </w:r>
    </w:p>
    <w:p>
      <w:pPr>
        <w:spacing w:after="0" w:line="3" w:lineRule="exact"/>
        <w:rPr>
          <w:rFonts w:ascii="Arial" w:cs="Arial" w:eastAsia="Arial" w:hAnsi="Arial"/>
          <w:sz w:val="18"/>
          <w:szCs w:val="18"/>
          <w:color w:val="auto"/>
        </w:rPr>
      </w:pPr>
    </w:p>
    <w:p>
      <w:pPr>
        <w:ind w:left="660" w:right="40" w:hanging="328"/>
        <w:spacing w:after="0" w:line="258" w:lineRule="auto"/>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capabilities, including the timing and extent of the Company's expansion of access to Cyan, future advisor service experience, future investments and capital deployment, including share repurchase activity and dividends, if any, and long-term shareholder value.</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and any other statements that are not related to present facts or current conditions, or that are not purely historical, constitute forward-looking statements. They reflect the Company's expectations and objectives as of October 27, 2026 and are not guarantees that expectations or objectives expressed or implied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w:t>
      </w:r>
    </w:p>
    <w:p>
      <w:pPr>
        <w:spacing w:after="0" w:line="206" w:lineRule="exact"/>
        <w:rPr>
          <w:sz w:val="20"/>
          <w:szCs w:val="20"/>
          <w:color w:val="auto"/>
        </w:rPr>
      </w:pPr>
    </w:p>
    <w:p>
      <w:pPr>
        <w:ind w:left="660" w:right="420" w:hanging="328"/>
        <w:spacing w:after="0" w:line="260"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delays in onboarding the assets of acquired, recruited or transitioned advisors, including the receipt and timing of regulatory approvals that may be required;</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the businesses of the Company and Commonwealth that could make it more difficult to maintain relationships with advisors and their clients;</w:t>
      </w: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choice by clients of acquired or recruited advisors not to open brokerage and/or advisory accounts at the Company;</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general economic and financial market conditions, including retail investor sentiment;</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 and fees payable by banks participating in the Company's client cash programs, including the Company's success in negotiating agreements with current or additional counterparties;</w:t>
      </w: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strategy and success in managing client cash program fees;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the levels of advisory and brokerage assets, including net new assets, and the related impact on revenue;</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effects of competition in the financial services industry and the success of the Company in attracting and retaining financial advisors and institutions, and their ability to provide financial products and services effectively;</w:t>
      </w: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retail investors served by newly-recruited advisors choose to move their respective assets to new accounts at the Company;</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and profitability of the Company's fee-based offerings and asset-based revenues;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current, pending and future legislation, regulation and regulatory actions, including disciplinary actions imposed by federal and state regulators and self-regulatory organizations;</w:t>
      </w:r>
    </w:p>
    <w:p>
      <w:pPr>
        <w:ind w:left="660" w:right="400" w:hanging="328"/>
        <w:spacing w:after="0" w:line="242"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defending, settling and remediating issues related to regulatory matters or legal proceedings, including civil monetary penalties or actual costs of reimbursing customers for losses in excess of our reserves or insurance;</w:t>
      </w:r>
    </w:p>
    <w:p>
      <w:pPr>
        <w:spacing w:after="0" w:line="1" w:lineRule="exact"/>
        <w:rPr>
          <w:rFonts w:ascii="Arial" w:cs="Arial" w:eastAsia="Arial" w:hAnsi="Arial"/>
          <w:sz w:val="18"/>
          <w:szCs w:val="18"/>
          <w:color w:val="auto"/>
        </w:rPr>
      </w:pPr>
    </w:p>
    <w:p>
      <w:pPr>
        <w:ind w:left="660" w:right="120" w:hanging="328"/>
        <w:spacing w:after="0"/>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made to the Company's services and pricing, including in response to competitive developments and current, pending and future legislation, regulation and regulatory actions, and the effect that such changes may have on the Company’s gross profit streams and costs;</w:t>
      </w:r>
    </w:p>
    <w:p>
      <w:pPr>
        <w:jc w:val="both"/>
        <w:ind w:left="660" w:right="80" w:hanging="328"/>
        <w:spacing w:after="0" w:line="250"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execution of the Company's capital management plans, including its compliance with the terms of the Company's amended and restated credit agreement, the committed revolving credit facilities of the Company and LPL Financial, and the indentures governing the Company's senior unsecured notes;</w:t>
      </w:r>
    </w:p>
    <w:p>
      <w:pPr>
        <w:spacing w:after="0" w:line="1" w:lineRule="exact"/>
        <w:rPr>
          <w:rFonts w:ascii="Arial" w:cs="Arial" w:eastAsia="Arial" w:hAnsi="Arial"/>
          <w:sz w:val="18"/>
          <w:szCs w:val="18"/>
          <w:color w:val="auto"/>
        </w:rPr>
      </w:pPr>
    </w:p>
    <w:p>
      <w:pPr>
        <w:ind w:left="660" w:right="40" w:hanging="328"/>
        <w:spacing w:after="0" w:line="266"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acquisitions and investments, including pursuant to the Company's Liquidity &amp; Succession solution, and the effect that such acquisitions and investments may have on the Company’s capital management plans and liquidity;</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904" w:right="379" w:bottom="1440" w:gutter="0" w:footer="0" w:header="0"/>
        </w:sectPr>
      </w:pPr>
    </w:p>
    <w:bookmarkStart w:id="6" w:name="page7"/>
    <w:bookmarkEnd w:id="6"/>
    <w:p>
      <w:pPr>
        <w:ind w:left="660" w:right="80" w:hanging="328"/>
        <w:spacing w:after="0" w:line="253" w:lineRule="auto"/>
        <w:tabs>
          <w:tab w:leader="none" w:pos="6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availability and trading volumes of shares of the Company's common stock, which will affect the timing and size of future share repurchases by the Company, if any;</w:t>
      </w:r>
    </w:p>
    <w:p>
      <w:pPr>
        <w:ind w:left="660" w:right="620" w:hanging="328"/>
        <w:spacing w:after="0" w:line="242" w:lineRule="auto"/>
        <w:tabs>
          <w:tab w:leader="none" w:pos="6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execution of the Company's plans and its success in realizing the synergies, expense savings, service improvements or efficiencies expected to result from its investments, initiatives and acquisitions, expense plans and technology initiatives;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advisors affiliated with Commonwealth will transition registration to the Company and whether assets reported as serviced by such financial advisors will translate into assets of the Company;</w:t>
      </w: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third-party service providers to which business processes have been transitioned;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control operating risks, information technology systems risks, cybersecurity risks and sourcing risks; and</w:t>
      </w:r>
    </w:p>
    <w:p>
      <w:pPr>
        <w:spacing w:after="0" w:line="9" w:lineRule="exact"/>
        <w:rPr>
          <w:rFonts w:ascii="Arial" w:cs="Arial" w:eastAsia="Arial" w:hAnsi="Arial"/>
          <w:sz w:val="18"/>
          <w:szCs w:val="18"/>
          <w:color w:val="auto"/>
        </w:rPr>
      </w:pPr>
    </w:p>
    <w:p>
      <w:pPr>
        <w:ind w:left="660" w:right="520" w:hanging="328"/>
        <w:spacing w:after="0" w:line="266" w:lineRule="auto"/>
        <w:tabs>
          <w:tab w:leader="none" w:pos="6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set forth in the Company's most recent Annual Report on Form 10-K, as may be amended or updated in the Company's Quarterly Reports on Form 10-Q or other filings with the Securities and Exchange Commission.</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Except as required by law, the Company specifically disclaims any obligation to update any forward-looking statements as a result of developments occurring after the date of this earnings release, and you should not rely on statements contained herein as representing the Company's view as of any date subsequent to the date of this press release.</w:t>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688" w:right="5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2025</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3880" w:type="dxa"/>
            <w:vAlign w:val="bottom"/>
            <w:shd w:val="clear" w:color="auto" w:fill="DBDBDB"/>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Advisory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2,872,928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2,632,405</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2,210,499</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Commission:</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80"/>
              <w:spacing w:after="0"/>
              <w:rPr>
                <w:sz w:val="20"/>
                <w:szCs w:val="20"/>
                <w:color w:val="auto"/>
              </w:rPr>
            </w:pPr>
            <w:r>
              <w:rPr>
                <w:rFonts w:ascii="Arial" w:cs="Arial" w:eastAsia="Arial" w:hAnsi="Arial"/>
                <w:sz w:val="16"/>
                <w:szCs w:val="16"/>
                <w:color w:val="auto"/>
              </w:rPr>
              <w:t>Sales-based</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742,852</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728,155</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695,029</w:t>
            </w: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280"/>
              <w:spacing w:after="0"/>
              <w:rPr>
                <w:sz w:val="20"/>
                <w:szCs w:val="20"/>
                <w:color w:val="auto"/>
              </w:rPr>
            </w:pPr>
            <w:r>
              <w:rPr>
                <w:rFonts w:ascii="Arial" w:cs="Arial" w:eastAsia="Arial" w:hAnsi="Arial"/>
                <w:sz w:val="16"/>
                <w:szCs w:val="16"/>
                <w:color w:val="auto"/>
              </w:rPr>
              <w:t>Trailing</w:t>
            </w:r>
          </w:p>
        </w:tc>
        <w:tc>
          <w:tcPr>
            <w:tcW w:w="18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507,904</w:t>
            </w:r>
          </w:p>
        </w:tc>
        <w:tc>
          <w:tcPr>
            <w:tcW w:w="2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503,918</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BDBDB"/>
          </w:tcPr>
          <w:p>
            <w:pPr>
              <w:spacing w:after="0"/>
              <w:rPr>
                <w:sz w:val="18"/>
                <w:szCs w:val="18"/>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492,426</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880" w:type="dxa"/>
            <w:vAlign w:val="bottom"/>
          </w:tcPr>
          <w:p>
            <w:pPr>
              <w:ind w:left="500"/>
              <w:spacing w:after="0"/>
              <w:rPr>
                <w:sz w:val="20"/>
                <w:szCs w:val="20"/>
                <w:color w:val="auto"/>
              </w:rPr>
            </w:pPr>
            <w:r>
              <w:rPr>
                <w:rFonts w:ascii="Arial" w:cs="Arial" w:eastAsia="Arial" w:hAnsi="Arial"/>
                <w:sz w:val="16"/>
                <w:szCs w:val="16"/>
                <w:color w:val="auto"/>
              </w:rPr>
              <w:t>Total commission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1,250,756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1,232,073</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1,187,455</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Asset-based:</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80"/>
              <w:spacing w:after="0"/>
              <w:rPr>
                <w:sz w:val="20"/>
                <w:szCs w:val="20"/>
                <w:color w:val="auto"/>
              </w:rPr>
            </w:pPr>
            <w:r>
              <w:rPr>
                <w:rFonts w:ascii="Arial" w:cs="Arial" w:eastAsia="Arial" w:hAnsi="Arial"/>
                <w:sz w:val="16"/>
                <w:szCs w:val="16"/>
                <w:color w:val="auto"/>
              </w:rPr>
              <w:t>Client cash</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461,471</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443,501</w:t>
            </w: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428,190</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280"/>
              <w:spacing w:after="0"/>
              <w:rPr>
                <w:sz w:val="20"/>
                <w:szCs w:val="20"/>
                <w:color w:val="auto"/>
              </w:rPr>
            </w:pPr>
            <w:r>
              <w:rPr>
                <w:rFonts w:ascii="Arial" w:cs="Arial" w:eastAsia="Arial" w:hAnsi="Arial"/>
                <w:sz w:val="16"/>
                <w:szCs w:val="16"/>
                <w:color w:val="auto"/>
              </w:rPr>
              <w:t>Other asset-based</w:t>
            </w:r>
          </w:p>
        </w:tc>
        <w:tc>
          <w:tcPr>
            <w:tcW w:w="18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400,613</w:t>
            </w:r>
          </w:p>
        </w:tc>
        <w:tc>
          <w:tcPr>
            <w:tcW w:w="2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391,643</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shd w:val="clear" w:color="auto" w:fill="DBDBDB"/>
          </w:tcPr>
          <w:p>
            <w:pPr>
              <w:spacing w:after="0"/>
              <w:rPr>
                <w:sz w:val="18"/>
                <w:szCs w:val="18"/>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354,090</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3880" w:type="dxa"/>
            <w:vAlign w:val="bottom"/>
          </w:tcPr>
          <w:p>
            <w:pPr>
              <w:ind w:left="500"/>
              <w:spacing w:after="0"/>
              <w:rPr>
                <w:sz w:val="20"/>
                <w:szCs w:val="20"/>
                <w:color w:val="auto"/>
              </w:rPr>
            </w:pPr>
            <w:r>
              <w:rPr>
                <w:rFonts w:ascii="Arial" w:cs="Arial" w:eastAsia="Arial" w:hAnsi="Arial"/>
                <w:sz w:val="16"/>
                <w:szCs w:val="16"/>
                <w:color w:val="auto"/>
              </w:rPr>
              <w:t>Total asset-based</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862,084</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835,144</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782,280</w:t>
            </w: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Service and fee</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218,055</w:t>
            </w: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208,879</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174,715</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Transaction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79,120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83,216</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67,260</w:t>
            </w: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Interest income, net</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48,699</w:t>
            </w: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46,527</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60,859</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12,388</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148,379</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68,909</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0"/>
        </w:trPr>
        <w:tc>
          <w:tcPr>
            <w:tcW w:w="3880" w:type="dxa"/>
            <w:vAlign w:val="bottom"/>
            <w:shd w:val="clear" w:color="auto" w:fill="DBDBDB"/>
          </w:tcPr>
          <w:p>
            <w:pPr>
              <w:ind w:left="6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5,344,030</w:t>
            </w:r>
          </w:p>
        </w:tc>
        <w:tc>
          <w:tcPr>
            <w:tcW w:w="2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5,186,623</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shd w:val="clear" w:color="auto" w:fill="DBDBDB"/>
          </w:tcPr>
          <w:p>
            <w:pPr>
              <w:spacing w:after="0"/>
              <w:rPr>
                <w:sz w:val="18"/>
                <w:szCs w:val="18"/>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4,551,977</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20"/>
                <w:szCs w:val="20"/>
                <w:color w:val="auto"/>
              </w:rPr>
            </w:pPr>
            <w:r>
              <w:rPr>
                <w:rFonts w:ascii="Arial" w:cs="Arial" w:eastAsia="Arial" w:hAnsi="Arial"/>
                <w:sz w:val="16"/>
                <w:szCs w:val="16"/>
                <w:color w:val="auto"/>
              </w:rPr>
              <w:t>EXPENSE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Advisory and commission</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3,632,732</w:t>
            </w: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3,507,164</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3,025,274</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Compensation and benefits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358,512</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355,612</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585,409</w:t>
            </w: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235,733</w:t>
            </w: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220,030</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208,547</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Occupancy and equipment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149,380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125,542</w:t>
            </w: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299,680</w:t>
            </w: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117,287</w:t>
            </w: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109,805</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99,722</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Interest expense on borrowings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105,834</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101,502</w:t>
            </w: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106,295</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Amortization of other intangibles</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72,844</w:t>
            </w: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70,886</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64,706</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Professional services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53,250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50,757</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75,507</w:t>
            </w: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Brokerage, clearing and exchange</w:t>
            </w:r>
          </w:p>
        </w:tc>
        <w:tc>
          <w:tcPr>
            <w:tcW w:w="18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49,139</w:t>
            </w:r>
          </w:p>
        </w:tc>
        <w:tc>
          <w:tcPr>
            <w:tcW w:w="2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52,018</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43,282</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Communications and data processing</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23,978</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26,200</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23,060</w:t>
            </w: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60,215</w:t>
            </w:r>
          </w:p>
        </w:tc>
        <w:tc>
          <w:tcPr>
            <w:tcW w:w="2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51,603</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shd w:val="clear" w:color="auto" w:fill="DBDBDB"/>
          </w:tcPr>
          <w:p>
            <w:pPr>
              <w:spacing w:after="0"/>
              <w:rPr>
                <w:sz w:val="18"/>
                <w:szCs w:val="18"/>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54,606</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DBDBDB"/>
            </w:tcBorders>
          </w:tcPr>
          <w:p>
            <w:pPr>
              <w:ind w:left="660"/>
              <w:spacing w:after="0"/>
              <w:rPr>
                <w:sz w:val="20"/>
                <w:szCs w:val="20"/>
                <w:color w:val="auto"/>
              </w:rPr>
            </w:pPr>
            <w:r>
              <w:rPr>
                <w:rFonts w:ascii="Arial" w:cs="Arial" w:eastAsia="Arial" w:hAnsi="Arial"/>
                <w:sz w:val="16"/>
                <w:szCs w:val="16"/>
                <w:color w:val="auto"/>
              </w:rPr>
              <w:t>Total expense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4,858,904</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4,671,119</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4,586,088</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43"/>
        </w:trPr>
        <w:tc>
          <w:tcPr>
            <w:tcW w:w="3880" w:type="dxa"/>
            <w:vAlign w:val="bottom"/>
            <w:shd w:val="clear" w:color="auto" w:fill="DBDBDB"/>
          </w:tcPr>
          <w:p>
            <w:pPr>
              <w:ind w:left="60"/>
              <w:spacing w:after="0" w:line="143" w:lineRule="exact"/>
              <w:rPr>
                <w:sz w:val="20"/>
                <w:szCs w:val="20"/>
                <w:color w:val="auto"/>
              </w:rPr>
            </w:pPr>
            <w:r>
              <w:rPr>
                <w:rFonts w:ascii="Arial" w:cs="Arial" w:eastAsia="Arial" w:hAnsi="Arial"/>
                <w:sz w:val="16"/>
                <w:szCs w:val="16"/>
                <w:color w:val="auto"/>
              </w:rPr>
              <w:t>INCOME (LOSS) BEFORE PROVISION FOR</w:t>
            </w:r>
          </w:p>
        </w:tc>
        <w:tc>
          <w:tcPr>
            <w:tcW w:w="18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485,126</w:t>
            </w:r>
          </w:p>
        </w:tc>
        <w:tc>
          <w:tcPr>
            <w:tcW w:w="280" w:type="dxa"/>
            <w:vAlign w:val="bottom"/>
            <w:shd w:val="clear" w:color="auto" w:fill="DBDBDB"/>
          </w:tcPr>
          <w:p>
            <w:pPr>
              <w:spacing w:after="0"/>
              <w:rPr>
                <w:sz w:val="12"/>
                <w:szCs w:val="12"/>
                <w:color w:val="auto"/>
              </w:rPr>
            </w:pP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515,504</w:t>
            </w: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DBDBDB"/>
          </w:tcPr>
          <w:p>
            <w:pPr>
              <w:spacing w:after="0"/>
              <w:rPr>
                <w:sz w:val="12"/>
                <w:szCs w:val="12"/>
                <w:color w:val="auto"/>
              </w:rPr>
            </w:pPr>
          </w:p>
        </w:tc>
        <w:tc>
          <w:tcPr>
            <w:tcW w:w="15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(34,111)</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880" w:type="dxa"/>
            <w:vAlign w:val="bottom"/>
            <w:shd w:val="clear" w:color="auto" w:fill="DBDBDB"/>
          </w:tcPr>
          <w:p>
            <w:pPr>
              <w:ind w:left="80"/>
              <w:spacing w:after="0"/>
              <w:rPr>
                <w:sz w:val="20"/>
                <w:szCs w:val="20"/>
                <w:color w:val="auto"/>
              </w:rPr>
            </w:pPr>
            <w:r>
              <w:rPr>
                <w:rFonts w:ascii="Arial" w:cs="Arial" w:eastAsia="Arial" w:hAnsi="Arial"/>
                <w:sz w:val="16"/>
                <w:szCs w:val="16"/>
                <w:color w:val="auto"/>
              </w:rPr>
              <w:t>(BENEFIT FROM) INCOME TAXES</w:t>
            </w:r>
          </w:p>
        </w:tc>
        <w:tc>
          <w:tcPr>
            <w:tcW w:w="180" w:type="dxa"/>
            <w:vAlign w:val="bottom"/>
            <w:shd w:val="clear" w:color="auto" w:fill="DBDBDB"/>
          </w:tcPr>
          <w:p>
            <w:pPr>
              <w:spacing w:after="0"/>
              <w:rPr>
                <w:sz w:val="18"/>
                <w:szCs w:val="18"/>
                <w:color w:val="auto"/>
              </w:rPr>
            </w:pPr>
          </w:p>
        </w:tc>
        <w:tc>
          <w:tcPr>
            <w:tcW w:w="1420" w:type="dxa"/>
            <w:vAlign w:val="bottom"/>
            <w:vMerge w:val="continue"/>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40" w:type="dxa"/>
            <w:vAlign w:val="bottom"/>
            <w:vMerge w:val="continue"/>
            <w:shd w:val="clear" w:color="auto" w:fill="DBDBDB"/>
          </w:tcPr>
          <w:p>
            <w:pPr>
              <w:spacing w:after="0"/>
              <w:rPr>
                <w:sz w:val="18"/>
                <w:szCs w:val="18"/>
                <w:color w:val="auto"/>
              </w:rPr>
            </w:pPr>
          </w:p>
        </w:tc>
        <w:tc>
          <w:tcPr>
            <w:tcW w:w="1140" w:type="dxa"/>
            <w:vAlign w:val="bottom"/>
            <w:vMerge w:val="continue"/>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vMerge w:val="continue"/>
            <w:shd w:val="clear" w:color="auto" w:fill="DBDBDB"/>
          </w:tcPr>
          <w:p>
            <w:pPr>
              <w:spacing w:after="0"/>
              <w:rPr>
                <w:sz w:val="18"/>
                <w:szCs w:val="18"/>
                <w:color w:val="auto"/>
              </w:rPr>
            </w:pPr>
          </w:p>
        </w:tc>
        <w:tc>
          <w:tcPr>
            <w:tcW w:w="116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line="162" w:lineRule="exact"/>
              <w:rPr>
                <w:sz w:val="20"/>
                <w:szCs w:val="20"/>
                <w:color w:val="auto"/>
              </w:rPr>
            </w:pPr>
            <w:r>
              <w:rPr>
                <w:rFonts w:ascii="Arial" w:cs="Arial" w:eastAsia="Arial" w:hAnsi="Arial"/>
                <w:sz w:val="16"/>
                <w:szCs w:val="16"/>
                <w:color w:val="auto"/>
              </w:rPr>
              <w:t>PROVISION FOR (BENEFIT FROM) INCOME</w:t>
            </w:r>
          </w:p>
        </w:tc>
        <w:tc>
          <w:tcPr>
            <w:tcW w:w="1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128,565</w:t>
            </w:r>
          </w:p>
        </w:tc>
        <w:tc>
          <w:tcPr>
            <w:tcW w:w="2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136,243</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(4,594)</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TAXES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DBDBDB"/>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DBDBDB"/>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356,561</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379,261</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(29,517)</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38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6"/>
                <w:szCs w:val="16"/>
                <w:color w:val="auto"/>
              </w:rPr>
              <w:t>EARNINGS (LOSS) PER SHARE</w:t>
            </w: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8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6"/>
                <w:szCs w:val="16"/>
                <w:color w:val="auto"/>
              </w:rPr>
              <w:t>Earnings (loss) per share, basic</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4.53</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4.75</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(0.37)</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38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Pr>
          <w:p>
            <w:pPr>
              <w:ind w:left="80"/>
              <w:spacing w:after="0"/>
              <w:rPr>
                <w:sz w:val="20"/>
                <w:szCs w:val="20"/>
                <w:color w:val="auto"/>
              </w:rPr>
            </w:pPr>
            <w:r>
              <w:rPr>
                <w:rFonts w:ascii="Arial" w:cs="Arial" w:eastAsia="Arial" w:hAnsi="Arial"/>
                <w:sz w:val="16"/>
                <w:szCs w:val="16"/>
                <w:color w:val="auto"/>
              </w:rPr>
              <w:t>Earnings (loss) per share,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38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6"/>
                <w:szCs w:val="16"/>
                <w:color w:val="auto"/>
              </w:rPr>
              <w:t>Weighted-average shares outstanding, basic</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78,658</w:t>
            </w:r>
          </w:p>
        </w:tc>
        <w:tc>
          <w:tcPr>
            <w:tcW w:w="28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79,791</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BDBDB"/>
          </w:tcPr>
          <w:p>
            <w:pPr>
              <w:spacing w:after="0"/>
              <w:rPr>
                <w:sz w:val="20"/>
                <w:szCs w:val="20"/>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80,017</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8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Pr>
          <w:p>
            <w:pPr>
              <w:ind w:left="80"/>
              <w:spacing w:after="0"/>
              <w:rPr>
                <w:sz w:val="20"/>
                <w:szCs w:val="20"/>
                <w:color w:val="auto"/>
              </w:rPr>
            </w:pPr>
            <w:r>
              <w:rPr>
                <w:rFonts w:ascii="Arial" w:cs="Arial" w:eastAsia="Arial" w:hAnsi="Arial"/>
                <w:sz w:val="16"/>
                <w:szCs w:val="16"/>
                <w:color w:val="auto"/>
              </w:rPr>
              <w:t>Weighted-average shares outstanding, diluted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78,968</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80,032</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80,357</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400" w:top="728"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7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100"/>
              <w:spacing w:after="0"/>
              <w:rPr>
                <w:sz w:val="20"/>
                <w:szCs w:val="20"/>
                <w:color w:val="auto"/>
              </w:rPr>
            </w:pPr>
            <w:r>
              <w:rPr>
                <w:rFonts w:ascii="Arial" w:cs="Arial" w:eastAsia="Arial" w:hAnsi="Arial"/>
                <w:sz w:val="16"/>
                <w:szCs w:val="16"/>
                <w:color w:val="auto"/>
              </w:rPr>
              <w:t>Advisory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8,120,380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5,617,482</w:t>
            </w:r>
          </w:p>
        </w:tc>
        <w:tc>
          <w:tcPr>
            <w:tcW w:w="12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Commission:</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300"/>
              <w:spacing w:after="0"/>
              <w:rPr>
                <w:sz w:val="20"/>
                <w:szCs w:val="20"/>
                <w:color w:val="auto"/>
              </w:rPr>
            </w:pPr>
            <w:r>
              <w:rPr>
                <w:rFonts w:ascii="Arial" w:cs="Arial" w:eastAsia="Arial" w:hAnsi="Arial"/>
                <w:sz w:val="16"/>
                <w:szCs w:val="16"/>
                <w:color w:val="auto"/>
              </w:rPr>
              <w:t>Sales-based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2,176,422</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1,924,859</w:t>
            </w: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300"/>
              <w:spacing w:after="0"/>
              <w:rPr>
                <w:sz w:val="20"/>
                <w:szCs w:val="20"/>
                <w:color w:val="auto"/>
              </w:rPr>
            </w:pPr>
            <w:r>
              <w:rPr>
                <w:rFonts w:ascii="Arial" w:cs="Arial" w:eastAsia="Arial" w:hAnsi="Arial"/>
                <w:sz w:val="16"/>
                <w:szCs w:val="16"/>
                <w:color w:val="auto"/>
              </w:rPr>
              <w:t>Trailing</w:t>
            </w: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1,498,441</w:t>
            </w:r>
          </w:p>
        </w:tc>
        <w:tc>
          <w:tcPr>
            <w:tcW w:w="3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1,348,440</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7180" w:type="dxa"/>
            <w:vAlign w:val="bottom"/>
          </w:tcPr>
          <w:p>
            <w:pPr>
              <w:ind w:left="520"/>
              <w:spacing w:after="0"/>
              <w:rPr>
                <w:sz w:val="20"/>
                <w:szCs w:val="20"/>
                <w:color w:val="auto"/>
              </w:rPr>
            </w:pPr>
            <w:r>
              <w:rPr>
                <w:rFonts w:ascii="Arial" w:cs="Arial" w:eastAsia="Arial" w:hAnsi="Arial"/>
                <w:sz w:val="16"/>
                <w:szCs w:val="16"/>
                <w:color w:val="auto"/>
              </w:rPr>
              <w:t>Total commission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3,674,863</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3,273,299</w:t>
            </w: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Asset-based:</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300"/>
              <w:spacing w:after="0"/>
              <w:rPr>
                <w:sz w:val="20"/>
                <w:szCs w:val="20"/>
                <w:color w:val="auto"/>
              </w:rPr>
            </w:pPr>
            <w:r>
              <w:rPr>
                <w:rFonts w:ascii="Arial" w:cs="Arial" w:eastAsia="Arial" w:hAnsi="Arial"/>
                <w:sz w:val="16"/>
                <w:szCs w:val="16"/>
                <w:color w:val="auto"/>
              </w:rPr>
              <w:t>Client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1,350,297</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1,217,553</w:t>
            </w: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300"/>
              <w:spacing w:after="0"/>
              <w:rPr>
                <w:sz w:val="20"/>
                <w:szCs w:val="20"/>
                <w:color w:val="auto"/>
              </w:rPr>
            </w:pPr>
            <w:r>
              <w:rPr>
                <w:rFonts w:ascii="Arial" w:cs="Arial" w:eastAsia="Arial" w:hAnsi="Arial"/>
                <w:sz w:val="16"/>
                <w:szCs w:val="16"/>
                <w:color w:val="auto"/>
              </w:rPr>
              <w:t>Other asset-based</w:t>
            </w: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1,167,736</w:t>
            </w:r>
          </w:p>
        </w:tc>
        <w:tc>
          <w:tcPr>
            <w:tcW w:w="3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962,315</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7180" w:type="dxa"/>
            <w:vAlign w:val="bottom"/>
          </w:tcPr>
          <w:p>
            <w:pPr>
              <w:jc w:val="center"/>
              <w:ind w:right="4799"/>
              <w:spacing w:after="0"/>
              <w:rPr>
                <w:sz w:val="20"/>
                <w:szCs w:val="20"/>
                <w:color w:val="auto"/>
              </w:rPr>
            </w:pPr>
            <w:r>
              <w:rPr>
                <w:rFonts w:ascii="Arial" w:cs="Arial" w:eastAsia="Arial" w:hAnsi="Arial"/>
                <w:sz w:val="16"/>
                <w:szCs w:val="16"/>
                <w:color w:val="auto"/>
                <w:w w:val="99"/>
              </w:rPr>
              <w:t>Total asset-based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2,518,033</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2,179,868</w:t>
            </w: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Service and fee</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637,918</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471,753</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7180" w:type="dxa"/>
            <w:vAlign w:val="bottom"/>
          </w:tcPr>
          <w:p>
            <w:pPr>
              <w:ind w:left="100"/>
              <w:spacing w:after="0"/>
              <w:rPr>
                <w:sz w:val="20"/>
                <w:szCs w:val="20"/>
                <w:color w:val="auto"/>
              </w:rPr>
            </w:pPr>
            <w:r>
              <w:rPr>
                <w:rFonts w:ascii="Arial" w:cs="Arial" w:eastAsia="Arial" w:hAnsi="Arial"/>
                <w:sz w:val="16"/>
                <w:szCs w:val="16"/>
                <w:color w:val="auto"/>
              </w:rPr>
              <w:t>Transaction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242,878</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195,665</w:t>
            </w: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Interest income, net</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140,406</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181,651</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718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134,609</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137,291</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180" w:type="dxa"/>
            <w:vAlign w:val="bottom"/>
            <w:shd w:val="clear" w:color="auto" w:fill="DBDBDB"/>
          </w:tcPr>
          <w:p>
            <w:pPr>
              <w:jc w:val="center"/>
              <w:ind w:right="4779"/>
              <w:spacing w:after="0"/>
              <w:rPr>
                <w:sz w:val="20"/>
                <w:szCs w:val="20"/>
                <w:color w:val="auto"/>
              </w:rPr>
            </w:pPr>
            <w:r>
              <w:rPr>
                <w:rFonts w:ascii="Arial" w:cs="Arial" w:eastAsia="Arial" w:hAnsi="Arial"/>
                <w:sz w:val="16"/>
                <w:szCs w:val="16"/>
                <w:color w:val="auto"/>
                <w:w w:val="98"/>
              </w:rPr>
              <w:t>Total revenue</w:t>
            </w: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15,469,087</w:t>
            </w:r>
          </w:p>
        </w:tc>
        <w:tc>
          <w:tcPr>
            <w:tcW w:w="3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12,057,009</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5"/>
        </w:trPr>
        <w:tc>
          <w:tcPr>
            <w:tcW w:w="7180" w:type="dxa"/>
            <w:vAlign w:val="bottom"/>
          </w:tcPr>
          <w:p>
            <w:pPr>
              <w:ind w:left="20"/>
              <w:spacing w:after="0"/>
              <w:rPr>
                <w:sz w:val="20"/>
                <w:szCs w:val="20"/>
                <w:color w:val="auto"/>
              </w:rPr>
            </w:pPr>
            <w:r>
              <w:rPr>
                <w:rFonts w:ascii="Arial" w:cs="Arial" w:eastAsia="Arial" w:hAnsi="Arial"/>
                <w:sz w:val="16"/>
                <w:szCs w:val="16"/>
                <w:color w:val="auto"/>
              </w:rPr>
              <w:t>EXPENSE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Advisory and commission</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10,431,105</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7,862,364</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7180" w:type="dxa"/>
            <w:vAlign w:val="bottom"/>
          </w:tcPr>
          <w:p>
            <w:pPr>
              <w:ind w:left="100"/>
              <w:spacing w:after="0"/>
              <w:rPr>
                <w:sz w:val="20"/>
                <w:szCs w:val="20"/>
                <w:color w:val="auto"/>
              </w:rPr>
            </w:pPr>
            <w:r>
              <w:rPr>
                <w:rFonts w:ascii="Arial" w:cs="Arial" w:eastAsia="Arial" w:hAnsi="Arial"/>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1,082,864</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1,210,055</w:t>
            </w: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Promotional</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664,163</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531,744</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7180" w:type="dxa"/>
            <w:vAlign w:val="bottom"/>
          </w:tcPr>
          <w:p>
            <w:pPr>
              <w:ind w:left="100"/>
              <w:spacing w:after="0"/>
              <w:rPr>
                <w:sz w:val="20"/>
                <w:szCs w:val="20"/>
                <w:color w:val="auto"/>
              </w:rPr>
            </w:pPr>
            <w:r>
              <w:rPr>
                <w:rFonts w:ascii="Arial" w:cs="Arial" w:eastAsia="Arial" w:hAnsi="Arial"/>
                <w:sz w:val="16"/>
                <w:szCs w:val="16"/>
                <w:color w:val="auto"/>
              </w:rPr>
              <w:t>Occupancy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393,445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458,363</w:t>
            </w: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332,843</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288,309</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7180" w:type="dxa"/>
            <w:vAlign w:val="bottom"/>
          </w:tcPr>
          <w:p>
            <w:pPr>
              <w:ind w:left="100"/>
              <w:spacing w:after="0"/>
              <w:rPr>
                <w:sz w:val="20"/>
                <w:szCs w:val="20"/>
                <w:color w:val="auto"/>
              </w:rPr>
            </w:pPr>
            <w:r>
              <w:rPr>
                <w:rFonts w:ascii="Arial" w:cs="Arial" w:eastAsia="Arial" w:hAnsi="Arial"/>
                <w:sz w:val="16"/>
                <w:szCs w:val="16"/>
                <w:color w:val="auto"/>
              </w:rPr>
              <w:t>Interest expense on borrowings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307,628</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297,793</w:t>
            </w: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Amortization of other intangibles</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210,960</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154,330</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7180" w:type="dxa"/>
            <w:vAlign w:val="bottom"/>
          </w:tcPr>
          <w:p>
            <w:pPr>
              <w:ind w:left="100"/>
              <w:spacing w:after="0"/>
              <w:rPr>
                <w:sz w:val="20"/>
                <w:szCs w:val="20"/>
                <w:color w:val="auto"/>
              </w:rPr>
            </w:pPr>
            <w:r>
              <w:rPr>
                <w:rFonts w:ascii="Arial" w:cs="Arial" w:eastAsia="Arial" w:hAnsi="Arial"/>
                <w:sz w:val="16"/>
                <w:szCs w:val="16"/>
                <w:color w:val="auto"/>
              </w:rPr>
              <w:t>Brokerage, clearing and exchange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156,632</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130,710</w:t>
            </w: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Professional services</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154,388</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152,925</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7180" w:type="dxa"/>
            <w:vAlign w:val="bottom"/>
          </w:tcPr>
          <w:p>
            <w:pPr>
              <w:ind w:left="100"/>
              <w:spacing w:after="0"/>
              <w:rPr>
                <w:sz w:val="20"/>
                <w:szCs w:val="20"/>
                <w:color w:val="auto"/>
              </w:rPr>
            </w:pPr>
            <w:r>
              <w:rPr>
                <w:rFonts w:ascii="Arial" w:cs="Arial" w:eastAsia="Arial" w:hAnsi="Arial"/>
                <w:sz w:val="16"/>
                <w:szCs w:val="16"/>
                <w:color w:val="auto"/>
              </w:rPr>
              <w:t>Communications and data processing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73,645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63,983</w:t>
            </w: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71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176,200</w:t>
            </w:r>
          </w:p>
        </w:tc>
        <w:tc>
          <w:tcPr>
            <w:tcW w:w="3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154,487</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DBDBDB"/>
            </w:tcBorders>
          </w:tcPr>
          <w:p>
            <w:pPr>
              <w:jc w:val="center"/>
              <w:ind w:right="4739"/>
              <w:spacing w:after="0"/>
              <w:rPr>
                <w:sz w:val="20"/>
                <w:szCs w:val="20"/>
                <w:color w:val="auto"/>
              </w:rPr>
            </w:pPr>
            <w:r>
              <w:rPr>
                <w:rFonts w:ascii="Arial" w:cs="Arial" w:eastAsia="Arial" w:hAnsi="Arial"/>
                <w:sz w:val="16"/>
                <w:szCs w:val="16"/>
                <w:color w:val="auto"/>
                <w:w w:val="99"/>
              </w:rPr>
              <w:t>Total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13,983,873</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11,305,063</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7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1,485,214</w:t>
            </w:r>
          </w:p>
        </w:tc>
        <w:tc>
          <w:tcPr>
            <w:tcW w:w="3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751,946</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71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392,988</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189,641</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5"/>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1,092,226</w:t>
            </w: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562,305</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71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color w:val="auto"/>
              </w:rPr>
              <w:t>EARNINGS PER SHARE</w:t>
            </w: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1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color w:val="auto"/>
              </w:rPr>
              <w:t>Earnings per share, basic</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13.74</w:t>
            </w: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7.19</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71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tcPr>
          <w:p>
            <w:pPr>
              <w:ind w:left="100"/>
              <w:spacing w:after="0"/>
              <w:rPr>
                <w:sz w:val="20"/>
                <w:szCs w:val="20"/>
                <w:color w:val="auto"/>
              </w:rPr>
            </w:pPr>
            <w:r>
              <w:rPr>
                <w:rFonts w:ascii="Arial" w:cs="Arial" w:eastAsia="Arial" w:hAnsi="Arial"/>
                <w:sz w:val="16"/>
                <w:szCs w:val="16"/>
                <w:color w:val="auto"/>
              </w:rPr>
              <w:t>Earnings per share, diluted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12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color w:val="auto"/>
              </w:rPr>
              <w:t>Weighted-average shares outstanding, basic</w:t>
            </w:r>
          </w:p>
        </w:tc>
        <w:tc>
          <w:tcPr>
            <w:tcW w:w="320" w:type="dxa"/>
            <w:vAlign w:val="bottom"/>
            <w:tcBorders>
              <w:bottom w:val="single" w:sz="8" w:color="auto"/>
            </w:tcBorders>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79,515</w:t>
            </w:r>
          </w:p>
        </w:tc>
        <w:tc>
          <w:tcPr>
            <w:tcW w:w="300" w:type="dxa"/>
            <w:vAlign w:val="bottom"/>
            <w:tcBorders>
              <w:bottom w:val="single" w:sz="8" w:color="auto"/>
            </w:tcBorders>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78,220</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71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tcPr>
          <w:p>
            <w:pPr>
              <w:ind w:left="100"/>
              <w:spacing w:after="0"/>
              <w:rPr>
                <w:sz w:val="20"/>
                <w:szCs w:val="20"/>
                <w:color w:val="auto"/>
              </w:rPr>
            </w:pPr>
            <w:r>
              <w:rPr>
                <w:rFonts w:ascii="Arial" w:cs="Arial" w:eastAsia="Arial" w:hAnsi="Arial"/>
                <w:sz w:val="16"/>
                <w:szCs w:val="16"/>
                <w:color w:val="auto"/>
              </w:rPr>
              <w:t>Weighted-average shares outstanding, diluted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79,814</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78,594</w:t>
            </w: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4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9"/>
              </w:rPr>
              <w:t>June 30, 2026</w:t>
            </w:r>
          </w:p>
        </w:tc>
        <w:tc>
          <w:tcPr>
            <w:tcW w:w="1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7240" w:type="dxa"/>
            <w:vAlign w:val="bottom"/>
            <w:vMerge w:val="restart"/>
          </w:tcPr>
          <w:p>
            <w:pPr>
              <w:ind w:left="530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equivalents</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1,059,019</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1,275,690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1,037,378</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Cash and equivalents segregated under federal or other regulations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1,694,088</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1,420,167</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1,792,064</w:t>
            </w: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149,970</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232,889</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225,298</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Receivables from clients, net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1,119,673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994,139</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803,206</w:t>
            </w: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Receivables from brokers, dealers and clearing organizations</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110,715</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244,302</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70,897</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Advisor loans, net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3,979,817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3,889,372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3,681,512</w:t>
            </w: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receivables, net</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1,323,879</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1,427,985</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1,203,539</w:t>
            </w:r>
          </w:p>
        </w:tc>
        <w:tc>
          <w:tcPr>
            <w:tcW w:w="0" w:type="dxa"/>
            <w:vAlign w:val="bottom"/>
          </w:tcPr>
          <w:p>
            <w:pPr>
              <w:spacing w:after="0"/>
              <w:rPr>
                <w:sz w:val="1"/>
                <w:szCs w:val="1"/>
                <w:color w:val="auto"/>
              </w:rPr>
            </w:pPr>
          </w:p>
        </w:tc>
      </w:tr>
      <w:tr>
        <w:trPr>
          <w:trHeight w:val="162"/>
        </w:trPr>
        <w:tc>
          <w:tcPr>
            <w:tcW w:w="7240" w:type="dxa"/>
            <w:vAlign w:val="bottom"/>
          </w:tcPr>
          <w:p>
            <w:pPr>
              <w:ind w:left="20"/>
              <w:spacing w:after="0" w:line="162" w:lineRule="exact"/>
              <w:rPr>
                <w:sz w:val="20"/>
                <w:szCs w:val="20"/>
                <w:color w:val="auto"/>
              </w:rPr>
            </w:pPr>
            <w:r>
              <w:rPr>
                <w:rFonts w:ascii="Arial" w:cs="Arial" w:eastAsia="Arial" w:hAnsi="Arial"/>
                <w:sz w:val="16"/>
                <w:szCs w:val="16"/>
                <w:color w:val="auto"/>
              </w:rPr>
              <w:t>Investment securities ($140,282, $188,006, and $76,108 at fair value at September 30, 2026, June</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155,287</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203,499</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91,528</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30, 2026, and December 31, 2025, respectively)</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1,681,641</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1,569,647</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1,409,376</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2,699,747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2,681,661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2,644,723</w:t>
            </w: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intangibles, net</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3,472,226</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3,433,597</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3,330,788</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2,424,558</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2,418,172</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2,202,444</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19,870,620</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19,791,120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18,492,753</w:t>
            </w:r>
          </w:p>
        </w:tc>
        <w:tc>
          <w:tcPr>
            <w:tcW w:w="0" w:type="dxa"/>
            <w:vAlign w:val="bottom"/>
          </w:tcPr>
          <w:p>
            <w:pPr>
              <w:spacing w:after="0"/>
              <w:rPr>
                <w:sz w:val="1"/>
                <w:szCs w:val="1"/>
                <w:color w:val="auto"/>
              </w:rPr>
            </w:pPr>
          </w:p>
        </w:tc>
      </w:tr>
      <w:tr>
        <w:trPr>
          <w:trHeight w:val="20"/>
        </w:trPr>
        <w:tc>
          <w:tcPr>
            <w:tcW w:w="7240" w:type="dxa"/>
            <w:vAlign w:val="bottom"/>
            <w:tcBorders>
              <w:top w:val="single" w:sz="8" w:color="DBDBDB"/>
              <w:bottom w:val="single" w:sz="8" w:color="DBDBDB"/>
            </w:tcBorders>
            <w:vMerge w:val="restart"/>
          </w:tcPr>
          <w:p>
            <w:pPr>
              <w:ind w:left="3920"/>
              <w:spacing w:after="0"/>
              <w:rPr>
                <w:sz w:val="20"/>
                <w:szCs w:val="20"/>
                <w:color w:val="auto"/>
              </w:rPr>
            </w:pPr>
            <w:r>
              <w:rPr>
                <w:rFonts w:ascii="Arial" w:cs="Arial" w:eastAsia="Arial" w:hAnsi="Arial"/>
                <w:sz w:val="16"/>
                <w:szCs w:val="16"/>
                <w:b w:val="1"/>
                <w:bCs w:val="1"/>
                <w:color w:val="auto"/>
                <w:w w:val="97"/>
              </w:rPr>
              <w:t>LIABILITIES AND STOCKHOLDERS’ EQUITY</w:t>
            </w: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Client payables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2,256,906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2,256,333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2,308,275</w:t>
            </w: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Payables to brokers, dealers and clearing organizations</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217,055</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599,397</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150,520</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Accrued advisory and commission expenses payable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403,041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381,255</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361,623</w:t>
            </w: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Corporate debt and other borrowings, net</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7,802,917</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7,460,510</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7,258,694</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782,312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812,156</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821,641</w:t>
            </w: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2,596,071</w:t>
            </w:r>
          </w:p>
        </w:tc>
        <w:tc>
          <w:tcPr>
            <w:tcW w:w="1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2,524,629</w:t>
            </w:r>
          </w:p>
        </w:tc>
        <w:tc>
          <w:tcPr>
            <w:tcW w:w="1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2,247,515</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DBDBDB"/>
            </w:tcBorders>
          </w:tcPr>
          <w:p>
            <w:pPr>
              <w:ind w:left="2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14,058,302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14,034,280</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13,148,268</w:t>
            </w:r>
          </w:p>
        </w:tc>
        <w:tc>
          <w:tcPr>
            <w:tcW w:w="0" w:type="dxa"/>
            <w:vAlign w:val="bottom"/>
          </w:tcPr>
          <w:p>
            <w:pPr>
              <w:spacing w:after="0"/>
              <w:rPr>
                <w:sz w:val="1"/>
                <w:szCs w:val="1"/>
                <w:color w:val="auto"/>
              </w:rPr>
            </w:pPr>
          </w:p>
        </w:tc>
      </w:tr>
      <w:tr>
        <w:trPr>
          <w:trHeight w:val="19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20"/>
              <w:spacing w:after="0" w:line="162" w:lineRule="exact"/>
              <w:rPr>
                <w:sz w:val="20"/>
                <w:szCs w:val="20"/>
                <w:color w:val="auto"/>
              </w:rPr>
            </w:pPr>
            <w:r>
              <w:rPr>
                <w:rFonts w:ascii="Arial" w:cs="Arial" w:eastAsia="Arial" w:hAnsi="Arial"/>
                <w:sz w:val="16"/>
                <w:szCs w:val="16"/>
                <w:color w:val="auto"/>
              </w:rPr>
              <w:t>Common stock, $0.001 par value; 600,000,000 shares authorized; 136,850,801, 136,822,289, and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20"/>
              <w:spacing w:after="0" w:line="162" w:lineRule="exact"/>
              <w:rPr>
                <w:sz w:val="20"/>
                <w:szCs w:val="20"/>
                <w:color w:val="auto"/>
              </w:rPr>
            </w:pPr>
            <w:r>
              <w:rPr>
                <w:rFonts w:ascii="Arial" w:cs="Arial" w:eastAsia="Arial" w:hAnsi="Arial"/>
                <w:sz w:val="16"/>
                <w:szCs w:val="16"/>
                <w:color w:val="auto"/>
              </w:rPr>
              <w:t>136,637,544 shares issued at September 30, 2026, June 30, 2026, and December 31, 2025,</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3,924,639</w:t>
            </w:r>
          </w:p>
        </w:tc>
        <w:tc>
          <w:tcPr>
            <w:tcW w:w="12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3,898,694</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3,843,017</w:t>
            </w:r>
          </w:p>
        </w:tc>
        <w:tc>
          <w:tcPr>
            <w:tcW w:w="0" w:type="dxa"/>
            <w:vAlign w:val="bottom"/>
          </w:tcPr>
          <w:p>
            <w:pPr>
              <w:spacing w:after="0"/>
              <w:rPr>
                <w:sz w:val="1"/>
                <w:szCs w:val="1"/>
                <w:color w:val="auto"/>
              </w:rPr>
            </w:pPr>
          </w:p>
        </w:tc>
      </w:tr>
      <w:tr>
        <w:trPr>
          <w:trHeight w:val="162"/>
        </w:trPr>
        <w:tc>
          <w:tcPr>
            <w:tcW w:w="7240" w:type="dxa"/>
            <w:vAlign w:val="bottom"/>
          </w:tcPr>
          <w:p>
            <w:pPr>
              <w:ind w:left="20"/>
              <w:spacing w:after="0" w:line="162" w:lineRule="exact"/>
              <w:rPr>
                <w:sz w:val="20"/>
                <w:szCs w:val="20"/>
                <w:color w:val="auto"/>
              </w:rPr>
            </w:pPr>
            <w:r>
              <w:rPr>
                <w:rFonts w:ascii="Arial" w:cs="Arial" w:eastAsia="Arial" w:hAnsi="Arial"/>
                <w:sz w:val="16"/>
                <w:szCs w:val="16"/>
                <w:color w:val="auto"/>
              </w:rPr>
              <w:t>Treasury stock, at cost — 58,540,091, 57,660,516, and 56,576,672 shares at September 30, 2026,</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(4,968,083)</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(4,664,666)</w:t>
            </w:r>
          </w:p>
        </w:tc>
        <w:tc>
          <w:tcPr>
            <w:tcW w:w="140" w:type="dxa"/>
            <w:vAlign w:val="bottom"/>
          </w:tcPr>
          <w:p>
            <w:pPr>
              <w:spacing w:after="0"/>
              <w:rPr>
                <w:sz w:val="14"/>
                <w:szCs w:val="14"/>
                <w:color w:val="auto"/>
              </w:rPr>
            </w:pPr>
          </w:p>
        </w:tc>
        <w:tc>
          <w:tcPr>
            <w:tcW w:w="1220" w:type="dxa"/>
            <w:vAlign w:val="bottom"/>
            <w:vMerge w:val="restart"/>
          </w:tcPr>
          <w:p>
            <w:pPr>
              <w:ind w:left="360"/>
              <w:spacing w:after="0"/>
              <w:rPr>
                <w:sz w:val="20"/>
                <w:szCs w:val="20"/>
                <w:color w:val="auto"/>
              </w:rPr>
            </w:pPr>
            <w:r>
              <w:rPr>
                <w:rFonts w:ascii="Arial" w:cs="Arial" w:eastAsia="Arial" w:hAnsi="Arial"/>
                <w:sz w:val="16"/>
                <w:szCs w:val="16"/>
                <w:color w:val="auto"/>
              </w:rPr>
              <w:t>(4,333,725)</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June 30, 2026, and December 31, 2025, respectively</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6,855,625</w:t>
            </w:r>
          </w:p>
        </w:tc>
        <w:tc>
          <w:tcPr>
            <w:tcW w:w="1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6,522,675</w:t>
            </w:r>
          </w:p>
        </w:tc>
        <w:tc>
          <w:tcPr>
            <w:tcW w:w="1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5,835,057</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DBDBDB"/>
            </w:tcBorders>
          </w:tcPr>
          <w:p>
            <w:pPr>
              <w:ind w:left="26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5,812,318</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5,756,840</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5,344,485</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19,870,620</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19,791,120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18,492,753</w:t>
            </w:r>
          </w:p>
        </w:tc>
        <w:tc>
          <w:tcPr>
            <w:tcW w:w="0" w:type="dxa"/>
            <w:vAlign w:val="bottom"/>
          </w:tcPr>
          <w:p>
            <w:pPr>
              <w:spacing w:after="0"/>
              <w:rPr>
                <w:sz w:val="1"/>
                <w:szCs w:val="1"/>
                <w:color w:val="auto"/>
              </w:rPr>
            </w:pP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 xml:space="preserve">Certain information in this release is presented as reviewed by the Company’s management and includes information derived from the Company’s unaudited condensed consolidated statements of income, non-GAAP financial measures and operational and performance metrics. For information on non-GAAP financial measures, please see the section titled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in this release.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Quarterly Results</w:t>
            </w:r>
          </w:p>
        </w:tc>
        <w:tc>
          <w:tcPr>
            <w:tcW w:w="10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2026</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Q2 2026</w:t>
            </w: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2025</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5200" w:type="dxa"/>
            <w:vAlign w:val="bottom"/>
            <w:shd w:val="clear" w:color="auto" w:fill="DBDBDB"/>
          </w:tcPr>
          <w:p>
            <w:pPr>
              <w:ind w:left="20"/>
              <w:spacing w:after="0" w:line="196" w:lineRule="exact"/>
              <w:rPr>
                <w:sz w:val="20"/>
                <w:szCs w:val="20"/>
                <w:color w:val="auto"/>
              </w:rPr>
            </w:pPr>
            <w:r>
              <w:rPr>
                <w:rFonts w:ascii="Arial" w:cs="Arial" w:eastAsia="Arial" w:hAnsi="Arial"/>
                <w:sz w:val="16"/>
                <w:szCs w:val="16"/>
                <w:b w:val="1"/>
                <w:bCs w:val="1"/>
                <w:color w:val="auto"/>
              </w:rPr>
              <w:t>Gross Profit</w:t>
            </w:r>
            <w:r>
              <w:rPr>
                <w:rFonts w:ascii="Arial" w:cs="Arial" w:eastAsia="Arial" w:hAnsi="Arial"/>
                <w:sz w:val="21"/>
                <w:szCs w:val="21"/>
                <w:b w:val="1"/>
                <w:bCs w:val="1"/>
                <w:color w:val="auto"/>
                <w:vertAlign w:val="subscript"/>
              </w:rPr>
              <w:t>(5)</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100"/>
              <w:spacing w:after="0"/>
              <w:rPr>
                <w:sz w:val="20"/>
                <w:szCs w:val="20"/>
                <w:color w:val="auto"/>
              </w:rPr>
            </w:pPr>
            <w:r>
              <w:rPr>
                <w:rFonts w:ascii="Arial" w:cs="Arial" w:eastAsia="Arial" w:hAnsi="Arial"/>
                <w:sz w:val="16"/>
                <w:szCs w:val="16"/>
                <w:color w:val="auto"/>
              </w:rPr>
              <w:t>Advisory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2,872,928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2,632,405</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2,210,499</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5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Trailing commissions</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507,904</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503,918</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492,426</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Sales-based commissions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742,852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728,155</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695,029</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5200" w:type="dxa"/>
            <w:vAlign w:val="bottom"/>
            <w:shd w:val="clear" w:color="auto" w:fill="DBDBDB"/>
          </w:tcPr>
          <w:p>
            <w:pPr>
              <w:ind w:left="260"/>
              <w:spacing w:after="0"/>
              <w:rPr>
                <w:sz w:val="20"/>
                <w:szCs w:val="20"/>
                <w:color w:val="auto"/>
              </w:rPr>
            </w:pPr>
            <w:r>
              <w:rPr>
                <w:rFonts w:ascii="Arial" w:cs="Arial" w:eastAsia="Arial" w:hAnsi="Arial"/>
                <w:sz w:val="16"/>
                <w:szCs w:val="16"/>
                <w:color w:val="auto"/>
              </w:rPr>
              <w:t>Advisory fees and commissions</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4,123,684</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3,864,478</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3,397,954</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DBDBDB"/>
            </w:tcBorders>
          </w:tcPr>
          <w:p>
            <w:pPr>
              <w:ind w:left="100"/>
              <w:spacing w:after="0" w:line="216" w:lineRule="exact"/>
              <w:rPr>
                <w:sz w:val="20"/>
                <w:szCs w:val="20"/>
                <w:color w:val="auto"/>
              </w:rPr>
            </w:pPr>
            <w:r>
              <w:rPr>
                <w:rFonts w:ascii="Arial" w:cs="Arial" w:eastAsia="Arial" w:hAnsi="Arial"/>
                <w:sz w:val="16"/>
                <w:szCs w:val="16"/>
                <w:color w:val="auto"/>
              </w:rPr>
              <w:t>Production-based payout</w:t>
            </w:r>
            <w:r>
              <w:rPr>
                <w:rFonts w:ascii="Arial" w:cs="Arial" w:eastAsia="Arial" w:hAnsi="Arial"/>
                <w:sz w:val="21"/>
                <w:szCs w:val="21"/>
                <w:color w:val="auto"/>
                <w:vertAlign w:val="subscript"/>
              </w:rPr>
              <w:t>(6)</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(3,627,962)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(3,378,961)</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(2,972,256)</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5200" w:type="dxa"/>
            <w:vAlign w:val="bottom"/>
            <w:shd w:val="clear" w:color="auto" w:fill="DBDBDB"/>
          </w:tcPr>
          <w:p>
            <w:pPr>
              <w:ind w:left="260"/>
              <w:spacing w:after="0"/>
              <w:rPr>
                <w:sz w:val="20"/>
                <w:szCs w:val="20"/>
                <w:color w:val="auto"/>
              </w:rPr>
            </w:pPr>
            <w:r>
              <w:rPr>
                <w:rFonts w:ascii="Arial" w:cs="Arial" w:eastAsia="Arial" w:hAnsi="Arial"/>
                <w:sz w:val="16"/>
                <w:szCs w:val="16"/>
                <w:color w:val="auto"/>
              </w:rPr>
              <w:t>Advisory fees and commissions, net of payout</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495,722</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485,517</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425,698</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Client cash</w:t>
            </w:r>
            <w:r>
              <w:rPr>
                <w:rFonts w:ascii="Arial" w:cs="Arial" w:eastAsia="Arial" w:hAnsi="Arial"/>
                <w:sz w:val="21"/>
                <w:szCs w:val="21"/>
                <w:color w:val="auto"/>
                <w:vertAlign w:val="subscript"/>
              </w:rPr>
              <w:t>(7)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472,282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456,945</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441,576</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200" w:type="dxa"/>
            <w:vAlign w:val="bottom"/>
            <w:shd w:val="clear" w:color="auto" w:fill="DBDBDB"/>
          </w:tcPr>
          <w:p>
            <w:pPr>
              <w:ind w:left="100"/>
              <w:spacing w:after="0" w:line="216" w:lineRule="exact"/>
              <w:rPr>
                <w:sz w:val="20"/>
                <w:szCs w:val="20"/>
                <w:color w:val="auto"/>
              </w:rPr>
            </w:pPr>
            <w:r>
              <w:rPr>
                <w:rFonts w:ascii="Arial" w:cs="Arial" w:eastAsia="Arial" w:hAnsi="Arial"/>
                <w:sz w:val="16"/>
                <w:szCs w:val="16"/>
                <w:color w:val="auto"/>
              </w:rPr>
              <w:t>Other asset-based</w:t>
            </w:r>
            <w:r>
              <w:rPr>
                <w:rFonts w:ascii="Arial" w:cs="Arial" w:eastAsia="Arial" w:hAnsi="Arial"/>
                <w:sz w:val="21"/>
                <w:szCs w:val="21"/>
                <w:color w:val="auto"/>
                <w:vertAlign w:val="subscript"/>
              </w:rPr>
              <w:t>(8)</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400,613</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391,643</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354,090</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5200" w:type="dxa"/>
            <w:vAlign w:val="bottom"/>
          </w:tcPr>
          <w:p>
            <w:pPr>
              <w:ind w:left="100"/>
              <w:spacing w:after="0"/>
              <w:rPr>
                <w:sz w:val="20"/>
                <w:szCs w:val="20"/>
                <w:color w:val="auto"/>
              </w:rPr>
            </w:pPr>
            <w:r>
              <w:rPr>
                <w:rFonts w:ascii="Arial" w:cs="Arial" w:eastAsia="Arial" w:hAnsi="Arial"/>
                <w:sz w:val="16"/>
                <w:szCs w:val="16"/>
                <w:color w:val="auto"/>
              </w:rPr>
              <w:t>Service and fee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218,055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208,879</w:t>
            </w: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174,715</w:t>
            </w: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5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Transaction</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79,120</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83,216</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67,260</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Interest income, net</w:t>
            </w:r>
            <w:r>
              <w:rPr>
                <w:rFonts w:ascii="Arial" w:cs="Arial" w:eastAsia="Arial" w:hAnsi="Arial"/>
                <w:sz w:val="21"/>
                <w:szCs w:val="21"/>
                <w:color w:val="auto"/>
                <w:vertAlign w:val="subscript"/>
              </w:rPr>
              <w:t>(9)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37,853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33,027</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47,468</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5200" w:type="dxa"/>
            <w:vAlign w:val="bottom"/>
            <w:shd w:val="clear" w:color="auto" w:fill="DBDBDB"/>
          </w:tcPr>
          <w:p>
            <w:pPr>
              <w:ind w:left="100"/>
              <w:spacing w:after="0" w:line="216" w:lineRule="exact"/>
              <w:rPr>
                <w:sz w:val="20"/>
                <w:szCs w:val="20"/>
                <w:color w:val="auto"/>
              </w:rPr>
            </w:pPr>
            <w:r>
              <w:rPr>
                <w:rFonts w:ascii="Arial" w:cs="Arial" w:eastAsia="Arial" w:hAnsi="Arial"/>
                <w:sz w:val="16"/>
                <w:szCs w:val="16"/>
                <w:color w:val="auto"/>
              </w:rPr>
              <w:t>Other revenue</w:t>
            </w:r>
            <w:r>
              <w:rPr>
                <w:rFonts w:ascii="Arial" w:cs="Arial" w:eastAsia="Arial" w:hAnsi="Arial"/>
                <w:sz w:val="21"/>
                <w:szCs w:val="21"/>
                <w:color w:val="auto"/>
                <w:vertAlign w:val="subscript"/>
              </w:rPr>
              <w:t>(10)</w:t>
            </w:r>
          </w:p>
        </w:tc>
        <w:tc>
          <w:tcPr>
            <w:tcW w:w="2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7,390</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11,054</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11,821</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42"/>
        </w:trPr>
        <w:tc>
          <w:tcPr>
            <w:tcW w:w="5200" w:type="dxa"/>
            <w:vAlign w:val="bottom"/>
          </w:tcPr>
          <w:p>
            <w:pPr>
              <w:ind w:left="360"/>
              <w:spacing w:after="0" w:line="142" w:lineRule="exact"/>
              <w:rPr>
                <w:sz w:val="20"/>
                <w:szCs w:val="20"/>
                <w:color w:val="auto"/>
              </w:rPr>
            </w:pPr>
            <w:r>
              <w:rPr>
                <w:rFonts w:ascii="Arial" w:cs="Arial" w:eastAsia="Arial" w:hAnsi="Arial"/>
                <w:sz w:val="16"/>
                <w:szCs w:val="16"/>
                <w:b w:val="1"/>
                <w:bCs w:val="1"/>
                <w:color w:val="auto"/>
              </w:rPr>
              <w:t>Total net advisory fees and commissions and attachment</w:t>
            </w: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1,711,035</w:t>
            </w:r>
          </w:p>
        </w:tc>
        <w:tc>
          <w:tcPr>
            <w:tcW w:w="2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1,670,281</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1,522,628</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5200" w:type="dxa"/>
            <w:vAlign w:val="bottom"/>
          </w:tcPr>
          <w:p>
            <w:pPr>
              <w:ind w:left="5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Brokerage, clearing and exchange expense</w:t>
            </w:r>
          </w:p>
        </w:tc>
        <w:tc>
          <w:tcPr>
            <w:tcW w:w="2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(49,139)</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(52,018)</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(43,282)</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DBDBDB"/>
            </w:tcBorders>
          </w:tcPr>
          <w:p>
            <w:pPr>
              <w:ind w:left="260"/>
              <w:spacing w:after="0" w:line="210" w:lineRule="exact"/>
              <w:rPr>
                <w:sz w:val="20"/>
                <w:szCs w:val="20"/>
                <w:color w:val="auto"/>
              </w:rPr>
            </w:pPr>
            <w:r>
              <w:rPr>
                <w:rFonts w:ascii="Arial" w:cs="Arial" w:eastAsia="Arial" w:hAnsi="Arial"/>
                <w:sz w:val="16"/>
                <w:szCs w:val="16"/>
                <w:b w:val="1"/>
                <w:bCs w:val="1"/>
                <w:color w:val="auto"/>
              </w:rPr>
              <w:t>Gross Profit</w:t>
            </w:r>
            <w:r>
              <w:rPr>
                <w:rFonts w:ascii="Arial" w:cs="Arial" w:eastAsia="Arial" w:hAnsi="Arial"/>
                <w:sz w:val="21"/>
                <w:szCs w:val="21"/>
                <w:b w:val="1"/>
                <w:bCs w:val="1"/>
                <w:color w:val="auto"/>
                <w:vertAlign w:val="subscript"/>
              </w:rPr>
              <w:t>(5)</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1,661,896</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1,618,263</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1,479,346</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52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G&amp;A Expense</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Core G&amp;A</w:t>
            </w:r>
            <w:r>
              <w:rPr>
                <w:rFonts w:ascii="Arial" w:cs="Arial" w:eastAsia="Arial" w:hAnsi="Arial"/>
                <w:sz w:val="21"/>
                <w:szCs w:val="21"/>
                <w:color w:val="auto"/>
                <w:vertAlign w:val="subscript"/>
              </w:rPr>
              <w:t>(11)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532,205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519,272</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477,323</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5200" w:type="dxa"/>
            <w:vAlign w:val="bottom"/>
            <w:shd w:val="clear" w:color="auto" w:fill="DBDBDB"/>
          </w:tcPr>
          <w:p>
            <w:pPr>
              <w:ind w:left="100"/>
              <w:spacing w:after="0" w:line="216" w:lineRule="exact"/>
              <w:rPr>
                <w:sz w:val="20"/>
                <w:szCs w:val="20"/>
                <w:color w:val="auto"/>
              </w:rPr>
            </w:pPr>
            <w:r>
              <w:rPr>
                <w:rFonts w:ascii="Arial" w:cs="Arial" w:eastAsia="Arial" w:hAnsi="Arial"/>
                <w:sz w:val="16"/>
                <w:szCs w:val="16"/>
                <w:color w:val="auto"/>
              </w:rPr>
              <w:t>Transition assistance loan amortization</w:t>
            </w:r>
            <w:r>
              <w:rPr>
                <w:rFonts w:ascii="Arial" w:cs="Arial" w:eastAsia="Arial" w:hAnsi="Arial"/>
                <w:sz w:val="21"/>
                <w:szCs w:val="21"/>
                <w:color w:val="auto"/>
                <w:vertAlign w:val="subscript"/>
              </w:rPr>
              <w:t>(12)</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150,009</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142,335</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104,760</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Promotional (ongoing)</w:t>
            </w:r>
            <w:r>
              <w:rPr>
                <w:rFonts w:ascii="Arial" w:cs="Arial" w:eastAsia="Arial" w:hAnsi="Arial"/>
                <w:sz w:val="21"/>
                <w:szCs w:val="21"/>
                <w:color w:val="auto"/>
                <w:vertAlign w:val="subscript"/>
              </w:rPr>
              <w:t>(12)(13)(14)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87,943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79,123</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97,103</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5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Employee share-based compensation</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21,109</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22,701</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18,627</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5200" w:type="dxa"/>
            <w:vAlign w:val="bottom"/>
          </w:tcPr>
          <w:p>
            <w:pPr>
              <w:ind w:left="100"/>
              <w:spacing w:after="0"/>
              <w:rPr>
                <w:sz w:val="20"/>
                <w:szCs w:val="20"/>
                <w:color w:val="auto"/>
              </w:rPr>
            </w:pPr>
            <w:r>
              <w:rPr>
                <w:rFonts w:ascii="Arial" w:cs="Arial" w:eastAsia="Arial" w:hAnsi="Arial"/>
                <w:sz w:val="16"/>
                <w:szCs w:val="16"/>
                <w:color w:val="auto"/>
              </w:rPr>
              <w:t>Regulatory charges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6,390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8,158</w:t>
            </w: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6,744</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5200" w:type="dxa"/>
            <w:vAlign w:val="bottom"/>
            <w:shd w:val="clear" w:color="auto" w:fill="DBDBDB"/>
          </w:tcPr>
          <w:p>
            <w:pPr>
              <w:ind w:left="100"/>
              <w:spacing w:after="0" w:line="217" w:lineRule="exact"/>
              <w:rPr>
                <w:sz w:val="20"/>
                <w:szCs w:val="20"/>
                <w:color w:val="auto"/>
              </w:rPr>
            </w:pPr>
            <w:r>
              <w:rPr>
                <w:rFonts w:ascii="Arial" w:cs="Arial" w:eastAsia="Arial" w:hAnsi="Arial"/>
                <w:sz w:val="16"/>
                <w:szCs w:val="16"/>
                <w:color w:val="auto"/>
              </w:rPr>
              <w:t>Acquisition costs</w:t>
            </w:r>
            <w:r>
              <w:rPr>
                <w:rFonts w:ascii="Arial" w:cs="Arial" w:eastAsia="Arial" w:hAnsi="Arial"/>
                <w:sz w:val="21"/>
                <w:szCs w:val="21"/>
                <w:color w:val="auto"/>
                <w:vertAlign w:val="subscript"/>
              </w:rPr>
              <w:t>(14)</w:t>
            </w:r>
          </w:p>
        </w:tc>
        <w:tc>
          <w:tcPr>
            <w:tcW w:w="2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83,149</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48,977</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538,177</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DBDBDB"/>
            </w:tcBorders>
          </w:tcPr>
          <w:p>
            <w:pPr>
              <w:ind w:left="260"/>
              <w:spacing w:after="0"/>
              <w:rPr>
                <w:sz w:val="20"/>
                <w:szCs w:val="20"/>
                <w:color w:val="auto"/>
              </w:rPr>
            </w:pPr>
            <w:r>
              <w:rPr>
                <w:rFonts w:ascii="Arial" w:cs="Arial" w:eastAsia="Arial" w:hAnsi="Arial"/>
                <w:sz w:val="16"/>
                <w:szCs w:val="16"/>
                <w:b w:val="1"/>
                <w:bCs w:val="1"/>
                <w:color w:val="auto"/>
              </w:rPr>
              <w:t>Total G&amp;A</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880,805</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820,566</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1,242,734</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520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b w:val="1"/>
                <w:bCs w:val="1"/>
                <w:color w:val="auto"/>
              </w:rPr>
              <w:t>EBITDA</w:t>
            </w:r>
            <w:r>
              <w:rPr>
                <w:rFonts w:ascii="Arial" w:cs="Arial" w:eastAsia="Arial" w:hAnsi="Arial"/>
                <w:sz w:val="21"/>
                <w:szCs w:val="21"/>
                <w:b w:val="1"/>
                <w:bCs w:val="1"/>
                <w:color w:val="auto"/>
                <w:vertAlign w:val="subscript"/>
              </w:rPr>
              <w:t>(15)</w:t>
            </w:r>
          </w:p>
        </w:tc>
        <w:tc>
          <w:tcPr>
            <w:tcW w:w="2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781,091</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797,697</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236,612</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5200" w:type="dxa"/>
            <w:vAlign w:val="bottom"/>
          </w:tcPr>
          <w:p>
            <w:pPr>
              <w:ind w:left="100"/>
              <w:spacing w:after="0"/>
              <w:rPr>
                <w:sz w:val="20"/>
                <w:szCs w:val="20"/>
                <w:color w:val="auto"/>
              </w:rPr>
            </w:pPr>
            <w:r>
              <w:rPr>
                <w:rFonts w:ascii="Arial" w:cs="Arial" w:eastAsia="Arial" w:hAnsi="Arial"/>
                <w:sz w:val="16"/>
                <w:szCs w:val="16"/>
                <w:color w:val="auto"/>
              </w:rPr>
              <w:t>Interest expense on borrowings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105,834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101,502</w:t>
            </w: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106,295</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117,287</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109,805</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99,722</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Amortization of other intangibles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72,844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70,886</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64,706</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43"/>
        </w:trPr>
        <w:tc>
          <w:tcPr>
            <w:tcW w:w="5200" w:type="dxa"/>
            <w:vAlign w:val="bottom"/>
            <w:shd w:val="clear" w:color="auto" w:fill="DBDBDB"/>
          </w:tcPr>
          <w:p>
            <w:pPr>
              <w:ind w:left="20"/>
              <w:spacing w:after="0" w:line="143" w:lineRule="exact"/>
              <w:rPr>
                <w:sz w:val="20"/>
                <w:szCs w:val="20"/>
                <w:color w:val="auto"/>
              </w:rPr>
            </w:pPr>
            <w:r>
              <w:rPr>
                <w:rFonts w:ascii="Arial" w:cs="Arial" w:eastAsia="Arial" w:hAnsi="Arial"/>
                <w:sz w:val="16"/>
                <w:szCs w:val="16"/>
                <w:b w:val="1"/>
                <w:bCs w:val="1"/>
                <w:color w:val="auto"/>
              </w:rPr>
              <w:t>INCOME (LOSS) BEFORE PROVISION FOR (BENEFIT FROM)</w:t>
            </w:r>
          </w:p>
        </w:tc>
        <w:tc>
          <w:tcPr>
            <w:tcW w:w="240" w:type="dxa"/>
            <w:vAlign w:val="bottom"/>
            <w:shd w:val="clear" w:color="auto" w:fill="DBDBDB"/>
          </w:tcPr>
          <w:p>
            <w:pPr>
              <w:spacing w:after="0"/>
              <w:rPr>
                <w:sz w:val="12"/>
                <w:szCs w:val="12"/>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485,126</w:t>
            </w:r>
          </w:p>
        </w:tc>
        <w:tc>
          <w:tcPr>
            <w:tcW w:w="220" w:type="dxa"/>
            <w:vAlign w:val="bottom"/>
            <w:shd w:val="clear" w:color="auto" w:fill="DBDBDB"/>
          </w:tcPr>
          <w:p>
            <w:pPr>
              <w:spacing w:after="0"/>
              <w:rPr>
                <w:sz w:val="12"/>
                <w:szCs w:val="12"/>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515,504</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DBDBDB"/>
          </w:tcPr>
          <w:p>
            <w:pPr>
              <w:spacing w:after="0"/>
              <w:rPr>
                <w:sz w:val="12"/>
                <w:szCs w:val="12"/>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(34,111)</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52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TAXES</w:t>
            </w:r>
          </w:p>
        </w:tc>
        <w:tc>
          <w:tcPr>
            <w:tcW w:w="240" w:type="dxa"/>
            <w:vAlign w:val="bottom"/>
            <w:shd w:val="clear" w:color="auto" w:fill="DBDBDB"/>
          </w:tcPr>
          <w:p>
            <w:pPr>
              <w:spacing w:after="0"/>
              <w:rPr>
                <w:sz w:val="18"/>
                <w:szCs w:val="18"/>
                <w:color w:val="auto"/>
              </w:rPr>
            </w:pPr>
          </w:p>
        </w:tc>
        <w:tc>
          <w:tcPr>
            <w:tcW w:w="1080" w:type="dxa"/>
            <w:vAlign w:val="bottom"/>
            <w:vMerge w:val="continue"/>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vMerge w:val="continue"/>
            <w:shd w:val="clear" w:color="auto" w:fill="DBDBDB"/>
          </w:tcPr>
          <w:p>
            <w:pPr>
              <w:spacing w:after="0"/>
              <w:rPr>
                <w:sz w:val="18"/>
                <w:szCs w:val="18"/>
                <w:color w:val="auto"/>
              </w:rPr>
            </w:pPr>
          </w:p>
        </w:tc>
        <w:tc>
          <w:tcPr>
            <w:tcW w:w="1060" w:type="dxa"/>
            <w:vAlign w:val="bottom"/>
            <w:vMerge w:val="continue"/>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vMerge w:val="continue"/>
            <w:shd w:val="clear" w:color="auto" w:fill="DBDBDB"/>
          </w:tcPr>
          <w:p>
            <w:pPr>
              <w:spacing w:after="0"/>
              <w:rPr>
                <w:sz w:val="18"/>
                <w:szCs w:val="18"/>
                <w:color w:val="auto"/>
              </w:rPr>
            </w:pPr>
          </w:p>
        </w:tc>
        <w:tc>
          <w:tcPr>
            <w:tcW w:w="106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128,565</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136,243</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356,561</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379,261</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(29,517)</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5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Earnings (loss) per share, diluted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52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Weighted-average shares outstanding, diluted</w:t>
            </w:r>
          </w:p>
        </w:tc>
        <w:tc>
          <w:tcPr>
            <w:tcW w:w="24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78,968</w:t>
            </w:r>
          </w:p>
        </w:tc>
        <w:tc>
          <w:tcPr>
            <w:tcW w:w="2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80,032</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80,357</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ind w:left="20"/>
              <w:spacing w:after="0" w:line="190"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bscript"/>
              </w:rPr>
              <w:t>(15)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864,240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846,674</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774,789</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0" w:type="dxa"/>
            <w:vAlign w:val="bottom"/>
            <w:tcBorders>
              <w:bottom w:val="single" w:sz="8" w:color="DBDBDB"/>
            </w:tcBorders>
            <w:shd w:val="clear" w:color="auto" w:fill="DBDBDB"/>
          </w:tcPr>
          <w:p>
            <w:pPr>
              <w:ind w:left="20"/>
              <w:spacing w:after="0" w:line="196" w:lineRule="exact"/>
              <w:rPr>
                <w:sz w:val="20"/>
                <w:szCs w:val="20"/>
                <w:color w:val="auto"/>
              </w:rPr>
            </w:pPr>
            <w:r>
              <w:rPr>
                <w:rFonts w:ascii="Arial" w:cs="Arial" w:eastAsia="Arial" w:hAnsi="Arial"/>
                <w:sz w:val="16"/>
                <w:szCs w:val="16"/>
                <w:color w:val="auto"/>
              </w:rPr>
              <w:t>Adjusted pre-tax income</w:t>
            </w:r>
            <w:r>
              <w:rPr>
                <w:rFonts w:ascii="Arial" w:cs="Arial" w:eastAsia="Arial" w:hAnsi="Arial"/>
                <w:sz w:val="21"/>
                <w:szCs w:val="21"/>
                <w:color w:val="auto"/>
                <w:vertAlign w:val="subscript"/>
              </w:rPr>
              <w:t>(16)</w:t>
            </w:r>
          </w:p>
        </w:tc>
        <w:tc>
          <w:tcPr>
            <w:tcW w:w="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641,119</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635,367</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568,772</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5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ind w:left="20"/>
              <w:spacing w:after="0" w:line="190" w:lineRule="exact"/>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bscript"/>
              </w:rPr>
              <w:t>(17)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Operating Metrics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billions, except where noted)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Q3 2026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Q2 2026</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Q3 2025</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Change</w:t>
            </w:r>
          </w:p>
        </w:tc>
      </w:tr>
      <w:tr>
        <w:trPr>
          <w:trHeight w:val="196"/>
        </w:trPr>
        <w:tc>
          <w:tcPr>
            <w:tcW w:w="59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Market Drivers</w:t>
            </w: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215"/>
        </w:trPr>
        <w:tc>
          <w:tcPr>
            <w:tcW w:w="5920" w:type="dxa"/>
            <w:vAlign w:val="bottom"/>
          </w:tcPr>
          <w:p>
            <w:pPr>
              <w:ind w:left="140"/>
              <w:spacing w:after="0"/>
              <w:rPr>
                <w:sz w:val="20"/>
                <w:szCs w:val="20"/>
                <w:color w:val="auto"/>
              </w:rPr>
            </w:pPr>
            <w:r>
              <w:rPr>
                <w:rFonts w:ascii="Arial" w:cs="Arial" w:eastAsia="Arial" w:hAnsi="Arial"/>
                <w:sz w:val="16"/>
                <w:szCs w:val="16"/>
                <w:color w:val="auto"/>
              </w:rPr>
              <w:t>S&amp;P 500 Index (end of period)</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7,499</w:t>
            </w: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6,688</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14%</w:t>
            </w:r>
          </w:p>
        </w:tc>
      </w:tr>
      <w:tr>
        <w:trPr>
          <w:trHeight w:val="217"/>
        </w:trPr>
        <w:tc>
          <w:tcPr>
            <w:tcW w:w="5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Russell 2000 Index (end of period)</w:t>
            </w: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2,797</w:t>
            </w: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3,024</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w:t>
            </w: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2,436</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15%</w:t>
            </w:r>
          </w:p>
        </w:tc>
      </w:tr>
      <w:tr>
        <w:trPr>
          <w:trHeight w:val="215"/>
        </w:trPr>
        <w:tc>
          <w:tcPr>
            <w:tcW w:w="5920" w:type="dxa"/>
            <w:vAlign w:val="bottom"/>
          </w:tcPr>
          <w:p>
            <w:pPr>
              <w:ind w:left="140"/>
              <w:spacing w:after="0"/>
              <w:rPr>
                <w:sz w:val="20"/>
                <w:szCs w:val="20"/>
                <w:color w:val="auto"/>
              </w:rPr>
            </w:pPr>
            <w:r>
              <w:rPr>
                <w:rFonts w:ascii="Arial" w:cs="Arial" w:eastAsia="Arial" w:hAnsi="Arial"/>
                <w:sz w:val="16"/>
                <w:szCs w:val="16"/>
                <w:color w:val="auto"/>
              </w:rPr>
              <w:t>Fed Funds daily effective rate (average bps)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363</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4bps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w:t>
            </w:r>
          </w:p>
        </w:tc>
        <w:tc>
          <w:tcPr>
            <w:tcW w:w="1000" w:type="dxa"/>
            <w:vAlign w:val="bottom"/>
          </w:tcPr>
          <w:p>
            <w:pPr>
              <w:jc w:val="center"/>
              <w:spacing w:after="0"/>
              <w:rPr>
                <w:sz w:val="20"/>
                <w:szCs w:val="20"/>
                <w:color w:val="auto"/>
              </w:rPr>
            </w:pPr>
            <w:r>
              <w:rPr>
                <w:rFonts w:ascii="Arial" w:cs="Arial" w:eastAsia="Arial" w:hAnsi="Arial"/>
                <w:sz w:val="16"/>
                <w:szCs w:val="16"/>
                <w:color w:val="auto"/>
              </w:rPr>
              <w:t>(63bps)</w:t>
            </w:r>
          </w:p>
        </w:tc>
      </w:tr>
      <w:tr>
        <w:trPr>
          <w:trHeight w:val="271"/>
        </w:trPr>
        <w:tc>
          <w:tcPr>
            <w:tcW w:w="59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88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9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000" w:type="dxa"/>
            <w:vAlign w:val="bottom"/>
            <w:shd w:val="clear" w:color="auto" w:fill="DBDBDB"/>
          </w:tcPr>
          <w:p>
            <w:pPr>
              <w:spacing w:after="0"/>
              <w:rPr>
                <w:sz w:val="23"/>
                <w:szCs w:val="23"/>
                <w:color w:val="auto"/>
              </w:rPr>
            </w:pPr>
          </w:p>
        </w:tc>
      </w:tr>
      <w:tr>
        <w:trPr>
          <w:trHeight w:val="216"/>
        </w:trPr>
        <w:tc>
          <w:tcPr>
            <w:tcW w:w="59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Client Assets</w:t>
            </w:r>
            <w:r>
              <w:rPr>
                <w:rFonts w:ascii="Arial" w:cs="Arial" w:eastAsia="Arial" w:hAnsi="Arial"/>
                <w:sz w:val="21"/>
                <w:szCs w:val="21"/>
                <w:b w:val="1"/>
                <w:bCs w:val="1"/>
                <w:color w:val="auto"/>
                <w:vertAlign w:val="subscript"/>
              </w:rPr>
              <w:t>(18)</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Advisory</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1,561.0</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1,548.4</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1,346.9</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16%</w:t>
            </w:r>
          </w:p>
        </w:tc>
      </w:tr>
      <w:tr>
        <w:trPr>
          <w:trHeight w:val="215"/>
        </w:trPr>
        <w:tc>
          <w:tcPr>
            <w:tcW w:w="59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Brokerage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1,014.3</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4%</w:t>
            </w:r>
          </w:p>
        </w:tc>
      </w:tr>
      <w:tr>
        <w:trPr>
          <w:trHeight w:val="210"/>
        </w:trPr>
        <w:tc>
          <w:tcPr>
            <w:tcW w:w="5920" w:type="dxa"/>
            <w:vAlign w:val="bottom"/>
            <w:shd w:val="clear" w:color="auto" w:fill="DBDBDB"/>
          </w:tcPr>
          <w:p>
            <w:pPr>
              <w:ind w:left="220"/>
              <w:spacing w:after="0"/>
              <w:rPr>
                <w:sz w:val="20"/>
                <w:szCs w:val="20"/>
                <w:color w:val="auto"/>
              </w:rPr>
            </w:pPr>
            <w:r>
              <w:rPr>
                <w:rFonts w:ascii="Arial" w:cs="Arial" w:eastAsia="Arial" w:hAnsi="Arial"/>
                <w:sz w:val="16"/>
                <w:szCs w:val="16"/>
                <w:b w:val="1"/>
                <w:bCs w:val="1"/>
                <w:color w:val="auto"/>
              </w:rPr>
              <w:t>Total Client Assets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2,564.6</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2,562.7</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2,314.5</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w:t>
            </w:r>
          </w:p>
        </w:tc>
      </w:tr>
      <w:tr>
        <w:trPr>
          <w:trHeight w:val="215"/>
        </w:trPr>
        <w:tc>
          <w:tcPr>
            <w:tcW w:w="5920" w:type="dxa"/>
            <w:vAlign w:val="bottom"/>
          </w:tcPr>
          <w:p>
            <w:pPr>
              <w:ind w:left="100"/>
              <w:spacing w:after="0"/>
              <w:rPr>
                <w:sz w:val="20"/>
                <w:szCs w:val="20"/>
                <w:color w:val="auto"/>
              </w:rPr>
            </w:pPr>
            <w:r>
              <w:rPr>
                <w:rFonts w:ascii="Arial" w:cs="Arial" w:eastAsia="Arial" w:hAnsi="Arial"/>
                <w:sz w:val="16"/>
                <w:szCs w:val="16"/>
                <w:color w:val="auto"/>
              </w:rPr>
              <w:t>Advisory as a % of Total Client Assets</w:t>
            </w:r>
          </w:p>
        </w:tc>
        <w:tc>
          <w:tcPr>
            <w:tcW w:w="16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rPr>
              <w:t>60.9%</w:t>
            </w:r>
          </w:p>
        </w:tc>
        <w:tc>
          <w:tcPr>
            <w:tcW w:w="20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color w:val="auto"/>
              </w:rPr>
              <w:t>60.4%</w:t>
            </w:r>
          </w:p>
        </w:tc>
        <w:tc>
          <w:tcPr>
            <w:tcW w:w="980" w:type="dxa"/>
            <w:vAlign w:val="bottom"/>
          </w:tcPr>
          <w:p>
            <w:pPr>
              <w:jc w:val="center"/>
              <w:spacing w:after="0"/>
              <w:rPr>
                <w:sz w:val="20"/>
                <w:szCs w:val="20"/>
                <w:color w:val="auto"/>
              </w:rPr>
            </w:pPr>
            <w:r>
              <w:rPr>
                <w:rFonts w:ascii="Arial" w:cs="Arial" w:eastAsia="Arial" w:hAnsi="Arial"/>
                <w:sz w:val="16"/>
                <w:szCs w:val="16"/>
                <w:color w:val="auto"/>
              </w:rPr>
              <w:t>50bps</w:t>
            </w:r>
          </w:p>
        </w:tc>
        <w:tc>
          <w:tcPr>
            <w:tcW w:w="16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color w:val="auto"/>
              </w:rPr>
              <w:t>58.2%</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270bps</w:t>
            </w:r>
          </w:p>
        </w:tc>
      </w:tr>
      <w:tr>
        <w:trPr>
          <w:trHeight w:val="271"/>
        </w:trPr>
        <w:tc>
          <w:tcPr>
            <w:tcW w:w="59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88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9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000" w:type="dxa"/>
            <w:vAlign w:val="bottom"/>
            <w:shd w:val="clear" w:color="auto" w:fill="DBDBDB"/>
          </w:tcPr>
          <w:p>
            <w:pPr>
              <w:spacing w:after="0"/>
              <w:rPr>
                <w:sz w:val="23"/>
                <w:szCs w:val="23"/>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Assets by Platform</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2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Corporate RIA advisory</w:t>
            </w:r>
            <w:r>
              <w:rPr>
                <w:rFonts w:ascii="Arial" w:cs="Arial" w:eastAsia="Arial" w:hAnsi="Arial"/>
                <w:sz w:val="21"/>
                <w:szCs w:val="21"/>
                <w:color w:val="auto"/>
                <w:vertAlign w:val="subscript"/>
              </w:rPr>
              <w:t>(19)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1,202.7</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1,190.8</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1,022.1</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18%</w:t>
            </w:r>
          </w:p>
        </w:tc>
      </w:tr>
      <w:tr>
        <w:trPr>
          <w:trHeight w:val="216"/>
        </w:trPr>
        <w:tc>
          <w:tcPr>
            <w:tcW w:w="5920" w:type="dxa"/>
            <w:vAlign w:val="bottom"/>
          </w:tcPr>
          <w:p>
            <w:pPr>
              <w:ind w:left="140"/>
              <w:spacing w:after="0" w:line="216" w:lineRule="exact"/>
              <w:rPr>
                <w:sz w:val="20"/>
                <w:szCs w:val="20"/>
                <w:color w:val="auto"/>
              </w:rPr>
            </w:pPr>
            <w:r>
              <w:rPr>
                <w:rFonts w:ascii="Arial" w:cs="Arial" w:eastAsia="Arial" w:hAnsi="Arial"/>
                <w:sz w:val="16"/>
                <w:szCs w:val="16"/>
                <w:color w:val="auto"/>
              </w:rPr>
              <w:t>Independent RIA advisory</w:t>
            </w:r>
            <w:r>
              <w:rPr>
                <w:rFonts w:ascii="Arial" w:cs="Arial" w:eastAsia="Arial" w:hAnsi="Arial"/>
                <w:sz w:val="21"/>
                <w:szCs w:val="21"/>
                <w:color w:val="auto"/>
                <w:vertAlign w:val="subscript"/>
              </w:rPr>
              <w:t>(19)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358.3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357.6</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324.8</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10%</w:t>
            </w:r>
          </w:p>
        </w:tc>
      </w:tr>
      <w:tr>
        <w:trPr>
          <w:trHeight w:val="216"/>
        </w:trPr>
        <w:tc>
          <w:tcPr>
            <w:tcW w:w="5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Brokerage</w:t>
            </w:r>
          </w:p>
        </w:tc>
        <w:tc>
          <w:tcPr>
            <w:tcW w:w="16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1,003.6</w:t>
            </w:r>
          </w:p>
        </w:tc>
        <w:tc>
          <w:tcPr>
            <w:tcW w:w="20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1,014.3</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967.7</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w:t>
            </w:r>
          </w:p>
        </w:tc>
      </w:tr>
      <w:tr>
        <w:trPr>
          <w:trHeight w:val="209"/>
        </w:trPr>
        <w:tc>
          <w:tcPr>
            <w:tcW w:w="5920" w:type="dxa"/>
            <w:vAlign w:val="bottom"/>
          </w:tcPr>
          <w:p>
            <w:pPr>
              <w:ind w:left="220"/>
              <w:spacing w:after="0"/>
              <w:rPr>
                <w:sz w:val="20"/>
                <w:szCs w:val="20"/>
                <w:color w:val="auto"/>
              </w:rPr>
            </w:pPr>
            <w:r>
              <w:rPr>
                <w:rFonts w:ascii="Arial" w:cs="Arial" w:eastAsia="Arial" w:hAnsi="Arial"/>
                <w:sz w:val="16"/>
                <w:szCs w:val="16"/>
                <w:b w:val="1"/>
                <w:bCs w:val="1"/>
                <w:color w:val="auto"/>
              </w:rPr>
              <w:t>Total Client Assets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2,564.6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2,562.7</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2,314.5</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11%</w:t>
            </w:r>
          </w:p>
        </w:tc>
      </w:tr>
      <w:tr>
        <w:trPr>
          <w:trHeight w:val="270"/>
        </w:trPr>
        <w:tc>
          <w:tcPr>
            <w:tcW w:w="59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88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9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000" w:type="dxa"/>
            <w:vAlign w:val="bottom"/>
            <w:shd w:val="clear" w:color="auto" w:fill="DBDBDB"/>
          </w:tcPr>
          <w:p>
            <w:pPr>
              <w:spacing w:after="0"/>
              <w:rPr>
                <w:sz w:val="23"/>
                <w:szCs w:val="23"/>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Centrally Managed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2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Centrally managed assets</w:t>
            </w:r>
            <w:r>
              <w:rPr>
                <w:rFonts w:ascii="Arial" w:cs="Arial" w:eastAsia="Arial" w:hAnsi="Arial"/>
                <w:sz w:val="21"/>
                <w:szCs w:val="21"/>
                <w:color w:val="auto"/>
                <w:vertAlign w:val="subscript"/>
              </w:rPr>
              <w:t>(20)</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250.4</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245.6</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203.1</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23%</w:t>
            </w:r>
          </w:p>
        </w:tc>
      </w:tr>
      <w:tr>
        <w:trPr>
          <w:trHeight w:val="215"/>
        </w:trPr>
        <w:tc>
          <w:tcPr>
            <w:tcW w:w="5920" w:type="dxa"/>
            <w:vAlign w:val="bottom"/>
          </w:tcPr>
          <w:p>
            <w:pPr>
              <w:ind w:left="140"/>
              <w:spacing w:after="0"/>
              <w:rPr>
                <w:sz w:val="20"/>
                <w:szCs w:val="20"/>
                <w:color w:val="auto"/>
              </w:rPr>
            </w:pPr>
            <w:r>
              <w:rPr>
                <w:rFonts w:ascii="Arial" w:cs="Arial" w:eastAsia="Arial" w:hAnsi="Arial"/>
                <w:sz w:val="16"/>
                <w:szCs w:val="16"/>
                <w:color w:val="auto"/>
              </w:rPr>
              <w:t>Centrally Managed as a % of Total Advisory Assets</w:t>
            </w:r>
          </w:p>
        </w:tc>
        <w:tc>
          <w:tcPr>
            <w:tcW w:w="16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rPr>
              <w:t>16.0%</w:t>
            </w:r>
          </w:p>
        </w:tc>
        <w:tc>
          <w:tcPr>
            <w:tcW w:w="20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color w:val="auto"/>
              </w:rPr>
              <w:t>15.9%</w:t>
            </w:r>
          </w:p>
        </w:tc>
        <w:tc>
          <w:tcPr>
            <w:tcW w:w="980" w:type="dxa"/>
            <w:vAlign w:val="bottom"/>
          </w:tcPr>
          <w:p>
            <w:pPr>
              <w:jc w:val="center"/>
              <w:spacing w:after="0"/>
              <w:rPr>
                <w:sz w:val="20"/>
                <w:szCs w:val="20"/>
                <w:color w:val="auto"/>
              </w:rPr>
            </w:pPr>
            <w:r>
              <w:rPr>
                <w:rFonts w:ascii="Arial" w:cs="Arial" w:eastAsia="Arial" w:hAnsi="Arial"/>
                <w:sz w:val="16"/>
                <w:szCs w:val="16"/>
                <w:color w:val="auto"/>
              </w:rPr>
              <w:t>10bps</w:t>
            </w:r>
          </w:p>
        </w:tc>
        <w:tc>
          <w:tcPr>
            <w:tcW w:w="16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color w:val="auto"/>
              </w:rPr>
              <w:t>15.1%</w:t>
            </w:r>
          </w:p>
        </w:tc>
        <w:tc>
          <w:tcPr>
            <w:tcW w:w="1000" w:type="dxa"/>
            <w:vAlign w:val="bottom"/>
          </w:tcPr>
          <w:p>
            <w:pPr>
              <w:jc w:val="center"/>
              <w:spacing w:after="0"/>
              <w:rPr>
                <w:sz w:val="20"/>
                <w:szCs w:val="20"/>
                <w:color w:val="auto"/>
              </w:rPr>
            </w:pPr>
            <w:r>
              <w:rPr>
                <w:rFonts w:ascii="Arial" w:cs="Arial" w:eastAsia="Arial" w:hAnsi="Arial"/>
                <w:sz w:val="16"/>
                <w:szCs w:val="16"/>
                <w:color w:val="auto"/>
              </w:rPr>
              <w:t>90bps</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400" w:top="890" w:right="3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Metrics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billions, except where noted)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60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Q3 2026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Q2 2026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Q3 2025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196"/>
        </w:trPr>
        <w:tc>
          <w:tcPr>
            <w:tcW w:w="40" w:type="dxa"/>
            <w:vAlign w:val="bottom"/>
          </w:tcPr>
          <w:p>
            <w:pPr>
              <w:spacing w:after="0"/>
              <w:rPr>
                <w:sz w:val="17"/>
                <w:szCs w:val="17"/>
                <w:color w:val="auto"/>
              </w:rPr>
            </w:pPr>
          </w:p>
        </w:tc>
        <w:tc>
          <w:tcPr>
            <w:tcW w:w="6000" w:type="dxa"/>
            <w:vAlign w:val="bottom"/>
            <w:shd w:val="clear" w:color="auto" w:fill="DBDBDB"/>
          </w:tcPr>
          <w:p>
            <w:pPr>
              <w:ind w:left="20"/>
              <w:spacing w:after="0" w:line="196" w:lineRule="exact"/>
              <w:rPr>
                <w:sz w:val="20"/>
                <w:szCs w:val="20"/>
                <w:color w:val="auto"/>
              </w:rPr>
            </w:pPr>
            <w:r>
              <w:rPr>
                <w:rFonts w:ascii="Arial" w:cs="Arial" w:eastAsia="Arial" w:hAnsi="Arial"/>
                <w:sz w:val="16"/>
                <w:szCs w:val="16"/>
                <w:b w:val="1"/>
                <w:bCs w:val="1"/>
                <w:color w:val="auto"/>
              </w:rPr>
              <w:t>Organic Net New Assets (NNA)</w:t>
            </w:r>
            <w:r>
              <w:rPr>
                <w:rFonts w:ascii="Arial" w:cs="Arial" w:eastAsia="Arial" w:hAnsi="Arial"/>
                <w:sz w:val="21"/>
                <w:szCs w:val="21"/>
                <w:b w:val="1"/>
                <w:bCs w:val="1"/>
                <w:color w:val="auto"/>
                <w:vertAlign w:val="subscript"/>
              </w:rPr>
              <w:t>(21)</w:t>
            </w:r>
          </w:p>
        </w:tc>
        <w:tc>
          <w:tcPr>
            <w:tcW w:w="16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215"/>
        </w:trPr>
        <w:tc>
          <w:tcPr>
            <w:tcW w:w="4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6"/>
                <w:szCs w:val="16"/>
                <w:color w:val="auto"/>
              </w:rPr>
              <w:t>Advisory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30.2</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29.6</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17"/>
        </w:trPr>
        <w:tc>
          <w:tcPr>
            <w:tcW w:w="40" w:type="dxa"/>
            <w:vAlign w:val="bottom"/>
          </w:tcPr>
          <w:p>
            <w:pPr>
              <w:spacing w:after="0"/>
              <w:rPr>
                <w:sz w:val="18"/>
                <w:szCs w:val="18"/>
                <w:color w:val="auto"/>
              </w:rPr>
            </w:pPr>
          </w:p>
        </w:tc>
        <w:tc>
          <w:tcPr>
            <w:tcW w:w="60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Brokerage</w:t>
            </w:r>
          </w:p>
        </w:tc>
        <w:tc>
          <w:tcPr>
            <w:tcW w:w="1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09"/>
        </w:trPr>
        <w:tc>
          <w:tcPr>
            <w:tcW w:w="40" w:type="dxa"/>
            <w:vAlign w:val="bottom"/>
          </w:tcPr>
          <w:p>
            <w:pPr>
              <w:spacing w:after="0"/>
              <w:rPr>
                <w:sz w:val="18"/>
                <w:szCs w:val="18"/>
                <w:color w:val="auto"/>
              </w:rPr>
            </w:pPr>
          </w:p>
        </w:tc>
        <w:tc>
          <w:tcPr>
            <w:tcW w:w="6000" w:type="dxa"/>
            <w:vAlign w:val="bottom"/>
          </w:tcPr>
          <w:p>
            <w:pPr>
              <w:ind w:left="300"/>
              <w:spacing w:after="0"/>
              <w:rPr>
                <w:sz w:val="20"/>
                <w:szCs w:val="20"/>
                <w:color w:val="auto"/>
              </w:rPr>
            </w:pPr>
            <w:r>
              <w:rPr>
                <w:rFonts w:ascii="Arial" w:cs="Arial" w:eastAsia="Arial" w:hAnsi="Arial"/>
                <w:sz w:val="16"/>
                <w:szCs w:val="16"/>
                <w:b w:val="1"/>
                <w:bCs w:val="1"/>
                <w:color w:val="auto"/>
              </w:rPr>
              <w:t>Total Organic NNA</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70"/>
        </w:trPr>
        <w:tc>
          <w:tcPr>
            <w:tcW w:w="40" w:type="dxa"/>
            <w:vAlign w:val="bottom"/>
          </w:tcPr>
          <w:p>
            <w:pPr>
              <w:spacing w:after="0"/>
              <w:rPr>
                <w:sz w:val="23"/>
                <w:szCs w:val="23"/>
                <w:color w:val="auto"/>
              </w:rPr>
            </w:pPr>
          </w:p>
        </w:tc>
        <w:tc>
          <w:tcPr>
            <w:tcW w:w="60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9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000" w:type="dxa"/>
            <w:vAlign w:val="bottom"/>
            <w:shd w:val="clear" w:color="auto" w:fill="DBDBDB"/>
          </w:tcPr>
          <w:p>
            <w:pPr>
              <w:spacing w:after="0"/>
              <w:rPr>
                <w:sz w:val="23"/>
                <w:szCs w:val="23"/>
                <w:color w:val="auto"/>
              </w:rPr>
            </w:pPr>
          </w:p>
        </w:tc>
      </w:tr>
      <w:tr>
        <w:trPr>
          <w:trHeight w:val="216"/>
        </w:trPr>
        <w:tc>
          <w:tcPr>
            <w:tcW w:w="40" w:type="dxa"/>
            <w:vAlign w:val="bottom"/>
          </w:tcPr>
          <w:p>
            <w:pPr>
              <w:spacing w:after="0"/>
              <w:rPr>
                <w:sz w:val="18"/>
                <w:szCs w:val="18"/>
                <w:color w:val="auto"/>
              </w:rPr>
            </w:pPr>
          </w:p>
        </w:tc>
        <w:tc>
          <w:tcPr>
            <w:tcW w:w="60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Acquired NNA</w:t>
            </w:r>
            <w:r>
              <w:rPr>
                <w:rFonts w:ascii="Arial" w:cs="Arial" w:eastAsia="Arial" w:hAnsi="Arial"/>
                <w:sz w:val="21"/>
                <w:szCs w:val="21"/>
                <w:b w:val="1"/>
                <w:bCs w:val="1"/>
                <w:color w:val="auto"/>
                <w:vertAlign w:val="subscript"/>
              </w:rPr>
              <w:t>(21)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Advisory</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199.4</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15"/>
        </w:trPr>
        <w:tc>
          <w:tcPr>
            <w:tcW w:w="40" w:type="dxa"/>
            <w:vAlign w:val="bottom"/>
          </w:tcPr>
          <w:p>
            <w:pPr>
              <w:spacing w:after="0"/>
              <w:rPr>
                <w:sz w:val="18"/>
                <w:szCs w:val="18"/>
                <w:color w:val="auto"/>
              </w:rPr>
            </w:pPr>
          </w:p>
        </w:tc>
        <w:tc>
          <w:tcPr>
            <w:tcW w:w="60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Brokerage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n/m</w:t>
            </w:r>
          </w:p>
        </w:tc>
      </w:tr>
      <w:tr>
        <w:trPr>
          <w:trHeight w:val="210"/>
        </w:trPr>
        <w:tc>
          <w:tcPr>
            <w:tcW w:w="40" w:type="dxa"/>
            <w:vAlign w:val="bottom"/>
          </w:tcPr>
          <w:p>
            <w:pPr>
              <w:spacing w:after="0"/>
              <w:rPr>
                <w:sz w:val="18"/>
                <w:szCs w:val="18"/>
                <w:color w:val="auto"/>
              </w:rPr>
            </w:pPr>
          </w:p>
        </w:tc>
        <w:tc>
          <w:tcPr>
            <w:tcW w:w="6000" w:type="dxa"/>
            <w:vAlign w:val="bottom"/>
            <w:shd w:val="clear" w:color="auto" w:fill="DBDBDB"/>
          </w:tcPr>
          <w:p>
            <w:pPr>
              <w:ind w:left="280"/>
              <w:spacing w:after="0"/>
              <w:rPr>
                <w:sz w:val="20"/>
                <w:szCs w:val="20"/>
                <w:color w:val="auto"/>
              </w:rPr>
            </w:pPr>
            <w:r>
              <w:rPr>
                <w:rFonts w:ascii="Arial" w:cs="Arial" w:eastAsia="Arial" w:hAnsi="Arial"/>
                <w:sz w:val="16"/>
                <w:szCs w:val="16"/>
                <w:b w:val="1"/>
                <w:bCs w:val="1"/>
                <w:color w:val="auto"/>
              </w:rPr>
              <w:t>Total Acquired NNA</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0.5</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275.0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70"/>
        </w:trPr>
        <w:tc>
          <w:tcPr>
            <w:tcW w:w="4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6"/>
        </w:trPr>
        <w:tc>
          <w:tcPr>
            <w:tcW w:w="40" w:type="dxa"/>
            <w:vAlign w:val="bottom"/>
          </w:tcPr>
          <w:p>
            <w:pPr>
              <w:spacing w:after="0"/>
              <w:rPr>
                <w:sz w:val="18"/>
                <w:szCs w:val="18"/>
                <w:color w:val="auto"/>
              </w:rPr>
            </w:pPr>
          </w:p>
        </w:tc>
        <w:tc>
          <w:tcPr>
            <w:tcW w:w="600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b w:val="1"/>
                <w:bCs w:val="1"/>
                <w:color w:val="auto"/>
              </w:rPr>
              <w:t>Total NNA</w:t>
            </w:r>
            <w:r>
              <w:rPr>
                <w:rFonts w:ascii="Arial" w:cs="Arial" w:eastAsia="Arial" w:hAnsi="Arial"/>
                <w:sz w:val="21"/>
                <w:szCs w:val="21"/>
                <w:b w:val="1"/>
                <w:bCs w:val="1"/>
                <w:color w:val="auto"/>
                <w:vertAlign w:val="subscript"/>
              </w:rPr>
              <w:t>(21)</w:t>
            </w: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6"/>
                <w:szCs w:val="16"/>
                <w:color w:val="auto"/>
              </w:rPr>
              <w:t>Advisory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30.7</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229.0</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17"/>
        </w:trPr>
        <w:tc>
          <w:tcPr>
            <w:tcW w:w="40" w:type="dxa"/>
            <w:vAlign w:val="bottom"/>
          </w:tcPr>
          <w:p>
            <w:pPr>
              <w:spacing w:after="0"/>
              <w:rPr>
                <w:sz w:val="18"/>
                <w:szCs w:val="18"/>
                <w:color w:val="auto"/>
              </w:rPr>
            </w:pPr>
          </w:p>
        </w:tc>
        <w:tc>
          <w:tcPr>
            <w:tcW w:w="60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Brokerage</w:t>
            </w:r>
          </w:p>
        </w:tc>
        <w:tc>
          <w:tcPr>
            <w:tcW w:w="1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78.7</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09"/>
        </w:trPr>
        <w:tc>
          <w:tcPr>
            <w:tcW w:w="40" w:type="dxa"/>
            <w:vAlign w:val="bottom"/>
          </w:tcPr>
          <w:p>
            <w:pPr>
              <w:spacing w:after="0"/>
              <w:rPr>
                <w:sz w:val="18"/>
                <w:szCs w:val="18"/>
                <w:color w:val="auto"/>
              </w:rPr>
            </w:pPr>
          </w:p>
        </w:tc>
        <w:tc>
          <w:tcPr>
            <w:tcW w:w="6000" w:type="dxa"/>
            <w:vAlign w:val="bottom"/>
          </w:tcPr>
          <w:p>
            <w:pPr>
              <w:ind w:left="220"/>
              <w:spacing w:after="0"/>
              <w:rPr>
                <w:sz w:val="20"/>
                <w:szCs w:val="20"/>
                <w:color w:val="auto"/>
              </w:rPr>
            </w:pPr>
            <w:r>
              <w:rPr>
                <w:rFonts w:ascii="Arial" w:cs="Arial" w:eastAsia="Arial" w:hAnsi="Arial"/>
                <w:sz w:val="16"/>
                <w:szCs w:val="16"/>
                <w:b w:val="1"/>
                <w:bCs w:val="1"/>
                <w:color w:val="auto"/>
              </w:rPr>
              <w:t>Total NNA</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307.7</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70"/>
        </w:trPr>
        <w:tc>
          <w:tcPr>
            <w:tcW w:w="40" w:type="dxa"/>
            <w:vAlign w:val="bottom"/>
          </w:tcPr>
          <w:p>
            <w:pPr>
              <w:spacing w:after="0"/>
              <w:rPr>
                <w:sz w:val="23"/>
                <w:szCs w:val="23"/>
                <w:color w:val="auto"/>
              </w:rPr>
            </w:pPr>
          </w:p>
        </w:tc>
        <w:tc>
          <w:tcPr>
            <w:tcW w:w="60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9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000" w:type="dxa"/>
            <w:vAlign w:val="bottom"/>
            <w:shd w:val="clear" w:color="auto" w:fill="DBDBDB"/>
          </w:tcPr>
          <w:p>
            <w:pPr>
              <w:spacing w:after="0"/>
              <w:rPr>
                <w:sz w:val="23"/>
                <w:szCs w:val="23"/>
                <w:color w:val="auto"/>
              </w:rPr>
            </w:pPr>
          </w:p>
        </w:tc>
      </w:tr>
      <w:tr>
        <w:trPr>
          <w:trHeight w:val="216"/>
        </w:trPr>
        <w:tc>
          <w:tcPr>
            <w:tcW w:w="40" w:type="dxa"/>
            <w:vAlign w:val="bottom"/>
          </w:tcPr>
          <w:p>
            <w:pPr>
              <w:spacing w:after="0"/>
              <w:rPr>
                <w:sz w:val="18"/>
                <w:szCs w:val="18"/>
                <w:color w:val="auto"/>
              </w:rPr>
            </w:pPr>
          </w:p>
        </w:tc>
        <w:tc>
          <w:tcPr>
            <w:tcW w:w="6000" w:type="dxa"/>
            <w:vAlign w:val="bottom"/>
          </w:tcPr>
          <w:p>
            <w:pPr>
              <w:ind w:left="140"/>
              <w:spacing w:after="0" w:line="216" w:lineRule="exact"/>
              <w:rPr>
                <w:sz w:val="20"/>
                <w:szCs w:val="20"/>
                <w:color w:val="auto"/>
              </w:rPr>
            </w:pPr>
            <w:r>
              <w:rPr>
                <w:rFonts w:ascii="Arial" w:cs="Arial" w:eastAsia="Arial" w:hAnsi="Arial"/>
                <w:sz w:val="16"/>
                <w:szCs w:val="16"/>
                <w:color w:val="auto"/>
              </w:rPr>
              <w:t>Net brokerage to advisory conversions</w:t>
            </w:r>
            <w:r>
              <w:rPr>
                <w:rFonts w:ascii="Arial" w:cs="Arial" w:eastAsia="Arial" w:hAnsi="Arial"/>
                <w:sz w:val="21"/>
                <w:szCs w:val="21"/>
                <w:color w:val="auto"/>
                <w:vertAlign w:val="subscript"/>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16"/>
        </w:trPr>
        <w:tc>
          <w:tcPr>
            <w:tcW w:w="40" w:type="dxa"/>
            <w:vAlign w:val="bottom"/>
          </w:tcPr>
          <w:p>
            <w:pPr>
              <w:spacing w:after="0"/>
              <w:rPr>
                <w:sz w:val="18"/>
                <w:szCs w:val="18"/>
                <w:color w:val="auto"/>
              </w:rPr>
            </w:pPr>
          </w:p>
        </w:tc>
        <w:tc>
          <w:tcPr>
            <w:tcW w:w="600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Organic advisory NNA annualized growth</w:t>
            </w:r>
            <w:r>
              <w:rPr>
                <w:rFonts w:ascii="Arial" w:cs="Arial" w:eastAsia="Arial" w:hAnsi="Arial"/>
                <w:sz w:val="21"/>
                <w:szCs w:val="21"/>
                <w:color w:val="auto"/>
                <w:vertAlign w:val="subscript"/>
              </w:rPr>
              <w:t>(23)</w:t>
            </w: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jc w:val="center"/>
              <w:ind w:right="59"/>
              <w:spacing w:after="0"/>
              <w:rPr>
                <w:sz w:val="20"/>
                <w:szCs w:val="20"/>
                <w:color w:val="auto"/>
              </w:rPr>
            </w:pPr>
            <w:r>
              <w:rPr>
                <w:rFonts w:ascii="Arial" w:cs="Arial" w:eastAsia="Arial" w:hAnsi="Arial"/>
                <w:sz w:val="16"/>
                <w:szCs w:val="16"/>
                <w:color w:val="auto"/>
                <w:w w:val="98"/>
              </w:rPr>
              <w:t>8.5%</w:t>
            </w:r>
          </w:p>
        </w:tc>
        <w:tc>
          <w:tcPr>
            <w:tcW w:w="180" w:type="dxa"/>
            <w:vAlign w:val="bottom"/>
            <w:shd w:val="clear" w:color="auto" w:fill="DBDBDB"/>
          </w:tcPr>
          <w:p>
            <w:pPr>
              <w:spacing w:after="0"/>
              <w:rPr>
                <w:sz w:val="18"/>
                <w:szCs w:val="18"/>
                <w:color w:val="auto"/>
              </w:rPr>
            </w:pPr>
          </w:p>
        </w:tc>
        <w:tc>
          <w:tcPr>
            <w:tcW w:w="90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8"/>
              </w:rPr>
              <w:t>8.7%</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jc w:val="center"/>
              <w:ind w:right="59"/>
              <w:spacing w:after="0"/>
              <w:rPr>
                <w:sz w:val="20"/>
                <w:szCs w:val="20"/>
                <w:color w:val="auto"/>
              </w:rPr>
            </w:pPr>
            <w:r>
              <w:rPr>
                <w:rFonts w:ascii="Arial" w:cs="Arial" w:eastAsia="Arial" w:hAnsi="Arial"/>
                <w:sz w:val="16"/>
                <w:szCs w:val="16"/>
                <w:color w:val="auto"/>
                <w:w w:val="96"/>
              </w:rPr>
              <w:t>11.2%</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16"/>
        </w:trPr>
        <w:tc>
          <w:tcPr>
            <w:tcW w:w="40" w:type="dxa"/>
            <w:vAlign w:val="bottom"/>
          </w:tcPr>
          <w:p>
            <w:pPr>
              <w:spacing w:after="0"/>
              <w:rPr>
                <w:sz w:val="18"/>
                <w:szCs w:val="18"/>
                <w:color w:val="auto"/>
              </w:rPr>
            </w:pPr>
          </w:p>
        </w:tc>
        <w:tc>
          <w:tcPr>
            <w:tcW w:w="6000" w:type="dxa"/>
            <w:vAlign w:val="bottom"/>
          </w:tcPr>
          <w:p>
            <w:pPr>
              <w:ind w:left="140"/>
              <w:spacing w:after="0" w:line="216" w:lineRule="exact"/>
              <w:rPr>
                <w:sz w:val="20"/>
                <w:szCs w:val="20"/>
                <w:color w:val="auto"/>
              </w:rPr>
            </w:pPr>
            <w:r>
              <w:rPr>
                <w:rFonts w:ascii="Arial" w:cs="Arial" w:eastAsia="Arial" w:hAnsi="Arial"/>
                <w:sz w:val="16"/>
                <w:szCs w:val="16"/>
                <w:color w:val="auto"/>
              </w:rPr>
              <w:t>Total organic NNA annualized growth</w:t>
            </w:r>
            <w:r>
              <w:rPr>
                <w:rFonts w:ascii="Arial" w:cs="Arial" w:eastAsia="Arial" w:hAnsi="Arial"/>
                <w:sz w:val="21"/>
                <w:szCs w:val="21"/>
                <w:color w:val="auto"/>
                <w:vertAlign w:val="subscript"/>
              </w:rPr>
              <w:t>(23)</w:t>
            </w:r>
          </w:p>
        </w:tc>
        <w:tc>
          <w:tcPr>
            <w:tcW w:w="16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8"/>
              </w:rPr>
              <w:t>4.5%</w:t>
            </w: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color w:val="auto"/>
                <w:w w:val="98"/>
              </w:rPr>
              <w:t>4.0%</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color w:val="auto"/>
              </w:rPr>
              <w:t>6.8%</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57"/>
        </w:trPr>
        <w:tc>
          <w:tcPr>
            <w:tcW w:w="40" w:type="dxa"/>
            <w:vAlign w:val="bottom"/>
          </w:tcPr>
          <w:p>
            <w:pPr>
              <w:spacing w:after="0"/>
              <w:rPr>
                <w:sz w:val="22"/>
                <w:szCs w:val="22"/>
                <w:color w:val="auto"/>
              </w:rPr>
            </w:pPr>
          </w:p>
        </w:tc>
        <w:tc>
          <w:tcPr>
            <w:tcW w:w="60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9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60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Total Organic Advisory NNA</w:t>
            </w:r>
            <w:r>
              <w:rPr>
                <w:rFonts w:ascii="Arial" w:cs="Arial" w:eastAsia="Arial" w:hAnsi="Arial"/>
                <w:sz w:val="21"/>
                <w:szCs w:val="21"/>
                <w:b w:val="1"/>
                <w:bCs w:val="1"/>
                <w:color w:val="auto"/>
                <w:vertAlign w:val="subscript"/>
              </w:rPr>
              <w:t>(21)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0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Organic corporate RIA advisory</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27.9</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15"/>
        </w:trPr>
        <w:tc>
          <w:tcPr>
            <w:tcW w:w="40" w:type="dxa"/>
            <w:vAlign w:val="bottom"/>
          </w:tcPr>
          <w:p>
            <w:pPr>
              <w:spacing w:after="0"/>
              <w:rPr>
                <w:sz w:val="18"/>
                <w:szCs w:val="18"/>
                <w:color w:val="auto"/>
              </w:rPr>
            </w:pPr>
          </w:p>
        </w:tc>
        <w:tc>
          <w:tcPr>
            <w:tcW w:w="60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Organic independent RIA advisory</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n/m</w:t>
            </w:r>
          </w:p>
        </w:tc>
      </w:tr>
      <w:tr>
        <w:trPr>
          <w:trHeight w:val="210"/>
        </w:trPr>
        <w:tc>
          <w:tcPr>
            <w:tcW w:w="40" w:type="dxa"/>
            <w:vAlign w:val="bottom"/>
          </w:tcPr>
          <w:p>
            <w:pPr>
              <w:spacing w:after="0"/>
              <w:rPr>
                <w:sz w:val="18"/>
                <w:szCs w:val="18"/>
                <w:color w:val="auto"/>
              </w:rPr>
            </w:pPr>
          </w:p>
        </w:tc>
        <w:tc>
          <w:tcPr>
            <w:tcW w:w="6000" w:type="dxa"/>
            <w:vAlign w:val="bottom"/>
            <w:shd w:val="clear" w:color="auto" w:fill="DBDBDB"/>
          </w:tcPr>
          <w:p>
            <w:pPr>
              <w:ind w:left="220"/>
              <w:spacing w:after="0"/>
              <w:rPr>
                <w:sz w:val="20"/>
                <w:szCs w:val="20"/>
                <w:color w:val="auto"/>
              </w:rPr>
            </w:pPr>
            <w:r>
              <w:rPr>
                <w:rFonts w:ascii="Arial" w:cs="Arial" w:eastAsia="Arial" w:hAnsi="Arial"/>
                <w:sz w:val="16"/>
                <w:szCs w:val="16"/>
                <w:b w:val="1"/>
                <w:bCs w:val="1"/>
                <w:color w:val="auto"/>
              </w:rPr>
              <w:t>Total Organic Advisory NNA</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33.1</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30.2</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29.6</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16"/>
        </w:trPr>
        <w:tc>
          <w:tcPr>
            <w:tcW w:w="40" w:type="dxa"/>
            <w:vAlign w:val="bottom"/>
          </w:tcPr>
          <w:p>
            <w:pPr>
              <w:spacing w:after="0"/>
              <w:rPr>
                <w:sz w:val="18"/>
                <w:szCs w:val="18"/>
                <w:color w:val="auto"/>
              </w:rPr>
            </w:pPr>
          </w:p>
        </w:tc>
        <w:tc>
          <w:tcPr>
            <w:tcW w:w="6000" w:type="dxa"/>
            <w:vAlign w:val="bottom"/>
          </w:tcPr>
          <w:p>
            <w:pPr>
              <w:ind w:left="140"/>
              <w:spacing w:after="0" w:line="216" w:lineRule="exact"/>
              <w:rPr>
                <w:sz w:val="20"/>
                <w:szCs w:val="20"/>
                <w:color w:val="auto"/>
              </w:rPr>
            </w:pPr>
            <w:r>
              <w:rPr>
                <w:rFonts w:ascii="Arial" w:cs="Arial" w:eastAsia="Arial" w:hAnsi="Arial"/>
                <w:sz w:val="16"/>
                <w:szCs w:val="16"/>
                <w:color w:val="auto"/>
              </w:rPr>
              <w:t>Organic centrally managed NNA</w:t>
            </w:r>
            <w:r>
              <w:rPr>
                <w:rFonts w:ascii="Arial" w:cs="Arial" w:eastAsia="Arial" w:hAnsi="Arial"/>
                <w:sz w:val="21"/>
                <w:szCs w:val="21"/>
                <w:color w:val="auto"/>
                <w:vertAlign w:val="subscript"/>
              </w:rPr>
              <w:t>(21)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70"/>
        </w:trPr>
        <w:tc>
          <w:tcPr>
            <w:tcW w:w="40" w:type="dxa"/>
            <w:vAlign w:val="bottom"/>
          </w:tcPr>
          <w:p>
            <w:pPr>
              <w:spacing w:after="0"/>
              <w:rPr>
                <w:sz w:val="23"/>
                <w:szCs w:val="23"/>
                <w:color w:val="auto"/>
              </w:rPr>
            </w:pPr>
          </w:p>
        </w:tc>
        <w:tc>
          <w:tcPr>
            <w:tcW w:w="60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9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000" w:type="dxa"/>
            <w:vAlign w:val="bottom"/>
            <w:shd w:val="clear" w:color="auto" w:fill="DBDBDB"/>
          </w:tcPr>
          <w:p>
            <w:pPr>
              <w:spacing w:after="0"/>
              <w:rPr>
                <w:sz w:val="23"/>
                <w:szCs w:val="23"/>
                <w:color w:val="auto"/>
              </w:rPr>
            </w:pPr>
          </w:p>
        </w:tc>
      </w:tr>
      <w:tr>
        <w:trPr>
          <w:trHeight w:val="282"/>
        </w:trPr>
        <w:tc>
          <w:tcPr>
            <w:tcW w:w="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6"/>
                <w:szCs w:val="16"/>
                <w:color w:val="auto"/>
              </w:rPr>
              <w:t>Net buy (sell) activity</w:t>
            </w:r>
            <w:r>
              <w:rPr>
                <w:rFonts w:ascii="Arial" w:cs="Arial" w:eastAsia="Arial" w:hAnsi="Arial"/>
                <w:sz w:val="21"/>
                <w:szCs w:val="21"/>
                <w:color w:val="auto"/>
                <w:vertAlign w:val="subscript"/>
              </w:rPr>
              <w:t>(24)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39.7</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41.8</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445"/>
        </w:trPr>
        <w:tc>
          <w:tcPr>
            <w:tcW w:w="6040" w:type="dxa"/>
            <w:vAlign w:val="bottom"/>
            <w:gridSpan w:val="2"/>
          </w:tcPr>
          <w:p>
            <w:pPr>
              <w:spacing w:after="0"/>
              <w:rPr>
                <w:sz w:val="20"/>
                <w:szCs w:val="20"/>
                <w:color w:val="auto"/>
              </w:rPr>
            </w:pPr>
            <w:r>
              <w:rPr>
                <w:rFonts w:ascii="Arial" w:cs="Arial" w:eastAsia="Arial" w:hAnsi="Arial"/>
                <w:sz w:val="16"/>
                <w:szCs w:val="16"/>
                <w:color w:val="auto"/>
              </w:rPr>
              <w:t>Note: Totals may not foot due to rounding.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90"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Client Cash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 w:type="dxa"/>
            <w:vAlign w:val="bottom"/>
            <w:tcBorders>
              <w:bottom w:val="single" w:sz="8" w:color="DBDBDB"/>
            </w:tcBorders>
          </w:tcPr>
          <w:p>
            <w:pPr>
              <w:spacing w:after="0"/>
              <w:rPr>
                <w:sz w:val="18"/>
                <w:szCs w:val="18"/>
                <w:color w:val="auto"/>
              </w:rPr>
            </w:pPr>
          </w:p>
        </w:tc>
        <w:tc>
          <w:tcPr>
            <w:tcW w:w="250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7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440" w:type="dxa"/>
            <w:vAlign w:val="bottom"/>
            <w:tcBorders>
              <w:bottom w:val="single" w:sz="8" w:color="DBDBDB"/>
            </w:tcBorders>
          </w:tcPr>
          <w:p>
            <w:pPr>
              <w:spacing w:after="0"/>
              <w:rPr>
                <w:sz w:val="18"/>
                <w:szCs w:val="18"/>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Q3 2026</w:t>
            </w: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Q2 2026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44"/>
              <w:spacing w:after="0"/>
              <w:rPr>
                <w:sz w:val="20"/>
                <w:szCs w:val="20"/>
                <w:color w:val="auto"/>
              </w:rPr>
            </w:pPr>
            <w:r>
              <w:rPr>
                <w:rFonts w:ascii="Arial" w:cs="Arial" w:eastAsia="Arial" w:hAnsi="Arial"/>
                <w:sz w:val="16"/>
                <w:szCs w:val="16"/>
                <w:b w:val="1"/>
                <w:bCs w:val="1"/>
                <w:color w:val="auto"/>
              </w:rPr>
              <w:t>Q3 2025</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DBDBDB"/>
          </w:tcPr>
          <w:p>
            <w:pPr>
              <w:ind w:left="20"/>
              <w:spacing w:after="0" w:line="196" w:lineRule="exact"/>
              <w:rPr>
                <w:sz w:val="20"/>
                <w:szCs w:val="20"/>
                <w:color w:val="auto"/>
              </w:rPr>
            </w:pPr>
            <w:r>
              <w:rPr>
                <w:rFonts w:ascii="Arial" w:cs="Arial" w:eastAsia="Arial" w:hAnsi="Arial"/>
                <w:sz w:val="16"/>
                <w:szCs w:val="16"/>
                <w:b w:val="1"/>
                <w:bCs w:val="1"/>
                <w:color w:val="auto"/>
              </w:rPr>
              <w:t>Client Cash Balances (in billions)</w:t>
            </w:r>
            <w:r>
              <w:rPr>
                <w:rFonts w:ascii="Arial" w:cs="Arial" w:eastAsia="Arial" w:hAnsi="Arial"/>
                <w:sz w:val="21"/>
                <w:szCs w:val="21"/>
                <w:b w:val="1"/>
                <w:bCs w:val="1"/>
                <w:color w:val="auto"/>
                <w:vertAlign w:val="subscript"/>
              </w:rPr>
              <w:t>(25)</w:t>
            </w: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Insured cash account sweep</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37.8</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rPr>
                <w:sz w:val="18"/>
                <w:szCs w:val="18"/>
                <w:color w:val="auto"/>
              </w:rPr>
            </w:pPr>
          </w:p>
        </w:tc>
        <w:tc>
          <w:tcPr>
            <w:tcW w:w="70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36.9</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shd w:val="clear" w:color="auto" w:fill="DBDBDB"/>
          </w:tcPr>
          <w:p>
            <w:pPr>
              <w:spacing w:after="0"/>
              <w:rPr>
                <w:sz w:val="18"/>
                <w:szCs w:val="18"/>
                <w:color w:val="auto"/>
              </w:rPr>
            </w:pPr>
          </w:p>
        </w:tc>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Deposit cash account sweep</w:t>
            </w: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w:t>
            </w:r>
          </w:p>
        </w:tc>
        <w:tc>
          <w:tcPr>
            <w:tcW w:w="36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162"/>
              <w:spacing w:after="0"/>
              <w:rPr>
                <w:sz w:val="20"/>
                <w:szCs w:val="20"/>
                <w:color w:val="auto"/>
              </w:rPr>
            </w:pPr>
            <w:r>
              <w:rPr>
                <w:rFonts w:ascii="Arial" w:cs="Arial" w:eastAsia="Arial" w:hAnsi="Arial"/>
                <w:sz w:val="16"/>
                <w:szCs w:val="16"/>
                <w:color w:val="auto"/>
              </w:rPr>
              <w:t>3%</w:t>
            </w:r>
          </w:p>
        </w:tc>
        <w:tc>
          <w:tcPr>
            <w:tcW w:w="16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13.0</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23%</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Total Bank Sweep</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53.8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180" w:type="dxa"/>
            <w:vAlign w:val="bottom"/>
          </w:tcPr>
          <w:p>
            <w:pPr>
              <w:spacing w:after="0"/>
              <w:rPr>
                <w:sz w:val="18"/>
                <w:szCs w:val="18"/>
                <w:color w:val="auto"/>
              </w:rPr>
            </w:pPr>
          </w:p>
        </w:tc>
        <w:tc>
          <w:tcPr>
            <w:tcW w:w="7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b w:val="1"/>
                <w:bCs w:val="1"/>
                <w:color w:val="auto"/>
              </w:rPr>
              <w:t>49.9</w:t>
            </w:r>
          </w:p>
        </w:tc>
        <w:tc>
          <w:tcPr>
            <w:tcW w:w="980" w:type="dxa"/>
            <w:vAlign w:val="bottom"/>
          </w:tcPr>
          <w:p>
            <w:pPr>
              <w:jc w:val="center"/>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DBDBDB"/>
          </w:tcPr>
          <w:p>
            <w:pPr>
              <w:spacing w:after="0"/>
              <w:rPr>
                <w:sz w:val="18"/>
                <w:szCs w:val="18"/>
                <w:color w:val="auto"/>
              </w:rPr>
            </w:pPr>
          </w:p>
        </w:tc>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Money market sweep</w:t>
            </w: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102"/>
              <w:spacing w:after="0"/>
              <w:rPr>
                <w:sz w:val="20"/>
                <w:szCs w:val="20"/>
                <w:color w:val="auto"/>
              </w:rPr>
            </w:pPr>
            <w:r>
              <w:rPr>
                <w:rFonts w:ascii="Arial" w:cs="Arial" w:eastAsia="Arial" w:hAnsi="Arial"/>
                <w:sz w:val="16"/>
                <w:szCs w:val="16"/>
                <w:color w:val="auto"/>
              </w:rPr>
              <w:t>(9%)</w:t>
            </w:r>
          </w:p>
        </w:tc>
        <w:tc>
          <w:tcPr>
            <w:tcW w:w="16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4.2</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(76%)</w:t>
            </w: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DBDBDB"/>
            </w:tcBorders>
          </w:tcPr>
          <w:p>
            <w:pPr>
              <w:spacing w:after="0"/>
              <w:rPr>
                <w:sz w:val="18"/>
                <w:szCs w:val="18"/>
                <w:color w:val="auto"/>
              </w:rPr>
            </w:pPr>
          </w:p>
        </w:tc>
        <w:tc>
          <w:tcPr>
            <w:tcW w:w="3700" w:type="dxa"/>
            <w:vAlign w:val="bottom"/>
            <w:tcBorders>
              <w:bottom w:val="single" w:sz="8" w:color="DBDBDB"/>
            </w:tcBorders>
            <w:gridSpan w:val="4"/>
          </w:tcPr>
          <w:p>
            <w:pPr>
              <w:ind w:left="140"/>
              <w:spacing w:after="0"/>
              <w:rPr>
                <w:sz w:val="20"/>
                <w:szCs w:val="20"/>
                <w:color w:val="auto"/>
              </w:rPr>
            </w:pPr>
            <w:r>
              <w:rPr>
                <w:rFonts w:ascii="Arial" w:cs="Arial" w:eastAsia="Arial" w:hAnsi="Arial"/>
                <w:sz w:val="16"/>
                <w:szCs w:val="16"/>
                <w:b w:val="1"/>
                <w:bCs w:val="1"/>
                <w:color w:val="auto"/>
              </w:rPr>
              <w:t>Total Client Cash Sweep Held by Third Parties</w:t>
            </w:r>
          </w:p>
        </w:tc>
        <w:tc>
          <w:tcPr>
            <w:tcW w:w="78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7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44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54.8</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w:t>
            </w:r>
          </w:p>
        </w:tc>
        <w:tc>
          <w:tcPr>
            <w:tcW w:w="180" w:type="dxa"/>
            <w:vAlign w:val="bottom"/>
            <w:tcBorders>
              <w:bottom w:val="single" w:sz="8" w:color="DBDBDB"/>
            </w:tcBorders>
          </w:tcPr>
          <w:p>
            <w:pPr>
              <w:spacing w:after="0"/>
              <w:rPr>
                <w:sz w:val="18"/>
                <w:szCs w:val="18"/>
                <w:color w:val="auto"/>
              </w:rPr>
            </w:pPr>
          </w:p>
        </w:tc>
        <w:tc>
          <w:tcPr>
            <w:tcW w:w="700" w:type="dxa"/>
            <w:vAlign w:val="bottom"/>
            <w:tcBorders>
              <w:bottom w:val="single" w:sz="8" w:color="DBDBDB"/>
            </w:tcBorders>
          </w:tcPr>
          <w:p>
            <w:pPr>
              <w:jc w:val="right"/>
              <w:ind w:right="102"/>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54.1</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DBDBDB"/>
          </w:tcPr>
          <w:p>
            <w:pPr>
              <w:spacing w:after="0"/>
              <w:rPr>
                <w:sz w:val="18"/>
                <w:szCs w:val="18"/>
                <w:color w:val="auto"/>
              </w:rPr>
            </w:pPr>
          </w:p>
        </w:tc>
        <w:tc>
          <w:tcPr>
            <w:tcW w:w="2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Client cash account (CCA)</w:t>
            </w: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162"/>
              <w:spacing w:after="0"/>
              <w:rPr>
                <w:sz w:val="20"/>
                <w:szCs w:val="20"/>
                <w:color w:val="auto"/>
              </w:rPr>
            </w:pPr>
            <w:r>
              <w:rPr>
                <w:rFonts w:ascii="Arial" w:cs="Arial" w:eastAsia="Arial" w:hAnsi="Arial"/>
                <w:sz w:val="16"/>
                <w:szCs w:val="16"/>
                <w:color w:val="auto"/>
              </w:rPr>
              <w:t>6%</w:t>
            </w:r>
          </w:p>
        </w:tc>
        <w:tc>
          <w:tcPr>
            <w:tcW w:w="16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1.8</w:t>
            </w:r>
          </w:p>
        </w:tc>
        <w:tc>
          <w:tcPr>
            <w:tcW w:w="1040" w:type="dxa"/>
            <w:vAlign w:val="bottom"/>
            <w:gridSpan w:val="2"/>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Client Cash Balances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ind w:right="30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56.6</w:t>
            </w:r>
          </w:p>
        </w:tc>
        <w:tc>
          <w:tcPr>
            <w:tcW w:w="3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56.9</w:t>
            </w:r>
          </w:p>
        </w:tc>
        <w:tc>
          <w:tcPr>
            <w:tcW w:w="180" w:type="dxa"/>
            <w:vAlign w:val="bottom"/>
          </w:tcPr>
          <w:p>
            <w:pPr>
              <w:spacing w:after="0"/>
              <w:rPr>
                <w:sz w:val="18"/>
                <w:szCs w:val="18"/>
                <w:color w:val="auto"/>
              </w:rPr>
            </w:pPr>
          </w:p>
        </w:tc>
        <w:tc>
          <w:tcPr>
            <w:tcW w:w="7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b w:val="1"/>
                <w:bCs w:val="1"/>
                <w:color w:val="auto"/>
              </w:rPr>
              <w:t>55.8</w:t>
            </w:r>
          </w:p>
        </w:tc>
        <w:tc>
          <w:tcPr>
            <w:tcW w:w="980" w:type="dxa"/>
            <w:vAlign w:val="bottom"/>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DBDBDB"/>
          </w:tcPr>
          <w:p>
            <w:pPr>
              <w:spacing w:after="0"/>
              <w:rPr>
                <w:sz w:val="18"/>
                <w:szCs w:val="18"/>
                <w:color w:val="auto"/>
              </w:rPr>
            </w:pPr>
          </w:p>
        </w:tc>
        <w:tc>
          <w:tcPr>
            <w:tcW w:w="3560" w:type="dxa"/>
            <w:vAlign w:val="bottom"/>
            <w:gridSpan w:val="3"/>
            <w:shd w:val="clear" w:color="auto" w:fill="DBDBDB"/>
          </w:tcPr>
          <w:p>
            <w:pPr>
              <w:ind w:left="20"/>
              <w:spacing w:after="0"/>
              <w:rPr>
                <w:sz w:val="20"/>
                <w:szCs w:val="20"/>
                <w:color w:val="auto"/>
              </w:rPr>
            </w:pPr>
            <w:r>
              <w:rPr>
                <w:rFonts w:ascii="Arial" w:cs="Arial" w:eastAsia="Arial" w:hAnsi="Arial"/>
                <w:sz w:val="16"/>
                <w:szCs w:val="16"/>
                <w:color w:val="auto"/>
              </w:rPr>
              <w:t>Client Cash Balances as a % of Total Assets</w:t>
            </w: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60" w:type="dxa"/>
            <w:vAlign w:val="bottom"/>
            <w:gridSpan w:val="4"/>
            <w:shd w:val="clear" w:color="auto" w:fill="DBDBDB"/>
          </w:tcPr>
          <w:p>
            <w:pPr>
              <w:jc w:val="right"/>
              <w:ind w:right="225"/>
              <w:spacing w:after="0"/>
              <w:rPr>
                <w:sz w:val="20"/>
                <w:szCs w:val="20"/>
                <w:color w:val="auto"/>
              </w:rPr>
            </w:pPr>
            <w:r>
              <w:rPr>
                <w:rFonts w:ascii="Arial" w:cs="Arial" w:eastAsia="Arial" w:hAnsi="Arial"/>
                <w:sz w:val="16"/>
                <w:szCs w:val="16"/>
                <w:color w:val="auto"/>
              </w:rPr>
              <w:t>2.2%</w:t>
            </w:r>
          </w:p>
        </w:tc>
        <w:tc>
          <w:tcPr>
            <w:tcW w:w="36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264"/>
              <w:spacing w:after="0"/>
              <w:rPr>
                <w:sz w:val="20"/>
                <w:szCs w:val="20"/>
                <w:color w:val="auto"/>
              </w:rPr>
            </w:pPr>
            <w:r>
              <w:rPr>
                <w:rFonts w:ascii="Arial" w:cs="Arial" w:eastAsia="Arial" w:hAnsi="Arial"/>
                <w:sz w:val="16"/>
                <w:szCs w:val="16"/>
                <w:color w:val="auto"/>
                <w:w w:val="98"/>
              </w:rPr>
              <w:t>2.2%</w:t>
            </w: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62"/>
              <w:spacing w:after="0"/>
              <w:rPr>
                <w:sz w:val="20"/>
                <w:szCs w:val="20"/>
                <w:color w:val="auto"/>
              </w:rPr>
            </w:pPr>
            <w:r>
              <w:rPr>
                <w:rFonts w:ascii="Arial" w:cs="Arial" w:eastAsia="Arial" w:hAnsi="Arial"/>
                <w:sz w:val="16"/>
                <w:szCs w:val="16"/>
                <w:color w:val="auto"/>
              </w:rPr>
              <w:t>—bps</w:t>
            </w:r>
          </w:p>
        </w:tc>
        <w:tc>
          <w:tcPr>
            <w:tcW w:w="1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264"/>
              <w:spacing w:after="0"/>
              <w:rPr>
                <w:sz w:val="20"/>
                <w:szCs w:val="20"/>
                <w:color w:val="auto"/>
              </w:rPr>
            </w:pPr>
            <w:r>
              <w:rPr>
                <w:rFonts w:ascii="Arial" w:cs="Arial" w:eastAsia="Arial" w:hAnsi="Arial"/>
                <w:sz w:val="16"/>
                <w:szCs w:val="16"/>
                <w:color w:val="auto"/>
                <w:w w:val="98"/>
              </w:rPr>
              <w:t>2.4%</w:t>
            </w:r>
          </w:p>
        </w:tc>
        <w:tc>
          <w:tcPr>
            <w:tcW w:w="1040" w:type="dxa"/>
            <w:vAlign w:val="bottom"/>
            <w:gridSpan w:val="2"/>
            <w:shd w:val="clear" w:color="auto" w:fill="DBDBDB"/>
          </w:tcPr>
          <w:p>
            <w:pPr>
              <w:jc w:val="center"/>
              <w:spacing w:after="0"/>
              <w:rPr>
                <w:sz w:val="20"/>
                <w:szCs w:val="20"/>
                <w:color w:val="auto"/>
              </w:rPr>
            </w:pPr>
            <w:r>
              <w:rPr>
                <w:rFonts w:ascii="Arial" w:cs="Arial" w:eastAsia="Arial" w:hAnsi="Arial"/>
                <w:sz w:val="16"/>
                <w:szCs w:val="16"/>
                <w:color w:val="auto"/>
              </w:rPr>
              <w:t>(20bps)</w:t>
            </w:r>
          </w:p>
        </w:tc>
        <w:tc>
          <w:tcPr>
            <w:tcW w:w="0" w:type="dxa"/>
            <w:vAlign w:val="bottom"/>
          </w:tcPr>
          <w:p>
            <w:pPr>
              <w:spacing w:after="0"/>
              <w:rPr>
                <w:sz w:val="1"/>
                <w:szCs w:val="1"/>
                <w:color w:val="auto"/>
              </w:rPr>
            </w:pPr>
          </w:p>
        </w:tc>
      </w:tr>
      <w:tr>
        <w:trPr>
          <w:trHeight w:val="511"/>
        </w:trPr>
        <w:tc>
          <w:tcPr>
            <w:tcW w:w="3640" w:type="dxa"/>
            <w:vAlign w:val="bottom"/>
            <w:gridSpan w:val="4"/>
          </w:tcPr>
          <w:p>
            <w:pPr>
              <w:spacing w:after="0"/>
              <w:rPr>
                <w:sz w:val="20"/>
                <w:szCs w:val="20"/>
                <w:color w:val="auto"/>
              </w:rPr>
            </w:pPr>
            <w:r>
              <w:rPr>
                <w:rFonts w:ascii="Arial" w:cs="Arial" w:eastAsia="Arial" w:hAnsi="Arial"/>
                <w:sz w:val="16"/>
                <w:szCs w:val="16"/>
                <w:color w:val="auto"/>
              </w:rPr>
              <w:t>Note: Totals may not foot due to rounding.</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September 30, 2026</w:t>
            </w: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2026</w:t>
            </w: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5"/>
          </w:tcPr>
          <w:p>
            <w:pPr>
              <w:jc w:val="right"/>
              <w:ind w:right="684"/>
              <w:spacing w:after="0"/>
              <w:rPr>
                <w:sz w:val="20"/>
                <w:szCs w:val="20"/>
                <w:color w:val="auto"/>
              </w:rPr>
            </w:pPr>
            <w:r>
              <w:rPr>
                <w:rFonts w:ascii="Arial" w:cs="Arial" w:eastAsia="Arial" w:hAnsi="Arial"/>
                <w:sz w:val="14"/>
                <w:szCs w:val="14"/>
                <w:b w:val="1"/>
                <w:bCs w:val="1"/>
                <w:color w:val="auto"/>
              </w:rPr>
              <w:t>September 30, 2025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Revenue</w:t>
            </w:r>
          </w:p>
        </w:tc>
        <w:tc>
          <w:tcPr>
            <w:tcW w:w="8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Net Yield</w:t>
            </w:r>
          </w:p>
        </w:tc>
        <w:tc>
          <w:tcPr>
            <w:tcW w:w="140" w:type="dxa"/>
            <w:vAlign w:val="bottom"/>
          </w:tcPr>
          <w:p>
            <w:pPr>
              <w:spacing w:after="0"/>
              <w:rPr>
                <w:sz w:val="12"/>
                <w:szCs w:val="12"/>
                <w:color w:val="auto"/>
              </w:rPr>
            </w:pPr>
          </w:p>
        </w:tc>
        <w:tc>
          <w:tcPr>
            <w:tcW w:w="940" w:type="dxa"/>
            <w:vAlign w:val="bottom"/>
            <w:gridSpan w:val="2"/>
          </w:tcPr>
          <w:p>
            <w:pPr>
              <w:jc w:val="center"/>
              <w:ind w:right="24"/>
              <w:spacing w:after="0" w:line="147"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76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Revenue</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Net Yield</w:t>
            </w:r>
          </w:p>
        </w:tc>
        <w:tc>
          <w:tcPr>
            <w:tcW w:w="10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Net Yield</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center"/>
              <w:ind w:right="88"/>
              <w:spacing w:after="0" w:line="145"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64"/>
              <w:spacing w:after="0" w:line="145" w:lineRule="exact"/>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80" w:type="dxa"/>
            <w:vAlign w:val="bottom"/>
            <w:gridSpan w:val="3"/>
            <w:vMerge w:val="restart"/>
          </w:tcPr>
          <w:p>
            <w:pPr>
              <w:jc w:val="center"/>
              <w:spacing w:after="0" w:line="145" w:lineRule="exact"/>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(bps)</w:t>
            </w:r>
            <w:r>
              <w:rPr>
                <w:rFonts w:ascii="Arial" w:cs="Arial" w:eastAsia="Arial" w:hAnsi="Arial"/>
                <w:sz w:val="9"/>
                <w:szCs w:val="9"/>
                <w:b w:val="1"/>
                <w:bCs w:val="1"/>
                <w:color w:val="auto"/>
              </w:rPr>
              <w:t>(26)</w:t>
            </w: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(bps)</w:t>
            </w:r>
            <w:r>
              <w:rPr>
                <w:rFonts w:ascii="Arial" w:cs="Arial" w:eastAsia="Arial" w:hAnsi="Arial"/>
                <w:sz w:val="9"/>
                <w:szCs w:val="9"/>
                <w:b w:val="1"/>
                <w:bCs w:val="1"/>
                <w:color w:val="auto"/>
              </w:rPr>
              <w:t>(26)</w:t>
            </w:r>
          </w:p>
        </w:tc>
        <w:tc>
          <w:tcPr>
            <w:tcW w:w="1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(bps)</w:t>
            </w:r>
            <w:r>
              <w:rPr>
                <w:rFonts w:ascii="Arial" w:cs="Arial" w:eastAsia="Arial" w:hAnsi="Arial"/>
                <w:sz w:val="9"/>
                <w:szCs w:val="9"/>
                <w:b w:val="1"/>
                <w:bCs w:val="1"/>
                <w:color w:val="auto"/>
              </w:rPr>
              <w:t>(26)</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Interest-Earning Assets</w:t>
            </w:r>
          </w:p>
        </w:tc>
        <w:tc>
          <w:tcPr>
            <w:tcW w:w="120" w:type="dxa"/>
            <w:vAlign w:val="bottom"/>
          </w:tcPr>
          <w:p>
            <w:pPr>
              <w:spacing w:after="0"/>
              <w:rPr>
                <w:sz w:val="10"/>
                <w:szCs w:val="10"/>
                <w:color w:val="auto"/>
              </w:rPr>
            </w:pPr>
          </w:p>
        </w:tc>
        <w:tc>
          <w:tcPr>
            <w:tcW w:w="9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(in billions)</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4"/>
              <w:spacing w:after="0"/>
              <w:rPr>
                <w:sz w:val="20"/>
                <w:szCs w:val="20"/>
                <w:color w:val="auto"/>
              </w:rPr>
            </w:pPr>
            <w:r>
              <w:rPr>
                <w:rFonts w:ascii="Arial" w:cs="Arial" w:eastAsia="Arial" w:hAnsi="Arial"/>
                <w:sz w:val="14"/>
                <w:szCs w:val="14"/>
                <w:b w:val="1"/>
                <w:bCs w:val="1"/>
                <w:color w:val="auto"/>
              </w:rPr>
              <w:t>(in billions)</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(in billions)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Insured cash account sweep</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328,870</w:t>
            </w: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352</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315,814</w:t>
            </w:r>
          </w:p>
        </w:tc>
        <w:tc>
          <w:tcPr>
            <w:tcW w:w="90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336</w:t>
            </w:r>
          </w:p>
        </w:tc>
        <w:tc>
          <w:tcPr>
            <w:tcW w:w="700" w:type="dxa"/>
            <w:vAlign w:val="bottom"/>
            <w:shd w:val="clear" w:color="auto" w:fill="DBDBDB"/>
          </w:tcPr>
          <w:p>
            <w:pPr>
              <w:jc w:val="right"/>
              <w:ind w:right="502"/>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307,118</w:t>
            </w:r>
          </w:p>
        </w:tc>
        <w:tc>
          <w:tcPr>
            <w:tcW w:w="980" w:type="dxa"/>
            <w:vAlign w:val="bottom"/>
            <w:shd w:val="clear" w:color="auto" w:fill="DBDBDB"/>
          </w:tcPr>
          <w:p>
            <w:pPr>
              <w:jc w:val="right"/>
              <w:ind w:right="4"/>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Deposit cash account sweep</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131,642</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126,571</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341</w:t>
            </w: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118,957</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401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5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Total Bank Sweep</w:t>
            </w: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52.2</w:t>
            </w: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460,512</w:t>
            </w: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350</w:t>
            </w:r>
          </w:p>
        </w:tc>
        <w:tc>
          <w:tcPr>
            <w:tcW w:w="140" w:type="dxa"/>
            <w:vAlign w:val="bottom"/>
            <w:shd w:val="clear" w:color="auto" w:fill="DBDBDB"/>
          </w:tcPr>
          <w:p>
            <w:pPr>
              <w:spacing w:after="0"/>
              <w:rPr>
                <w:sz w:val="17"/>
                <w:szCs w:val="17"/>
                <w:color w:val="auto"/>
              </w:rPr>
            </w:pP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52.6</w:t>
            </w:r>
          </w:p>
        </w:tc>
        <w:tc>
          <w:tcPr>
            <w:tcW w:w="120" w:type="dxa"/>
            <w:vAlign w:val="bottom"/>
            <w:shd w:val="clear" w:color="auto" w:fill="DBDBDB"/>
          </w:tcPr>
          <w:p>
            <w:pPr>
              <w:spacing w:after="0"/>
              <w:rPr>
                <w:sz w:val="17"/>
                <w:szCs w:val="17"/>
                <w:color w:val="auto"/>
              </w:rPr>
            </w:pPr>
          </w:p>
        </w:tc>
        <w:tc>
          <w:tcPr>
            <w:tcW w:w="76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442,385</w:t>
            </w:r>
          </w:p>
        </w:tc>
        <w:tc>
          <w:tcPr>
            <w:tcW w:w="90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337</w:t>
            </w:r>
          </w:p>
        </w:tc>
        <w:tc>
          <w:tcPr>
            <w:tcW w:w="700" w:type="dxa"/>
            <w:vAlign w:val="bottom"/>
            <w:shd w:val="clear" w:color="auto" w:fill="DBDBDB"/>
          </w:tcPr>
          <w:p>
            <w:pPr>
              <w:spacing w:after="0"/>
              <w:rPr>
                <w:sz w:val="17"/>
                <w:szCs w:val="17"/>
                <w:color w:val="auto"/>
              </w:rPr>
            </w:pPr>
          </w:p>
        </w:tc>
        <w:tc>
          <w:tcPr>
            <w:tcW w:w="3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46.5</w:t>
            </w: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426,075</w:t>
            </w:r>
          </w:p>
        </w:tc>
        <w:tc>
          <w:tcPr>
            <w:tcW w:w="980" w:type="dxa"/>
            <w:vAlign w:val="bottom"/>
            <w:shd w:val="clear" w:color="auto" w:fill="DBDBDB"/>
          </w:tcPr>
          <w:p>
            <w:pPr>
              <w:jc w:val="right"/>
              <w:ind w:right="4"/>
              <w:spacing w:after="0"/>
              <w:rPr>
                <w:sz w:val="20"/>
                <w:szCs w:val="20"/>
                <w:color w:val="auto"/>
              </w:rPr>
            </w:pPr>
            <w:r>
              <w:rPr>
                <w:rFonts w:ascii="Arial" w:cs="Arial" w:eastAsia="Arial" w:hAnsi="Arial"/>
                <w:sz w:val="14"/>
                <w:szCs w:val="14"/>
                <w:b w:val="1"/>
                <w:bCs w:val="1"/>
                <w:color w:val="auto"/>
              </w:rPr>
              <w:t>364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Money market sweep</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1,116</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35</w:t>
            </w: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500" w:type="dxa"/>
            <w:vAlign w:val="bottom"/>
            <w:shd w:val="clear" w:color="auto" w:fill="DBDBDB"/>
          </w:tcPr>
          <w:p>
            <w:pPr>
              <w:ind w:left="100"/>
              <w:spacing w:after="0" w:line="137" w:lineRule="exact"/>
              <w:rPr>
                <w:sz w:val="20"/>
                <w:szCs w:val="20"/>
                <w:color w:val="auto"/>
              </w:rPr>
            </w:pPr>
            <w:r>
              <w:rPr>
                <w:rFonts w:ascii="Arial" w:cs="Arial" w:eastAsia="Arial" w:hAnsi="Arial"/>
                <w:sz w:val="14"/>
                <w:szCs w:val="14"/>
                <w:b w:val="1"/>
                <w:bCs w:val="1"/>
                <w:color w:val="auto"/>
              </w:rPr>
              <w:t>Total Client Cash Held By</w:t>
            </w:r>
          </w:p>
        </w:tc>
        <w:tc>
          <w:tcPr>
            <w:tcW w:w="12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53.2</w:t>
            </w:r>
          </w:p>
        </w:tc>
        <w:tc>
          <w:tcPr>
            <w:tcW w:w="14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461,471</w:t>
            </w:r>
          </w:p>
        </w:tc>
        <w:tc>
          <w:tcPr>
            <w:tcW w:w="14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344</w:t>
            </w:r>
          </w:p>
        </w:tc>
        <w:tc>
          <w:tcPr>
            <w:tcW w:w="140" w:type="dxa"/>
            <w:vAlign w:val="bottom"/>
            <w:shd w:val="clear" w:color="auto" w:fill="DBDBDB"/>
          </w:tcPr>
          <w:p>
            <w:pPr>
              <w:spacing w:after="0"/>
              <w:rPr>
                <w:sz w:val="11"/>
                <w:szCs w:val="11"/>
                <w:color w:val="auto"/>
              </w:rPr>
            </w:pPr>
          </w:p>
        </w:tc>
        <w:tc>
          <w:tcPr>
            <w:tcW w:w="94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53.9</w:t>
            </w:r>
          </w:p>
        </w:tc>
        <w:tc>
          <w:tcPr>
            <w:tcW w:w="120" w:type="dxa"/>
            <w:vAlign w:val="bottom"/>
            <w:shd w:val="clear" w:color="auto" w:fill="DBDBDB"/>
          </w:tcPr>
          <w:p>
            <w:pPr>
              <w:spacing w:after="0"/>
              <w:rPr>
                <w:sz w:val="11"/>
                <w:szCs w:val="11"/>
                <w:color w:val="auto"/>
              </w:rPr>
            </w:pPr>
          </w:p>
        </w:tc>
        <w:tc>
          <w:tcPr>
            <w:tcW w:w="76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443,501</w:t>
            </w:r>
          </w:p>
        </w:tc>
        <w:tc>
          <w:tcPr>
            <w:tcW w:w="900" w:type="dxa"/>
            <w:vAlign w:val="bottom"/>
            <w:gridSpan w:val="2"/>
            <w:vMerge w:val="restart"/>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330</w:t>
            </w:r>
          </w:p>
        </w:tc>
        <w:tc>
          <w:tcPr>
            <w:tcW w:w="700" w:type="dxa"/>
            <w:vAlign w:val="bottom"/>
            <w:shd w:val="clear" w:color="auto" w:fill="DBDBDB"/>
          </w:tcPr>
          <w:p>
            <w:pPr>
              <w:spacing w:after="0"/>
              <w:rPr>
                <w:sz w:val="11"/>
                <w:szCs w:val="11"/>
                <w:color w:val="auto"/>
              </w:rPr>
            </w:pPr>
          </w:p>
        </w:tc>
        <w:tc>
          <w:tcPr>
            <w:tcW w:w="38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50.3</w:t>
            </w:r>
          </w:p>
        </w:tc>
        <w:tc>
          <w:tcPr>
            <w:tcW w:w="12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428,190</w:t>
            </w:r>
          </w:p>
        </w:tc>
        <w:tc>
          <w:tcPr>
            <w:tcW w:w="980" w:type="dxa"/>
            <w:vAlign w:val="bottom"/>
            <w:vMerge w:val="restart"/>
            <w:shd w:val="clear" w:color="auto" w:fill="DBDBDB"/>
          </w:tcPr>
          <w:p>
            <w:pPr>
              <w:jc w:val="right"/>
              <w:ind w:right="4"/>
              <w:spacing w:after="0"/>
              <w:rPr>
                <w:sz w:val="20"/>
                <w:szCs w:val="20"/>
                <w:color w:val="auto"/>
              </w:rPr>
            </w:pPr>
            <w:r>
              <w:rPr>
                <w:rFonts w:ascii="Arial" w:cs="Arial" w:eastAsia="Arial" w:hAnsi="Arial"/>
                <w:sz w:val="14"/>
                <w:szCs w:val="14"/>
                <w:b w:val="1"/>
                <w:bCs w:val="1"/>
                <w:color w:val="auto"/>
              </w:rPr>
              <w:t>338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25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Third Parties</w:t>
            </w:r>
          </w:p>
        </w:tc>
        <w:tc>
          <w:tcPr>
            <w:tcW w:w="120" w:type="dxa"/>
            <w:vAlign w:val="bottom"/>
            <w:shd w:val="clear" w:color="auto" w:fill="DBDBDB"/>
          </w:tcPr>
          <w:p>
            <w:pPr>
              <w:spacing w:after="0"/>
              <w:rPr>
                <w:sz w:val="16"/>
                <w:szCs w:val="16"/>
                <w:color w:val="auto"/>
              </w:rPr>
            </w:pPr>
          </w:p>
        </w:tc>
        <w:tc>
          <w:tcPr>
            <w:tcW w:w="940" w:type="dxa"/>
            <w:vAlign w:val="bottom"/>
            <w:vMerge w:val="continue"/>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80" w:type="dxa"/>
            <w:vAlign w:val="bottom"/>
            <w:vMerge w:val="continue"/>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900" w:type="dxa"/>
            <w:vAlign w:val="bottom"/>
            <w:gridSpan w:val="2"/>
            <w:vMerge w:val="continue"/>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38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980" w:type="dxa"/>
            <w:vAlign w:val="bottom"/>
            <w:vMerge w:val="continue"/>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Client cash account (CCA)</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10,811</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13,444</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303</w:t>
            </w: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13,386</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365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5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Total Client Cash</w:t>
            </w: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54.8</w:t>
            </w: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472,282</w:t>
            </w: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342</w:t>
            </w:r>
          </w:p>
        </w:tc>
        <w:tc>
          <w:tcPr>
            <w:tcW w:w="140" w:type="dxa"/>
            <w:vAlign w:val="bottom"/>
            <w:shd w:val="clear" w:color="auto" w:fill="DBDBDB"/>
          </w:tcPr>
          <w:p>
            <w:pPr>
              <w:spacing w:after="0"/>
              <w:rPr>
                <w:sz w:val="17"/>
                <w:szCs w:val="17"/>
                <w:color w:val="auto"/>
              </w:rPr>
            </w:pP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55.7</w:t>
            </w:r>
          </w:p>
        </w:tc>
        <w:tc>
          <w:tcPr>
            <w:tcW w:w="120" w:type="dxa"/>
            <w:vAlign w:val="bottom"/>
            <w:shd w:val="clear" w:color="auto" w:fill="DBDBDB"/>
          </w:tcPr>
          <w:p>
            <w:pPr>
              <w:spacing w:after="0"/>
              <w:rPr>
                <w:sz w:val="17"/>
                <w:szCs w:val="17"/>
                <w:color w:val="auto"/>
              </w:rPr>
            </w:pPr>
          </w:p>
        </w:tc>
        <w:tc>
          <w:tcPr>
            <w:tcW w:w="76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456,945</w:t>
            </w:r>
          </w:p>
        </w:tc>
        <w:tc>
          <w:tcPr>
            <w:tcW w:w="90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329</w:t>
            </w:r>
          </w:p>
        </w:tc>
        <w:tc>
          <w:tcPr>
            <w:tcW w:w="700" w:type="dxa"/>
            <w:vAlign w:val="bottom"/>
            <w:shd w:val="clear" w:color="auto" w:fill="DBDBDB"/>
          </w:tcPr>
          <w:p>
            <w:pPr>
              <w:spacing w:after="0"/>
              <w:rPr>
                <w:sz w:val="17"/>
                <w:szCs w:val="17"/>
                <w:color w:val="auto"/>
              </w:rPr>
            </w:pPr>
          </w:p>
        </w:tc>
        <w:tc>
          <w:tcPr>
            <w:tcW w:w="3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51.8</w:t>
            </w: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441,576</w:t>
            </w:r>
          </w:p>
        </w:tc>
        <w:tc>
          <w:tcPr>
            <w:tcW w:w="980" w:type="dxa"/>
            <w:vAlign w:val="bottom"/>
            <w:shd w:val="clear" w:color="auto" w:fill="DBDBDB"/>
          </w:tcPr>
          <w:p>
            <w:pPr>
              <w:jc w:val="right"/>
              <w:ind w:right="4"/>
              <w:spacing w:after="0"/>
              <w:rPr>
                <w:sz w:val="20"/>
                <w:szCs w:val="20"/>
                <w:color w:val="auto"/>
              </w:rPr>
            </w:pPr>
            <w:r>
              <w:rPr>
                <w:rFonts w:ascii="Arial" w:cs="Arial" w:eastAsia="Arial" w:hAnsi="Arial"/>
                <w:sz w:val="14"/>
                <w:szCs w:val="14"/>
                <w:b w:val="1"/>
                <w:bCs w:val="1"/>
                <w:color w:val="auto"/>
              </w:rPr>
              <w:t>339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Margin receivables</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17,037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792</w:t>
            </w:r>
          </w:p>
        </w:tc>
        <w:tc>
          <w:tcPr>
            <w:tcW w:w="1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15,602</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796</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13,910</w:t>
            </w:r>
          </w:p>
        </w:tc>
        <w:tc>
          <w:tcPr>
            <w:tcW w:w="980" w:type="dxa"/>
            <w:vAlign w:val="bottom"/>
          </w:tcPr>
          <w:p>
            <w:pPr>
              <w:jc w:val="right"/>
              <w:ind w:right="4"/>
              <w:spacing w:after="0"/>
              <w:rPr>
                <w:sz w:val="20"/>
                <w:szCs w:val="20"/>
                <w:color w:val="auto"/>
              </w:rPr>
            </w:pPr>
            <w:r>
              <w:rPr>
                <w:rFonts w:ascii="Arial" w:cs="Arial" w:eastAsia="Arial" w:hAnsi="Arial"/>
                <w:sz w:val="14"/>
                <w:szCs w:val="14"/>
                <w:color w:val="auto"/>
              </w:rPr>
              <w:t>820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interest revenue</w:t>
            </w:r>
          </w:p>
        </w:tc>
        <w:tc>
          <w:tcPr>
            <w:tcW w:w="12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20,816</w:t>
            </w:r>
          </w:p>
        </w:tc>
        <w:tc>
          <w:tcPr>
            <w:tcW w:w="14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512</w:t>
            </w:r>
          </w:p>
        </w:tc>
        <w:tc>
          <w:tcPr>
            <w:tcW w:w="1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17,425</w:t>
            </w:r>
          </w:p>
        </w:tc>
        <w:tc>
          <w:tcPr>
            <w:tcW w:w="90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514</w:t>
            </w:r>
          </w:p>
        </w:tc>
        <w:tc>
          <w:tcPr>
            <w:tcW w:w="70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33,558</w:t>
            </w:r>
          </w:p>
        </w:tc>
        <w:tc>
          <w:tcPr>
            <w:tcW w:w="98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4"/>
                <w:szCs w:val="14"/>
                <w:color w:val="auto"/>
              </w:rPr>
              <w:t>458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50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Total Client Cash and</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57.3</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510,135</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353</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57.9</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489,972</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340</w:t>
            </w:r>
          </w:p>
        </w:tc>
        <w:tc>
          <w:tcPr>
            <w:tcW w:w="70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55.3</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489,044</w:t>
            </w:r>
          </w:p>
        </w:tc>
        <w:tc>
          <w:tcPr>
            <w:tcW w:w="98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351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Arial" w:cs="Arial" w:eastAsia="Arial" w:hAnsi="Arial"/>
                <w:sz w:val="14"/>
                <w:szCs w:val="14"/>
                <w:b w:val="1"/>
                <w:bCs w:val="1"/>
                <w:color w:val="auto"/>
              </w:rPr>
              <w:t>Interest Income, Net</w:t>
            </w: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Note: Totals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Monthly Metrics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billions, except where noted)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2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2026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August 2026</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July 2026</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2026</w:t>
            </w:r>
          </w:p>
        </w:tc>
      </w:tr>
      <w:tr>
        <w:trPr>
          <w:trHeight w:val="196"/>
        </w:trPr>
        <w:tc>
          <w:tcPr>
            <w:tcW w:w="4200" w:type="dxa"/>
            <w:vAlign w:val="bottom"/>
            <w:shd w:val="clear" w:color="auto" w:fill="DBDBDB"/>
          </w:tcPr>
          <w:p>
            <w:pPr>
              <w:ind w:left="20"/>
              <w:spacing w:after="0" w:line="196" w:lineRule="exact"/>
              <w:rPr>
                <w:sz w:val="20"/>
                <w:szCs w:val="20"/>
                <w:color w:val="auto"/>
              </w:rPr>
            </w:pPr>
            <w:r>
              <w:rPr>
                <w:rFonts w:ascii="Arial" w:cs="Arial" w:eastAsia="Arial" w:hAnsi="Arial"/>
                <w:sz w:val="16"/>
                <w:szCs w:val="16"/>
                <w:b w:val="1"/>
                <w:bCs w:val="1"/>
                <w:color w:val="auto"/>
              </w:rPr>
              <w:t>Client Assets</w:t>
            </w:r>
            <w:r>
              <w:rPr>
                <w:rFonts w:ascii="Arial" w:cs="Arial" w:eastAsia="Arial" w:hAnsi="Arial"/>
                <w:sz w:val="21"/>
                <w:szCs w:val="21"/>
                <w:b w:val="1"/>
                <w:bCs w:val="1"/>
                <w:color w:val="auto"/>
                <w:vertAlign w:val="subscript"/>
              </w:rPr>
              <w:t>(18)</w:t>
            </w: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215"/>
        </w:trPr>
        <w:tc>
          <w:tcPr>
            <w:tcW w:w="4200" w:type="dxa"/>
            <w:vAlign w:val="bottom"/>
          </w:tcPr>
          <w:p>
            <w:pPr>
              <w:ind w:left="100"/>
              <w:spacing w:after="0"/>
              <w:rPr>
                <w:sz w:val="20"/>
                <w:szCs w:val="20"/>
                <w:color w:val="auto"/>
              </w:rPr>
            </w:pPr>
            <w:r>
              <w:rPr>
                <w:rFonts w:ascii="Arial" w:cs="Arial" w:eastAsia="Arial" w:hAnsi="Arial"/>
                <w:sz w:val="16"/>
                <w:szCs w:val="16"/>
                <w:color w:val="auto"/>
              </w:rPr>
              <w:t>Advisory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1,561.0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1,582.5</w:t>
            </w:r>
          </w:p>
        </w:tc>
        <w:tc>
          <w:tcPr>
            <w:tcW w:w="780" w:type="dxa"/>
            <w:vAlign w:val="bottom"/>
          </w:tcPr>
          <w:p>
            <w:pPr>
              <w:jc w:val="center"/>
              <w:spacing w:after="0"/>
              <w:rPr>
                <w:sz w:val="20"/>
                <w:szCs w:val="20"/>
                <w:color w:val="auto"/>
              </w:rPr>
            </w:pPr>
            <w:r>
              <w:rPr>
                <w:rFonts w:ascii="Arial" w:cs="Arial" w:eastAsia="Arial" w:hAnsi="Arial"/>
                <w:sz w:val="16"/>
                <w:szCs w:val="16"/>
                <w:color w:val="auto"/>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1,544.2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1,548.4</w:t>
            </w:r>
          </w:p>
        </w:tc>
      </w:tr>
      <w:tr>
        <w:trPr>
          <w:trHeight w:val="217"/>
        </w:trPr>
        <w:tc>
          <w:tcPr>
            <w:tcW w:w="4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Brokerage</w:t>
            </w:r>
          </w:p>
        </w:tc>
        <w:tc>
          <w:tcPr>
            <w:tcW w:w="1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1,003.6</w:t>
            </w:r>
          </w:p>
        </w:tc>
        <w:tc>
          <w:tcPr>
            <w:tcW w:w="2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1,019.4</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1,002.4</w:t>
            </w:r>
          </w:p>
        </w:tc>
        <w:tc>
          <w:tcPr>
            <w:tcW w:w="26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1,014.3</w:t>
            </w:r>
          </w:p>
        </w:tc>
      </w:tr>
      <w:tr>
        <w:trPr>
          <w:trHeight w:val="209"/>
        </w:trPr>
        <w:tc>
          <w:tcPr>
            <w:tcW w:w="4200" w:type="dxa"/>
            <w:vAlign w:val="bottom"/>
            <w:tcBorders>
              <w:bottom w:val="single" w:sz="8" w:color="DBDBDB"/>
            </w:tcBorders>
          </w:tcPr>
          <w:p>
            <w:pPr>
              <w:ind w:left="260"/>
              <w:spacing w:after="0"/>
              <w:rPr>
                <w:sz w:val="20"/>
                <w:szCs w:val="20"/>
                <w:color w:val="auto"/>
              </w:rPr>
            </w:pPr>
            <w:r>
              <w:rPr>
                <w:rFonts w:ascii="Arial" w:cs="Arial" w:eastAsia="Arial" w:hAnsi="Arial"/>
                <w:sz w:val="16"/>
                <w:szCs w:val="16"/>
                <w:b w:val="1"/>
                <w:bCs w:val="1"/>
                <w:color w:val="auto"/>
              </w:rPr>
              <w:t>Total Client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2,601.9</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2,546.6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2,562.7</w:t>
            </w:r>
          </w:p>
        </w:tc>
      </w:tr>
      <w:tr>
        <w:trPr>
          <w:trHeight w:val="196"/>
        </w:trPr>
        <w:tc>
          <w:tcPr>
            <w:tcW w:w="42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216"/>
        </w:trPr>
        <w:tc>
          <w:tcPr>
            <w:tcW w:w="42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Organic NNA</w:t>
            </w:r>
            <w:r>
              <w:rPr>
                <w:rFonts w:ascii="Arial" w:cs="Arial" w:eastAsia="Arial" w:hAnsi="Arial"/>
                <w:sz w:val="21"/>
                <w:szCs w:val="21"/>
                <w:b w:val="1"/>
                <w:bCs w:val="1"/>
                <w:color w:val="auto"/>
                <w:vertAlign w:val="subscript"/>
              </w:rPr>
              <w:t>(21)</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Advisory</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w:t>
            </w:r>
          </w:p>
        </w:tc>
      </w:tr>
      <w:tr>
        <w:trPr>
          <w:trHeight w:val="215"/>
        </w:trPr>
        <w:tc>
          <w:tcPr>
            <w:tcW w:w="42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Brokerage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4200" w:type="dxa"/>
            <w:vAlign w:val="bottom"/>
            <w:shd w:val="clear" w:color="auto" w:fill="DBDBDB"/>
          </w:tcPr>
          <w:p>
            <w:pPr>
              <w:ind w:left="240"/>
              <w:spacing w:after="0"/>
              <w:rPr>
                <w:sz w:val="20"/>
                <w:szCs w:val="20"/>
                <w:color w:val="auto"/>
              </w:rPr>
            </w:pPr>
            <w:r>
              <w:rPr>
                <w:rFonts w:ascii="Arial" w:cs="Arial" w:eastAsia="Arial" w:hAnsi="Arial"/>
                <w:sz w:val="16"/>
                <w:szCs w:val="16"/>
                <w:b w:val="1"/>
                <w:bCs w:val="1"/>
                <w:color w:val="auto"/>
              </w:rPr>
              <w:t>Total Organic NNA</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8.2</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13.5</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7.4</w:t>
            </w: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11.3</w:t>
            </w:r>
          </w:p>
        </w:tc>
      </w:tr>
      <w:tr>
        <w:trPr>
          <w:trHeight w:val="237"/>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420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b w:val="1"/>
                <w:bCs w:val="1"/>
                <w:color w:val="auto"/>
              </w:rPr>
              <w:t>Acquired NNA</w:t>
            </w:r>
            <w:r>
              <w:rPr>
                <w:rFonts w:ascii="Arial" w:cs="Arial" w:eastAsia="Arial" w:hAnsi="Arial"/>
                <w:sz w:val="21"/>
                <w:szCs w:val="21"/>
                <w:b w:val="1"/>
                <w:bCs w:val="1"/>
                <w:color w:val="auto"/>
                <w:vertAlign w:val="subscript"/>
              </w:rPr>
              <w:t>(21)</w:t>
            </w:r>
          </w:p>
        </w:tc>
        <w:tc>
          <w:tcPr>
            <w:tcW w:w="14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r>
      <w:tr>
        <w:trPr>
          <w:trHeight w:val="215"/>
        </w:trPr>
        <w:tc>
          <w:tcPr>
            <w:tcW w:w="4200" w:type="dxa"/>
            <w:vAlign w:val="bottom"/>
          </w:tcPr>
          <w:p>
            <w:pPr>
              <w:ind w:left="100"/>
              <w:spacing w:after="0"/>
              <w:rPr>
                <w:sz w:val="20"/>
                <w:szCs w:val="20"/>
                <w:color w:val="auto"/>
              </w:rPr>
            </w:pPr>
            <w:r>
              <w:rPr>
                <w:rFonts w:ascii="Arial" w:cs="Arial" w:eastAsia="Arial" w:hAnsi="Arial"/>
                <w:sz w:val="16"/>
                <w:szCs w:val="16"/>
                <w:color w:val="auto"/>
              </w:rPr>
              <w:t>Advisory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13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4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Brokerage</w:t>
            </w:r>
          </w:p>
        </w:tc>
        <w:tc>
          <w:tcPr>
            <w:tcW w:w="1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00" w:type="dxa"/>
            <w:vAlign w:val="bottom"/>
            <w:tcBorders>
              <w:bottom w:val="single" w:sz="8" w:color="DBDBDB"/>
            </w:tcBorders>
          </w:tcPr>
          <w:p>
            <w:pPr>
              <w:ind w:left="240"/>
              <w:spacing w:after="0"/>
              <w:rPr>
                <w:sz w:val="20"/>
                <w:szCs w:val="20"/>
                <w:color w:val="auto"/>
              </w:rPr>
            </w:pPr>
            <w:r>
              <w:rPr>
                <w:rFonts w:ascii="Arial" w:cs="Arial" w:eastAsia="Arial" w:hAnsi="Arial"/>
                <w:sz w:val="16"/>
                <w:szCs w:val="16"/>
                <w:b w:val="1"/>
                <w:bCs w:val="1"/>
                <w:color w:val="auto"/>
              </w:rPr>
              <w:t>Total Acquired NNA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w:t>
            </w:r>
          </w:p>
        </w:tc>
      </w:tr>
      <w:tr>
        <w:trPr>
          <w:trHeight w:val="196"/>
        </w:trPr>
        <w:tc>
          <w:tcPr>
            <w:tcW w:w="42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216"/>
        </w:trPr>
        <w:tc>
          <w:tcPr>
            <w:tcW w:w="42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Total NNA</w:t>
            </w:r>
            <w:r>
              <w:rPr>
                <w:rFonts w:ascii="Arial" w:cs="Arial" w:eastAsia="Arial" w:hAnsi="Arial"/>
                <w:sz w:val="21"/>
                <w:szCs w:val="21"/>
                <w:b w:val="1"/>
                <w:bCs w:val="1"/>
                <w:color w:val="auto"/>
                <w:vertAlign w:val="subscript"/>
              </w:rPr>
              <w:t>(21)</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Advisory</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r>
      <w:tr>
        <w:trPr>
          <w:trHeight w:val="215"/>
        </w:trPr>
        <w:tc>
          <w:tcPr>
            <w:tcW w:w="42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Brokerage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4200" w:type="dxa"/>
            <w:vAlign w:val="bottom"/>
            <w:shd w:val="clear" w:color="auto" w:fill="DBDBDB"/>
          </w:tcPr>
          <w:p>
            <w:pPr>
              <w:ind w:left="260"/>
              <w:spacing w:after="0"/>
              <w:rPr>
                <w:sz w:val="20"/>
                <w:szCs w:val="20"/>
                <w:color w:val="auto"/>
              </w:rPr>
            </w:pPr>
            <w:r>
              <w:rPr>
                <w:rFonts w:ascii="Arial" w:cs="Arial" w:eastAsia="Arial" w:hAnsi="Arial"/>
                <w:sz w:val="16"/>
                <w:szCs w:val="16"/>
                <w:b w:val="1"/>
                <w:bCs w:val="1"/>
                <w:color w:val="auto"/>
              </w:rPr>
              <w:t>Total NNA</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8.2</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13.5</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7.4</w:t>
            </w: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11.8</w:t>
            </w:r>
          </w:p>
        </w:tc>
      </w:tr>
      <w:tr>
        <w:trPr>
          <w:trHeight w:val="210"/>
        </w:trPr>
        <w:tc>
          <w:tcPr>
            <w:tcW w:w="4200" w:type="dxa"/>
            <w:vAlign w:val="bottom"/>
          </w:tcPr>
          <w:p>
            <w:pPr>
              <w:ind w:left="100"/>
              <w:spacing w:after="0" w:line="210" w:lineRule="exact"/>
              <w:rPr>
                <w:sz w:val="20"/>
                <w:szCs w:val="20"/>
                <w:color w:val="auto"/>
              </w:rPr>
            </w:pPr>
            <w:r>
              <w:rPr>
                <w:rFonts w:ascii="Arial" w:cs="Arial" w:eastAsia="Arial" w:hAnsi="Arial"/>
                <w:sz w:val="16"/>
                <w:szCs w:val="16"/>
                <w:color w:val="auto"/>
              </w:rPr>
              <w:t>Net brokerage to advisory conversions</w:t>
            </w:r>
            <w:r>
              <w:rPr>
                <w:rFonts w:ascii="Arial" w:cs="Arial" w:eastAsia="Arial" w:hAnsi="Arial"/>
                <w:sz w:val="21"/>
                <w:szCs w:val="21"/>
                <w:color w:val="auto"/>
                <w:vertAlign w:val="subscript"/>
              </w:rPr>
              <w:t>(22)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780" w:type="dxa"/>
            <w:vAlign w:val="bottom"/>
          </w:tcPr>
          <w:p>
            <w:pPr>
              <w:jc w:val="center"/>
              <w:spacing w:after="0"/>
              <w:rPr>
                <w:sz w:val="20"/>
                <w:szCs w:val="20"/>
                <w:color w:val="auto"/>
              </w:rPr>
            </w:pPr>
            <w:r>
              <w:rPr>
                <w:rFonts w:ascii="Arial" w:cs="Arial" w:eastAsia="Arial" w:hAnsi="Arial"/>
                <w:sz w:val="16"/>
                <w:szCs w:val="16"/>
                <w:color w:val="auto"/>
              </w:rPr>
              <w:t>n/m</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42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r>
      <w:tr>
        <w:trPr>
          <w:trHeight w:val="216"/>
        </w:trPr>
        <w:tc>
          <w:tcPr>
            <w:tcW w:w="42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Client Cash Balances</w:t>
            </w:r>
            <w:r>
              <w:rPr>
                <w:rFonts w:ascii="Arial" w:cs="Arial" w:eastAsia="Arial" w:hAnsi="Arial"/>
                <w:sz w:val="21"/>
                <w:szCs w:val="21"/>
                <w:b w:val="1"/>
                <w:bCs w:val="1"/>
                <w:color w:val="auto"/>
                <w:vertAlign w:val="subscript"/>
              </w:rPr>
              <w:t>(25)</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Insured cash account sweep</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37.8</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36.8</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38.4</w:t>
            </w:r>
          </w:p>
        </w:tc>
      </w:tr>
      <w:tr>
        <w:trPr>
          <w:trHeight w:val="215"/>
        </w:trPr>
        <w:tc>
          <w:tcPr>
            <w:tcW w:w="42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Deposit cash account sweep</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10"/>
        </w:trPr>
        <w:tc>
          <w:tcPr>
            <w:tcW w:w="4200" w:type="dxa"/>
            <w:vAlign w:val="bottom"/>
            <w:shd w:val="clear" w:color="auto" w:fill="DBDBDB"/>
          </w:tcPr>
          <w:p>
            <w:pPr>
              <w:ind w:left="260"/>
              <w:spacing w:after="0"/>
              <w:rPr>
                <w:sz w:val="20"/>
                <w:szCs w:val="20"/>
                <w:color w:val="auto"/>
              </w:rPr>
            </w:pPr>
            <w:r>
              <w:rPr>
                <w:rFonts w:ascii="Arial" w:cs="Arial" w:eastAsia="Arial" w:hAnsi="Arial"/>
                <w:sz w:val="16"/>
                <w:szCs w:val="16"/>
                <w:b w:val="1"/>
                <w:bCs w:val="1"/>
                <w:color w:val="auto"/>
              </w:rPr>
              <w:t>Total Bank Sweep</w:t>
            </w:r>
          </w:p>
        </w:tc>
        <w:tc>
          <w:tcPr>
            <w:tcW w:w="1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53.8</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52.2</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51.8</w:t>
            </w:r>
          </w:p>
        </w:tc>
        <w:tc>
          <w:tcPr>
            <w:tcW w:w="26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54.1</w:t>
            </w:r>
          </w:p>
        </w:tc>
      </w:tr>
      <w:tr>
        <w:trPr>
          <w:trHeight w:val="215"/>
        </w:trPr>
        <w:tc>
          <w:tcPr>
            <w:tcW w:w="42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Money market sweep</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4200" w:type="dxa"/>
            <w:vAlign w:val="bottom"/>
            <w:shd w:val="clear" w:color="auto" w:fill="DBDBDB"/>
          </w:tcPr>
          <w:p>
            <w:pPr>
              <w:ind w:left="260"/>
              <w:spacing w:after="0"/>
              <w:rPr>
                <w:sz w:val="20"/>
                <w:szCs w:val="20"/>
                <w:color w:val="auto"/>
              </w:rPr>
            </w:pPr>
            <w:r>
              <w:rPr>
                <w:rFonts w:ascii="Arial" w:cs="Arial" w:eastAsia="Arial" w:hAnsi="Arial"/>
                <w:sz w:val="16"/>
                <w:szCs w:val="16"/>
                <w:b w:val="1"/>
                <w:bCs w:val="1"/>
                <w:color w:val="auto"/>
              </w:rPr>
              <w:t>Total Client Cash Sweep Held by Third Parties</w:t>
            </w:r>
          </w:p>
        </w:tc>
        <w:tc>
          <w:tcPr>
            <w:tcW w:w="1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54.8</w:t>
            </w:r>
          </w:p>
        </w:tc>
        <w:tc>
          <w:tcPr>
            <w:tcW w:w="2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53.1</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52.8</w:t>
            </w:r>
          </w:p>
        </w:tc>
        <w:tc>
          <w:tcPr>
            <w:tcW w:w="26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55.2</w:t>
            </w:r>
          </w:p>
        </w:tc>
      </w:tr>
      <w:tr>
        <w:trPr>
          <w:trHeight w:val="209"/>
        </w:trPr>
        <w:tc>
          <w:tcPr>
            <w:tcW w:w="4200" w:type="dxa"/>
            <w:vAlign w:val="bottom"/>
            <w:tcBorders>
              <w:bottom w:val="single" w:sz="8" w:color="DBDBDB"/>
            </w:tcBorders>
          </w:tcPr>
          <w:p>
            <w:pPr>
              <w:ind w:left="100"/>
              <w:spacing w:after="0"/>
              <w:rPr>
                <w:sz w:val="20"/>
                <w:szCs w:val="20"/>
                <w:color w:val="auto"/>
              </w:rPr>
            </w:pPr>
            <w:r>
              <w:rPr>
                <w:rFonts w:ascii="Arial" w:cs="Arial" w:eastAsia="Arial" w:hAnsi="Arial"/>
                <w:sz w:val="16"/>
                <w:szCs w:val="16"/>
                <w:color w:val="auto"/>
              </w:rPr>
              <w:t>Client cash account (CCA)</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9"/>
              </w:rPr>
              <w:t>50%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Total Client Cash Balances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56.6</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54.4</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54.3</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56.9</w:t>
            </w: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0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color w:val="auto"/>
              </w:rPr>
              <w:t>Net buy (sell) activity</w:t>
            </w:r>
            <w:r>
              <w:rPr>
                <w:rFonts w:ascii="Arial" w:cs="Arial" w:eastAsia="Arial" w:hAnsi="Arial"/>
                <w:sz w:val="21"/>
                <w:szCs w:val="21"/>
                <w:color w:val="auto"/>
                <w:vertAlign w:val="subscript"/>
              </w:rPr>
              <w:t>(24)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Market Drivers</w:t>
            </w:r>
          </w:p>
        </w:tc>
        <w:tc>
          <w:tcPr>
            <w:tcW w:w="14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r>
      <w:tr>
        <w:trPr>
          <w:trHeight w:val="215"/>
        </w:trPr>
        <w:tc>
          <w:tcPr>
            <w:tcW w:w="4200" w:type="dxa"/>
            <w:vAlign w:val="bottom"/>
          </w:tcPr>
          <w:p>
            <w:pPr>
              <w:ind w:left="100"/>
              <w:spacing w:after="0"/>
              <w:rPr>
                <w:sz w:val="20"/>
                <w:szCs w:val="20"/>
                <w:color w:val="auto"/>
              </w:rPr>
            </w:pPr>
            <w:r>
              <w:rPr>
                <w:rFonts w:ascii="Arial" w:cs="Arial" w:eastAsia="Arial" w:hAnsi="Arial"/>
                <w:sz w:val="16"/>
                <w:szCs w:val="16"/>
                <w:color w:val="auto"/>
              </w:rPr>
              <w:t>S&amp;P 500 Index (end of period)</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7,652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7,686</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7,490</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7,499</w:t>
            </w:r>
          </w:p>
        </w:tc>
      </w:tr>
      <w:tr>
        <w:trPr>
          <w:trHeight w:val="217"/>
        </w:trPr>
        <w:tc>
          <w:tcPr>
            <w:tcW w:w="42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Russell 2000 Index (end of period)</w:t>
            </w:r>
          </w:p>
        </w:tc>
        <w:tc>
          <w:tcPr>
            <w:tcW w:w="1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2,797</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2,956</w:t>
            </w:r>
          </w:p>
        </w:tc>
        <w:tc>
          <w:tcPr>
            <w:tcW w:w="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w:t>
            </w: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2,931</w:t>
            </w:r>
          </w:p>
        </w:tc>
        <w:tc>
          <w:tcPr>
            <w:tcW w:w="26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3,024</w:t>
            </w:r>
          </w:p>
        </w:tc>
      </w:tr>
      <w:tr>
        <w:trPr>
          <w:trHeight w:val="215"/>
        </w:trPr>
        <w:tc>
          <w:tcPr>
            <w:tcW w:w="4200" w:type="dxa"/>
            <w:vAlign w:val="bottom"/>
          </w:tcPr>
          <w:p>
            <w:pPr>
              <w:ind w:left="100"/>
              <w:spacing w:after="0"/>
              <w:rPr>
                <w:sz w:val="20"/>
                <w:szCs w:val="20"/>
                <w:color w:val="auto"/>
              </w:rPr>
            </w:pPr>
            <w:r>
              <w:rPr>
                <w:rFonts w:ascii="Arial" w:cs="Arial" w:eastAsia="Arial" w:hAnsi="Arial"/>
                <w:sz w:val="16"/>
                <w:szCs w:val="16"/>
                <w:color w:val="auto"/>
              </w:rPr>
              <w:t>Fed Funds daily effective rate (average bps)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363</w:t>
            </w:r>
          </w:p>
        </w:tc>
        <w:tc>
          <w:tcPr>
            <w:tcW w:w="780" w:type="dxa"/>
            <w:vAlign w:val="bottom"/>
          </w:tcPr>
          <w:p>
            <w:pPr>
              <w:jc w:val="center"/>
              <w:spacing w:after="0"/>
              <w:rPr>
                <w:sz w:val="20"/>
                <w:szCs w:val="20"/>
                <w:color w:val="auto"/>
              </w:rPr>
            </w:pPr>
            <w:r>
              <w:rPr>
                <w:rFonts w:ascii="Arial" w:cs="Arial" w:eastAsia="Arial" w:hAnsi="Arial"/>
                <w:sz w:val="16"/>
                <w:szCs w:val="16"/>
                <w:color w:val="auto"/>
              </w:rPr>
              <w:t>12bps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363</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363</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Note: Totals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890" w:right="3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Q3 2026</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Q2 2026</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Q3 2025</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Change</w:t>
            </w:r>
          </w:p>
        </w:tc>
      </w:tr>
      <w:tr>
        <w:trPr>
          <w:trHeight w:val="196"/>
        </w:trPr>
        <w:tc>
          <w:tcPr>
            <w:tcW w:w="53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Commission Revenue by Product</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215"/>
        </w:trPr>
        <w:tc>
          <w:tcPr>
            <w:tcW w:w="5380" w:type="dxa"/>
            <w:vAlign w:val="bottom"/>
          </w:tcPr>
          <w:p>
            <w:pPr>
              <w:ind w:left="140"/>
              <w:spacing w:after="0"/>
              <w:rPr>
                <w:sz w:val="20"/>
                <w:szCs w:val="20"/>
                <w:color w:val="auto"/>
              </w:rPr>
            </w:pPr>
            <w:r>
              <w:rPr>
                <w:rFonts w:ascii="Arial" w:cs="Arial" w:eastAsia="Arial" w:hAnsi="Arial"/>
                <w:sz w:val="16"/>
                <w:szCs w:val="16"/>
                <w:color w:val="auto"/>
              </w:rPr>
              <w:t>Annuities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748,473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727,746</w:t>
            </w:r>
          </w:p>
        </w:tc>
        <w:tc>
          <w:tcPr>
            <w:tcW w:w="980" w:type="dxa"/>
            <w:vAlign w:val="bottom"/>
          </w:tcPr>
          <w:p>
            <w:pPr>
              <w:jc w:val="center"/>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713,900</w:t>
            </w: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5%</w:t>
            </w:r>
          </w:p>
        </w:tc>
      </w:tr>
      <w:tr>
        <w:trPr>
          <w:trHeight w:val="217"/>
        </w:trPr>
        <w:tc>
          <w:tcPr>
            <w:tcW w:w="53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261,833</w:t>
            </w:r>
          </w:p>
        </w:tc>
        <w:tc>
          <w:tcPr>
            <w:tcW w:w="22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262,044</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258,167</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1%</w:t>
            </w:r>
          </w:p>
        </w:tc>
      </w:tr>
      <w:tr>
        <w:trPr>
          <w:trHeight w:val="215"/>
        </w:trPr>
        <w:tc>
          <w:tcPr>
            <w:tcW w:w="5380" w:type="dxa"/>
            <w:vAlign w:val="bottom"/>
          </w:tcPr>
          <w:p>
            <w:pPr>
              <w:ind w:left="140"/>
              <w:spacing w:after="0"/>
              <w:rPr>
                <w:sz w:val="20"/>
                <w:szCs w:val="20"/>
                <w:color w:val="auto"/>
              </w:rPr>
            </w:pPr>
            <w:r>
              <w:rPr>
                <w:rFonts w:ascii="Arial" w:cs="Arial" w:eastAsia="Arial" w:hAnsi="Arial"/>
                <w:sz w:val="16"/>
                <w:szCs w:val="16"/>
                <w:color w:val="auto"/>
              </w:rPr>
              <w:t>Fixed income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85,064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82,014</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66,550</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28%</w:t>
            </w:r>
          </w:p>
        </w:tc>
      </w:tr>
      <w:tr>
        <w:trPr>
          <w:trHeight w:val="217"/>
        </w:trPr>
        <w:tc>
          <w:tcPr>
            <w:tcW w:w="53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Equities</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51,314</w:t>
            </w:r>
          </w:p>
        </w:tc>
        <w:tc>
          <w:tcPr>
            <w:tcW w:w="22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58,751</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(13%)</w:t>
            </w: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51,475</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53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104,072</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101,518</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97,363</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4"/>
              </w:rPr>
              <w:t>7%</w:t>
            </w:r>
          </w:p>
        </w:tc>
      </w:tr>
      <w:tr>
        <w:trPr>
          <w:trHeight w:val="210"/>
        </w:trPr>
        <w:tc>
          <w:tcPr>
            <w:tcW w:w="5380" w:type="dxa"/>
            <w:vAlign w:val="bottom"/>
            <w:shd w:val="clear" w:color="auto" w:fill="DBDBDB"/>
          </w:tcPr>
          <w:p>
            <w:pPr>
              <w:ind w:left="220"/>
              <w:spacing w:after="0"/>
              <w:rPr>
                <w:sz w:val="20"/>
                <w:szCs w:val="20"/>
                <w:color w:val="auto"/>
              </w:rPr>
            </w:pPr>
            <w:r>
              <w:rPr>
                <w:rFonts w:ascii="Arial" w:cs="Arial" w:eastAsia="Arial" w:hAnsi="Arial"/>
                <w:sz w:val="16"/>
                <w:szCs w:val="16"/>
                <w:b w:val="1"/>
                <w:bCs w:val="1"/>
                <w:color w:val="auto"/>
              </w:rPr>
              <w:t>Total commission revenue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1,250,756</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1,232,073</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1,187,455</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5%</w:t>
            </w:r>
          </w:p>
        </w:tc>
      </w:tr>
      <w:tr>
        <w:trPr>
          <w:trHeight w:val="270"/>
        </w:trPr>
        <w:tc>
          <w:tcPr>
            <w:tcW w:w="5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6"/>
        </w:trPr>
        <w:tc>
          <w:tcPr>
            <w:tcW w:w="53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Commission Revenue by Sales-based and Trailing</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6"/>
                <w:szCs w:val="16"/>
                <w:b w:val="1"/>
                <w:bCs w:val="1"/>
                <w:color w:val="auto"/>
              </w:rPr>
              <w:t>Sales-based commissions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Annuities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469,397</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444,791</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438,927</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7%</w:t>
            </w:r>
          </w:p>
        </w:tc>
      </w:tr>
      <w:tr>
        <w:trPr>
          <w:trHeight w:val="215"/>
        </w:trPr>
        <w:tc>
          <w:tcPr>
            <w:tcW w:w="5380" w:type="dxa"/>
            <w:vAlign w:val="bottom"/>
          </w:tcPr>
          <w:p>
            <w:pPr>
              <w:ind w:left="220"/>
              <w:spacing w:after="0"/>
              <w:rPr>
                <w:sz w:val="20"/>
                <w:szCs w:val="20"/>
                <w:color w:val="auto"/>
              </w:rPr>
            </w:pPr>
            <w:r>
              <w:rPr>
                <w:rFonts w:ascii="Arial" w:cs="Arial" w:eastAsia="Arial" w:hAnsi="Arial"/>
                <w:sz w:val="16"/>
                <w:szCs w:val="16"/>
                <w:color w:val="auto"/>
              </w:rPr>
              <w:t>Fixed income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85,064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82,014</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66,550</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28%</w:t>
            </w:r>
          </w:p>
        </w:tc>
      </w:tr>
      <w:tr>
        <w:trPr>
          <w:trHeight w:val="217"/>
        </w:trPr>
        <w:tc>
          <w:tcPr>
            <w:tcW w:w="53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Equities</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51,314</w:t>
            </w:r>
          </w:p>
        </w:tc>
        <w:tc>
          <w:tcPr>
            <w:tcW w:w="22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58,751</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(13%)</w:t>
            </w: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51,475</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5380" w:type="dxa"/>
            <w:vAlign w:val="bottom"/>
          </w:tcPr>
          <w:p>
            <w:pPr>
              <w:ind w:left="22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48,527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53,993</w:t>
            </w:r>
          </w:p>
        </w:tc>
        <w:tc>
          <w:tcPr>
            <w:tcW w:w="980" w:type="dxa"/>
            <w:vAlign w:val="bottom"/>
          </w:tcPr>
          <w:p>
            <w:pPr>
              <w:jc w:val="center"/>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54,235</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(11%)</w:t>
            </w:r>
          </w:p>
        </w:tc>
      </w:tr>
      <w:tr>
        <w:trPr>
          <w:trHeight w:val="217"/>
        </w:trPr>
        <w:tc>
          <w:tcPr>
            <w:tcW w:w="53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88,550</w:t>
            </w:r>
          </w:p>
        </w:tc>
        <w:tc>
          <w:tcPr>
            <w:tcW w:w="2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88,606</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83,842</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6%</w:t>
            </w:r>
          </w:p>
        </w:tc>
      </w:tr>
      <w:tr>
        <w:trPr>
          <w:trHeight w:val="209"/>
        </w:trPr>
        <w:tc>
          <w:tcPr>
            <w:tcW w:w="5380" w:type="dxa"/>
            <w:vAlign w:val="bottom"/>
          </w:tcPr>
          <w:p>
            <w:pPr>
              <w:ind w:left="220"/>
              <w:spacing w:after="0"/>
              <w:rPr>
                <w:sz w:val="20"/>
                <w:szCs w:val="20"/>
                <w:color w:val="auto"/>
              </w:rPr>
            </w:pPr>
            <w:r>
              <w:rPr>
                <w:rFonts w:ascii="Arial" w:cs="Arial" w:eastAsia="Arial" w:hAnsi="Arial"/>
                <w:sz w:val="16"/>
                <w:szCs w:val="16"/>
                <w:b w:val="1"/>
                <w:bCs w:val="1"/>
                <w:color w:val="auto"/>
              </w:rPr>
              <w:t>Total sales-based commissions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742,852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728,155</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695,029</w:t>
            </w: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7%</w:t>
            </w:r>
          </w:p>
        </w:tc>
      </w:tr>
      <w:tr>
        <w:trPr>
          <w:trHeight w:val="216"/>
        </w:trPr>
        <w:tc>
          <w:tcPr>
            <w:tcW w:w="5380" w:type="dxa"/>
            <w:vAlign w:val="bottom"/>
            <w:shd w:val="clear" w:color="auto" w:fill="DBDBDB"/>
          </w:tcPr>
          <w:p>
            <w:pPr>
              <w:ind w:left="140"/>
              <w:spacing w:after="0"/>
              <w:rPr>
                <w:sz w:val="20"/>
                <w:szCs w:val="20"/>
                <w:color w:val="auto"/>
              </w:rPr>
            </w:pPr>
            <w:r>
              <w:rPr>
                <w:rFonts w:ascii="Arial" w:cs="Arial" w:eastAsia="Arial" w:hAnsi="Arial"/>
                <w:sz w:val="16"/>
                <w:szCs w:val="16"/>
                <w:b w:val="1"/>
                <w:bCs w:val="1"/>
                <w:color w:val="auto"/>
              </w:rPr>
              <w:t>Trailing commissions</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r>
      <w:tr>
        <w:trPr>
          <w:trHeight w:val="215"/>
        </w:trPr>
        <w:tc>
          <w:tcPr>
            <w:tcW w:w="5380" w:type="dxa"/>
            <w:vAlign w:val="bottom"/>
          </w:tcPr>
          <w:p>
            <w:pPr>
              <w:ind w:left="220"/>
              <w:spacing w:after="0"/>
              <w:rPr>
                <w:sz w:val="20"/>
                <w:szCs w:val="20"/>
                <w:color w:val="auto"/>
              </w:rPr>
            </w:pPr>
            <w:r>
              <w:rPr>
                <w:rFonts w:ascii="Arial" w:cs="Arial" w:eastAsia="Arial" w:hAnsi="Arial"/>
                <w:sz w:val="16"/>
                <w:szCs w:val="16"/>
                <w:color w:val="auto"/>
              </w:rPr>
              <w:t>Annuities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279,076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282,955</w:t>
            </w:r>
          </w:p>
        </w:tc>
        <w:tc>
          <w:tcPr>
            <w:tcW w:w="980" w:type="dxa"/>
            <w:vAlign w:val="bottom"/>
          </w:tcPr>
          <w:p>
            <w:pPr>
              <w:jc w:val="center"/>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274,973</w:t>
            </w: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1%</w:t>
            </w:r>
          </w:p>
        </w:tc>
      </w:tr>
      <w:tr>
        <w:trPr>
          <w:trHeight w:val="217"/>
        </w:trPr>
        <w:tc>
          <w:tcPr>
            <w:tcW w:w="53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213,306</w:t>
            </w:r>
          </w:p>
        </w:tc>
        <w:tc>
          <w:tcPr>
            <w:tcW w:w="22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208,051</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203,932</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5%</w:t>
            </w:r>
          </w:p>
        </w:tc>
      </w:tr>
      <w:tr>
        <w:trPr>
          <w:trHeight w:val="215"/>
        </w:trPr>
        <w:tc>
          <w:tcPr>
            <w:tcW w:w="538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15,522</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12,912</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9"/>
              </w:rPr>
              <w:t>20%</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13,521</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9"/>
              </w:rPr>
              <w:t>15%</w:t>
            </w:r>
          </w:p>
        </w:tc>
      </w:tr>
      <w:tr>
        <w:trPr>
          <w:trHeight w:val="210"/>
        </w:trPr>
        <w:tc>
          <w:tcPr>
            <w:tcW w:w="5380" w:type="dxa"/>
            <w:vAlign w:val="bottom"/>
            <w:shd w:val="clear" w:color="auto" w:fill="DBDBDB"/>
          </w:tcPr>
          <w:p>
            <w:pPr>
              <w:ind w:left="220"/>
              <w:spacing w:after="0"/>
              <w:rPr>
                <w:sz w:val="20"/>
                <w:szCs w:val="20"/>
                <w:color w:val="auto"/>
              </w:rPr>
            </w:pPr>
            <w:r>
              <w:rPr>
                <w:rFonts w:ascii="Arial" w:cs="Arial" w:eastAsia="Arial" w:hAnsi="Arial"/>
                <w:sz w:val="16"/>
                <w:szCs w:val="16"/>
                <w:b w:val="1"/>
                <w:bCs w:val="1"/>
                <w:color w:val="auto"/>
              </w:rPr>
              <w:t>Total trailing commissions</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507,904</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503,918</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492,426</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3%</w:t>
            </w:r>
          </w:p>
        </w:tc>
      </w:tr>
      <w:tr>
        <w:trPr>
          <w:trHeight w:val="209"/>
        </w:trPr>
        <w:tc>
          <w:tcPr>
            <w:tcW w:w="5380" w:type="dxa"/>
            <w:vAlign w:val="bottom"/>
          </w:tcPr>
          <w:p>
            <w:pPr>
              <w:ind w:left="220"/>
              <w:spacing w:after="0"/>
              <w:rPr>
                <w:sz w:val="20"/>
                <w:szCs w:val="20"/>
                <w:color w:val="auto"/>
              </w:rPr>
            </w:pPr>
            <w:r>
              <w:rPr>
                <w:rFonts w:ascii="Arial" w:cs="Arial" w:eastAsia="Arial" w:hAnsi="Arial"/>
                <w:sz w:val="16"/>
                <w:szCs w:val="16"/>
                <w:b w:val="1"/>
                <w:bCs w:val="1"/>
                <w:color w:val="auto"/>
              </w:rPr>
              <w:t>Total commission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1,250,756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1,232,073</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1,187,455</w:t>
            </w: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5%</w:t>
            </w:r>
          </w:p>
        </w:tc>
      </w:tr>
      <w:tr>
        <w:trPr>
          <w:trHeight w:val="20"/>
        </w:trPr>
        <w:tc>
          <w:tcPr>
            <w:tcW w:w="53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DBDBDB"/>
            </w:tcBorders>
          </w:tcPr>
          <w:p>
            <w:pPr>
              <w:spacing w:after="0" w:line="20" w:lineRule="exact"/>
              <w:rPr>
                <w:sz w:val="1"/>
                <w:szCs w:val="1"/>
                <w:color w:val="auto"/>
              </w:rPr>
            </w:pPr>
          </w:p>
        </w:tc>
      </w:tr>
      <w:tr>
        <w:trPr>
          <w:trHeight w:val="237"/>
        </w:trPr>
        <w:tc>
          <w:tcPr>
            <w:tcW w:w="53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Payout Rate</w:t>
            </w:r>
            <w:r>
              <w:rPr>
                <w:rFonts w:ascii="Arial" w:cs="Arial" w:eastAsia="Arial" w:hAnsi="Arial"/>
                <w:sz w:val="10"/>
                <w:szCs w:val="10"/>
                <w:b w:val="1"/>
                <w:bCs w:val="1"/>
                <w:color w:val="auto"/>
              </w:rPr>
              <w:t>(6)</w:t>
            </w:r>
          </w:p>
        </w:tc>
        <w:tc>
          <w:tcPr>
            <w:tcW w:w="200" w:type="dxa"/>
            <w:vAlign w:val="bottom"/>
          </w:tcPr>
          <w:p>
            <w:pPr>
              <w:spacing w:after="0"/>
              <w:rPr>
                <w:sz w:val="19"/>
                <w:szCs w:val="19"/>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87.98%</w:t>
            </w:r>
          </w:p>
        </w:tc>
        <w:tc>
          <w:tcPr>
            <w:tcW w:w="220" w:type="dxa"/>
            <w:vAlign w:val="bottom"/>
          </w:tcPr>
          <w:p>
            <w:pPr>
              <w:spacing w:after="0"/>
              <w:rPr>
                <w:sz w:val="19"/>
                <w:szCs w:val="19"/>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87.44%</w:t>
            </w:r>
          </w:p>
        </w:tc>
        <w:tc>
          <w:tcPr>
            <w:tcW w:w="980" w:type="dxa"/>
            <w:vAlign w:val="bottom"/>
          </w:tcPr>
          <w:p>
            <w:pPr>
              <w:jc w:val="center"/>
              <w:spacing w:after="0"/>
              <w:rPr>
                <w:sz w:val="20"/>
                <w:szCs w:val="20"/>
                <w:color w:val="auto"/>
              </w:rPr>
            </w:pPr>
            <w:r>
              <w:rPr>
                <w:rFonts w:ascii="Arial" w:cs="Arial" w:eastAsia="Arial" w:hAnsi="Arial"/>
                <w:sz w:val="16"/>
                <w:szCs w:val="16"/>
                <w:color w:val="auto"/>
              </w:rPr>
              <w:t>54bps</w:t>
            </w:r>
          </w:p>
        </w:tc>
        <w:tc>
          <w:tcPr>
            <w:tcW w:w="200" w:type="dxa"/>
            <w:vAlign w:val="bottom"/>
          </w:tcPr>
          <w:p>
            <w:pPr>
              <w:spacing w:after="0"/>
              <w:rPr>
                <w:sz w:val="19"/>
                <w:szCs w:val="19"/>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87.47%</w:t>
            </w:r>
          </w:p>
        </w:tc>
        <w:tc>
          <w:tcPr>
            <w:tcW w:w="1000" w:type="dxa"/>
            <w:vAlign w:val="bottom"/>
          </w:tcPr>
          <w:p>
            <w:pPr>
              <w:jc w:val="center"/>
              <w:spacing w:after="0"/>
              <w:rPr>
                <w:sz w:val="20"/>
                <w:szCs w:val="20"/>
                <w:color w:val="auto"/>
              </w:rPr>
            </w:pPr>
            <w:r>
              <w:rPr>
                <w:rFonts w:ascii="Arial" w:cs="Arial" w:eastAsia="Arial" w:hAnsi="Arial"/>
                <w:sz w:val="16"/>
                <w:szCs w:val="16"/>
                <w:color w:val="auto"/>
              </w:rPr>
              <w:t>51bps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890" w:right="4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Management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Borders>
              <w:bottom w:val="single" w:sz="8" w:color="DBDBDB"/>
            </w:tcBorders>
          </w:tcPr>
          <w:p>
            <w:pPr>
              <w:spacing w:after="0"/>
              <w:rPr>
                <w:sz w:val="18"/>
                <w:szCs w:val="18"/>
                <w:color w:val="auto"/>
              </w:rPr>
            </w:pPr>
          </w:p>
        </w:tc>
        <w:tc>
          <w:tcPr>
            <w:tcW w:w="380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178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Q3 2026</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Q2 2026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Q4 2025</w:t>
            </w: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Cash and equivalents</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1,059,019</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1,275,690</w:t>
            </w: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1,037,378</w:t>
            </w:r>
          </w:p>
        </w:tc>
        <w:tc>
          <w:tcPr>
            <w:tcW w:w="0" w:type="dxa"/>
            <w:vAlign w:val="bottom"/>
          </w:tcPr>
          <w:p>
            <w:pPr>
              <w:spacing w:after="0"/>
              <w:rPr>
                <w:sz w:val="1"/>
                <w:szCs w:val="1"/>
                <w:color w:val="auto"/>
              </w:rPr>
            </w:pPr>
          </w:p>
        </w:tc>
      </w:tr>
      <w:tr>
        <w:trPr>
          <w:trHeight w:val="215"/>
        </w:trPr>
        <w:tc>
          <w:tcPr>
            <w:tcW w:w="4080" w:type="dxa"/>
            <w:vAlign w:val="bottom"/>
            <w:gridSpan w:val="2"/>
          </w:tcPr>
          <w:p>
            <w:pPr>
              <w:ind w:left="140"/>
              <w:spacing w:after="0"/>
              <w:rPr>
                <w:sz w:val="20"/>
                <w:szCs w:val="20"/>
                <w:color w:val="auto"/>
              </w:rPr>
            </w:pPr>
            <w:r>
              <w:rPr>
                <w:rFonts w:ascii="Arial" w:cs="Arial" w:eastAsia="Arial" w:hAnsi="Arial"/>
                <w:sz w:val="16"/>
                <w:szCs w:val="16"/>
                <w:color w:val="auto"/>
              </w:rPr>
              <w:t>Cash at regulated subsidiaries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(985,736)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(1,221,009)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(925,356)</w:t>
            </w:r>
          </w:p>
        </w:tc>
        <w:tc>
          <w:tcPr>
            <w:tcW w:w="0" w:type="dxa"/>
            <w:vAlign w:val="bottom"/>
          </w:tcPr>
          <w:p>
            <w:pPr>
              <w:spacing w:after="0"/>
              <w:rPr>
                <w:sz w:val="1"/>
                <w:szCs w:val="1"/>
                <w:color w:val="auto"/>
              </w:rPr>
            </w:pPr>
          </w:p>
        </w:tc>
      </w:tr>
      <w:tr>
        <w:trPr>
          <w:trHeight w:val="217"/>
        </w:trPr>
        <w:tc>
          <w:tcPr>
            <w:tcW w:w="5260" w:type="dxa"/>
            <w:vAlign w:val="bottom"/>
            <w:gridSpan w:val="4"/>
            <w:shd w:val="clear" w:color="auto" w:fill="DBDBDB"/>
          </w:tcPr>
          <w:p>
            <w:pPr>
              <w:ind w:left="140"/>
              <w:spacing w:after="0"/>
              <w:rPr>
                <w:sz w:val="20"/>
                <w:szCs w:val="20"/>
                <w:color w:val="auto"/>
              </w:rPr>
            </w:pPr>
            <w:r>
              <w:rPr>
                <w:rFonts w:ascii="Arial" w:cs="Arial" w:eastAsia="Arial" w:hAnsi="Arial"/>
                <w:sz w:val="16"/>
                <w:szCs w:val="16"/>
                <w:color w:val="auto"/>
              </w:rPr>
              <w:t>Excess cash at regulated subsidiaries per the Credit Agreement</w:t>
            </w:r>
          </w:p>
        </w:tc>
        <w:tc>
          <w:tcPr>
            <w:tcW w:w="17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489,476</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375,379</w:t>
            </w:r>
          </w:p>
        </w:tc>
        <w:tc>
          <w:tcPr>
            <w:tcW w:w="1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357,693</w:t>
            </w:r>
          </w:p>
        </w:tc>
        <w:tc>
          <w:tcPr>
            <w:tcW w:w="0" w:type="dxa"/>
            <w:vAlign w:val="bottom"/>
          </w:tcPr>
          <w:p>
            <w:pPr>
              <w:spacing w:after="0"/>
              <w:rPr>
                <w:sz w:val="1"/>
                <w:szCs w:val="1"/>
                <w:color w:val="auto"/>
              </w:rPr>
            </w:pPr>
          </w:p>
        </w:tc>
      </w:tr>
      <w:tr>
        <w:trPr>
          <w:trHeight w:val="210"/>
        </w:trPr>
        <w:tc>
          <w:tcPr>
            <w:tcW w:w="4080" w:type="dxa"/>
            <w:vAlign w:val="bottom"/>
            <w:gridSpan w:val="2"/>
          </w:tcPr>
          <w:p>
            <w:pPr>
              <w:ind w:left="220"/>
              <w:spacing w:after="0"/>
              <w:rPr>
                <w:sz w:val="20"/>
                <w:szCs w:val="20"/>
                <w:color w:val="auto"/>
              </w:rPr>
            </w:pPr>
            <w:r>
              <w:rPr>
                <w:rFonts w:ascii="Arial" w:cs="Arial" w:eastAsia="Arial" w:hAnsi="Arial"/>
                <w:sz w:val="16"/>
                <w:szCs w:val="16"/>
                <w:b w:val="1"/>
                <w:bCs w:val="1"/>
                <w:color w:val="auto"/>
              </w:rPr>
              <w:t>Corporate Cash</w:t>
            </w:r>
            <w:r>
              <w:rPr>
                <w:rFonts w:ascii="Arial" w:cs="Arial" w:eastAsia="Arial" w:hAnsi="Arial"/>
                <w:sz w:val="10"/>
                <w:szCs w:val="10"/>
                <w:b w:val="1"/>
                <w:bCs w:val="1"/>
                <w:color w:val="auto"/>
              </w:rPr>
              <w:t>(2)</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562,759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430,060</w:t>
            </w: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469,715</w:t>
            </w:r>
          </w:p>
        </w:tc>
        <w:tc>
          <w:tcPr>
            <w:tcW w:w="0" w:type="dxa"/>
            <w:vAlign w:val="bottom"/>
          </w:tcPr>
          <w:p>
            <w:pPr>
              <w:spacing w:after="0"/>
              <w:rPr>
                <w:sz w:val="1"/>
                <w:szCs w:val="1"/>
                <w:color w:val="auto"/>
              </w:rPr>
            </w:pPr>
          </w:p>
        </w:tc>
      </w:tr>
      <w:tr>
        <w:trPr>
          <w:trHeight w:val="20"/>
        </w:trPr>
        <w:tc>
          <w:tcPr>
            <w:tcW w:w="280" w:type="dxa"/>
            <w:vAlign w:val="bottom"/>
            <w:tcBorders>
              <w:bottom w:val="single" w:sz="8" w:color="DBDBDB"/>
            </w:tcBorders>
          </w:tcPr>
          <w:p>
            <w:pPr>
              <w:spacing w:after="0" w:line="20" w:lineRule="exact"/>
              <w:rPr>
                <w:sz w:val="1"/>
                <w:szCs w:val="1"/>
                <w:color w:val="auto"/>
              </w:rPr>
            </w:pPr>
          </w:p>
        </w:tc>
        <w:tc>
          <w:tcPr>
            <w:tcW w:w="38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000" w:type="dxa"/>
            <w:vAlign w:val="bottom"/>
            <w:tcBorders>
              <w:bottom w:val="single" w:sz="8" w:color="DBDBDB"/>
            </w:tcBorders>
          </w:tcPr>
          <w:p>
            <w:pPr>
              <w:spacing w:after="0" w:line="20" w:lineRule="exact"/>
              <w:rPr>
                <w:sz w:val="1"/>
                <w:szCs w:val="1"/>
                <w:color w:val="auto"/>
              </w:rPr>
            </w:pPr>
          </w:p>
        </w:tc>
        <w:tc>
          <w:tcPr>
            <w:tcW w:w="17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 w:type="dxa"/>
            <w:vAlign w:val="bottom"/>
            <w:shd w:val="clear" w:color="auto" w:fill="DBDBDB"/>
          </w:tcPr>
          <w:p>
            <w:pPr>
              <w:spacing w:after="0"/>
              <w:rPr>
                <w:sz w:val="20"/>
                <w:szCs w:val="20"/>
                <w:color w:val="auto"/>
              </w:rPr>
            </w:pPr>
          </w:p>
        </w:tc>
        <w:tc>
          <w:tcPr>
            <w:tcW w:w="38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78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 Cash</w:t>
            </w:r>
            <w:r>
              <w:rPr>
                <w:rFonts w:ascii="Arial" w:cs="Arial" w:eastAsia="Arial" w:hAnsi="Arial"/>
                <w:sz w:val="10"/>
                <w:szCs w:val="10"/>
                <w:b w:val="1"/>
                <w:bCs w:val="1"/>
                <w:color w:val="auto"/>
              </w:rPr>
              <w:t>(2)</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Cash at LPL Holdings, Inc.</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180" w:type="dxa"/>
            <w:vAlign w:val="bottom"/>
            <w:gridSpan w:val="2"/>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44,960</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16,807</w:t>
            </w: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19,368</w:t>
            </w:r>
          </w:p>
        </w:tc>
        <w:tc>
          <w:tcPr>
            <w:tcW w:w="0" w:type="dxa"/>
            <w:vAlign w:val="bottom"/>
          </w:tcPr>
          <w:p>
            <w:pPr>
              <w:spacing w:after="0"/>
              <w:rPr>
                <w:sz w:val="1"/>
                <w:szCs w:val="1"/>
                <w:color w:val="auto"/>
              </w:rPr>
            </w:pPr>
          </w:p>
        </w:tc>
      </w:tr>
      <w:tr>
        <w:trPr>
          <w:trHeight w:val="215"/>
        </w:trPr>
        <w:tc>
          <w:tcPr>
            <w:tcW w:w="5260" w:type="dxa"/>
            <w:vAlign w:val="bottom"/>
            <w:gridSpan w:val="4"/>
          </w:tcPr>
          <w:p>
            <w:pPr>
              <w:ind w:left="140"/>
              <w:spacing w:after="0"/>
              <w:rPr>
                <w:sz w:val="20"/>
                <w:szCs w:val="20"/>
                <w:color w:val="auto"/>
              </w:rPr>
            </w:pPr>
            <w:r>
              <w:rPr>
                <w:rFonts w:ascii="Arial" w:cs="Arial" w:eastAsia="Arial" w:hAnsi="Arial"/>
                <w:sz w:val="16"/>
                <w:szCs w:val="16"/>
                <w:color w:val="auto"/>
              </w:rPr>
              <w:t>Excess cash at regulated subsidiaries per the Credit Agreement</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489,476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375,379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357,693</w:t>
            </w:r>
          </w:p>
        </w:tc>
        <w:tc>
          <w:tcPr>
            <w:tcW w:w="0" w:type="dxa"/>
            <w:vAlign w:val="bottom"/>
          </w:tcPr>
          <w:p>
            <w:pPr>
              <w:spacing w:after="0"/>
              <w:rPr>
                <w:sz w:val="1"/>
                <w:szCs w:val="1"/>
                <w:color w:val="auto"/>
              </w:rPr>
            </w:pPr>
          </w:p>
        </w:tc>
      </w:tr>
      <w:tr>
        <w:trPr>
          <w:trHeight w:val="217"/>
        </w:trPr>
        <w:tc>
          <w:tcPr>
            <w:tcW w:w="408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Cash at non-regulated subsidiaries</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28,323</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37,874</w:t>
            </w:r>
          </w:p>
        </w:tc>
        <w:tc>
          <w:tcPr>
            <w:tcW w:w="1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92,654</w:t>
            </w:r>
          </w:p>
        </w:tc>
        <w:tc>
          <w:tcPr>
            <w:tcW w:w="0" w:type="dxa"/>
            <w:vAlign w:val="bottom"/>
          </w:tcPr>
          <w:p>
            <w:pPr>
              <w:spacing w:after="0"/>
              <w:rPr>
                <w:sz w:val="1"/>
                <w:szCs w:val="1"/>
                <w:color w:val="auto"/>
              </w:rPr>
            </w:pPr>
          </w:p>
        </w:tc>
      </w:tr>
      <w:tr>
        <w:trPr>
          <w:trHeight w:val="209"/>
        </w:trPr>
        <w:tc>
          <w:tcPr>
            <w:tcW w:w="4080" w:type="dxa"/>
            <w:vAlign w:val="bottom"/>
            <w:gridSpan w:val="2"/>
          </w:tcPr>
          <w:p>
            <w:pPr>
              <w:ind w:left="220"/>
              <w:spacing w:after="0"/>
              <w:rPr>
                <w:sz w:val="20"/>
                <w:szCs w:val="20"/>
                <w:color w:val="auto"/>
              </w:rPr>
            </w:pPr>
            <w:r>
              <w:rPr>
                <w:rFonts w:ascii="Arial" w:cs="Arial" w:eastAsia="Arial" w:hAnsi="Arial"/>
                <w:sz w:val="16"/>
                <w:szCs w:val="16"/>
                <w:b w:val="1"/>
                <w:bCs w:val="1"/>
                <w:color w:val="auto"/>
              </w:rPr>
              <w:t>Corporate Cash</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562,759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430,060</w:t>
            </w: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469,715</w:t>
            </w:r>
          </w:p>
        </w:tc>
        <w:tc>
          <w:tcPr>
            <w:tcW w:w="0" w:type="dxa"/>
            <w:vAlign w:val="bottom"/>
          </w:tcPr>
          <w:p>
            <w:pPr>
              <w:spacing w:after="0"/>
              <w:rPr>
                <w:sz w:val="1"/>
                <w:szCs w:val="1"/>
                <w:color w:val="auto"/>
              </w:rPr>
            </w:pPr>
          </w:p>
        </w:tc>
      </w:tr>
      <w:tr>
        <w:trPr>
          <w:trHeight w:val="20"/>
        </w:trPr>
        <w:tc>
          <w:tcPr>
            <w:tcW w:w="280" w:type="dxa"/>
            <w:vAlign w:val="bottom"/>
            <w:tcBorders>
              <w:bottom w:val="single" w:sz="8" w:color="DBDBDB"/>
            </w:tcBorders>
          </w:tcPr>
          <w:p>
            <w:pPr>
              <w:spacing w:after="0" w:line="20" w:lineRule="exact"/>
              <w:rPr>
                <w:sz w:val="1"/>
                <w:szCs w:val="1"/>
                <w:color w:val="auto"/>
              </w:rPr>
            </w:pPr>
          </w:p>
        </w:tc>
        <w:tc>
          <w:tcPr>
            <w:tcW w:w="38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000" w:type="dxa"/>
            <w:vAlign w:val="bottom"/>
            <w:tcBorders>
              <w:bottom w:val="single" w:sz="8" w:color="DBDBDB"/>
            </w:tcBorders>
          </w:tcPr>
          <w:p>
            <w:pPr>
              <w:spacing w:after="0" w:line="20" w:lineRule="exact"/>
              <w:rPr>
                <w:sz w:val="1"/>
                <w:szCs w:val="1"/>
                <w:color w:val="auto"/>
              </w:rPr>
            </w:pPr>
          </w:p>
        </w:tc>
        <w:tc>
          <w:tcPr>
            <w:tcW w:w="17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 w:type="dxa"/>
            <w:vAlign w:val="bottom"/>
            <w:shd w:val="clear" w:color="auto" w:fill="DBDBDB"/>
          </w:tcPr>
          <w:p>
            <w:pPr>
              <w:spacing w:after="0"/>
              <w:rPr>
                <w:sz w:val="20"/>
                <w:szCs w:val="20"/>
                <w:color w:val="auto"/>
              </w:rPr>
            </w:pPr>
          </w:p>
        </w:tc>
        <w:tc>
          <w:tcPr>
            <w:tcW w:w="38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78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Leverage Ratio</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Total debt</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180" w:type="dxa"/>
            <w:vAlign w:val="bottom"/>
            <w:gridSpan w:val="2"/>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7,836,000</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7,496,000</w:t>
            </w: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7,299,000</w:t>
            </w:r>
          </w:p>
        </w:tc>
        <w:tc>
          <w:tcPr>
            <w:tcW w:w="0" w:type="dxa"/>
            <w:vAlign w:val="bottom"/>
          </w:tcPr>
          <w:p>
            <w:pPr>
              <w:spacing w:after="0"/>
              <w:rPr>
                <w:sz w:val="1"/>
                <w:szCs w:val="1"/>
                <w:color w:val="auto"/>
              </w:rPr>
            </w:pPr>
          </w:p>
        </w:tc>
      </w:tr>
      <w:tr>
        <w:trPr>
          <w:trHeight w:val="215"/>
        </w:trPr>
        <w:tc>
          <w:tcPr>
            <w:tcW w:w="40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Total corporate cash</w:t>
            </w:r>
          </w:p>
        </w:tc>
        <w:tc>
          <w:tcPr>
            <w:tcW w:w="18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178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562,759</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430,060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469,715</w:t>
            </w:r>
          </w:p>
        </w:tc>
        <w:tc>
          <w:tcPr>
            <w:tcW w:w="0" w:type="dxa"/>
            <w:vAlign w:val="bottom"/>
          </w:tcPr>
          <w:p>
            <w:pPr>
              <w:spacing w:after="0"/>
              <w:rPr>
                <w:sz w:val="1"/>
                <w:szCs w:val="1"/>
                <w:color w:val="auto"/>
              </w:rPr>
            </w:pPr>
          </w:p>
        </w:tc>
      </w:tr>
      <w:tr>
        <w:trPr>
          <w:trHeight w:val="235"/>
        </w:trPr>
        <w:tc>
          <w:tcPr>
            <w:tcW w:w="408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6"/>
                <w:szCs w:val="16"/>
                <w:b w:val="1"/>
                <w:bCs w:val="1"/>
                <w:color w:val="auto"/>
              </w:rPr>
              <w:t>Credit Agreement Net Debt</w:t>
            </w:r>
          </w:p>
        </w:tc>
        <w:tc>
          <w:tcPr>
            <w:tcW w:w="180" w:type="dxa"/>
            <w:vAlign w:val="bottom"/>
            <w:tcBorders>
              <w:bottom w:val="single" w:sz="8" w:color="DBDBDB"/>
            </w:tcBorders>
            <w:shd w:val="clear" w:color="auto" w:fill="DBDBDB"/>
          </w:tcPr>
          <w:p>
            <w:pPr>
              <w:spacing w:after="0"/>
              <w:rPr>
                <w:sz w:val="20"/>
                <w:szCs w:val="20"/>
                <w:color w:val="auto"/>
              </w:rPr>
            </w:pPr>
          </w:p>
        </w:tc>
        <w:tc>
          <w:tcPr>
            <w:tcW w:w="1000" w:type="dxa"/>
            <w:vAlign w:val="bottom"/>
            <w:tcBorders>
              <w:bottom w:val="single" w:sz="8" w:color="DBDBDB"/>
            </w:tcBorders>
            <w:shd w:val="clear" w:color="auto" w:fill="DBDBDB"/>
          </w:tcPr>
          <w:p>
            <w:pPr>
              <w:spacing w:after="0"/>
              <w:rPr>
                <w:sz w:val="20"/>
                <w:szCs w:val="20"/>
                <w:color w:val="auto"/>
              </w:rPr>
            </w:pPr>
          </w:p>
        </w:tc>
        <w:tc>
          <w:tcPr>
            <w:tcW w:w="178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7,273,241</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7,065,940</w:t>
            </w:r>
          </w:p>
        </w:tc>
        <w:tc>
          <w:tcPr>
            <w:tcW w:w="2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b w:val="1"/>
                <w:bCs w:val="1"/>
                <w:color w:val="auto"/>
              </w:rPr>
              <w:t>6,829,285</w:t>
            </w:r>
          </w:p>
        </w:tc>
        <w:tc>
          <w:tcPr>
            <w:tcW w:w="0" w:type="dxa"/>
            <w:vAlign w:val="bottom"/>
          </w:tcPr>
          <w:p>
            <w:pPr>
              <w:spacing w:after="0"/>
              <w:rPr>
                <w:sz w:val="1"/>
                <w:szCs w:val="1"/>
                <w:color w:val="auto"/>
              </w:rPr>
            </w:pPr>
          </w:p>
        </w:tc>
      </w:tr>
      <w:tr>
        <w:trPr>
          <w:trHeight w:val="20"/>
        </w:trPr>
        <w:tc>
          <w:tcPr>
            <w:tcW w:w="280" w:type="dxa"/>
            <w:vAlign w:val="bottom"/>
            <w:tcBorders>
              <w:top w:val="single" w:sz="8" w:color="DBDBDB"/>
            </w:tcBorders>
          </w:tcPr>
          <w:p>
            <w:pPr>
              <w:spacing w:after="0" w:line="20" w:lineRule="exact"/>
              <w:rPr>
                <w:sz w:val="1"/>
                <w:szCs w:val="1"/>
                <w:color w:val="auto"/>
              </w:rPr>
            </w:pPr>
          </w:p>
        </w:tc>
        <w:tc>
          <w:tcPr>
            <w:tcW w:w="38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2180" w:type="dxa"/>
            <w:vAlign w:val="bottom"/>
            <w:tcBorders>
              <w:top w:val="single" w:sz="8" w:color="DBDBDB"/>
            </w:tcBorders>
            <w:gridSpan w:val="2"/>
          </w:tcPr>
          <w:p>
            <w:pPr>
              <w:spacing w:after="0" w:line="20" w:lineRule="exact"/>
              <w:rPr>
                <w:sz w:val="1"/>
                <w:szCs w:val="1"/>
                <w:color w:val="auto"/>
              </w:rPr>
            </w:pPr>
          </w:p>
        </w:tc>
        <w:tc>
          <w:tcPr>
            <w:tcW w:w="10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gridSpan w:val="2"/>
          </w:tcPr>
          <w:p>
            <w:pPr>
              <w:ind w:left="140"/>
              <w:spacing w:after="0"/>
              <w:rPr>
                <w:sz w:val="20"/>
                <w:szCs w:val="20"/>
                <w:color w:val="auto"/>
              </w:rPr>
            </w:pPr>
            <w:r>
              <w:rPr>
                <w:rFonts w:ascii="Arial" w:cs="Arial" w:eastAsia="Arial" w:hAnsi="Arial"/>
                <w:sz w:val="16"/>
                <w:szCs w:val="16"/>
                <w:color w:val="auto"/>
              </w:rPr>
              <w:t>Credit Agreement EBITDA (trailing twelve months)</w:t>
            </w:r>
            <w:r>
              <w:rPr>
                <w:rFonts w:ascii="Arial" w:cs="Arial" w:eastAsia="Arial" w:hAnsi="Arial"/>
                <w:sz w:val="10"/>
                <w:szCs w:val="10"/>
                <w:color w:val="auto"/>
              </w:rPr>
              <w:t>(27)</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3,771,437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3,695,539</w:t>
            </w: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3,501,832</w:t>
            </w:r>
          </w:p>
        </w:tc>
        <w:tc>
          <w:tcPr>
            <w:tcW w:w="0" w:type="dxa"/>
            <w:vAlign w:val="bottom"/>
          </w:tcPr>
          <w:p>
            <w:pPr>
              <w:spacing w:after="0"/>
              <w:rPr>
                <w:sz w:val="1"/>
                <w:szCs w:val="1"/>
                <w:color w:val="auto"/>
              </w:rPr>
            </w:pPr>
          </w:p>
        </w:tc>
      </w:tr>
      <w:tr>
        <w:trPr>
          <w:trHeight w:val="20"/>
        </w:trPr>
        <w:tc>
          <w:tcPr>
            <w:tcW w:w="280" w:type="dxa"/>
            <w:vAlign w:val="bottom"/>
            <w:tcBorders>
              <w:bottom w:val="single" w:sz="8" w:color="DBDBDB"/>
            </w:tcBorders>
          </w:tcPr>
          <w:p>
            <w:pPr>
              <w:spacing w:after="0" w:line="20" w:lineRule="exact"/>
              <w:rPr>
                <w:sz w:val="1"/>
                <w:szCs w:val="1"/>
                <w:color w:val="auto"/>
              </w:rPr>
            </w:pPr>
          </w:p>
        </w:tc>
        <w:tc>
          <w:tcPr>
            <w:tcW w:w="38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000" w:type="dxa"/>
            <w:vAlign w:val="bottom"/>
            <w:tcBorders>
              <w:bottom w:val="single" w:sz="8" w:color="DBDBDB"/>
            </w:tcBorders>
          </w:tcPr>
          <w:p>
            <w:pPr>
              <w:spacing w:after="0" w:line="20" w:lineRule="exact"/>
              <w:rPr>
                <w:sz w:val="1"/>
                <w:szCs w:val="1"/>
                <w:color w:val="auto"/>
              </w:rPr>
            </w:pPr>
          </w:p>
        </w:tc>
        <w:tc>
          <w:tcPr>
            <w:tcW w:w="17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8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6"/>
                <w:szCs w:val="16"/>
                <w:b w:val="1"/>
                <w:bCs w:val="1"/>
                <w:color w:val="auto"/>
              </w:rPr>
              <w:t>Leverage Ratio</w:t>
            </w:r>
          </w:p>
        </w:tc>
        <w:tc>
          <w:tcPr>
            <w:tcW w:w="180" w:type="dxa"/>
            <w:vAlign w:val="bottom"/>
            <w:tcBorders>
              <w:bottom w:val="single" w:sz="8" w:color="DBDBDB"/>
            </w:tcBorders>
            <w:shd w:val="clear" w:color="auto" w:fill="DBDBDB"/>
          </w:tcPr>
          <w:p>
            <w:pPr>
              <w:spacing w:after="0"/>
              <w:rPr>
                <w:sz w:val="20"/>
                <w:szCs w:val="20"/>
                <w:color w:val="auto"/>
              </w:rPr>
            </w:pPr>
          </w:p>
        </w:tc>
        <w:tc>
          <w:tcPr>
            <w:tcW w:w="1000" w:type="dxa"/>
            <w:vAlign w:val="bottom"/>
            <w:tcBorders>
              <w:bottom w:val="single" w:sz="8" w:color="DBDBDB"/>
            </w:tcBorders>
            <w:shd w:val="clear" w:color="auto" w:fill="DBDBDB"/>
          </w:tcPr>
          <w:p>
            <w:pPr>
              <w:spacing w:after="0"/>
              <w:rPr>
                <w:sz w:val="20"/>
                <w:szCs w:val="20"/>
                <w:color w:val="auto"/>
              </w:rPr>
            </w:pPr>
          </w:p>
        </w:tc>
        <w:tc>
          <w:tcPr>
            <w:tcW w:w="178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spacing w:after="0"/>
              <w:rPr>
                <w:sz w:val="20"/>
                <w:szCs w:val="20"/>
                <w:color w:val="auto"/>
              </w:rPr>
            </w:pPr>
          </w:p>
        </w:tc>
        <w:tc>
          <w:tcPr>
            <w:tcW w:w="1040" w:type="dxa"/>
            <w:vAlign w:val="bottom"/>
            <w:tcBorders>
              <w:bottom w:val="single" w:sz="8" w:color="auto"/>
            </w:tcBorders>
            <w:shd w:val="clear" w:color="auto" w:fill="DBDBDB"/>
          </w:tcPr>
          <w:p>
            <w:pPr>
              <w:jc w:val="center"/>
              <w:ind w:right="319"/>
              <w:spacing w:after="0"/>
              <w:rPr>
                <w:sz w:val="20"/>
                <w:szCs w:val="20"/>
                <w:color w:val="auto"/>
              </w:rPr>
            </w:pPr>
            <w:r>
              <w:rPr>
                <w:rFonts w:ascii="Arial" w:cs="Arial" w:eastAsia="Arial" w:hAnsi="Arial"/>
                <w:sz w:val="16"/>
                <w:szCs w:val="16"/>
                <w:b w:val="1"/>
                <w:bCs w:val="1"/>
                <w:color w:val="auto"/>
                <w:w w:val="99"/>
              </w:rPr>
              <w:t>1.93x</w:t>
            </w:r>
          </w:p>
        </w:tc>
        <w:tc>
          <w:tcPr>
            <w:tcW w:w="18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center"/>
              <w:ind w:right="99"/>
              <w:spacing w:after="0"/>
              <w:rPr>
                <w:sz w:val="20"/>
                <w:szCs w:val="20"/>
                <w:color w:val="auto"/>
              </w:rPr>
            </w:pPr>
            <w:r>
              <w:rPr>
                <w:rFonts w:ascii="Arial" w:cs="Arial" w:eastAsia="Arial" w:hAnsi="Arial"/>
                <w:sz w:val="16"/>
                <w:szCs w:val="16"/>
                <w:b w:val="1"/>
                <w:bCs w:val="1"/>
                <w:color w:val="auto"/>
              </w:rPr>
              <w:t>1.91x</w:t>
            </w:r>
          </w:p>
        </w:tc>
        <w:tc>
          <w:tcPr>
            <w:tcW w:w="120" w:type="dxa"/>
            <w:vAlign w:val="bottom"/>
            <w:tcBorders>
              <w:bottom w:val="single" w:sz="8" w:color="auto"/>
            </w:tcBorders>
            <w:shd w:val="clear" w:color="auto" w:fill="DBDBDB"/>
          </w:tcPr>
          <w:p>
            <w:pPr>
              <w:spacing w:after="0"/>
              <w:rPr>
                <w:sz w:val="20"/>
                <w:szCs w:val="20"/>
                <w:color w:val="auto"/>
              </w:rPr>
            </w:pPr>
          </w:p>
        </w:tc>
        <w:tc>
          <w:tcPr>
            <w:tcW w:w="8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gridSpan w:val="2"/>
            <w:shd w:val="clear" w:color="auto" w:fill="DBDBDB"/>
          </w:tcPr>
          <w:p>
            <w:pPr>
              <w:jc w:val="center"/>
              <w:ind w:right="200"/>
              <w:spacing w:after="0"/>
              <w:rPr>
                <w:sz w:val="20"/>
                <w:szCs w:val="20"/>
                <w:color w:val="auto"/>
              </w:rPr>
            </w:pPr>
            <w:r>
              <w:rPr>
                <w:rFonts w:ascii="Arial" w:cs="Arial" w:eastAsia="Arial" w:hAnsi="Arial"/>
                <w:sz w:val="16"/>
                <w:szCs w:val="16"/>
                <w:b w:val="1"/>
                <w:bCs w:val="1"/>
                <w:color w:val="auto"/>
              </w:rPr>
              <w:t>1.95x</w:t>
            </w:r>
          </w:p>
        </w:tc>
        <w:tc>
          <w:tcPr>
            <w:tcW w:w="0" w:type="dxa"/>
            <w:vAlign w:val="bottom"/>
          </w:tcPr>
          <w:p>
            <w:pPr>
              <w:spacing w:after="0"/>
              <w:rPr>
                <w:sz w:val="1"/>
                <w:szCs w:val="1"/>
                <w:color w:val="auto"/>
              </w:rPr>
            </w:pPr>
          </w:p>
        </w:tc>
      </w:tr>
      <w:tr>
        <w:trPr>
          <w:trHeight w:val="20"/>
        </w:trPr>
        <w:tc>
          <w:tcPr>
            <w:tcW w:w="280" w:type="dxa"/>
            <w:vAlign w:val="bottom"/>
            <w:tcBorders>
              <w:top w:val="single" w:sz="8" w:color="DBDBDB"/>
            </w:tcBorders>
          </w:tcPr>
          <w:p>
            <w:pPr>
              <w:spacing w:after="0" w:line="20" w:lineRule="exact"/>
              <w:rPr>
                <w:sz w:val="1"/>
                <w:szCs w:val="1"/>
                <w:color w:val="auto"/>
              </w:rPr>
            </w:pPr>
          </w:p>
        </w:tc>
        <w:tc>
          <w:tcPr>
            <w:tcW w:w="38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178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gridSpan w:val="2"/>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September 30, 2026</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Debt</w:t>
            </w:r>
          </w:p>
        </w:tc>
        <w:tc>
          <w:tcPr>
            <w:tcW w:w="180" w:type="dxa"/>
            <w:vAlign w:val="bottom"/>
          </w:tcPr>
          <w:p>
            <w:pPr>
              <w:spacing w:after="0"/>
              <w:rPr>
                <w:sz w:val="12"/>
                <w:szCs w:val="12"/>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3220" w:type="dxa"/>
            <w:vAlign w:val="bottom"/>
            <w:gridSpan w:val="3"/>
          </w:tcPr>
          <w:p>
            <w:pPr>
              <w:jc w:val="right"/>
              <w:ind w:right="819"/>
              <w:spacing w:after="0" w:line="142" w:lineRule="exact"/>
              <w:rPr>
                <w:sz w:val="20"/>
                <w:szCs w:val="20"/>
                <w:color w:val="auto"/>
              </w:rPr>
            </w:pPr>
            <w:r>
              <w:rPr>
                <w:rFonts w:ascii="Arial" w:cs="Arial" w:eastAsia="Arial" w:hAnsi="Arial"/>
                <w:sz w:val="16"/>
                <w:szCs w:val="16"/>
                <w:b w:val="1"/>
                <w:bCs w:val="1"/>
                <w:color w:val="auto"/>
              </w:rPr>
              <w:t>Current Applicable</w:t>
            </w:r>
          </w:p>
        </w:tc>
        <w:tc>
          <w:tcPr>
            <w:tcW w:w="180" w:type="dxa"/>
            <w:vAlign w:val="bottom"/>
          </w:tcPr>
          <w:p>
            <w:pPr>
              <w:spacing w:after="0"/>
              <w:rPr>
                <w:sz w:val="12"/>
                <w:szCs w:val="12"/>
                <w:color w:val="auto"/>
              </w:rPr>
            </w:pPr>
          </w:p>
        </w:tc>
        <w:tc>
          <w:tcPr>
            <w:tcW w:w="12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Interest 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18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rPr>
              <w:t>Margin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800" w:type="dxa"/>
            <w:vAlign w:val="bottom"/>
            <w:tcBorders>
              <w:top w:val="single" w:sz="8" w:color="auto"/>
            </w:tcBorders>
            <w:shd w:val="clear" w:color="auto" w:fill="DBDBDB"/>
          </w:tcPr>
          <w:p>
            <w:pPr>
              <w:ind w:left="60"/>
              <w:spacing w:after="0" w:line="210"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bscript"/>
              </w:rPr>
              <w:t>(a)</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616,000</w:t>
            </w:r>
          </w:p>
        </w:tc>
        <w:tc>
          <w:tcPr>
            <w:tcW w:w="3220" w:type="dxa"/>
            <w:vAlign w:val="bottom"/>
            <w:tcBorders>
              <w:top w:val="single" w:sz="8" w:color="auto"/>
            </w:tcBorders>
            <w:gridSpan w:val="3"/>
            <w:shd w:val="clear" w:color="auto" w:fill="DBDBDB"/>
          </w:tcPr>
          <w:p>
            <w:pPr>
              <w:jc w:val="center"/>
              <w:spacing w:after="0"/>
              <w:rPr>
                <w:sz w:val="20"/>
                <w:szCs w:val="20"/>
                <w:color w:val="auto"/>
              </w:rPr>
            </w:pPr>
            <w:r>
              <w:rPr>
                <w:rFonts w:ascii="Arial" w:cs="Arial" w:eastAsia="Arial" w:hAnsi="Arial"/>
                <w:sz w:val="14"/>
                <w:szCs w:val="14"/>
                <w:color w:val="auto"/>
              </w:rPr>
              <w:t>ABR+37.5 bps / SOFR+147.5 bps</w:t>
            </w:r>
          </w:p>
        </w:tc>
        <w:tc>
          <w:tcPr>
            <w:tcW w:w="18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5.299 %</w:t>
            </w:r>
          </w:p>
        </w:tc>
        <w:tc>
          <w:tcPr>
            <w:tcW w:w="8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5/20/2029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Broker-Dealer Revolving Credit Facility</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center"/>
              <w:ind w:left="979"/>
              <w:spacing w:after="0"/>
              <w:rPr>
                <w:sz w:val="20"/>
                <w:szCs w:val="20"/>
                <w:color w:val="auto"/>
              </w:rPr>
            </w:pPr>
            <w:r>
              <w:rPr>
                <w:rFonts w:ascii="Arial" w:cs="Arial" w:eastAsia="Arial" w:hAnsi="Arial"/>
                <w:sz w:val="16"/>
                <w:szCs w:val="16"/>
                <w:color w:val="auto"/>
              </w:rPr>
              <w:t>SOFR+125 bps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5.150 %</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5/17/2027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380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Senior Unsecured Term Loan A</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1,020,000</w:t>
            </w:r>
          </w:p>
        </w:tc>
        <w:tc>
          <w:tcPr>
            <w:tcW w:w="3220" w:type="dxa"/>
            <w:vAlign w:val="bottom"/>
            <w:gridSpan w:val="3"/>
            <w:shd w:val="clear" w:color="auto" w:fill="DBDBDB"/>
          </w:tcPr>
          <w:p>
            <w:pPr>
              <w:jc w:val="center"/>
              <w:spacing w:after="0" w:line="217" w:lineRule="exact"/>
              <w:rPr>
                <w:sz w:val="20"/>
                <w:szCs w:val="20"/>
                <w:color w:val="auto"/>
              </w:rPr>
            </w:pPr>
            <w:r>
              <w:rPr>
                <w:rFonts w:ascii="Arial" w:cs="Arial" w:eastAsia="Arial" w:hAnsi="Arial"/>
                <w:sz w:val="16"/>
                <w:szCs w:val="16"/>
                <w:color w:val="auto"/>
                <w:w w:val="98"/>
              </w:rPr>
              <w:t>SOFR+125 bps</w:t>
            </w:r>
            <w:r>
              <w:rPr>
                <w:rFonts w:ascii="Arial" w:cs="Arial" w:eastAsia="Arial" w:hAnsi="Arial"/>
                <w:sz w:val="21"/>
                <w:szCs w:val="21"/>
                <w:color w:val="auto"/>
                <w:w w:val="98"/>
                <w:vertAlign w:val="subscript"/>
              </w:rPr>
              <w:t>(b)</w:t>
            </w: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5.151 %</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12/5/2028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2180" w:type="dxa"/>
            <w:vAlign w:val="bottom"/>
            <w:gridSpan w:val="2"/>
          </w:tcPr>
          <w:p>
            <w:pPr>
              <w:jc w:val="center"/>
              <w:ind w:left="959"/>
              <w:spacing w:after="0"/>
              <w:rPr>
                <w:sz w:val="20"/>
                <w:szCs w:val="20"/>
                <w:color w:val="auto"/>
              </w:rPr>
            </w:pPr>
            <w:r>
              <w:rPr>
                <w:rFonts w:ascii="Arial" w:cs="Arial" w:eastAsia="Arial" w:hAnsi="Arial"/>
                <w:sz w:val="16"/>
                <w:szCs w:val="16"/>
                <w:color w:val="auto"/>
              </w:rPr>
              <w:t>5.700% Fixed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5.700 %</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5/20/2027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380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400,000</w:t>
            </w:r>
          </w:p>
        </w:tc>
        <w:tc>
          <w:tcPr>
            <w:tcW w:w="2180" w:type="dxa"/>
            <w:vAlign w:val="bottom"/>
            <w:gridSpan w:val="2"/>
            <w:shd w:val="clear" w:color="auto" w:fill="DBDBDB"/>
          </w:tcPr>
          <w:p>
            <w:pPr>
              <w:jc w:val="center"/>
              <w:ind w:left="959"/>
              <w:spacing w:after="0"/>
              <w:rPr>
                <w:sz w:val="20"/>
                <w:szCs w:val="20"/>
                <w:color w:val="auto"/>
              </w:rPr>
            </w:pPr>
            <w:r>
              <w:rPr>
                <w:rFonts w:ascii="Arial" w:cs="Arial" w:eastAsia="Arial" w:hAnsi="Arial"/>
                <w:sz w:val="16"/>
                <w:szCs w:val="16"/>
                <w:color w:val="auto"/>
              </w:rPr>
              <w:t>4.625% Fixed</w:t>
            </w:r>
          </w:p>
        </w:tc>
        <w:tc>
          <w:tcPr>
            <w:tcW w:w="10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4.625 %</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11/15/2027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2180" w:type="dxa"/>
            <w:vAlign w:val="bottom"/>
            <w:gridSpan w:val="2"/>
          </w:tcPr>
          <w:p>
            <w:pPr>
              <w:jc w:val="center"/>
              <w:ind w:left="959"/>
              <w:spacing w:after="0"/>
              <w:rPr>
                <w:sz w:val="20"/>
                <w:szCs w:val="20"/>
                <w:color w:val="auto"/>
              </w:rPr>
            </w:pPr>
            <w:r>
              <w:rPr>
                <w:rFonts w:ascii="Arial" w:cs="Arial" w:eastAsia="Arial" w:hAnsi="Arial"/>
                <w:sz w:val="16"/>
                <w:szCs w:val="16"/>
                <w:color w:val="auto"/>
              </w:rPr>
              <w:t>4.900% Fixed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4.900 %</w:t>
            </w:r>
          </w:p>
        </w:tc>
        <w:tc>
          <w:tcPr>
            <w:tcW w:w="8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auto"/>
                <w:w w:val="99"/>
              </w:rPr>
              <w:t>4/3/2028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380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750,000</w:t>
            </w:r>
          </w:p>
        </w:tc>
        <w:tc>
          <w:tcPr>
            <w:tcW w:w="2180" w:type="dxa"/>
            <w:vAlign w:val="bottom"/>
            <w:gridSpan w:val="2"/>
            <w:shd w:val="clear" w:color="auto" w:fill="DBDBDB"/>
          </w:tcPr>
          <w:p>
            <w:pPr>
              <w:jc w:val="center"/>
              <w:ind w:left="959"/>
              <w:spacing w:after="0"/>
              <w:rPr>
                <w:sz w:val="20"/>
                <w:szCs w:val="20"/>
                <w:color w:val="auto"/>
              </w:rPr>
            </w:pPr>
            <w:r>
              <w:rPr>
                <w:rFonts w:ascii="Arial" w:cs="Arial" w:eastAsia="Arial" w:hAnsi="Arial"/>
                <w:sz w:val="16"/>
                <w:szCs w:val="16"/>
                <w:color w:val="auto"/>
              </w:rPr>
              <w:t>6.750% Fixed</w:t>
            </w:r>
          </w:p>
        </w:tc>
        <w:tc>
          <w:tcPr>
            <w:tcW w:w="10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6.750 %</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11/17/2028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900,000</w:t>
            </w:r>
          </w:p>
        </w:tc>
        <w:tc>
          <w:tcPr>
            <w:tcW w:w="2180" w:type="dxa"/>
            <w:vAlign w:val="bottom"/>
            <w:gridSpan w:val="2"/>
          </w:tcPr>
          <w:p>
            <w:pPr>
              <w:jc w:val="center"/>
              <w:ind w:left="959"/>
              <w:spacing w:after="0"/>
              <w:rPr>
                <w:sz w:val="20"/>
                <w:szCs w:val="20"/>
                <w:color w:val="auto"/>
              </w:rPr>
            </w:pPr>
            <w:r>
              <w:rPr>
                <w:rFonts w:ascii="Arial" w:cs="Arial" w:eastAsia="Arial" w:hAnsi="Arial"/>
                <w:sz w:val="16"/>
                <w:szCs w:val="16"/>
                <w:color w:val="auto"/>
              </w:rPr>
              <w:t>4.000% Fixed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4.000 %</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3/15/2029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380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750,000</w:t>
            </w:r>
          </w:p>
        </w:tc>
        <w:tc>
          <w:tcPr>
            <w:tcW w:w="2180" w:type="dxa"/>
            <w:vAlign w:val="bottom"/>
            <w:gridSpan w:val="2"/>
            <w:shd w:val="clear" w:color="auto" w:fill="DBDBDB"/>
          </w:tcPr>
          <w:p>
            <w:pPr>
              <w:jc w:val="center"/>
              <w:ind w:left="959"/>
              <w:spacing w:after="0"/>
              <w:rPr>
                <w:sz w:val="20"/>
                <w:szCs w:val="20"/>
                <w:color w:val="auto"/>
              </w:rPr>
            </w:pPr>
            <w:r>
              <w:rPr>
                <w:rFonts w:ascii="Arial" w:cs="Arial" w:eastAsia="Arial" w:hAnsi="Arial"/>
                <w:sz w:val="16"/>
                <w:szCs w:val="16"/>
                <w:color w:val="auto"/>
              </w:rPr>
              <w:t>5.200% Fixed</w:t>
            </w:r>
          </w:p>
        </w:tc>
        <w:tc>
          <w:tcPr>
            <w:tcW w:w="10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5.200 %</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3/15/2030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2180" w:type="dxa"/>
            <w:vAlign w:val="bottom"/>
            <w:gridSpan w:val="2"/>
          </w:tcPr>
          <w:p>
            <w:pPr>
              <w:jc w:val="center"/>
              <w:ind w:left="959"/>
              <w:spacing w:after="0"/>
              <w:rPr>
                <w:sz w:val="20"/>
                <w:szCs w:val="20"/>
                <w:color w:val="auto"/>
              </w:rPr>
            </w:pPr>
            <w:r>
              <w:rPr>
                <w:rFonts w:ascii="Arial" w:cs="Arial" w:eastAsia="Arial" w:hAnsi="Arial"/>
                <w:sz w:val="16"/>
                <w:szCs w:val="16"/>
                <w:color w:val="auto"/>
              </w:rPr>
              <w:t>5.150% Fixed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5.150 %</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6/15/2030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380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400,000</w:t>
            </w:r>
          </w:p>
        </w:tc>
        <w:tc>
          <w:tcPr>
            <w:tcW w:w="2180" w:type="dxa"/>
            <w:vAlign w:val="bottom"/>
            <w:gridSpan w:val="2"/>
            <w:shd w:val="clear" w:color="auto" w:fill="DBDBDB"/>
          </w:tcPr>
          <w:p>
            <w:pPr>
              <w:jc w:val="center"/>
              <w:ind w:left="959"/>
              <w:spacing w:after="0"/>
              <w:rPr>
                <w:sz w:val="20"/>
                <w:szCs w:val="20"/>
                <w:color w:val="auto"/>
              </w:rPr>
            </w:pPr>
            <w:r>
              <w:rPr>
                <w:rFonts w:ascii="Arial" w:cs="Arial" w:eastAsia="Arial" w:hAnsi="Arial"/>
                <w:sz w:val="16"/>
                <w:szCs w:val="16"/>
                <w:color w:val="auto"/>
              </w:rPr>
              <w:t>4.375% Fixed</w:t>
            </w:r>
          </w:p>
        </w:tc>
        <w:tc>
          <w:tcPr>
            <w:tcW w:w="10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4.375 %</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5/15/2031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2180" w:type="dxa"/>
            <w:vAlign w:val="bottom"/>
            <w:gridSpan w:val="2"/>
          </w:tcPr>
          <w:p>
            <w:pPr>
              <w:jc w:val="center"/>
              <w:ind w:left="959"/>
              <w:spacing w:after="0"/>
              <w:rPr>
                <w:sz w:val="20"/>
                <w:szCs w:val="20"/>
                <w:color w:val="auto"/>
              </w:rPr>
            </w:pPr>
            <w:r>
              <w:rPr>
                <w:rFonts w:ascii="Arial" w:cs="Arial" w:eastAsia="Arial" w:hAnsi="Arial"/>
                <w:sz w:val="16"/>
                <w:szCs w:val="16"/>
                <w:color w:val="auto"/>
              </w:rPr>
              <w:t>6.000% Fixed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6.000 %</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5/20/2034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380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500,000</w:t>
            </w:r>
          </w:p>
        </w:tc>
        <w:tc>
          <w:tcPr>
            <w:tcW w:w="2180" w:type="dxa"/>
            <w:vAlign w:val="bottom"/>
            <w:gridSpan w:val="2"/>
            <w:shd w:val="clear" w:color="auto" w:fill="DBDBDB"/>
          </w:tcPr>
          <w:p>
            <w:pPr>
              <w:jc w:val="center"/>
              <w:ind w:left="959"/>
              <w:spacing w:after="0"/>
              <w:rPr>
                <w:sz w:val="20"/>
                <w:szCs w:val="20"/>
                <w:color w:val="auto"/>
              </w:rPr>
            </w:pPr>
            <w:r>
              <w:rPr>
                <w:rFonts w:ascii="Arial" w:cs="Arial" w:eastAsia="Arial" w:hAnsi="Arial"/>
                <w:sz w:val="16"/>
                <w:szCs w:val="16"/>
                <w:color w:val="auto"/>
              </w:rPr>
              <w:t>5.650% Fixed</w:t>
            </w:r>
          </w:p>
        </w:tc>
        <w:tc>
          <w:tcPr>
            <w:tcW w:w="10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480" w:type="dxa"/>
            <w:vAlign w:val="bottom"/>
            <w:gridSpan w:val="4"/>
            <w:shd w:val="clear" w:color="auto" w:fill="DBDBDB"/>
          </w:tcPr>
          <w:p>
            <w:pPr>
              <w:jc w:val="right"/>
              <w:ind w:right="299"/>
              <w:spacing w:after="0"/>
              <w:rPr>
                <w:sz w:val="20"/>
                <w:szCs w:val="20"/>
                <w:color w:val="auto"/>
              </w:rPr>
            </w:pPr>
            <w:r>
              <w:rPr>
                <w:rFonts w:ascii="Arial" w:cs="Arial" w:eastAsia="Arial" w:hAnsi="Arial"/>
                <w:sz w:val="16"/>
                <w:szCs w:val="16"/>
                <w:color w:val="auto"/>
              </w:rPr>
              <w:t>5.650 % 3/15/2035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Senior Unsecured Notes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2180" w:type="dxa"/>
            <w:vAlign w:val="bottom"/>
            <w:gridSpan w:val="2"/>
          </w:tcPr>
          <w:p>
            <w:pPr>
              <w:jc w:val="center"/>
              <w:ind w:left="959"/>
              <w:spacing w:after="0"/>
              <w:rPr>
                <w:sz w:val="20"/>
                <w:szCs w:val="20"/>
                <w:color w:val="auto"/>
              </w:rPr>
            </w:pPr>
            <w:r>
              <w:rPr>
                <w:rFonts w:ascii="Arial" w:cs="Arial" w:eastAsia="Arial" w:hAnsi="Arial"/>
                <w:sz w:val="16"/>
                <w:szCs w:val="16"/>
                <w:color w:val="auto"/>
              </w:rPr>
              <w:t>5.750% Fixed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6"/>
                <w:szCs w:val="16"/>
                <w:color w:val="auto"/>
              </w:rPr>
              <w:t>5.750 % 6/15/2035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800" w:type="dxa"/>
            <w:vAlign w:val="bottom"/>
            <w:tcBorders>
              <w:top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Total / Weighted Average</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7,836,000</w:t>
            </w:r>
          </w:p>
        </w:tc>
        <w:tc>
          <w:tcPr>
            <w:tcW w:w="1780" w:type="dxa"/>
            <w:vAlign w:val="bottom"/>
            <w:tcBorders>
              <w:top w:val="single" w:sz="8" w:color="DBDBDB"/>
            </w:tcBorders>
            <w:shd w:val="clear" w:color="auto" w:fill="DBDBDB"/>
          </w:tcPr>
          <w:p>
            <w:pPr>
              <w:spacing w:after="0"/>
              <w:rPr>
                <w:sz w:val="18"/>
                <w:szCs w:val="18"/>
                <w:color w:val="auto"/>
              </w:rPr>
            </w:pPr>
          </w:p>
        </w:tc>
        <w:tc>
          <w:tcPr>
            <w:tcW w:w="400" w:type="dxa"/>
            <w:vAlign w:val="bottom"/>
            <w:tcBorders>
              <w:top w:val="single" w:sz="8" w:color="DBDBDB"/>
            </w:tcBorders>
            <w:shd w:val="clear" w:color="auto" w:fill="DBDBDB"/>
          </w:tcPr>
          <w:p>
            <w:pPr>
              <w:spacing w:after="0"/>
              <w:rPr>
                <w:sz w:val="18"/>
                <w:szCs w:val="18"/>
                <w:color w:val="auto"/>
              </w:rPr>
            </w:pPr>
          </w:p>
        </w:tc>
        <w:tc>
          <w:tcPr>
            <w:tcW w:w="104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5.265 %</w:t>
            </w:r>
          </w:p>
        </w:tc>
        <w:tc>
          <w:tcPr>
            <w:tcW w:w="80" w:type="dxa"/>
            <w:vAlign w:val="bottom"/>
            <w:tcBorders>
              <w:top w:val="single" w:sz="8" w:color="DBDBDB"/>
            </w:tcBorders>
            <w:shd w:val="clear" w:color="auto" w:fill="DBDBDB"/>
          </w:tcPr>
          <w:p>
            <w:pPr>
              <w:spacing w:after="0"/>
              <w:rPr>
                <w:sz w:val="18"/>
                <w:szCs w:val="18"/>
                <w:color w:val="auto"/>
              </w:rPr>
            </w:pPr>
          </w:p>
        </w:tc>
        <w:tc>
          <w:tcPr>
            <w:tcW w:w="1040" w:type="dxa"/>
            <w:vAlign w:val="bottom"/>
            <w:tcBorders>
              <w:top w:val="single" w:sz="8" w:color="DBDBDB"/>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Unsecured borrowing capacity of $2.25 billion at LPL Holdings, Inc.</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SOFR rate option is a one-month SOFR rate and subject to an interest rate floor of 0 bps.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LPL Financial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Business and Financial Metrics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Q3 2026</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Q2 2026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Q3 2025</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196"/>
        </w:trPr>
        <w:tc>
          <w:tcPr>
            <w:tcW w:w="53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Business Metrics</w:t>
            </w: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15"/>
        </w:trPr>
        <w:tc>
          <w:tcPr>
            <w:tcW w:w="5380" w:type="dxa"/>
            <w:vAlign w:val="bottom"/>
          </w:tcPr>
          <w:p>
            <w:pPr>
              <w:ind w:left="140"/>
              <w:spacing w:after="0"/>
              <w:rPr>
                <w:sz w:val="20"/>
                <w:szCs w:val="20"/>
                <w:color w:val="auto"/>
              </w:rPr>
            </w:pPr>
            <w:r>
              <w:rPr>
                <w:rFonts w:ascii="Arial" w:cs="Arial" w:eastAsia="Arial" w:hAnsi="Arial"/>
                <w:sz w:val="16"/>
                <w:szCs w:val="16"/>
                <w:color w:val="auto"/>
              </w:rPr>
              <w:t>Advisors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32,597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32,475</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32,128</w:t>
            </w:r>
          </w:p>
        </w:tc>
        <w:tc>
          <w:tcPr>
            <w:tcW w:w="1080" w:type="dxa"/>
            <w:vAlign w:val="bottom"/>
          </w:tcPr>
          <w:p>
            <w:pPr>
              <w:jc w:val="center"/>
              <w:spacing w:after="0"/>
              <w:rPr>
                <w:sz w:val="20"/>
                <w:szCs w:val="20"/>
                <w:color w:val="auto"/>
              </w:rPr>
            </w:pPr>
            <w:r>
              <w:rPr>
                <w:rFonts w:ascii="Arial" w:cs="Arial" w:eastAsia="Arial" w:hAnsi="Arial"/>
                <w:sz w:val="16"/>
                <w:szCs w:val="16"/>
                <w:color w:val="auto"/>
              </w:rPr>
              <w:t>1%</w:t>
            </w:r>
          </w:p>
        </w:tc>
      </w:tr>
      <w:tr>
        <w:trPr>
          <w:trHeight w:val="217"/>
        </w:trPr>
        <w:tc>
          <w:tcPr>
            <w:tcW w:w="53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Net new advisors</w:t>
            </w: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331</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n/m</w:t>
            </w: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2,775</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r>
        <w:trPr>
          <w:trHeight w:val="215"/>
        </w:trPr>
        <w:tc>
          <w:tcPr>
            <w:tcW w:w="5380" w:type="dxa"/>
            <w:vAlign w:val="bottom"/>
          </w:tcPr>
          <w:p>
            <w:pPr>
              <w:ind w:left="140"/>
              <w:spacing w:after="0"/>
              <w:rPr>
                <w:sz w:val="20"/>
                <w:szCs w:val="20"/>
                <w:color w:val="auto"/>
              </w:rPr>
            </w:pPr>
            <w:r>
              <w:rPr>
                <w:rFonts w:ascii="Arial" w:cs="Arial" w:eastAsia="Arial" w:hAnsi="Arial"/>
                <w:sz w:val="16"/>
                <w:szCs w:val="16"/>
                <w:color w:val="auto"/>
              </w:rPr>
              <w:t>Annualized advisory fees and commissions per advisor</w:t>
            </w:r>
            <w:r>
              <w:rPr>
                <w:rFonts w:ascii="Arial" w:cs="Arial" w:eastAsia="Arial" w:hAnsi="Arial"/>
                <w:sz w:val="10"/>
                <w:szCs w:val="10"/>
                <w:color w:val="auto"/>
              </w:rPr>
              <w:t>(28)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15%</w:t>
            </w:r>
          </w:p>
        </w:tc>
      </w:tr>
      <w:tr>
        <w:trPr>
          <w:trHeight w:val="217"/>
        </w:trPr>
        <w:tc>
          <w:tcPr>
            <w:tcW w:w="53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Average total assets per advisor ($ in millions)</w:t>
            </w:r>
            <w:r>
              <w:rPr>
                <w:rFonts w:ascii="Arial" w:cs="Arial" w:eastAsia="Arial" w:hAnsi="Arial"/>
                <w:sz w:val="10"/>
                <w:szCs w:val="10"/>
                <w:color w:val="auto"/>
              </w:rPr>
              <w:t>(29)</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78.7</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78.9</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w:t>
            </w:r>
          </w:p>
        </w:tc>
      </w:tr>
      <w:tr>
        <w:trPr>
          <w:trHeight w:val="215"/>
        </w:trPr>
        <w:tc>
          <w:tcPr>
            <w:tcW w:w="5380" w:type="dxa"/>
            <w:vAlign w:val="bottom"/>
          </w:tcPr>
          <w:p>
            <w:pPr>
              <w:ind w:left="140"/>
              <w:spacing w:after="0"/>
              <w:rPr>
                <w:sz w:val="20"/>
                <w:szCs w:val="20"/>
                <w:color w:val="auto"/>
              </w:rPr>
            </w:pPr>
            <w:r>
              <w:rPr>
                <w:rFonts w:ascii="Arial" w:cs="Arial" w:eastAsia="Arial" w:hAnsi="Arial"/>
                <w:sz w:val="16"/>
                <w:szCs w:val="16"/>
                <w:color w:val="auto"/>
              </w:rPr>
              <w:t>Total client accounts (in millions)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08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17"/>
        </w:trPr>
        <w:tc>
          <w:tcPr>
            <w:tcW w:w="53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Recruited AUM ($ in billions)</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32.6</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(26%)</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Employees</w:t>
            </w: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10,417</w:t>
            </w:r>
          </w:p>
        </w:tc>
        <w:tc>
          <w:tcPr>
            <w:tcW w:w="20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10,081</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4"/>
              </w:rPr>
              <w:t>3%</w:t>
            </w: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10,116</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38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AUM retention rate (quarterly annualized)</w:t>
            </w:r>
            <w:r>
              <w:rPr>
                <w:rFonts w:ascii="Arial" w:cs="Arial" w:eastAsia="Arial" w:hAnsi="Arial"/>
                <w:sz w:val="10"/>
                <w:szCs w:val="10"/>
                <w:color w:val="auto"/>
              </w:rPr>
              <w:t>(30)</w:t>
            </w: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97.4%</w:t>
            </w:r>
          </w:p>
        </w:tc>
        <w:tc>
          <w:tcPr>
            <w:tcW w:w="2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97.4%</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—bps</w:t>
            </w: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96.4%</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100bps</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3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Capital Management</w:t>
            </w: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215"/>
        </w:trPr>
        <w:tc>
          <w:tcPr>
            <w:tcW w:w="5380" w:type="dxa"/>
            <w:vAlign w:val="bottom"/>
          </w:tcPr>
          <w:p>
            <w:pPr>
              <w:ind w:left="140"/>
              <w:spacing w:after="0"/>
              <w:rPr>
                <w:sz w:val="20"/>
                <w:szCs w:val="20"/>
                <w:color w:val="auto"/>
              </w:rPr>
            </w:pPr>
            <w:r>
              <w:rPr>
                <w:rFonts w:ascii="Arial" w:cs="Arial" w:eastAsia="Arial" w:hAnsi="Arial"/>
                <w:sz w:val="16"/>
                <w:szCs w:val="16"/>
                <w:color w:val="auto"/>
              </w:rPr>
              <w:t>Capital expenditures ($ in millions)</w:t>
            </w:r>
            <w:r>
              <w:rPr>
                <w:rFonts w:ascii="Arial" w:cs="Arial" w:eastAsia="Arial" w:hAnsi="Arial"/>
                <w:sz w:val="10"/>
                <w:szCs w:val="10"/>
                <w:color w:val="auto"/>
              </w:rPr>
              <w:t>(31)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199.4</w:t>
            </w:r>
          </w:p>
        </w:tc>
        <w:tc>
          <w:tcPr>
            <w:tcW w:w="1080" w:type="dxa"/>
            <w:vAlign w:val="bottom"/>
          </w:tcPr>
          <w:p>
            <w:pPr>
              <w:jc w:val="center"/>
              <w:spacing w:after="0"/>
              <w:rPr>
                <w:sz w:val="20"/>
                <w:szCs w:val="20"/>
                <w:color w:val="auto"/>
              </w:rPr>
            </w:pPr>
            <w:r>
              <w:rPr>
                <w:rFonts w:ascii="Arial" w:cs="Arial" w:eastAsia="Arial" w:hAnsi="Arial"/>
                <w:sz w:val="16"/>
                <w:szCs w:val="16"/>
                <w:color w:val="auto"/>
              </w:rPr>
              <w:t>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217"/>
        </w:trPr>
        <w:tc>
          <w:tcPr>
            <w:tcW w:w="53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Acquisitions, net ($ in millions)</w:t>
            </w:r>
            <w:r>
              <w:rPr>
                <w:rFonts w:ascii="Arial" w:cs="Arial" w:eastAsia="Arial" w:hAnsi="Arial"/>
                <w:sz w:val="10"/>
                <w:szCs w:val="10"/>
                <w:color w:val="auto"/>
              </w:rPr>
              <w:t>(32)</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102.2</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102.7</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1,526.3</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(93%)</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3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Share repurchases ($ in millions)</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300.6</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309.5</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7"/>
              </w:rPr>
              <w:t>100%</w:t>
            </w:r>
          </w:p>
        </w:tc>
      </w:tr>
      <w:tr>
        <w:trPr>
          <w:trHeight w:val="215"/>
        </w:trPr>
        <w:tc>
          <w:tcPr>
            <w:tcW w:w="53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Dividends ($ in millions)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(2%)</w:t>
            </w:r>
          </w:p>
        </w:tc>
      </w:tr>
      <w:tr>
        <w:trPr>
          <w:trHeight w:val="210"/>
        </w:trPr>
        <w:tc>
          <w:tcPr>
            <w:tcW w:w="5380" w:type="dxa"/>
            <w:vAlign w:val="bottom"/>
            <w:shd w:val="clear" w:color="auto" w:fill="DBDBDB"/>
          </w:tcPr>
          <w:p>
            <w:pPr>
              <w:ind w:left="220"/>
              <w:spacing w:after="0"/>
              <w:rPr>
                <w:sz w:val="20"/>
                <w:szCs w:val="20"/>
                <w:color w:val="auto"/>
              </w:rPr>
            </w:pPr>
            <w:r>
              <w:rPr>
                <w:rFonts w:ascii="Arial" w:cs="Arial" w:eastAsia="Arial" w:hAnsi="Arial"/>
                <w:sz w:val="16"/>
                <w:szCs w:val="16"/>
                <w:b w:val="1"/>
                <w:bCs w:val="1"/>
                <w:color w:val="auto"/>
              </w:rPr>
              <w:t>Total Capital Returned ($ in millions)</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324.2</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333.5</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24.0</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n/m</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believes that presenting certain non-GAAP financial measures by excluding or including certain items can be helpful to investors and analysts who may wish to use this information to analyze the Company’s current performance, prospects and valuation. Management uses this non-GAAP information internally to evaluate operating performance and in formulating the budget for future periods. Management believes that the non-GAAP financial measures and metrics discussed below are appropriate for evaluating the performance of the Company.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EPS and Adjusted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defined as adjusted net income, a non-GAAP measure defined as net income (loss) plus the after-tax impact of amortization of other intangibles and acquisition costs,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and acquisition costs that management does not believe impact the Company’s ongoing operations. Adjusted net income and adjusted EPS are not measures of the Company's financial performance under GAAP and should not be considered as alternatives to net income (loss), earnings (loss) per diluted share or any other performance measure derived in accordance with GAAP. For a reconciliation of net income (loss) and earnings (loss) per diluted share to adjusted net income and adjusted EPS, please see the endnote disclosures in this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Gross profit is calculated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general and administrative in nature. Because the Company’s gross profit amounts do not include any depreciation and amortization expense, the Company considers gross profit to be a non-GAAP financial measure that may not be comparable to similar measures used by others in its industry. Management believes that gross profit can provide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890" w:right="379" w:bottom="1440" w:gutter="0" w:footer="0" w:header="0"/>
        </w:sectPr>
      </w:pPr>
    </w:p>
    <w:bookmarkStart w:id="18" w:name="page19"/>
    <w:bookmarkEnd w:id="18"/>
    <w:p>
      <w:pPr>
        <w:ind w:right="520"/>
        <w:spacing w:after="0" w:line="287" w:lineRule="auto"/>
        <w:rPr>
          <w:sz w:val="20"/>
          <w:szCs w:val="20"/>
          <w:color w:val="auto"/>
        </w:rPr>
      </w:pPr>
      <w:r>
        <w:rPr>
          <w:rFonts w:ascii="Arial" w:cs="Arial" w:eastAsia="Arial" w:hAnsi="Arial"/>
          <w:sz w:val="18"/>
          <w:szCs w:val="18"/>
          <w:color w:val="auto"/>
        </w:rPr>
        <w:t>investors with useful insight into the Company’s core operating performance before indirect costs that are general and administrative in nature. For a calculation of gross profit, please see the endnote disclosures in this release.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G&amp;A</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Core G&amp;A consists of total expense less the following expenses: advisory and commission; depreciation and amortization; interest expense on borrowings; brokerage, clearing and exchange; amortization of other intangibles; market fluctuations on employee deferred compensation; transition assistance loan amortization; promotional (ongoing); acquisition costs; employee share-based compensation; and regulatory charges.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or which management views as promotional expense necessary to support advisor growth and retention, including conferences and transition assistance. Core G&amp;A is not a measure of the Company’s total expense as calculated in accordance with GAAP. For a reconciliation of the Company's total expense to core G&amp;A, please see the endnote disclosures in this release. The Company does not provide an outlook for its total expense because it contains expense components, such as advisory and commission, that are market-driven and over which the Company cannot exercise control. Accordingly, a reconciliation of the Company’s outlook for total expense to an outlook for core G&amp;A cannot be made available without unreasonable effort.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EBITDA is defined as net income (loss) plus interest expense on borrowings, provision for (benefit from) income taxes, depreciation and amortization, and amortization of other intangibles. Adjusted EBITDA is defined as EBITDA, a non-GAAP measure, plus acquisition costs. The Company presents EBITDA and adjusted EBITDA because management believes that they can be useful financial metrics in understanding the Company’s earnings from operations. EBITDA and adjusted EBITDA are not measures of the Company's financial performance under GAAP and should not be considered as alternatives to net income (loss) or any other performance measure derived in accordance with GAAP. For a reconciliation of net income (loss) to EBITDA and adjusted EBITDA, please see the endnote disclosures in this release.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pre-tax income</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Adjusted pre-tax income is defined as income (loss) before provision for (benefit from) income taxes plus amortization of other intangibles and acquisition costs. The Company presents adjusted pre-tax income because management believes that it can provide investors with useful insight into the Company's core operating performance by excluding non-cash items and acquisition costs that management does not believe impact the Company's ongoing operations. Adjusted pre-tax income is not a measure of the Company's financial performance under GAAP and should not be considered as an alternative to income (loss) before provision for (benefit from) income taxes or any other performance measure derived in accordance with GAAP. For a reconciliation of income (loss) before provision for (benefit from) income taxes to adjusted pre-tax income, please see the endnote disclosures in this release.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EBITDA</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Credit Agreement EBITDA is defined in, and calculated by management in accordance with, the Company's amended and restated credit agreement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 The Company presents Credit Agreement EBITDA because management believes that it can be a useful financial metric in understanding the Company’s debt capacity and covenant compliance under its Credit Agreement. Credit Agreement EBITDA is not a measure of the Company's financial performance under GAAP and should not be considered as an alternative to net income or any other performance measure derived in accordance with GAAP. For a reconciliation of net income to Credit Agreement EBITDA, please see the endnote disclosures in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Endnote Disclosures</w:t>
      </w:r>
    </w:p>
    <w:p>
      <w:pPr>
        <w:spacing w:after="0" w:line="158" w:lineRule="exact"/>
        <w:rPr>
          <w:sz w:val="20"/>
          <w:szCs w:val="20"/>
          <w:color w:val="auto"/>
        </w:rPr>
      </w:pPr>
    </w:p>
    <w:p>
      <w:pPr>
        <w:ind w:left="500" w:right="240" w:hanging="492"/>
        <w:spacing w:after="0" w:line="268" w:lineRule="auto"/>
        <w:tabs>
          <w:tab w:leader="none" w:pos="2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estimated total client assets expected to transition to the Company's primary broker-dealer subsidiary, LPL Financial, in connection with advisors who transferred their licenses to LPL Financial during the period. The estimate is based on prior business reported by the advisors, which has not been independently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98" w:right="339" w:bottom="1440" w:gutter="0" w:footer="0" w:header="0"/>
        </w:sectPr>
      </w:pPr>
    </w:p>
    <w:bookmarkStart w:id="19" w:name="page20"/>
    <w:bookmarkEnd w:id="19"/>
    <w:p>
      <w:pPr>
        <w:ind w:left="492" w:right="360"/>
        <w:spacing w:after="0" w:line="281" w:lineRule="auto"/>
        <w:rPr>
          <w:sz w:val="20"/>
          <w:szCs w:val="20"/>
          <w:color w:val="auto"/>
        </w:rPr>
      </w:pPr>
      <w:r>
        <w:rPr>
          <w:rFonts w:ascii="Arial" w:cs="Arial" w:eastAsia="Arial" w:hAnsi="Arial"/>
          <w:sz w:val="18"/>
          <w:szCs w:val="18"/>
          <w:color w:val="auto"/>
        </w:rPr>
        <w:t>fully verified by LPL Financial. The actual transition of client assets to LPL Financial generally occurs over several quarters and the actual amount transitioned may vary from the estimate.</w:t>
      </w:r>
    </w:p>
    <w:p>
      <w:pPr>
        <w:spacing w:after="0" w:line="1" w:lineRule="exact"/>
        <w:rPr>
          <w:sz w:val="20"/>
          <w:szCs w:val="20"/>
          <w:color w:val="auto"/>
        </w:rPr>
      </w:pPr>
    </w:p>
    <w:p>
      <w:pPr>
        <w:ind w:left="492" w:right="100" w:hanging="492"/>
        <w:spacing w:after="0" w:line="259" w:lineRule="auto"/>
        <w:tabs>
          <w:tab w:leader="none" w:pos="2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cash, a component of cash and equivalents, is the sum of cash and equivalents from the following: (1) cash and equivalents held at LPL Holdings, Inc., (2) cash and equivalents held at regulated subsidiaries as defined by the Company's Credit Agreement, which include LPL Financial, LPL Enterprise, LLC, The Private Trust Company, N.A., and Commonwealth Equity Services, LLC ("CES"), in excess of the capital requirements of the Company's Credit Agreement and (3) cash and equivalents held at non-regulated subsidiaries.</w:t>
      </w:r>
    </w:p>
    <w:p>
      <w:pPr>
        <w:spacing w:after="0" w:line="17" w:lineRule="exact"/>
        <w:rPr>
          <w:rFonts w:ascii="Arial" w:cs="Arial" w:eastAsia="Arial" w:hAnsi="Arial"/>
          <w:sz w:val="18"/>
          <w:szCs w:val="18"/>
          <w:color w:val="auto"/>
        </w:rPr>
      </w:pPr>
    </w:p>
    <w:p>
      <w:pPr>
        <w:ind w:left="272" w:hanging="272"/>
        <w:spacing w:after="0"/>
        <w:tabs>
          <w:tab w:leader="none" w:pos="2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Leverage Ratio is only required under the Company's revolving credit facility.</w:t>
      </w:r>
    </w:p>
    <w:p>
      <w:pPr>
        <w:spacing w:after="0" w:line="49" w:lineRule="exact"/>
        <w:rPr>
          <w:rFonts w:ascii="Arial" w:cs="Arial" w:eastAsia="Arial" w:hAnsi="Arial"/>
          <w:sz w:val="18"/>
          <w:szCs w:val="18"/>
          <w:color w:val="auto"/>
        </w:rPr>
      </w:pPr>
    </w:p>
    <w:p>
      <w:pPr>
        <w:ind w:left="492" w:right="140" w:hanging="492"/>
        <w:spacing w:after="0" w:line="228" w:lineRule="auto"/>
        <w:tabs>
          <w:tab w:leader="none" w:pos="4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was named a Top RIA custodian (Cerulli Associates, 2025 U.S. RIA Marketplace Report); and, among third-party providers of brokerage services to banks and credit unions</w:t>
      </w:r>
      <w:r>
        <w:rPr>
          <w:rFonts w:ascii="Arial" w:cs="Arial" w:eastAsia="Arial" w:hAnsi="Arial"/>
          <w:sz w:val="23"/>
          <w:szCs w:val="23"/>
          <w:color w:val="auto"/>
          <w:strike w:val="1"/>
          <w:vertAlign w:val="subscript"/>
        </w:rPr>
        <w:t>,</w:t>
      </w:r>
      <w:r>
        <w:rPr>
          <w:rFonts w:ascii="Arial" w:cs="Arial" w:eastAsia="Arial" w:hAnsi="Arial"/>
          <w:sz w:val="18"/>
          <w:szCs w:val="18"/>
          <w:color w:val="auto"/>
        </w:rPr>
        <w:t xml:space="preserve"> No. 1 in Market Share of AUM from Financial Institutions and No. 1 in Share of Advisors (Cerulli Associates, 2025 U.S. Broker-Dealer Marketplace Report). Commonwealth and the Company ranked No. 1 and No. 2, respectively, in the JD Power 2026 Independent Advisor Satisfaction survey.</w:t>
      </w:r>
    </w:p>
    <w:p>
      <w:pPr>
        <w:ind w:left="492" w:right="20" w:hanging="492"/>
        <w:spacing w:after="0" w:line="266" w:lineRule="auto"/>
        <w:tabs>
          <w:tab w:leader="none" w:pos="2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Gross profit is a non-GAAP financial measure. Please see a description of gross profit under the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 of this release for additional information. Below is a calculation of gross profit for the periods presented (in thousands):</w:t>
      </w:r>
    </w:p>
    <w:p>
      <w:pPr>
        <w:spacing w:after="0" w:line="54"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662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2026</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 2026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Q3 2025</w:t>
            </w:r>
          </w:p>
        </w:tc>
      </w:tr>
      <w:tr>
        <w:trPr>
          <w:trHeight w:val="210"/>
        </w:trPr>
        <w:tc>
          <w:tcPr>
            <w:tcW w:w="66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5,344,030</w:t>
            </w:r>
          </w:p>
        </w:tc>
        <w:tc>
          <w:tcPr>
            <w:tcW w:w="2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5,186,623</w:t>
            </w:r>
          </w:p>
        </w:tc>
        <w:tc>
          <w:tcPr>
            <w:tcW w:w="2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4,551,977</w:t>
            </w:r>
          </w:p>
        </w:tc>
      </w:tr>
      <w:tr>
        <w:trPr>
          <w:trHeight w:val="215"/>
        </w:trPr>
        <w:tc>
          <w:tcPr>
            <w:tcW w:w="6620" w:type="dxa"/>
            <w:vAlign w:val="bottom"/>
          </w:tcPr>
          <w:p>
            <w:pPr>
              <w:ind w:left="220"/>
              <w:spacing w:after="0"/>
              <w:rPr>
                <w:sz w:val="20"/>
                <w:szCs w:val="20"/>
                <w:color w:val="auto"/>
              </w:rPr>
            </w:pPr>
            <w:r>
              <w:rPr>
                <w:rFonts w:ascii="Arial" w:cs="Arial" w:eastAsia="Arial" w:hAnsi="Arial"/>
                <w:sz w:val="16"/>
                <w:szCs w:val="16"/>
                <w:color w:val="auto"/>
              </w:rPr>
              <w:t>Advisory and commission expense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3,632,732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3,507,164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3,025,274</w:t>
            </w:r>
          </w:p>
        </w:tc>
      </w:tr>
      <w:tr>
        <w:trPr>
          <w:trHeight w:val="217"/>
        </w:trPr>
        <w:tc>
          <w:tcPr>
            <w:tcW w:w="66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Brokerage, clearing and exchange expense</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49,139</w:t>
            </w:r>
          </w:p>
        </w:tc>
        <w:tc>
          <w:tcPr>
            <w:tcW w:w="2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52,018</w:t>
            </w:r>
          </w:p>
        </w:tc>
        <w:tc>
          <w:tcPr>
            <w:tcW w:w="26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43,282</w:t>
            </w:r>
          </w:p>
        </w:tc>
      </w:tr>
      <w:tr>
        <w:trPr>
          <w:trHeight w:val="215"/>
        </w:trPr>
        <w:tc>
          <w:tcPr>
            <w:tcW w:w="662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Employee deferred compensation</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9,178</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r>
      <w:tr>
        <w:trPr>
          <w:trHeight w:val="235"/>
        </w:trPr>
        <w:tc>
          <w:tcPr>
            <w:tcW w:w="66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1,661,896</w:t>
            </w: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1,618,263</w:t>
            </w:r>
          </w:p>
        </w:tc>
        <w:tc>
          <w:tcPr>
            <w:tcW w:w="26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1,479,346</w:t>
            </w:r>
          </w:p>
        </w:tc>
      </w:tr>
      <w:tr>
        <w:trPr>
          <w:trHeight w:val="20"/>
        </w:trPr>
        <w:tc>
          <w:tcPr>
            <w:tcW w:w="66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92" w:hanging="492"/>
        <w:spacing w:after="0" w:line="262" w:lineRule="auto"/>
        <w:tabs>
          <w:tab w:leader="none" w:pos="2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Production-based payout is a financial measure calculated as advisory and commission expense plus (less) advisor deferred compensation. The payout rate is calculated by dividing the production-based payout by total advisory and commission revenue. Below is a reconciliation of the Company’s advisory and commission expense to the production-based payout and a calculation of the payout rate for the periods presented (in thousands, except payout rate):</w:t>
      </w:r>
    </w:p>
    <w:p>
      <w:pPr>
        <w:spacing w:after="0" w:line="5"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63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Q3 2026</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Q2 2026</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Q3 2025</w:t>
            </w:r>
          </w:p>
        </w:tc>
      </w:tr>
      <w:tr>
        <w:trPr>
          <w:trHeight w:val="210"/>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Advisory and commission expense</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3,632,732</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3,507,164</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3,025,274</w:t>
            </w:r>
          </w:p>
        </w:tc>
      </w:tr>
      <w:tr>
        <w:trPr>
          <w:trHeight w:val="215"/>
        </w:trPr>
        <w:tc>
          <w:tcPr>
            <w:tcW w:w="632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Plus (Less): Advisor deferred compensation</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(128,203)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(53,018)</w:t>
            </w:r>
          </w:p>
        </w:tc>
      </w:tr>
      <w:tr>
        <w:trPr>
          <w:trHeight w:val="235"/>
        </w:trPr>
        <w:tc>
          <w:tcPr>
            <w:tcW w:w="63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Production-based payout</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3,627,962</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3,378,961</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2,972,256</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3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Advisory and commission revenue</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4,123,684</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3,864,478</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3,397,954</w:t>
            </w:r>
          </w:p>
        </w:tc>
      </w:tr>
      <w:tr>
        <w:trPr>
          <w:trHeight w:val="270"/>
        </w:trPr>
        <w:tc>
          <w:tcPr>
            <w:tcW w:w="6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6320" w:type="dxa"/>
            <w:vAlign w:val="bottom"/>
            <w:shd w:val="clear" w:color="auto" w:fill="DBDBDB"/>
          </w:tcPr>
          <w:p>
            <w:pPr>
              <w:ind w:left="140"/>
              <w:spacing w:after="0"/>
              <w:rPr>
                <w:sz w:val="20"/>
                <w:szCs w:val="20"/>
                <w:color w:val="auto"/>
              </w:rPr>
            </w:pPr>
            <w:r>
              <w:rPr>
                <w:rFonts w:ascii="Arial" w:cs="Arial" w:eastAsia="Arial" w:hAnsi="Arial"/>
                <w:sz w:val="16"/>
                <w:szCs w:val="16"/>
                <w:b w:val="1"/>
                <w:bCs w:val="1"/>
                <w:color w:val="auto"/>
              </w:rPr>
              <w:t>Payout rate</w:t>
            </w: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79"/>
              <w:spacing w:after="0"/>
              <w:rPr>
                <w:sz w:val="20"/>
                <w:szCs w:val="20"/>
                <w:color w:val="auto"/>
              </w:rPr>
            </w:pPr>
            <w:r>
              <w:rPr>
                <w:rFonts w:ascii="Arial" w:cs="Arial" w:eastAsia="Arial" w:hAnsi="Arial"/>
                <w:sz w:val="16"/>
                <w:szCs w:val="16"/>
                <w:b w:val="1"/>
                <w:bCs w:val="1"/>
                <w:color w:val="auto"/>
              </w:rPr>
              <w:t>87.98%</w:t>
            </w: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79"/>
              <w:spacing w:after="0"/>
              <w:rPr>
                <w:sz w:val="20"/>
                <w:szCs w:val="20"/>
                <w:color w:val="auto"/>
              </w:rPr>
            </w:pPr>
            <w:r>
              <w:rPr>
                <w:rFonts w:ascii="Arial" w:cs="Arial" w:eastAsia="Arial" w:hAnsi="Arial"/>
                <w:sz w:val="16"/>
                <w:szCs w:val="16"/>
                <w:b w:val="1"/>
                <w:bCs w:val="1"/>
                <w:color w:val="auto"/>
              </w:rPr>
              <w:t>87.44%</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299"/>
              <w:spacing w:after="0"/>
              <w:rPr>
                <w:sz w:val="20"/>
                <w:szCs w:val="20"/>
                <w:color w:val="auto"/>
              </w:rPr>
            </w:pPr>
            <w:r>
              <w:rPr>
                <w:rFonts w:ascii="Arial" w:cs="Arial" w:eastAsia="Arial" w:hAnsi="Arial"/>
                <w:sz w:val="16"/>
                <w:szCs w:val="16"/>
                <w:b w:val="1"/>
                <w:bCs w:val="1"/>
                <w:color w:val="auto"/>
              </w:rPr>
              <w:t>87.47%</w:t>
            </w:r>
          </w:p>
        </w:tc>
      </w:tr>
    </w:tbl>
    <w:p>
      <w:pPr>
        <w:spacing w:after="0" w:line="130" w:lineRule="exact"/>
        <w:rPr>
          <w:sz w:val="20"/>
          <w:szCs w:val="20"/>
          <w:color w:val="auto"/>
        </w:rPr>
      </w:pPr>
    </w:p>
    <w:p>
      <w:pPr>
        <w:jc w:val="right"/>
        <w:ind w:left="492" w:right="480" w:hanging="492"/>
        <w:spacing w:after="0" w:line="318" w:lineRule="auto"/>
        <w:tabs>
          <w:tab w:leader="none" w:pos="2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Below is a reconciliation of client cash revenue per Management's Statements of Operations to client cash revenue, a component of asset-based revenue, on the Company's condensed consolidated statements of income for the periods presented (in thousands):</w:t>
      </w:r>
    </w:p>
    <w:p>
      <w:pPr>
        <w:spacing w:after="0" w:line="175"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678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Q3 2026</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Q2 2026</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Q3 2025</w:t>
            </w:r>
          </w:p>
        </w:tc>
      </w:tr>
      <w:tr>
        <w:trPr>
          <w:trHeight w:val="210"/>
        </w:trPr>
        <w:tc>
          <w:tcPr>
            <w:tcW w:w="6780" w:type="dxa"/>
            <w:vAlign w:val="bottom"/>
            <w:shd w:val="clear" w:color="auto" w:fill="DBDBDB"/>
          </w:tcPr>
          <w:p>
            <w:pPr>
              <w:ind w:left="180"/>
              <w:spacing w:after="0"/>
              <w:rPr>
                <w:sz w:val="20"/>
                <w:szCs w:val="20"/>
                <w:color w:val="auto"/>
              </w:rPr>
            </w:pPr>
            <w:r>
              <w:rPr>
                <w:rFonts w:ascii="Arial" w:cs="Arial" w:eastAsia="Arial" w:hAnsi="Arial"/>
                <w:sz w:val="16"/>
                <w:szCs w:val="16"/>
                <w:color w:val="auto"/>
              </w:rPr>
              <w:t>Client cash on Management's Statements of Operations</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472,282</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456,945</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441,576</w:t>
            </w:r>
          </w:p>
        </w:tc>
      </w:tr>
      <w:tr>
        <w:trPr>
          <w:trHeight w:val="215"/>
        </w:trPr>
        <w:tc>
          <w:tcPr>
            <w:tcW w:w="678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Interest income on CCA balances segregated under federal or other regulations</w:t>
            </w:r>
            <w:r>
              <w:rPr>
                <w:rFonts w:ascii="Arial" w:cs="Arial" w:eastAsia="Arial" w:hAnsi="Arial"/>
                <w:sz w:val="10"/>
                <w:szCs w:val="10"/>
                <w:color w:val="auto"/>
              </w:rPr>
              <w:t>(9)</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(10,811)</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(13,386)</w:t>
            </w:r>
          </w:p>
        </w:tc>
      </w:tr>
      <w:tr>
        <w:trPr>
          <w:trHeight w:val="235"/>
        </w:trPr>
        <w:tc>
          <w:tcPr>
            <w:tcW w:w="6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b w:val="1"/>
                <w:bCs w:val="1"/>
                <w:color w:val="auto"/>
              </w:rPr>
              <w:t>Client cash on Condensed Consolidated Statements of Income</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461,471</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443,501</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428,190</w:t>
            </w:r>
          </w:p>
        </w:tc>
      </w:tr>
      <w:tr>
        <w:trPr>
          <w:trHeight w:val="20"/>
        </w:trPr>
        <w:tc>
          <w:tcPr>
            <w:tcW w:w="67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492" w:right="700" w:hanging="492"/>
        <w:spacing w:after="0" w:line="287" w:lineRule="auto"/>
        <w:tabs>
          <w:tab w:leader="none" w:pos="4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revenue from the Company's sponsorship programs with financial product manufacturers, omnibus processing and networking services but does not include fees from client cash programs.</w:t>
      </w:r>
    </w:p>
    <w:p>
      <w:pPr>
        <w:spacing w:after="0" w:line="200" w:lineRule="exact"/>
        <w:rPr>
          <w:sz w:val="20"/>
          <w:szCs w:val="20"/>
          <w:color w:val="auto"/>
        </w:rPr>
      </w:pPr>
    </w:p>
    <w:p>
      <w:pPr>
        <w:spacing w:after="0" w:line="3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32"/>
          </w:cols>
          <w:pgMar w:left="328" w:top="890" w:right="339" w:bottom="1440" w:gutter="0" w:footer="0" w:header="0"/>
        </w:sectPr>
      </w:pPr>
    </w:p>
    <w:bookmarkStart w:id="20" w:name="page21"/>
    <w:bookmarkEnd w:id="20"/>
    <w:p>
      <w:pPr>
        <w:ind w:left="492" w:hanging="492"/>
        <w:spacing w:after="0" w:line="256" w:lineRule="auto"/>
        <w:tabs>
          <w:tab w:leader="none" w:pos="4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Below is a reconciliation of interest income, net per Management's Statements of Operations to interest income, net on the Company's condensed consolidated statements of income for the periods presented (in thousands):</w:t>
      </w:r>
    </w:p>
    <w:p>
      <w:pPr>
        <w:spacing w:after="0" w:line="9" w:lineRule="exact"/>
        <w:rPr>
          <w:sz w:val="20"/>
          <w:szCs w:val="20"/>
          <w:color w:val="auto"/>
        </w:rPr>
      </w:pPr>
    </w:p>
    <w:tbl>
      <w:tblPr>
        <w:tblLayout w:type="fixed"/>
        <w:tblInd w:w="432" w:type="dxa"/>
        <w:tblCellMar>
          <w:top w:w="0" w:type="dxa"/>
          <w:left w:w="0" w:type="dxa"/>
          <w:bottom w:w="0" w:type="dxa"/>
          <w:right w:w="0" w:type="dxa"/>
        </w:tblCellMar>
      </w:tblPr>
      <w:tr>
        <w:trPr>
          <w:trHeight w:val="217"/>
        </w:trPr>
        <w:tc>
          <w:tcPr>
            <w:tcW w:w="614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Q3 2026</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 2026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2025</w:t>
            </w:r>
          </w:p>
        </w:tc>
      </w:tr>
      <w:tr>
        <w:trPr>
          <w:trHeight w:val="210"/>
        </w:trPr>
        <w:tc>
          <w:tcPr>
            <w:tcW w:w="6140" w:type="dxa"/>
            <w:vAlign w:val="bottom"/>
            <w:shd w:val="clear" w:color="auto" w:fill="DBDBDB"/>
          </w:tcPr>
          <w:p>
            <w:pPr>
              <w:ind w:left="260"/>
              <w:spacing w:after="0"/>
              <w:rPr>
                <w:sz w:val="20"/>
                <w:szCs w:val="20"/>
                <w:color w:val="auto"/>
              </w:rPr>
            </w:pPr>
            <w:r>
              <w:rPr>
                <w:rFonts w:ascii="Arial" w:cs="Arial" w:eastAsia="Arial" w:hAnsi="Arial"/>
                <w:sz w:val="16"/>
                <w:szCs w:val="16"/>
                <w:color w:val="auto"/>
              </w:rPr>
              <w:t>Interest income, net on Management's Statements of Operations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37,853</w:t>
            </w:r>
          </w:p>
        </w:tc>
        <w:tc>
          <w:tcPr>
            <w:tcW w:w="2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33,027</w:t>
            </w:r>
          </w:p>
        </w:tc>
        <w:tc>
          <w:tcPr>
            <w:tcW w:w="2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47,468</w:t>
            </w:r>
          </w:p>
        </w:tc>
      </w:tr>
      <w:tr>
        <w:trPr>
          <w:trHeight w:val="215"/>
        </w:trPr>
        <w:tc>
          <w:tcPr>
            <w:tcW w:w="6140" w:type="dxa"/>
            <w:vAlign w:val="bottom"/>
          </w:tcPr>
          <w:p>
            <w:pPr>
              <w:ind w:left="260"/>
              <w:spacing w:after="0"/>
              <w:rPr>
                <w:sz w:val="20"/>
                <w:szCs w:val="20"/>
                <w:color w:val="auto"/>
              </w:rPr>
            </w:pPr>
            <w:r>
              <w:rPr>
                <w:rFonts w:ascii="Arial" w:cs="Arial" w:eastAsia="Arial" w:hAnsi="Arial"/>
                <w:sz w:val="16"/>
                <w:szCs w:val="16"/>
                <w:color w:val="auto"/>
              </w:rPr>
              <w:t>Interest income on CCA balances segregated under federal or other regulations</w:t>
            </w:r>
            <w:r>
              <w:rPr>
                <w:rFonts w:ascii="Arial" w:cs="Arial" w:eastAsia="Arial" w:hAnsi="Arial"/>
                <w:sz w:val="10"/>
                <w:szCs w:val="10"/>
                <w:color w:val="auto"/>
              </w:rPr>
              <w:t>(7)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10,811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13,444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13,386</w:t>
            </w:r>
          </w:p>
        </w:tc>
      </w:tr>
      <w:tr>
        <w:trPr>
          <w:trHeight w:val="216"/>
        </w:trPr>
        <w:tc>
          <w:tcPr>
            <w:tcW w:w="6140" w:type="dxa"/>
            <w:vAlign w:val="bottom"/>
            <w:shd w:val="clear" w:color="auto" w:fill="DBDBDB"/>
          </w:tcPr>
          <w:p>
            <w:pPr>
              <w:ind w:left="260"/>
              <w:spacing w:after="0"/>
              <w:rPr>
                <w:sz w:val="20"/>
                <w:szCs w:val="20"/>
                <w:color w:val="auto"/>
              </w:rPr>
            </w:pPr>
            <w:r>
              <w:rPr>
                <w:rFonts w:ascii="Arial" w:cs="Arial" w:eastAsia="Arial" w:hAnsi="Arial"/>
                <w:sz w:val="16"/>
                <w:szCs w:val="16"/>
                <w:color w:val="auto"/>
              </w:rPr>
              <w:t>Interest income on deferred compensation</w:t>
            </w:r>
            <w:r>
              <w:rPr>
                <w:rFonts w:ascii="Arial" w:cs="Arial" w:eastAsia="Arial" w:hAnsi="Arial"/>
                <w:sz w:val="10"/>
                <w:szCs w:val="10"/>
                <w:color w:val="auto"/>
              </w:rPr>
              <w:t>(10)</w:t>
            </w:r>
          </w:p>
        </w:tc>
        <w:tc>
          <w:tcPr>
            <w:tcW w:w="2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6140" w:type="dxa"/>
            <w:vAlign w:val="bottom"/>
          </w:tcPr>
          <w:p>
            <w:pPr>
              <w:ind w:left="180"/>
              <w:spacing w:after="0"/>
              <w:rPr>
                <w:sz w:val="20"/>
                <w:szCs w:val="20"/>
                <w:color w:val="auto"/>
              </w:rPr>
            </w:pPr>
            <w:r>
              <w:rPr>
                <w:rFonts w:ascii="Arial" w:cs="Arial" w:eastAsia="Arial" w:hAnsi="Arial"/>
                <w:sz w:val="16"/>
                <w:szCs w:val="16"/>
                <w:b w:val="1"/>
                <w:bCs w:val="1"/>
                <w:color w:val="auto"/>
              </w:rPr>
              <w:t>Interest income, net on Condensed Consolidated Statements of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48,699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46,527</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60,859</w:t>
            </w:r>
          </w:p>
        </w:tc>
      </w:tr>
      <w:tr>
        <w:trPr>
          <w:trHeight w:val="21"/>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92" w:right="100" w:hanging="492"/>
        <w:spacing w:after="0" w:line="256" w:lineRule="auto"/>
        <w:tabs>
          <w:tab w:leader="none" w:pos="3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Below is a reconciliation of other revenue per Management's Statements of Operations to other revenue on the Company's condensed consolidated statements of income for the periods presented (in thousands):</w:t>
      </w:r>
    </w:p>
    <w:p>
      <w:pPr>
        <w:spacing w:after="0" w:line="9" w:lineRule="exact"/>
        <w:rPr>
          <w:sz w:val="20"/>
          <w:szCs w:val="20"/>
          <w:color w:val="auto"/>
        </w:rPr>
      </w:pPr>
    </w:p>
    <w:tbl>
      <w:tblPr>
        <w:tblLayout w:type="fixed"/>
        <w:tblInd w:w="412" w:type="dxa"/>
        <w:tblCellMar>
          <w:top w:w="0" w:type="dxa"/>
          <w:left w:w="0" w:type="dxa"/>
          <w:bottom w:w="0" w:type="dxa"/>
          <w:right w:w="0" w:type="dxa"/>
        </w:tblCellMar>
      </w:tblPr>
      <w:tr>
        <w:trPr>
          <w:trHeight w:val="217"/>
        </w:trPr>
        <w:tc>
          <w:tcPr>
            <w:tcW w:w="618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Q3 2026</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Q2 2026</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Q3 2025</w:t>
            </w:r>
          </w:p>
        </w:tc>
      </w:tr>
      <w:tr>
        <w:trPr>
          <w:trHeight w:val="209"/>
        </w:trPr>
        <w:tc>
          <w:tcPr>
            <w:tcW w:w="61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 revenue on Management's Statements of Operations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7,390</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11,054</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11,821</w:t>
            </w:r>
          </w:p>
        </w:tc>
      </w:tr>
      <w:tr>
        <w:trPr>
          <w:trHeight w:val="215"/>
        </w:trPr>
        <w:tc>
          <w:tcPr>
            <w:tcW w:w="6180" w:type="dxa"/>
            <w:vAlign w:val="bottom"/>
          </w:tcPr>
          <w:p>
            <w:pPr>
              <w:ind w:left="240"/>
              <w:spacing w:after="0"/>
              <w:rPr>
                <w:sz w:val="20"/>
                <w:szCs w:val="20"/>
                <w:color w:val="auto"/>
              </w:rPr>
            </w:pPr>
            <w:r>
              <w:rPr>
                <w:rFonts w:ascii="Arial" w:cs="Arial" w:eastAsia="Arial" w:hAnsi="Arial"/>
                <w:sz w:val="16"/>
                <w:szCs w:val="16"/>
                <w:color w:val="auto"/>
              </w:rPr>
              <w:t>Interest income on deferred compensation</w:t>
            </w:r>
            <w:r>
              <w:rPr>
                <w:rFonts w:ascii="Arial" w:cs="Arial" w:eastAsia="Arial" w:hAnsi="Arial"/>
                <w:sz w:val="10"/>
                <w:szCs w:val="10"/>
                <w:color w:val="auto"/>
              </w:rPr>
              <w:t>(9)</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61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Deferred compensation</w:t>
            </w:r>
          </w:p>
        </w:tc>
        <w:tc>
          <w:tcPr>
            <w:tcW w:w="2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5,033</w:t>
            </w:r>
          </w:p>
        </w:tc>
        <w:tc>
          <w:tcPr>
            <w:tcW w:w="2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137,381</w:t>
            </w:r>
          </w:p>
        </w:tc>
        <w:tc>
          <w:tcPr>
            <w:tcW w:w="2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57,093</w:t>
            </w:r>
          </w:p>
        </w:tc>
      </w:tr>
      <w:tr>
        <w:trPr>
          <w:trHeight w:val="210"/>
        </w:trPr>
        <w:tc>
          <w:tcPr>
            <w:tcW w:w="6180" w:type="dxa"/>
            <w:vAlign w:val="bottom"/>
          </w:tcPr>
          <w:p>
            <w:pPr>
              <w:ind w:left="100"/>
              <w:spacing w:after="0"/>
              <w:rPr>
                <w:sz w:val="20"/>
                <w:szCs w:val="20"/>
                <w:color w:val="auto"/>
              </w:rPr>
            </w:pPr>
            <w:r>
              <w:rPr>
                <w:rFonts w:ascii="Arial" w:cs="Arial" w:eastAsia="Arial" w:hAnsi="Arial"/>
                <w:sz w:val="16"/>
                <w:szCs w:val="16"/>
                <w:b w:val="1"/>
                <w:bCs w:val="1"/>
                <w:color w:val="auto"/>
              </w:rPr>
              <w:t>Other revenue on Condensed Consolidated Statements of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12,388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148,379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68,909</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492" w:right="80" w:hanging="492"/>
        <w:spacing w:after="0" w:line="260" w:lineRule="auto"/>
        <w:tabs>
          <w:tab w:leader="none" w:pos="5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Core G&amp;A is a non-GAAP financial measure. Please see a description of core G&amp;A under the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 of this release for additional information. Below is a reconciliation of the Company's total expense to core G&amp;A for the periods</w:t>
      </w:r>
    </w:p>
    <w:p>
      <w:pPr>
        <w:sectPr>
          <w:pgSz w:w="11900" w:h="16838" w:orient="portrait"/>
          <w:cols w:equalWidth="0" w:num="1">
            <w:col w:w="11152"/>
          </w:cols>
          <w:pgMar w:left="328" w:top="877" w:right="419" w:bottom="1440" w:gutter="0" w:footer="0" w:header="0"/>
        </w:sectPr>
      </w:pPr>
    </w:p>
    <w:p>
      <w:pPr>
        <w:spacing w:after="0" w:line="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presented (in thousands):</w:t>
      </w:r>
    </w:p>
    <w:p>
      <w:pPr>
        <w:spacing w:after="0" w:line="347" w:lineRule="exact"/>
        <w:rPr>
          <w:sz w:val="20"/>
          <w:szCs w:val="20"/>
          <w:color w:val="auto"/>
        </w:rPr>
      </w:pPr>
    </w:p>
    <w:p>
      <w:pPr>
        <w:ind w:left="632"/>
        <w:spacing w:after="0"/>
        <w:rPr>
          <w:sz w:val="20"/>
          <w:szCs w:val="20"/>
          <w:color w:val="auto"/>
        </w:rPr>
      </w:pPr>
      <w:r>
        <w:rPr>
          <w:rFonts w:ascii="Arial" w:cs="Arial" w:eastAsia="Arial" w:hAnsi="Arial"/>
          <w:sz w:val="16"/>
          <w:szCs w:val="16"/>
          <w:b w:val="1"/>
          <w:bCs w:val="1"/>
          <w:color w:val="auto"/>
        </w:rPr>
        <w:t>Core G&amp;A Reconciliation</w:t>
      </w:r>
    </w:p>
    <w:p>
      <w:pPr>
        <w:spacing w:after="0" w:line="39"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Total expense</w:t>
      </w:r>
    </w:p>
    <w:p>
      <w:pPr>
        <w:spacing w:after="0" w:line="25" w:lineRule="exact"/>
        <w:rPr>
          <w:sz w:val="20"/>
          <w:szCs w:val="20"/>
          <w:color w:val="auto"/>
        </w:rPr>
      </w:pPr>
    </w:p>
    <w:p>
      <w:pPr>
        <w:ind w:left="712"/>
        <w:spacing w:after="0"/>
        <w:rPr>
          <w:sz w:val="20"/>
          <w:szCs w:val="20"/>
          <w:color w:val="auto"/>
        </w:rPr>
      </w:pPr>
      <w:r>
        <w:rPr>
          <w:rFonts w:ascii="Arial" w:cs="Arial" w:eastAsia="Arial" w:hAnsi="Arial"/>
          <w:sz w:val="16"/>
          <w:szCs w:val="16"/>
          <w:color w:val="auto"/>
        </w:rPr>
        <w:t>Advisory and commission</w:t>
      </w:r>
    </w:p>
    <w:p>
      <w:pPr>
        <w:spacing w:after="0" w:line="32" w:lineRule="exact"/>
        <w:rPr>
          <w:sz w:val="20"/>
          <w:szCs w:val="20"/>
          <w:color w:val="auto"/>
        </w:rPr>
      </w:pPr>
    </w:p>
    <w:p>
      <w:pPr>
        <w:ind w:left="712"/>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712"/>
        <w:spacing w:after="0"/>
        <w:rPr>
          <w:sz w:val="20"/>
          <w:szCs w:val="20"/>
          <w:color w:val="auto"/>
        </w:rPr>
      </w:pPr>
      <w:r>
        <w:rPr>
          <w:rFonts w:ascii="Arial" w:cs="Arial" w:eastAsia="Arial" w:hAnsi="Arial"/>
          <w:sz w:val="16"/>
          <w:szCs w:val="16"/>
          <w:color w:val="auto"/>
        </w:rPr>
        <w:t>Interest expense on borrowings</w:t>
      </w:r>
    </w:p>
    <w:p>
      <w:pPr>
        <w:spacing w:after="0" w:line="32" w:lineRule="exact"/>
        <w:rPr>
          <w:sz w:val="20"/>
          <w:szCs w:val="20"/>
          <w:color w:val="auto"/>
        </w:rPr>
      </w:pPr>
    </w:p>
    <w:p>
      <w:pPr>
        <w:ind w:left="712"/>
        <w:spacing w:after="0"/>
        <w:rPr>
          <w:sz w:val="20"/>
          <w:szCs w:val="20"/>
          <w:color w:val="auto"/>
        </w:rPr>
      </w:pPr>
      <w:r>
        <w:rPr>
          <w:rFonts w:ascii="Arial" w:cs="Arial" w:eastAsia="Arial" w:hAnsi="Arial"/>
          <w:sz w:val="16"/>
          <w:szCs w:val="16"/>
          <w:color w:val="auto"/>
        </w:rPr>
        <w:t>Brokerage, clearing and exchange</w:t>
      </w:r>
    </w:p>
    <w:p>
      <w:pPr>
        <w:spacing w:after="0" w:line="32" w:lineRule="exact"/>
        <w:rPr>
          <w:sz w:val="20"/>
          <w:szCs w:val="20"/>
          <w:color w:val="auto"/>
        </w:rPr>
      </w:pPr>
    </w:p>
    <w:p>
      <w:pPr>
        <w:ind w:left="712"/>
        <w:spacing w:after="0"/>
        <w:rPr>
          <w:sz w:val="20"/>
          <w:szCs w:val="20"/>
          <w:color w:val="auto"/>
        </w:rPr>
      </w:pPr>
      <w:r>
        <w:rPr>
          <w:rFonts w:ascii="Arial" w:cs="Arial" w:eastAsia="Arial" w:hAnsi="Arial"/>
          <w:sz w:val="16"/>
          <w:szCs w:val="16"/>
          <w:color w:val="auto"/>
        </w:rPr>
        <w:t>Amortization of other intangibles</w:t>
      </w:r>
    </w:p>
    <w:p>
      <w:pPr>
        <w:spacing w:after="0" w:line="32" w:lineRule="exact"/>
        <w:rPr>
          <w:sz w:val="20"/>
          <w:szCs w:val="20"/>
          <w:color w:val="auto"/>
        </w:rPr>
      </w:pPr>
    </w:p>
    <w:p>
      <w:pPr>
        <w:ind w:left="712"/>
        <w:spacing w:after="0"/>
        <w:rPr>
          <w:sz w:val="20"/>
          <w:szCs w:val="20"/>
          <w:color w:val="auto"/>
        </w:rPr>
      </w:pPr>
      <w:r>
        <w:rPr>
          <w:rFonts w:ascii="Arial" w:cs="Arial" w:eastAsia="Arial" w:hAnsi="Arial"/>
          <w:sz w:val="16"/>
          <w:szCs w:val="16"/>
          <w:color w:val="auto"/>
        </w:rPr>
        <w:t>Employee deferred compensation</w:t>
      </w:r>
    </w:p>
    <w:p>
      <w:pPr>
        <w:spacing w:after="0" w:line="46" w:lineRule="exact"/>
        <w:rPr>
          <w:sz w:val="20"/>
          <w:szCs w:val="20"/>
          <w:color w:val="auto"/>
        </w:rPr>
      </w:pPr>
    </w:p>
    <w:p>
      <w:pPr>
        <w:ind w:left="632"/>
        <w:spacing w:after="0"/>
        <w:rPr>
          <w:sz w:val="20"/>
          <w:szCs w:val="20"/>
          <w:color w:val="auto"/>
        </w:rPr>
      </w:pPr>
      <w:r>
        <w:rPr>
          <w:rFonts w:ascii="Arial" w:cs="Arial" w:eastAsia="Arial" w:hAnsi="Arial"/>
          <w:sz w:val="16"/>
          <w:szCs w:val="16"/>
          <w:b w:val="1"/>
          <w:bCs w:val="1"/>
          <w:color w:val="auto"/>
        </w:rPr>
        <w:t>Total G&amp;A</w:t>
      </w:r>
    </w:p>
    <w:p>
      <w:pPr>
        <w:spacing w:after="0" w:line="26" w:lineRule="exact"/>
        <w:rPr>
          <w:sz w:val="20"/>
          <w:szCs w:val="20"/>
          <w:color w:val="auto"/>
        </w:rPr>
      </w:pPr>
    </w:p>
    <w:p>
      <w:pPr>
        <w:ind w:left="712"/>
        <w:spacing w:after="0"/>
        <w:rPr>
          <w:sz w:val="20"/>
          <w:szCs w:val="20"/>
          <w:color w:val="auto"/>
        </w:rPr>
      </w:pPr>
      <w:r>
        <w:rPr>
          <w:rFonts w:ascii="Arial" w:cs="Arial" w:eastAsia="Arial" w:hAnsi="Arial"/>
          <w:sz w:val="15"/>
          <w:szCs w:val="15"/>
          <w:color w:val="auto"/>
        </w:rPr>
        <w:t>Transition assistance loan amortization</w:t>
      </w:r>
      <w:r>
        <w:rPr>
          <w:rFonts w:ascii="Arial" w:cs="Arial" w:eastAsia="Arial" w:hAnsi="Arial"/>
          <w:sz w:val="20"/>
          <w:szCs w:val="20"/>
          <w:color w:val="auto"/>
          <w:vertAlign w:val="subscript"/>
        </w:rPr>
        <w:t>(12)</w:t>
      </w:r>
    </w:p>
    <w:p>
      <w:pPr>
        <w:ind w:left="712"/>
        <w:spacing w:after="0" w:line="214" w:lineRule="auto"/>
        <w:rPr>
          <w:sz w:val="20"/>
          <w:szCs w:val="20"/>
          <w:color w:val="auto"/>
        </w:rPr>
      </w:pPr>
      <w:r>
        <w:rPr>
          <w:rFonts w:ascii="Arial" w:cs="Arial" w:eastAsia="Arial" w:hAnsi="Arial"/>
          <w:sz w:val="16"/>
          <w:szCs w:val="16"/>
          <w:color w:val="auto"/>
        </w:rPr>
        <w:t>Promotional (ongoing)</w:t>
      </w:r>
      <w:r>
        <w:rPr>
          <w:rFonts w:ascii="Arial" w:cs="Arial" w:eastAsia="Arial" w:hAnsi="Arial"/>
          <w:sz w:val="21"/>
          <w:szCs w:val="21"/>
          <w:color w:val="auto"/>
          <w:vertAlign w:val="subscript"/>
        </w:rPr>
        <w:t>(12)(13)(14)</w:t>
      </w:r>
    </w:p>
    <w:p>
      <w:pPr>
        <w:ind w:left="712"/>
        <w:spacing w:after="0" w:line="215" w:lineRule="auto"/>
        <w:rPr>
          <w:sz w:val="20"/>
          <w:szCs w:val="20"/>
          <w:color w:val="auto"/>
        </w:rPr>
      </w:pPr>
      <w:r>
        <w:rPr>
          <w:rFonts w:ascii="Arial" w:cs="Arial" w:eastAsia="Arial" w:hAnsi="Arial"/>
          <w:sz w:val="16"/>
          <w:szCs w:val="16"/>
          <w:color w:val="auto"/>
        </w:rPr>
        <w:t>Acquisition costs</w:t>
      </w:r>
      <w:r>
        <w:rPr>
          <w:rFonts w:ascii="Arial" w:cs="Arial" w:eastAsia="Arial" w:hAnsi="Arial"/>
          <w:sz w:val="21"/>
          <w:szCs w:val="21"/>
          <w:color w:val="auto"/>
          <w:vertAlign w:val="subscript"/>
        </w:rPr>
        <w:t>(14)</w:t>
      </w:r>
    </w:p>
    <w:p>
      <w:pPr>
        <w:ind w:left="712"/>
        <w:spacing w:after="0"/>
        <w:rPr>
          <w:sz w:val="20"/>
          <w:szCs w:val="20"/>
          <w:color w:val="auto"/>
        </w:rPr>
      </w:pPr>
      <w:r>
        <w:rPr>
          <w:rFonts w:ascii="Arial" w:cs="Arial" w:eastAsia="Arial" w:hAnsi="Arial"/>
          <w:sz w:val="16"/>
          <w:szCs w:val="16"/>
          <w:color w:val="auto"/>
        </w:rPr>
        <w:t>Employee share-based compensation</w:t>
      </w:r>
    </w:p>
    <w:p>
      <w:pPr>
        <w:spacing w:after="0" w:line="24" w:lineRule="exact"/>
        <w:rPr>
          <w:sz w:val="20"/>
          <w:szCs w:val="20"/>
          <w:color w:val="auto"/>
        </w:rPr>
      </w:pPr>
    </w:p>
    <w:p>
      <w:pPr>
        <w:ind w:left="712"/>
        <w:spacing w:after="0"/>
        <w:rPr>
          <w:sz w:val="20"/>
          <w:szCs w:val="20"/>
          <w:color w:val="auto"/>
        </w:rPr>
      </w:pPr>
      <w:r>
        <w:rPr>
          <w:rFonts w:ascii="Arial" w:cs="Arial" w:eastAsia="Arial" w:hAnsi="Arial"/>
          <w:sz w:val="16"/>
          <w:szCs w:val="16"/>
          <w:color w:val="auto"/>
        </w:rPr>
        <w:t>Regulatory charges</w:t>
      </w:r>
    </w:p>
    <w:p>
      <w:pPr>
        <w:spacing w:after="0" w:line="73" w:lineRule="exact"/>
        <w:rPr>
          <w:sz w:val="20"/>
          <w:szCs w:val="20"/>
          <w:color w:val="auto"/>
        </w:rPr>
      </w:pPr>
    </w:p>
    <w:p>
      <w:pPr>
        <w:ind w:left="632"/>
        <w:spacing w:after="0"/>
        <w:rPr>
          <w:sz w:val="20"/>
          <w:szCs w:val="20"/>
          <w:color w:val="auto"/>
        </w:rPr>
      </w:pPr>
      <w:r>
        <w:rPr>
          <w:rFonts w:ascii="Arial" w:cs="Arial" w:eastAsia="Arial" w:hAnsi="Arial"/>
          <w:sz w:val="16"/>
          <w:szCs w:val="16"/>
          <w:b w:val="1"/>
          <w:bCs w:val="1"/>
          <w:color w:val="auto"/>
        </w:rPr>
        <w:t>Core G&amp;A</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Q3 2026</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 2026</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2025</w:t>
            </w:r>
          </w:p>
        </w:tc>
      </w:tr>
      <w:tr>
        <w:trPr>
          <w:trHeight w:val="41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4,858,904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4,671,119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4,586,088</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(3,632,732)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(3,507,164)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(3,025,274)</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(117,287)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(109,805)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(99,722)</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(105,834)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(101,502)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(106,295)</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(49,139)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(52,018)</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(43,282)</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(72,844)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(70,886)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(64,706)</w:t>
            </w:r>
          </w:p>
        </w:tc>
      </w:tr>
      <w:tr>
        <w:trPr>
          <w:trHeight w:val="217"/>
        </w:trPr>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(9,178)</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r>
      <w:tr>
        <w:trPr>
          <w:trHeight w:val="210"/>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880,805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820,566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1,242,734</w:t>
            </w:r>
          </w:p>
        </w:tc>
      </w:tr>
      <w:tr>
        <w:trPr>
          <w:trHeight w:val="215"/>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(150,009)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(142,335)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(104,760)</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(87,943)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(79,123)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(97,103)</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(83,149)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(48,977)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(538,177)</w:t>
            </w:r>
          </w:p>
        </w:tc>
      </w:tr>
      <w:tr>
        <w:trPr>
          <w:trHeight w:val="216"/>
        </w:trPr>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(21,109)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(22,701)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(18,627)</w:t>
            </w:r>
          </w:p>
        </w:tc>
      </w:tr>
      <w:tr>
        <w:trPr>
          <w:trHeight w:val="217"/>
        </w:trPr>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(8,158)</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(6,744)</w:t>
            </w:r>
          </w:p>
        </w:tc>
      </w:tr>
      <w:tr>
        <w:trPr>
          <w:trHeight w:val="210"/>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532,205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519,272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477,323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-2108200</wp:posOffset>
            </wp:positionV>
            <wp:extent cx="646366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3716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-1833880</wp:posOffset>
            </wp:positionV>
            <wp:extent cx="646366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13716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-1559560</wp:posOffset>
            </wp:positionV>
            <wp:extent cx="646366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3665" cy="13716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-1285240</wp:posOffset>
            </wp:positionV>
            <wp:extent cx="646366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3665" cy="13716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-1010920</wp:posOffset>
            </wp:positionV>
            <wp:extent cx="646366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3665" cy="14605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-728345</wp:posOffset>
            </wp:positionV>
            <wp:extent cx="646366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3665" cy="13716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-453390</wp:posOffset>
            </wp:positionV>
            <wp:extent cx="646366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3665" cy="13716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-179705</wp:posOffset>
            </wp:positionV>
            <wp:extent cx="646366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366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92" w:space="720"/>
            <w:col w:w="4340"/>
          </w:cols>
          <w:pgMar w:left="328" w:top="877" w:right="419" w:bottom="1440" w:gutter="0" w:footer="0" w:header="0"/>
          <w:type w:val="continuous"/>
        </w:sectPr>
      </w:pPr>
    </w:p>
    <w:p>
      <w:pPr>
        <w:spacing w:after="0" w:line="281" w:lineRule="exact"/>
        <w:rPr>
          <w:sz w:val="20"/>
          <w:szCs w:val="20"/>
          <w:color w:val="auto"/>
        </w:rPr>
      </w:pPr>
    </w:p>
    <w:p>
      <w:pPr>
        <w:ind w:left="492" w:right="120" w:hanging="492"/>
        <w:spacing w:after="0" w:line="266" w:lineRule="auto"/>
        <w:tabs>
          <w:tab w:leader="none" w:pos="3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During the fourth quarter of 2025, the Company updated its definition of Promotional (ongoing) to exclude transition assistance loan amortization. As a result, transition assistance loan amortization is now disclosed as a separate line on Management's Statements of Operations and in the Core G&amp;A reconciliation. Prior period disclosures have been updated to reflect these changes as applicable.</w:t>
      </w:r>
    </w:p>
    <w:p>
      <w:pPr>
        <w:spacing w:after="0" w:line="11" w:lineRule="exact"/>
        <w:rPr>
          <w:rFonts w:ascii="Arial" w:cs="Arial" w:eastAsia="Arial" w:hAnsi="Arial"/>
          <w:sz w:val="17"/>
          <w:szCs w:val="17"/>
          <w:color w:val="auto"/>
        </w:rPr>
      </w:pPr>
    </w:p>
    <w:p>
      <w:pPr>
        <w:ind w:left="492" w:right="40" w:hanging="492"/>
        <w:spacing w:after="0" w:line="237" w:lineRule="auto"/>
        <w:tabs>
          <w:tab w:leader="none" w:pos="3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Promotional (ongoing) includes $14.2 million, $13.5 million and $19.0 million for the three months ended September 30, 2026, June 30, 2026 and September 30, 2025, respectively, of support costs related to full-time employees that are classified within Compensation and benefits expense in the condensed consolidated statements of income and excludes costs that have been incurred as part of acquisitions that have been classified within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52"/>
          </w:cols>
          <w:pgMar w:left="328" w:top="877" w:right="419" w:bottom="1440" w:gutter="0" w:footer="0" w:header="0"/>
          <w:type w:val="continuous"/>
        </w:sectPr>
      </w:pPr>
    </w:p>
    <w:bookmarkStart w:id="21" w:name="page22"/>
    <w:bookmarkEnd w:id="21"/>
    <w:p>
      <w:pPr>
        <w:ind w:left="492" w:hanging="492"/>
        <w:spacing w:after="0" w:line="256" w:lineRule="auto"/>
        <w:tabs>
          <w:tab w:leader="none" w:pos="3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 costs include the costs to set up, onboard and integrate acquired entities and other costs that were incurred as a result of the acquisitions. The below table summarizes the primary components of acquisition costs for the periods presented (in thousands):</w:t>
      </w:r>
    </w:p>
    <w:p>
      <w:pPr>
        <w:spacing w:after="0" w:line="9"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63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 2026</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 2026</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2025</w:t>
            </w:r>
          </w:p>
        </w:tc>
      </w:tr>
      <w:tr>
        <w:trPr>
          <w:trHeight w:val="196"/>
        </w:trPr>
        <w:tc>
          <w:tcPr>
            <w:tcW w:w="6320" w:type="dxa"/>
            <w:vAlign w:val="bottom"/>
            <w:shd w:val="clear" w:color="auto" w:fill="DBDBDB"/>
          </w:tcPr>
          <w:p>
            <w:pPr>
              <w:ind w:left="140"/>
              <w:spacing w:after="0"/>
              <w:rPr>
                <w:sz w:val="20"/>
                <w:szCs w:val="20"/>
                <w:color w:val="auto"/>
              </w:rPr>
            </w:pPr>
            <w:r>
              <w:rPr>
                <w:rFonts w:ascii="Arial" w:cs="Arial" w:eastAsia="Arial" w:hAnsi="Arial"/>
                <w:sz w:val="16"/>
                <w:szCs w:val="16"/>
                <w:b w:val="1"/>
                <w:bCs w:val="1"/>
                <w:color w:val="auto"/>
              </w:rPr>
              <w:t>Acquisition costs</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Compensation and benefits</w:t>
            </w:r>
            <w:r>
              <w:rPr>
                <w:rFonts w:ascii="Arial" w:cs="Arial" w:eastAsia="Arial" w:hAnsi="Arial"/>
                <w:sz w:val="10"/>
                <w:szCs w:val="10"/>
                <w:color w:val="auto"/>
              </w:rPr>
              <w: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31,891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20,231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257,607</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Occupancy and equipment</w:t>
            </w:r>
            <w:r>
              <w:rPr>
                <w:rFonts w:ascii="Arial" w:cs="Arial" w:eastAsia="Arial" w:hAnsi="Arial"/>
                <w:sz w:val="10"/>
                <w:szCs w:val="10"/>
                <w:color w:val="auto"/>
              </w:rPr>
              <w:t>(a)</w:t>
            </w:r>
          </w:p>
        </w:tc>
        <w:tc>
          <w:tcPr>
            <w:tcW w:w="2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11,789</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4,618</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197,567</w:t>
            </w: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Promotional</w:t>
            </w:r>
            <w:r>
              <w:rPr>
                <w:rFonts w:ascii="Arial" w:cs="Arial" w:eastAsia="Arial" w:hAnsi="Arial"/>
                <w:sz w:val="10"/>
                <w:szCs w:val="10"/>
                <w:color w:val="auto"/>
              </w:rPr>
              <w:t>(13)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12,009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12,016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25,664</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Professional services</w:t>
            </w:r>
          </w:p>
        </w:tc>
        <w:tc>
          <w:tcPr>
            <w:tcW w:w="2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14,167</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10,923</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9,674</w:t>
            </w: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Change in fair value of contingent consideration</w:t>
            </w:r>
            <w:r>
              <w:rPr>
                <w:rFonts w:ascii="Arial" w:cs="Arial" w:eastAsia="Arial" w:hAnsi="Arial"/>
                <w:sz w:val="10"/>
                <w:szCs w:val="10"/>
                <w:color w:val="auto"/>
              </w:rPr>
              <w:t>(33)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9,461</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2,676</w:t>
            </w:r>
          </w:p>
        </w:tc>
      </w:tr>
      <w:tr>
        <w:trPr>
          <w:trHeight w:val="216"/>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3,832</w:t>
            </w:r>
          </w:p>
        </w:tc>
        <w:tc>
          <w:tcPr>
            <w:tcW w:w="24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3,983</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44,989</w:t>
            </w:r>
          </w:p>
        </w:tc>
      </w:tr>
      <w:tr>
        <w:trPr>
          <w:trHeight w:val="210"/>
        </w:trPr>
        <w:tc>
          <w:tcPr>
            <w:tcW w:w="6320" w:type="dxa"/>
            <w:vAlign w:val="bottom"/>
          </w:tcPr>
          <w:p>
            <w:pPr>
              <w:ind w:left="140"/>
              <w:spacing w:after="0"/>
              <w:rPr>
                <w:sz w:val="20"/>
                <w:szCs w:val="20"/>
                <w:color w:val="auto"/>
              </w:rPr>
            </w:pPr>
            <w:r>
              <w:rPr>
                <w:rFonts w:ascii="Arial" w:cs="Arial" w:eastAsia="Arial" w:hAnsi="Arial"/>
                <w:sz w:val="16"/>
                <w:szCs w:val="16"/>
                <w:b w:val="1"/>
                <w:bCs w:val="1"/>
                <w:color w:val="auto"/>
              </w:rPr>
              <w:t>Acquisition costs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83,149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48,977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538,177</w:t>
            </w:r>
          </w:p>
        </w:tc>
      </w:tr>
      <w:tr>
        <w:trPr>
          <w:trHeight w:val="21"/>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92" w:right="80"/>
        <w:spacing w:after="0" w:line="253" w:lineRule="auto"/>
        <w:rPr>
          <w:sz w:val="20"/>
          <w:szCs w:val="20"/>
          <w:color w:val="auto"/>
        </w:rPr>
      </w:pPr>
      <w:r>
        <w:rPr>
          <w:rFonts w:ascii="Arial" w:cs="Arial" w:eastAsia="Arial" w:hAnsi="Arial"/>
          <w:sz w:val="14"/>
          <w:szCs w:val="14"/>
          <w:color w:val="auto"/>
        </w:rPr>
        <w:t>(a) During the three months ended September 30, 2025, the Company incurred $419.0 million of acquisition costs at the Commonwealth closing. This primarily includes $228.4 million of costs related to transaction bonuses and the acceleration of unvested equity awards which were classified as Compensation and benefits and $190.1 million of costs related to certain contract termination fees which were classified as Occupancy and equipment.</w:t>
      </w:r>
    </w:p>
    <w:p>
      <w:pPr>
        <w:spacing w:after="0" w:line="250" w:lineRule="exact"/>
        <w:rPr>
          <w:sz w:val="20"/>
          <w:szCs w:val="20"/>
          <w:color w:val="auto"/>
        </w:rPr>
      </w:pPr>
    </w:p>
    <w:p>
      <w:pPr>
        <w:ind w:left="492" w:right="100" w:hanging="492"/>
        <w:spacing w:after="0" w:line="268" w:lineRule="auto"/>
        <w:tabs>
          <w:tab w:leader="none" w:pos="3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EBITDA and adjusted EBITDA are non-GAAP financial measures. Please see a description of EBITDA and adjusted EBITDA under the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section of this release for additional information. Below is a reconciliation of net income (loss) to</w:t>
      </w:r>
      <w:r>
        <w:rPr>
          <w:rFonts w:ascii="Arial" w:cs="Arial" w:eastAsia="Arial" w:hAnsi="Arial"/>
          <w:sz w:val="18"/>
          <w:szCs w:val="18"/>
          <w:i w:val="1"/>
          <w:iCs w:val="1"/>
          <w:color w:val="auto"/>
        </w:rPr>
        <w:t xml:space="preserve"> </w:t>
      </w:r>
      <w:r>
        <w:rPr>
          <w:rFonts w:ascii="Arial" w:cs="Arial" w:eastAsia="Arial" w:hAnsi="Arial"/>
          <w:sz w:val="18"/>
          <w:szCs w:val="18"/>
          <w:color w:val="auto"/>
        </w:rPr>
        <w:t>EBITDA and adjusted EBITDA for the periods presented (in thousands):</w:t>
      </w:r>
    </w:p>
    <w:p>
      <w:pPr>
        <w:spacing w:after="0" w:line="94"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63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 2026</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Q2 2026</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2025</w:t>
            </w:r>
          </w:p>
        </w:tc>
      </w:tr>
      <w:tr>
        <w:trPr>
          <w:trHeight w:val="196"/>
        </w:trPr>
        <w:tc>
          <w:tcPr>
            <w:tcW w:w="632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auto"/>
              </w:rPr>
              <w:t>EBITDA and adjusted EBITDA Reconciliation</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15"/>
        </w:trPr>
        <w:tc>
          <w:tcPr>
            <w:tcW w:w="632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356,561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379,261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(29,517)</w:t>
            </w:r>
          </w:p>
        </w:tc>
      </w:tr>
      <w:tr>
        <w:trPr>
          <w:trHeight w:val="217"/>
        </w:trPr>
        <w:tc>
          <w:tcPr>
            <w:tcW w:w="63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Interest expense on borrowings</w:t>
            </w:r>
          </w:p>
        </w:tc>
        <w:tc>
          <w:tcPr>
            <w:tcW w:w="2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105,834</w:t>
            </w:r>
          </w:p>
        </w:tc>
        <w:tc>
          <w:tcPr>
            <w:tcW w:w="2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101,502</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106,295</w:t>
            </w:r>
          </w:p>
        </w:tc>
      </w:tr>
      <w:tr>
        <w:trPr>
          <w:trHeight w:val="215"/>
        </w:trPr>
        <w:tc>
          <w:tcPr>
            <w:tcW w:w="6320" w:type="dxa"/>
            <w:vAlign w:val="bottom"/>
          </w:tcPr>
          <w:p>
            <w:pPr>
              <w:ind w:left="18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128,565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136,243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(4,594)</w:t>
            </w:r>
          </w:p>
        </w:tc>
      </w:tr>
      <w:tr>
        <w:trPr>
          <w:trHeight w:val="217"/>
        </w:trPr>
        <w:tc>
          <w:tcPr>
            <w:tcW w:w="63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117,287</w:t>
            </w:r>
          </w:p>
        </w:tc>
        <w:tc>
          <w:tcPr>
            <w:tcW w:w="2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109,805</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99,722</w:t>
            </w:r>
          </w:p>
        </w:tc>
      </w:tr>
      <w:tr>
        <w:trPr>
          <w:trHeight w:val="215"/>
        </w:trPr>
        <w:tc>
          <w:tcPr>
            <w:tcW w:w="6320" w:type="dxa"/>
            <w:vAlign w:val="bottom"/>
          </w:tcPr>
          <w:p>
            <w:pPr>
              <w:ind w:left="180"/>
              <w:spacing w:after="0"/>
              <w:rPr>
                <w:sz w:val="20"/>
                <w:szCs w:val="20"/>
                <w:color w:val="auto"/>
              </w:rPr>
            </w:pPr>
            <w:r>
              <w:rPr>
                <w:rFonts w:ascii="Arial" w:cs="Arial" w:eastAsia="Arial" w:hAnsi="Arial"/>
                <w:sz w:val="16"/>
                <w:szCs w:val="16"/>
                <w:color w:val="auto"/>
              </w:rPr>
              <w:t>Amortization of other intangibles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72,844</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70,886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64,706</w:t>
            </w:r>
          </w:p>
        </w:tc>
      </w:tr>
    </w:tbl>
    <w:p>
      <w:pPr>
        <w:spacing w:after="0" w:line="1" w:lineRule="exact"/>
        <w:rPr>
          <w:sz w:val="20"/>
          <w:szCs w:val="20"/>
          <w:color w:val="auto"/>
        </w:rPr>
      </w:pPr>
    </w:p>
    <w:tbl>
      <w:tblPr>
        <w:tblLayout w:type="fixed"/>
        <w:tblInd w:w="492" w:type="dxa"/>
        <w:tblCellMar>
          <w:top w:w="0" w:type="dxa"/>
          <w:left w:w="0" w:type="dxa"/>
          <w:bottom w:w="0" w:type="dxa"/>
          <w:right w:w="0" w:type="dxa"/>
        </w:tblCellMar>
      </w:tblPr>
      <w:tr>
        <w:trPr>
          <w:trHeight w:val="211"/>
        </w:trPr>
        <w:tc>
          <w:tcPr>
            <w:tcW w:w="6320" w:type="dxa"/>
            <w:vAlign w:val="bottom"/>
            <w:tcBorders>
              <w:top w:val="single" w:sz="8" w:color="DBDBDB"/>
            </w:tcBorders>
            <w:shd w:val="clear" w:color="auto" w:fill="DBDBDB"/>
          </w:tcPr>
          <w:p>
            <w:pPr>
              <w:ind w:left="100"/>
              <w:spacing w:after="0"/>
              <w:rPr>
                <w:sz w:val="20"/>
                <w:szCs w:val="20"/>
                <w:color w:val="auto"/>
              </w:rPr>
            </w:pPr>
            <w:r>
              <w:rPr>
                <w:rFonts w:ascii="Arial" w:cs="Arial" w:eastAsia="Arial" w:hAnsi="Arial"/>
                <w:sz w:val="16"/>
                <w:szCs w:val="16"/>
                <w:b w:val="1"/>
                <w:bCs w:val="1"/>
                <w:color w:val="auto"/>
              </w:rPr>
              <w:t>EBITDA</w:t>
            </w:r>
          </w:p>
        </w:tc>
        <w:tc>
          <w:tcPr>
            <w:tcW w:w="380" w:type="dxa"/>
            <w:vAlign w:val="bottom"/>
            <w:tcBorders>
              <w:top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781,091</w:t>
            </w:r>
          </w:p>
        </w:tc>
        <w:tc>
          <w:tcPr>
            <w:tcW w:w="400" w:type="dxa"/>
            <w:vAlign w:val="bottom"/>
            <w:tcBorders>
              <w:top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797,697</w:t>
            </w:r>
          </w:p>
        </w:tc>
        <w:tc>
          <w:tcPr>
            <w:tcW w:w="400" w:type="dxa"/>
            <w:vAlign w:val="bottom"/>
            <w:tcBorders>
              <w:top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236,612</w:t>
            </w:r>
          </w:p>
        </w:tc>
      </w:tr>
      <w:tr>
        <w:trPr>
          <w:trHeight w:val="216"/>
        </w:trPr>
        <w:tc>
          <w:tcPr>
            <w:tcW w:w="6320" w:type="dxa"/>
            <w:vAlign w:val="bottom"/>
            <w:tcBorders>
              <w:bottom w:val="single" w:sz="8" w:color="DBDBDB"/>
            </w:tcBorders>
          </w:tcPr>
          <w:p>
            <w:pPr>
              <w:ind w:left="180"/>
              <w:spacing w:after="0" w:line="216" w:lineRule="exact"/>
              <w:rPr>
                <w:sz w:val="20"/>
                <w:szCs w:val="20"/>
                <w:color w:val="auto"/>
              </w:rPr>
            </w:pPr>
            <w:r>
              <w:rPr>
                <w:rFonts w:ascii="Arial" w:cs="Arial" w:eastAsia="Arial" w:hAnsi="Arial"/>
                <w:sz w:val="16"/>
                <w:szCs w:val="16"/>
                <w:color w:val="auto"/>
              </w:rPr>
              <w:t>Acquisition costs</w:t>
            </w:r>
            <w:r>
              <w:rPr>
                <w:rFonts w:ascii="Arial" w:cs="Arial" w:eastAsia="Arial" w:hAnsi="Arial"/>
                <w:sz w:val="21"/>
                <w:szCs w:val="21"/>
                <w:color w:val="auto"/>
                <w:vertAlign w:val="subscript"/>
              </w:rPr>
              <w:t>(14)</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83,149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48,977</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538,177</w:t>
            </w:r>
          </w:p>
        </w:tc>
      </w:tr>
      <w:tr>
        <w:trPr>
          <w:trHeight w:val="234"/>
        </w:trPr>
        <w:tc>
          <w:tcPr>
            <w:tcW w:w="63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864,240</w:t>
            </w:r>
          </w:p>
        </w:tc>
        <w:tc>
          <w:tcPr>
            <w:tcW w:w="40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846,674</w:t>
            </w:r>
          </w:p>
        </w:tc>
        <w:tc>
          <w:tcPr>
            <w:tcW w:w="40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774,789</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92" w:right="20" w:hanging="492"/>
        <w:spacing w:after="0" w:line="267" w:lineRule="auto"/>
        <w:tabs>
          <w:tab w:leader="none" w:pos="5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pre-tax income is a non-GAAP financial measure. Please see a description of adjusted pre-tax income under the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section of this release for additional information. Below is a reconciliation of income (loss) before provision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income taxes to adjusted pre-tax income for the periods presented (in thousands):</w:t>
      </w:r>
    </w:p>
    <w:p>
      <w:pPr>
        <w:spacing w:after="0" w:line="2"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63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Q3 2026</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Q2 2026</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Q3 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Income (loss) before provision for (benefit from) income taxes</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485,126</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515,504</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180"/>
              <w:spacing w:after="0"/>
              <w:rPr>
                <w:sz w:val="20"/>
                <w:szCs w:val="20"/>
                <w:color w:val="auto"/>
              </w:rPr>
            </w:pPr>
            <w:r>
              <w:rPr>
                <w:rFonts w:ascii="Arial" w:cs="Arial" w:eastAsia="Arial" w:hAnsi="Arial"/>
                <w:sz w:val="16"/>
                <w:szCs w:val="16"/>
                <w:color w:val="auto"/>
              </w:rPr>
              <w:t>Amortization of other intangibles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72,844</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70,886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64,706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Acquisition costs</w:t>
            </w:r>
            <w:r>
              <w:rPr>
                <w:rFonts w:ascii="Arial" w:cs="Arial" w:eastAsia="Arial" w:hAnsi="Arial"/>
                <w:sz w:val="10"/>
                <w:szCs w:val="10"/>
                <w:color w:val="auto"/>
              </w:rPr>
              <w:t>(14)</w:t>
            </w:r>
          </w:p>
        </w:tc>
        <w:tc>
          <w:tcPr>
            <w:tcW w:w="2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83,149</w:t>
            </w:r>
          </w:p>
        </w:tc>
        <w:tc>
          <w:tcPr>
            <w:tcW w:w="2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48,977</w:t>
            </w:r>
          </w:p>
        </w:tc>
        <w:tc>
          <w:tcPr>
            <w:tcW w:w="2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538,177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100"/>
              <w:spacing w:after="0"/>
              <w:rPr>
                <w:sz w:val="20"/>
                <w:szCs w:val="20"/>
                <w:color w:val="auto"/>
              </w:rPr>
            </w:pPr>
            <w:r>
              <w:rPr>
                <w:rFonts w:ascii="Arial" w:cs="Arial" w:eastAsia="Arial" w:hAnsi="Arial"/>
                <w:sz w:val="16"/>
                <w:szCs w:val="16"/>
                <w:b w:val="1"/>
                <w:bCs w:val="1"/>
                <w:color w:val="auto"/>
              </w:rPr>
              <w:t>Adjusted pre-tax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641,119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635,367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100"/>
              <w:spacing w:after="0"/>
              <w:rPr>
                <w:sz w:val="20"/>
                <w:szCs w:val="20"/>
                <w:color w:val="auto"/>
              </w:rPr>
            </w:pPr>
            <w:r>
              <w:rPr>
                <w:rFonts w:ascii="Arial" w:cs="Arial" w:eastAsia="Arial" w:hAnsi="Arial"/>
                <w:sz w:val="16"/>
                <w:szCs w:val="16"/>
                <w:b w:val="1"/>
                <w:bCs w:val="1"/>
                <w:color w:val="auto"/>
              </w:rPr>
              <w:t>Adjusted pre-tax margin</w:t>
            </w:r>
            <w:r>
              <w:rPr>
                <w:rFonts w:ascii="Arial" w:cs="Arial" w:eastAsia="Arial" w:hAnsi="Arial"/>
                <w:sz w:val="10"/>
                <w:szCs w:val="10"/>
                <w:b w:val="1"/>
                <w:bCs w:val="1"/>
                <w:color w:val="auto"/>
              </w:rPr>
              <w:t>(a)</w:t>
            </w:r>
          </w:p>
        </w:tc>
        <w:tc>
          <w:tcPr>
            <w:tcW w:w="22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auto"/>
              </w:rPr>
              <w:t>38.6%</w:t>
            </w:r>
          </w:p>
        </w:tc>
        <w:tc>
          <w:tcPr>
            <w:tcW w:w="24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auto"/>
              </w:rPr>
              <w:t>39.3%</w:t>
            </w:r>
          </w:p>
        </w:tc>
        <w:tc>
          <w:tcPr>
            <w:tcW w:w="240" w:type="dxa"/>
            <w:vAlign w:val="bottom"/>
          </w:tcPr>
          <w:p>
            <w:pPr>
              <w:spacing w:after="0"/>
              <w:rPr>
                <w:sz w:val="19"/>
                <w:szCs w:val="19"/>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38.4%</w:t>
            </w:r>
          </w:p>
        </w:tc>
        <w:tc>
          <w:tcPr>
            <w:tcW w:w="160" w:type="dxa"/>
            <w:vAlign w:val="bottom"/>
            <w:vMerge w:val="restart"/>
          </w:tcPr>
          <w:p>
            <w:pPr>
              <w:spacing w:after="0"/>
              <w:rPr>
                <w:sz w:val="20"/>
                <w:szCs w:val="20"/>
                <w:color w:val="auto"/>
              </w:rPr>
            </w:pPr>
            <w:r>
              <w:rPr>
                <w:rFonts w:ascii="Arial" w:cs="Arial" w:eastAsia="Arial" w:hAnsi="Arial"/>
                <w:sz w:val="14"/>
                <w:szCs w:val="14"/>
                <w:color w:val="auto"/>
                <w:w w:val="81"/>
              </w:rPr>
              <w:t>(a)</w:t>
            </w:r>
          </w:p>
        </w:tc>
        <w:tc>
          <w:tcPr>
            <w:tcW w:w="0" w:type="dxa"/>
            <w:vAlign w:val="bottom"/>
          </w:tcPr>
          <w:p>
            <w:pPr>
              <w:spacing w:after="0"/>
              <w:rPr>
                <w:sz w:val="1"/>
                <w:szCs w:val="1"/>
                <w:color w:val="auto"/>
              </w:rPr>
            </w:pPr>
          </w:p>
        </w:tc>
      </w:tr>
      <w:tr>
        <w:trPr>
          <w:trHeight w:val="79"/>
        </w:trPr>
        <w:tc>
          <w:tcPr>
            <w:tcW w:w="6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492"/>
        <w:spacing w:after="0"/>
        <w:rPr>
          <w:sz w:val="20"/>
          <w:szCs w:val="20"/>
          <w:color w:val="auto"/>
        </w:rPr>
      </w:pPr>
      <w:r>
        <w:rPr>
          <w:rFonts w:ascii="Arial" w:cs="Arial" w:eastAsia="Arial" w:hAnsi="Arial"/>
          <w:sz w:val="14"/>
          <w:szCs w:val="14"/>
          <w:color w:val="auto"/>
        </w:rPr>
        <w:t>Calculated by dividing adjusted pre-tax income by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12"/>
          </w:cols>
          <w:pgMar w:left="328" w:top="877" w:right="359" w:bottom="1440" w:gutter="0" w:footer="0" w:header="0"/>
        </w:sectPr>
      </w:pPr>
    </w:p>
    <w:bookmarkStart w:id="22" w:name="page23"/>
    <w:bookmarkEnd w:id="22"/>
    <w:p>
      <w:pPr>
        <w:ind w:left="492" w:right="120" w:hanging="492"/>
        <w:spacing w:after="0" w:line="262" w:lineRule="auto"/>
        <w:tabs>
          <w:tab w:leader="none" w:pos="3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net income and adjusted EPS are non-GAAP financial measures. Please see a description of adjusted net income and adjusted EPS under the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 of this release for additional information. Below is a reconciliation of net income (loss) and earnings (loss) per diluted share to adjusted net income and adjusted EPS for the periods presented (in thousands, except per share data):</w:t>
      </w:r>
    </w:p>
    <w:p>
      <w:pPr>
        <w:spacing w:after="0" w:line="100"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Q3 2026</w:t>
            </w: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Q2 2026</w:t>
            </w: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Q3 2025</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 Share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 Share</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0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 / earnings (loss) per diluted share</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356,561</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center"/>
              <w:ind w:left="379"/>
              <w:spacing w:after="0"/>
              <w:rPr>
                <w:sz w:val="20"/>
                <w:szCs w:val="20"/>
                <w:color w:val="auto"/>
              </w:rPr>
            </w:pPr>
            <w:r>
              <w:rPr>
                <w:rFonts w:ascii="Arial" w:cs="Arial" w:eastAsia="Arial" w:hAnsi="Arial"/>
                <w:sz w:val="16"/>
                <w:szCs w:val="16"/>
                <w:color w:val="auto"/>
              </w:rPr>
              <w:t>4.52</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379,261</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center"/>
              <w:ind w:left="379"/>
              <w:spacing w:after="0"/>
              <w:rPr>
                <w:sz w:val="20"/>
                <w:szCs w:val="20"/>
                <w:color w:val="auto"/>
              </w:rPr>
            </w:pPr>
            <w:r>
              <w:rPr>
                <w:rFonts w:ascii="Arial" w:cs="Arial" w:eastAsia="Arial" w:hAnsi="Arial"/>
                <w:sz w:val="16"/>
                <w:szCs w:val="16"/>
                <w:color w:val="auto"/>
                <w:w w:val="96"/>
              </w:rPr>
              <w:t>4.74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(29,517)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center"/>
              <w:ind w:left="359"/>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5"/>
        </w:trPr>
        <w:tc>
          <w:tcPr>
            <w:tcW w:w="3860" w:type="dxa"/>
            <w:vAlign w:val="bottom"/>
          </w:tcPr>
          <w:p>
            <w:pPr>
              <w:ind w:left="140"/>
              <w:spacing w:after="0"/>
              <w:rPr>
                <w:sz w:val="20"/>
                <w:szCs w:val="20"/>
                <w:color w:val="auto"/>
              </w:rPr>
            </w:pPr>
            <w:r>
              <w:rPr>
                <w:rFonts w:ascii="Arial" w:cs="Arial" w:eastAsia="Arial" w:hAnsi="Arial"/>
                <w:sz w:val="16"/>
                <w:szCs w:val="16"/>
                <w:color w:val="auto"/>
              </w:rPr>
              <w:t>Amortization of other intangibles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72,844</w:t>
            </w:r>
          </w:p>
        </w:tc>
        <w:tc>
          <w:tcPr>
            <w:tcW w:w="140" w:type="dxa"/>
            <w:vAlign w:val="bottom"/>
          </w:tcPr>
          <w:p>
            <w:pPr>
              <w:spacing w:after="0"/>
              <w:rPr>
                <w:sz w:val="18"/>
                <w:szCs w:val="18"/>
                <w:color w:val="auto"/>
              </w:rPr>
            </w:pPr>
          </w:p>
        </w:tc>
        <w:tc>
          <w:tcPr>
            <w:tcW w:w="900" w:type="dxa"/>
            <w:vAlign w:val="bottom"/>
          </w:tcPr>
          <w:p>
            <w:pPr>
              <w:jc w:val="center"/>
              <w:ind w:left="379"/>
              <w:spacing w:after="0"/>
              <w:rPr>
                <w:sz w:val="20"/>
                <w:szCs w:val="20"/>
                <w:color w:val="auto"/>
              </w:rPr>
            </w:pPr>
            <w:r>
              <w:rPr>
                <w:rFonts w:ascii="Arial" w:cs="Arial" w:eastAsia="Arial" w:hAnsi="Arial"/>
                <w:sz w:val="16"/>
                <w:szCs w:val="16"/>
                <w:color w:val="auto"/>
              </w:rPr>
              <w:t>0.92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70,886</w:t>
            </w:r>
          </w:p>
        </w:tc>
        <w:tc>
          <w:tcPr>
            <w:tcW w:w="120" w:type="dxa"/>
            <w:vAlign w:val="bottom"/>
          </w:tcPr>
          <w:p>
            <w:pPr>
              <w:spacing w:after="0"/>
              <w:rPr>
                <w:sz w:val="18"/>
                <w:szCs w:val="18"/>
                <w:color w:val="auto"/>
              </w:rPr>
            </w:pPr>
          </w:p>
        </w:tc>
        <w:tc>
          <w:tcPr>
            <w:tcW w:w="920" w:type="dxa"/>
            <w:vAlign w:val="bottom"/>
          </w:tcPr>
          <w:p>
            <w:pPr>
              <w:jc w:val="center"/>
              <w:ind w:left="379"/>
              <w:spacing w:after="0"/>
              <w:rPr>
                <w:sz w:val="20"/>
                <w:szCs w:val="20"/>
                <w:color w:val="auto"/>
              </w:rPr>
            </w:pPr>
            <w:r>
              <w:rPr>
                <w:rFonts w:ascii="Arial" w:cs="Arial" w:eastAsia="Arial" w:hAnsi="Arial"/>
                <w:sz w:val="16"/>
                <w:szCs w:val="16"/>
                <w:color w:val="auto"/>
                <w:w w:val="96"/>
              </w:rPr>
              <w:t>0.89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64,706</w:t>
            </w:r>
          </w:p>
        </w:tc>
        <w:tc>
          <w:tcPr>
            <w:tcW w:w="140" w:type="dxa"/>
            <w:vAlign w:val="bottom"/>
          </w:tcPr>
          <w:p>
            <w:pPr>
              <w:spacing w:after="0"/>
              <w:rPr>
                <w:sz w:val="18"/>
                <w:szCs w:val="18"/>
                <w:color w:val="auto"/>
              </w:rPr>
            </w:pPr>
          </w:p>
        </w:tc>
        <w:tc>
          <w:tcPr>
            <w:tcW w:w="900" w:type="dxa"/>
            <w:vAlign w:val="bottom"/>
          </w:tcPr>
          <w:p>
            <w:pPr>
              <w:jc w:val="center"/>
              <w:ind w:left="379"/>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17"/>
        </w:trPr>
        <w:tc>
          <w:tcPr>
            <w:tcW w:w="38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Acquisition costs</w:t>
            </w:r>
            <w:r>
              <w:rPr>
                <w:rFonts w:ascii="Arial" w:cs="Arial" w:eastAsia="Arial" w:hAnsi="Arial"/>
                <w:sz w:val="10"/>
                <w:szCs w:val="10"/>
                <w:color w:val="auto"/>
              </w:rPr>
              <w:t>(14)</w:t>
            </w: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83,149</w:t>
            </w:r>
          </w:p>
        </w:tc>
        <w:tc>
          <w:tcPr>
            <w:tcW w:w="140" w:type="dxa"/>
            <w:vAlign w:val="bottom"/>
            <w:shd w:val="clear" w:color="auto" w:fill="DBDBDB"/>
          </w:tcPr>
          <w:p>
            <w:pPr>
              <w:spacing w:after="0"/>
              <w:rPr>
                <w:sz w:val="18"/>
                <w:szCs w:val="18"/>
                <w:color w:val="auto"/>
              </w:rPr>
            </w:pPr>
          </w:p>
        </w:tc>
        <w:tc>
          <w:tcPr>
            <w:tcW w:w="900" w:type="dxa"/>
            <w:vAlign w:val="bottom"/>
            <w:shd w:val="clear" w:color="auto" w:fill="DBDBDB"/>
          </w:tcPr>
          <w:p>
            <w:pPr>
              <w:jc w:val="center"/>
              <w:ind w:left="379"/>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48,977</w:t>
            </w: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jc w:val="center"/>
              <w:ind w:left="379"/>
              <w:spacing w:after="0"/>
              <w:rPr>
                <w:sz w:val="20"/>
                <w:szCs w:val="20"/>
                <w:color w:val="auto"/>
              </w:rPr>
            </w:pPr>
            <w:r>
              <w:rPr>
                <w:rFonts w:ascii="Arial" w:cs="Arial" w:eastAsia="Arial" w:hAnsi="Arial"/>
                <w:sz w:val="16"/>
                <w:szCs w:val="16"/>
                <w:color w:val="auto"/>
                <w:w w:val="96"/>
              </w:rPr>
              <w:t>0.61</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538,177</w:t>
            </w:r>
          </w:p>
        </w:tc>
        <w:tc>
          <w:tcPr>
            <w:tcW w:w="140" w:type="dxa"/>
            <w:vAlign w:val="bottom"/>
            <w:shd w:val="clear" w:color="auto" w:fill="DBDBDB"/>
          </w:tcPr>
          <w:p>
            <w:pPr>
              <w:spacing w:after="0"/>
              <w:rPr>
                <w:sz w:val="18"/>
                <w:szCs w:val="18"/>
                <w:color w:val="auto"/>
              </w:rPr>
            </w:pPr>
          </w:p>
        </w:tc>
        <w:tc>
          <w:tcPr>
            <w:tcW w:w="900" w:type="dxa"/>
            <w:vAlign w:val="bottom"/>
            <w:shd w:val="clear" w:color="auto" w:fill="DBDBDB"/>
          </w:tcPr>
          <w:p>
            <w:pPr>
              <w:jc w:val="center"/>
              <w:ind w:left="379"/>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5"/>
        </w:trPr>
        <w:tc>
          <w:tcPr>
            <w:tcW w:w="3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Tax benefit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(0.52)</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(0.39)</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(155,149)</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5"/>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net income / adjusted EPS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471,273</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BDBDB"/>
          </w:tcPr>
          <w:p>
            <w:pPr>
              <w:jc w:val="center"/>
              <w:ind w:left="379"/>
              <w:spacing w:after="0"/>
              <w:rPr>
                <w:sz w:val="20"/>
                <w:szCs w:val="20"/>
                <w:color w:val="auto"/>
              </w:rPr>
            </w:pPr>
            <w:r>
              <w:rPr>
                <w:rFonts w:ascii="Arial" w:cs="Arial" w:eastAsia="Arial" w:hAnsi="Arial"/>
                <w:sz w:val="16"/>
                <w:szCs w:val="16"/>
                <w:color w:val="auto"/>
              </w:rPr>
              <w:t>5.97</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467,682</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DBDBDB"/>
          </w:tcPr>
          <w:p>
            <w:pPr>
              <w:jc w:val="center"/>
              <w:ind w:left="379"/>
              <w:spacing w:after="0"/>
              <w:rPr>
                <w:sz w:val="20"/>
                <w:szCs w:val="20"/>
                <w:color w:val="auto"/>
              </w:rPr>
            </w:pPr>
            <w:r>
              <w:rPr>
                <w:rFonts w:ascii="Arial" w:cs="Arial" w:eastAsia="Arial" w:hAnsi="Arial"/>
                <w:sz w:val="16"/>
                <w:szCs w:val="16"/>
                <w:color w:val="auto"/>
                <w:w w:val="96"/>
              </w:rPr>
              <w:t>5.84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418,217</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BDBDB"/>
          </w:tcPr>
          <w:p>
            <w:pPr>
              <w:jc w:val="center"/>
              <w:ind w:left="37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
        </w:trPr>
        <w:tc>
          <w:tcPr>
            <w:tcW w:w="3860" w:type="dxa"/>
            <w:vAlign w:val="bottom"/>
            <w:tcBorders>
              <w:top w:val="single" w:sz="8" w:color="DBDBDB"/>
              <w:bottom w:val="single" w:sz="8" w:color="DBDBDB"/>
            </w:tcBorders>
            <w:vMerge w:val="restart"/>
          </w:tcPr>
          <w:p>
            <w:pPr>
              <w:ind w:left="100"/>
              <w:spacing w:after="0"/>
              <w:rPr>
                <w:sz w:val="20"/>
                <w:szCs w:val="20"/>
                <w:color w:val="auto"/>
              </w:rPr>
            </w:pPr>
            <w:r>
              <w:rPr>
                <w:rFonts w:ascii="Arial" w:cs="Arial" w:eastAsia="Arial" w:hAnsi="Arial"/>
                <w:sz w:val="16"/>
                <w:szCs w:val="16"/>
                <w:color w:val="auto"/>
              </w:rPr>
              <w:t>Diluted share count</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78,968</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80,032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80,357</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Note: Totals may not foot due to rounding.</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92" w:right="600" w:hanging="492"/>
        <w:spacing w:after="0" w:line="281"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total assets under custody at the Company's primary broker-dealer subsidiary, LPL Financial, as well as assets under custody of a third-party custodian related to CES.</w:t>
      </w:r>
    </w:p>
    <w:p>
      <w:pPr>
        <w:spacing w:after="0" w:line="1" w:lineRule="exact"/>
        <w:rPr>
          <w:rFonts w:ascii="Arial" w:cs="Arial" w:eastAsia="Arial" w:hAnsi="Arial"/>
          <w:sz w:val="18"/>
          <w:szCs w:val="18"/>
          <w:color w:val="auto"/>
        </w:rPr>
      </w:pPr>
    </w:p>
    <w:p>
      <w:pPr>
        <w:ind w:left="492" w:right="140" w:hanging="492"/>
        <w:spacing w:after="0" w:line="268"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Assets on the Company's corporate RIA advisory platform are serviced by investment advisor representatives of LPL Financial. Assets on the Company's independent RIA advisory platform are serviced by investment advisor representatives of separate registered investment advisor firms rather than representatives of LPL Financial.</w:t>
      </w:r>
    </w:p>
    <w:p>
      <w:pPr>
        <w:spacing w:after="0" w:line="8" w:lineRule="exact"/>
        <w:rPr>
          <w:rFonts w:ascii="Arial" w:cs="Arial" w:eastAsia="Arial" w:hAnsi="Arial"/>
          <w:sz w:val="18"/>
          <w:szCs w:val="18"/>
          <w:color w:val="auto"/>
        </w:rPr>
      </w:pPr>
    </w:p>
    <w:p>
      <w:pPr>
        <w:ind w:left="492" w:right="460" w:hanging="492"/>
        <w:spacing w:after="0" w:line="281"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advisory assets in LPL Financial’s Model Wealth Portfolios, Optimum Market Portfolios, Personal Wealth Portfolios and Guided Wealth Portfolios platforms.</w:t>
      </w:r>
    </w:p>
    <w:p>
      <w:pPr>
        <w:spacing w:after="0" w:line="1" w:lineRule="exact"/>
        <w:rPr>
          <w:rFonts w:ascii="Arial" w:cs="Arial" w:eastAsia="Arial" w:hAnsi="Arial"/>
          <w:sz w:val="18"/>
          <w:szCs w:val="18"/>
          <w:color w:val="auto"/>
        </w:rPr>
      </w:pPr>
    </w:p>
    <w:p>
      <w:pPr>
        <w:ind w:left="492" w:hanging="492"/>
        <w:spacing w:after="0" w:line="268"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total client deposits into advisory or brokerage accounts less total client withdrawals from advisory or brokerage accounts, plus dividends, plus interest, minus advisory fees. The Company considers conversions from and to brokerage or advisory accounts as deposits and withdrawals, respectively.</w:t>
      </w:r>
    </w:p>
    <w:p>
      <w:pPr>
        <w:spacing w:after="0" w:line="8" w:lineRule="exact"/>
        <w:rPr>
          <w:rFonts w:ascii="Arial" w:cs="Arial" w:eastAsia="Arial" w:hAnsi="Arial"/>
          <w:sz w:val="18"/>
          <w:szCs w:val="18"/>
          <w:color w:val="auto"/>
        </w:rPr>
      </w:pPr>
    </w:p>
    <w:p>
      <w:pPr>
        <w:ind w:left="492" w:right="60" w:hanging="492"/>
        <w:spacing w:after="0" w:line="262"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third quarter of 2026, the Company updated its definition of net brokerage to advisory conversions to include direct assets. Net brokerage to advisory conversions now consists of existing custodied and direct assets that converted from brokerage to advisory, less existing custodied assets that converted from advisory to brokerage. Prior period disclosures have been updated to reflect these changes as applicable.</w:t>
      </w:r>
    </w:p>
    <w:p>
      <w:pPr>
        <w:spacing w:after="0" w:line="14" w:lineRule="exact"/>
        <w:rPr>
          <w:rFonts w:ascii="Arial" w:cs="Arial" w:eastAsia="Arial" w:hAnsi="Arial"/>
          <w:sz w:val="18"/>
          <w:szCs w:val="18"/>
          <w:color w:val="auto"/>
        </w:rPr>
      </w:pPr>
    </w:p>
    <w:p>
      <w:pPr>
        <w:ind w:left="492" w:right="420" w:hanging="492"/>
        <w:spacing w:after="0" w:line="281"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as annualized current period organic net new assets divided by preceding period assets in their respective categories of advisory assets or total assets.</w:t>
      </w:r>
    </w:p>
    <w:p>
      <w:pPr>
        <w:spacing w:after="0" w:line="1" w:lineRule="exact"/>
        <w:rPr>
          <w:rFonts w:ascii="Arial" w:cs="Arial" w:eastAsia="Arial" w:hAnsi="Arial"/>
          <w:sz w:val="18"/>
          <w:szCs w:val="18"/>
          <w:color w:val="auto"/>
        </w:rPr>
      </w:pPr>
    </w:p>
    <w:p>
      <w:pPr>
        <w:ind w:left="372" w:hanging="372"/>
        <w:spacing w:after="0"/>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amount of securities purchased less the amount of securities sold in client accounts custodied with LPL Financial.</w:t>
      </w:r>
    </w:p>
    <w:p>
      <w:pPr>
        <w:spacing w:after="0" w:line="63" w:lineRule="exact"/>
        <w:rPr>
          <w:rFonts w:ascii="Arial" w:cs="Arial" w:eastAsia="Arial" w:hAnsi="Arial"/>
          <w:sz w:val="18"/>
          <w:szCs w:val="18"/>
          <w:color w:val="auto"/>
        </w:rPr>
      </w:pPr>
    </w:p>
    <w:p>
      <w:pPr>
        <w:ind w:left="492" w:right="60" w:hanging="492"/>
        <w:spacing w:after="0" w:line="267" w:lineRule="auto"/>
        <w:tabs>
          <w:tab w:leader="none" w:pos="3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Client cash balances include CCA and exclude purchased money market funds. CCA balances include cash that clients have deposited with LPL Financial that is included in Client payables in the condensed consolidated statements of financial condition. The following table presents purchased money market funds for the periods presented (in billions):</w:t>
      </w:r>
    </w:p>
    <w:p>
      <w:pPr>
        <w:spacing w:after="0" w:line="2"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63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 2026</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Q2 2026</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 2025</w:t>
            </w:r>
          </w:p>
        </w:tc>
      </w:tr>
      <w:tr>
        <w:trPr>
          <w:trHeight w:val="210"/>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Purchased money market funds</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49.2</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48.2</w:t>
            </w:r>
          </w:p>
        </w:tc>
      </w:tr>
    </w:tbl>
    <w:p>
      <w:pPr>
        <w:spacing w:after="0" w:line="130" w:lineRule="exact"/>
        <w:rPr>
          <w:sz w:val="20"/>
          <w:szCs w:val="20"/>
          <w:color w:val="auto"/>
        </w:rPr>
      </w:pPr>
    </w:p>
    <w:p>
      <w:pPr>
        <w:ind w:left="5512" w:right="3920" w:hanging="5512"/>
        <w:spacing w:after="0" w:line="991" w:lineRule="auto"/>
        <w:tabs>
          <w:tab w:leader="none" w:pos="3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by dividing revenue for the period by the average balance during the period. 20</w:t>
      </w:r>
    </w:p>
    <w:p>
      <w:pPr>
        <w:sectPr>
          <w:pgSz w:w="11900" w:h="16838" w:orient="portrait"/>
          <w:cols w:equalWidth="0" w:num="1">
            <w:col w:w="11212"/>
          </w:cols>
          <w:pgMar w:left="328" w:top="944" w:right="359" w:bottom="1440" w:gutter="0" w:footer="0" w:header="0"/>
        </w:sectPr>
      </w:pPr>
    </w:p>
    <w:bookmarkStart w:id="23" w:name="page24"/>
    <w:bookmarkEnd w:id="23"/>
    <w:p>
      <w:pPr>
        <w:ind w:left="492" w:right="140" w:hanging="492"/>
        <w:spacing w:after="0" w:line="259" w:lineRule="auto"/>
        <w:tabs>
          <w:tab w:leader="none" w:pos="3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EBITDA and Credit Agreement EBITDA are non-GAAP financial measures. Please see a description of EBITDA and Credit Agreement EBITDA under the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 of this release for additional information. Under the Credit Agreement, management calculates Credit Agreement EBITDA for a trailing twelve month period at the end of each fiscal quarter and in doing so may make further adjustments to prior quarters. Below are reconciliations of trailing twelve month net income to trailing twelve month EBITDA and Credit Agreement EBITDA for the periods presented (in thousands):</w:t>
      </w:r>
    </w:p>
    <w:p>
      <w:pPr>
        <w:spacing w:after="0" w:line="8" w:lineRule="exact"/>
        <w:rPr>
          <w:sz w:val="20"/>
          <w:szCs w:val="20"/>
          <w:color w:val="auto"/>
        </w:rPr>
      </w:pPr>
    </w:p>
    <w:tbl>
      <w:tblPr>
        <w:tblLayout w:type="fixed"/>
        <w:tblInd w:w="492" w:type="dxa"/>
        <w:tblCellMar>
          <w:top w:w="0" w:type="dxa"/>
          <w:left w:w="0" w:type="dxa"/>
          <w:bottom w:w="0" w:type="dxa"/>
          <w:right w:w="0" w:type="dxa"/>
        </w:tblCellMar>
      </w:tblPr>
      <w:tr>
        <w:trPr>
          <w:trHeight w:val="217"/>
        </w:trPr>
        <w:tc>
          <w:tcPr>
            <w:tcW w:w="536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Q3 2026</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Q2 2026</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Q4 2025</w:t>
            </w:r>
          </w:p>
        </w:tc>
      </w:tr>
      <w:tr>
        <w:trPr>
          <w:trHeight w:val="196"/>
        </w:trPr>
        <w:tc>
          <w:tcPr>
            <w:tcW w:w="53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EBITDA and Credit Agreement EBITDA Reconciliations</w:t>
            </w:r>
          </w:p>
        </w:tc>
        <w:tc>
          <w:tcPr>
            <w:tcW w:w="3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1,392,945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1,006,867</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863,024</w:t>
            </w:r>
          </w:p>
        </w:tc>
      </w:tr>
      <w:tr>
        <w:trPr>
          <w:trHeight w:val="217"/>
        </w:trPr>
        <w:tc>
          <w:tcPr>
            <w:tcW w:w="5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expense on borrowings</w:t>
            </w:r>
          </w:p>
        </w:tc>
        <w:tc>
          <w:tcPr>
            <w:tcW w:w="3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413,241</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413,702</w:t>
            </w:r>
          </w:p>
        </w:tc>
        <w:tc>
          <w:tcPr>
            <w:tcW w:w="3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403,406</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489,830</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356,671</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286,483</w:t>
            </w:r>
          </w:p>
        </w:tc>
      </w:tr>
      <w:tr>
        <w:trPr>
          <w:trHeight w:val="217"/>
        </w:trPr>
        <w:tc>
          <w:tcPr>
            <w:tcW w:w="5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437,968</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420,403</w:t>
            </w:r>
          </w:p>
        </w:tc>
        <w:tc>
          <w:tcPr>
            <w:tcW w:w="3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393,434</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Amortization of other intangibles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293,208</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285,070</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236,578</w:t>
            </w:r>
          </w:p>
        </w:tc>
      </w:tr>
    </w:tbl>
    <w:p>
      <w:pPr>
        <w:spacing w:after="0" w:line="1" w:lineRule="exact"/>
        <w:rPr>
          <w:sz w:val="20"/>
          <w:szCs w:val="20"/>
          <w:color w:val="auto"/>
        </w:rPr>
      </w:pPr>
    </w:p>
    <w:tbl>
      <w:tblPr>
        <w:tblLayout w:type="fixed"/>
        <w:tblInd w:w="492" w:type="dxa"/>
        <w:tblCellMar>
          <w:top w:w="0" w:type="dxa"/>
          <w:left w:w="0" w:type="dxa"/>
          <w:bottom w:w="0" w:type="dxa"/>
          <w:right w:w="0" w:type="dxa"/>
        </w:tblCellMar>
      </w:tblPr>
      <w:tr>
        <w:trPr>
          <w:trHeight w:val="211"/>
        </w:trPr>
        <w:tc>
          <w:tcPr>
            <w:tcW w:w="5360" w:type="dxa"/>
            <w:vAlign w:val="bottom"/>
            <w:tcBorders>
              <w:top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EBITDA</w:t>
            </w:r>
          </w:p>
        </w:tc>
        <w:tc>
          <w:tcPr>
            <w:tcW w:w="46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3,027,192</w:t>
            </w:r>
          </w:p>
        </w:tc>
        <w:tc>
          <w:tcPr>
            <w:tcW w:w="480" w:type="dxa"/>
            <w:vAlign w:val="bottom"/>
            <w:tcBorders>
              <w:top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2,482,713</w:t>
            </w:r>
          </w:p>
        </w:tc>
        <w:tc>
          <w:tcPr>
            <w:tcW w:w="48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2,182,925</w:t>
            </w:r>
          </w:p>
        </w:tc>
      </w:tr>
      <w:tr>
        <w:trPr>
          <w:trHeight w:val="216"/>
        </w:trPr>
        <w:tc>
          <w:tcPr>
            <w:tcW w:w="5360" w:type="dxa"/>
            <w:vAlign w:val="bottom"/>
          </w:tcPr>
          <w:p>
            <w:pPr>
              <w:ind w:left="180"/>
              <w:spacing w:after="0"/>
              <w:rPr>
                <w:sz w:val="20"/>
                <w:szCs w:val="20"/>
                <w:color w:val="auto"/>
              </w:rPr>
            </w:pPr>
            <w:r>
              <w:rPr>
                <w:rFonts w:ascii="Arial" w:cs="Arial" w:eastAsia="Arial" w:hAnsi="Arial"/>
                <w:sz w:val="16"/>
                <w:szCs w:val="16"/>
                <w:b w:val="1"/>
                <w:bCs w:val="1"/>
                <w:color w:val="auto"/>
              </w:rPr>
              <w:t>Credit Agreement Adjustments: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36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Acquisition costs and other</w:t>
            </w:r>
            <w:r>
              <w:rPr>
                <w:rFonts w:ascii="Arial" w:cs="Arial" w:eastAsia="Arial" w:hAnsi="Arial"/>
                <w:sz w:val="21"/>
                <w:szCs w:val="21"/>
                <w:color w:val="auto"/>
                <w:vertAlign w:val="subscript"/>
              </w:rPr>
              <w:t>(14)(34)</w:t>
            </w:r>
          </w:p>
        </w:tc>
        <w:tc>
          <w:tcPr>
            <w:tcW w:w="46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309,764</w:t>
            </w:r>
          </w:p>
        </w:tc>
        <w:tc>
          <w:tcPr>
            <w:tcW w:w="48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766,866</w:t>
            </w:r>
          </w:p>
        </w:tc>
        <w:tc>
          <w:tcPr>
            <w:tcW w:w="48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777,299</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Employee share-based compensation</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85,487</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83,005</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75,956</w:t>
            </w:r>
          </w:p>
        </w:tc>
      </w:tr>
      <w:tr>
        <w:trPr>
          <w:trHeight w:val="217"/>
        </w:trPr>
        <w:tc>
          <w:tcPr>
            <w:tcW w:w="5360" w:type="dxa"/>
            <w:vAlign w:val="bottom"/>
            <w:shd w:val="clear" w:color="auto" w:fill="DBDBDB"/>
          </w:tcPr>
          <w:p>
            <w:pPr>
              <w:ind w:left="140"/>
              <w:spacing w:after="0" w:line="217" w:lineRule="exact"/>
              <w:rPr>
                <w:sz w:val="20"/>
                <w:szCs w:val="20"/>
                <w:color w:val="auto"/>
              </w:rPr>
            </w:pPr>
            <w:r>
              <w:rPr>
                <w:rFonts w:ascii="Arial" w:cs="Arial" w:eastAsia="Arial" w:hAnsi="Arial"/>
                <w:sz w:val="16"/>
                <w:szCs w:val="16"/>
                <w:color w:val="auto"/>
              </w:rPr>
              <w:t>M&amp;A accretion</w:t>
            </w:r>
            <w:r>
              <w:rPr>
                <w:rFonts w:ascii="Arial" w:cs="Arial" w:eastAsia="Arial" w:hAnsi="Arial"/>
                <w:sz w:val="21"/>
                <w:szCs w:val="21"/>
                <w:color w:val="auto"/>
                <w:vertAlign w:val="subscript"/>
              </w:rPr>
              <w:t>(35)</w:t>
            </w:r>
          </w:p>
        </w:tc>
        <w:tc>
          <w:tcPr>
            <w:tcW w:w="46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345,681</w:t>
            </w:r>
          </w:p>
        </w:tc>
        <w:tc>
          <w:tcPr>
            <w:tcW w:w="4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359,895</w:t>
            </w:r>
          </w:p>
        </w:tc>
        <w:tc>
          <w:tcPr>
            <w:tcW w:w="4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462,597</w:t>
            </w:r>
          </w:p>
        </w:tc>
      </w:tr>
      <w:tr>
        <w:trPr>
          <w:trHeight w:val="215"/>
        </w:trPr>
        <w:tc>
          <w:tcPr>
            <w:tcW w:w="53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Advisor share-based compensation</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w:t>
            </w:r>
          </w:p>
        </w:tc>
      </w:tr>
      <w:tr>
        <w:trPr>
          <w:trHeight w:val="235"/>
        </w:trPr>
        <w:tc>
          <w:tcPr>
            <w:tcW w:w="5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Credit Agreement EBITDA</w:t>
            </w:r>
          </w:p>
        </w:tc>
        <w:tc>
          <w:tcPr>
            <w:tcW w:w="46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3,771,437</w:t>
            </w:r>
          </w:p>
        </w:tc>
        <w:tc>
          <w:tcPr>
            <w:tcW w:w="48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3,695,539</w:t>
            </w:r>
          </w:p>
        </w:tc>
        <w:tc>
          <w:tcPr>
            <w:tcW w:w="48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3,501,832</w:t>
            </w:r>
          </w:p>
        </w:tc>
      </w:tr>
      <w:tr>
        <w:trPr>
          <w:trHeight w:val="20"/>
        </w:trPr>
        <w:tc>
          <w:tcPr>
            <w:tcW w:w="53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72" w:hanging="372"/>
        <w:spacing w:after="0"/>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Calculated based on the average advisor count from the current period and prior periods.</w:t>
      </w:r>
    </w:p>
    <w:p>
      <w:pPr>
        <w:spacing w:after="0" w:line="63" w:lineRule="exact"/>
        <w:rPr>
          <w:rFonts w:ascii="Arial" w:cs="Arial" w:eastAsia="Arial" w:hAnsi="Arial"/>
          <w:sz w:val="18"/>
          <w:szCs w:val="18"/>
          <w:color w:val="auto"/>
        </w:rPr>
      </w:pPr>
    </w:p>
    <w:p>
      <w:pPr>
        <w:ind w:left="512" w:hanging="512"/>
        <w:spacing w:after="0"/>
        <w:tabs>
          <w:tab w:leader="none" w:pos="5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Calculated based on the end of period total assets divided by end of period advisor count.</w:t>
      </w:r>
    </w:p>
    <w:p>
      <w:pPr>
        <w:spacing w:after="0" w:line="49" w:lineRule="exact"/>
        <w:rPr>
          <w:rFonts w:ascii="Arial" w:cs="Arial" w:eastAsia="Arial" w:hAnsi="Arial"/>
          <w:sz w:val="18"/>
          <w:szCs w:val="18"/>
          <w:color w:val="auto"/>
        </w:rPr>
      </w:pPr>
    </w:p>
    <w:p>
      <w:pPr>
        <w:ind w:left="492" w:hanging="492"/>
        <w:spacing w:after="0" w:line="281" w:lineRule="auto"/>
        <w:tabs>
          <w:tab w:leader="none" w:pos="3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retention of total assets, calculated by deducting quarterly annualized attrition from total assets, divided by the prior quarter total assets.</w:t>
      </w:r>
    </w:p>
    <w:p>
      <w:pPr>
        <w:spacing w:after="0" w:line="1" w:lineRule="exact"/>
        <w:rPr>
          <w:rFonts w:ascii="Arial" w:cs="Arial" w:eastAsia="Arial" w:hAnsi="Arial"/>
          <w:sz w:val="18"/>
          <w:szCs w:val="18"/>
          <w:color w:val="auto"/>
        </w:rPr>
      </w:pPr>
    </w:p>
    <w:p>
      <w:pPr>
        <w:ind w:left="372" w:hanging="372"/>
        <w:spacing w:after="0"/>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represent cash payments for property and equipment during the period.</w:t>
      </w:r>
    </w:p>
    <w:p>
      <w:pPr>
        <w:spacing w:after="0" w:line="63" w:lineRule="exact"/>
        <w:rPr>
          <w:rFonts w:ascii="Arial" w:cs="Arial" w:eastAsia="Arial" w:hAnsi="Arial"/>
          <w:sz w:val="18"/>
          <w:szCs w:val="18"/>
          <w:color w:val="auto"/>
        </w:rPr>
      </w:pPr>
    </w:p>
    <w:p>
      <w:pPr>
        <w:ind w:left="372" w:hanging="372"/>
        <w:spacing w:after="0"/>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net represent cash paid for acquisitions, net of cash acquired during the period.</w:t>
      </w:r>
    </w:p>
    <w:p>
      <w:pPr>
        <w:spacing w:after="0" w:line="63" w:lineRule="exact"/>
        <w:rPr>
          <w:rFonts w:ascii="Arial" w:cs="Arial" w:eastAsia="Arial" w:hAnsi="Arial"/>
          <w:sz w:val="18"/>
          <w:szCs w:val="18"/>
          <w:color w:val="auto"/>
        </w:rPr>
      </w:pPr>
    </w:p>
    <w:p>
      <w:pPr>
        <w:ind w:left="492" w:right="740" w:hanging="492"/>
        <w:spacing w:after="0" w:line="281" w:lineRule="auto"/>
        <w:tabs>
          <w:tab w:leader="none" w:pos="3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 fair value adjustment to our contingent consideration liabilities that is reflected in other expense in the condensed consolidated statements of income.</w:t>
      </w:r>
    </w:p>
    <w:p>
      <w:pPr>
        <w:spacing w:after="0" w:line="1" w:lineRule="exact"/>
        <w:rPr>
          <w:rFonts w:ascii="Arial" w:cs="Arial" w:eastAsia="Arial" w:hAnsi="Arial"/>
          <w:sz w:val="18"/>
          <w:szCs w:val="18"/>
          <w:color w:val="auto"/>
        </w:rPr>
      </w:pPr>
    </w:p>
    <w:p>
      <w:pPr>
        <w:ind w:left="492" w:right="340" w:hanging="492"/>
        <w:spacing w:after="0" w:line="281" w:lineRule="auto"/>
        <w:tabs>
          <w:tab w:leader="none" w:pos="3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 costs and other primarily include costs related to acquisitions and costs incurred related to the integration of the strategic relationship with Prudential Advisors.</w:t>
      </w:r>
    </w:p>
    <w:p>
      <w:pPr>
        <w:spacing w:after="0" w:line="1" w:lineRule="exact"/>
        <w:rPr>
          <w:rFonts w:ascii="Arial" w:cs="Arial" w:eastAsia="Arial" w:hAnsi="Arial"/>
          <w:sz w:val="18"/>
          <w:szCs w:val="18"/>
          <w:color w:val="auto"/>
        </w:rPr>
      </w:pPr>
    </w:p>
    <w:p>
      <w:pPr>
        <w:ind w:left="492" w:right="600" w:hanging="492"/>
        <w:spacing w:after="0" w:line="287" w:lineRule="auto"/>
        <w:tabs>
          <w:tab w:leader="none" w:pos="5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M&amp;A accretion is an adjustment to reflect the annualized expected run rate EBITDA of an acquisition as permitted by the Credit Agreement for up to eight fiscal quarters following the close of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sectPr>
      <w:pgSz w:w="11900" w:h="16838" w:orient="portrait"/>
      <w:cols w:equalWidth="0" w:num="1">
        <w:col w:w="11212"/>
      </w:cols>
      <w:pgMar w:left="328"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4"/>
    </w:lvl>
  </w:abstractNum>
  <w:abstractNum w:abstractNumId="2">
    <w:nsid w:val="6B68079A"/>
    <w:multiLevelType w:val="hybridMultilevel"/>
    <w:lvl w:ilvl="0">
      <w:lvlJc w:val="left"/>
      <w:lvlText w:val="•"/>
      <w:numFmt w:val="bullet"/>
      <w:start w:val="1"/>
    </w:lvl>
    <w:lvl w:ilvl="1">
      <w:lvlJc w:val="left"/>
      <w:lvlText w:val="◦"/>
      <w:numFmt w:val="bullet"/>
      <w:start w:val="1"/>
    </w:lvl>
  </w:abstractNum>
  <w:abstractNum w:abstractNumId="3">
    <w:nsid w:val="4E6AFB66"/>
    <w:multiLevelType w:val="hybridMultilevel"/>
    <w:lvl w:ilvl="0">
      <w:lvlJc w:val="left"/>
      <w:lvlText w:val="•"/>
      <w:numFmt w:val="bullet"/>
      <w:start w:val="1"/>
    </w:lvl>
    <w:lvl w:ilvl="1">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1)"/>
      <w:numFmt w:val="decimal"/>
      <w:start w:val="6"/>
    </w:lvl>
  </w:abstractNum>
  <w:abstractNum w:abstractNumId="15">
    <w:nsid w:val="2443A858"/>
    <w:multiLevelType w:val="hybridMultilevel"/>
    <w:lvl w:ilvl="0">
      <w:lvlJc w:val="left"/>
      <w:lvlText w:val="(%1)"/>
      <w:numFmt w:val="decimal"/>
      <w:start w:val="7"/>
    </w:lvl>
  </w:abstractNum>
  <w:abstractNum w:abstractNumId="16">
    <w:nsid w:val="2D1D5AE9"/>
    <w:multiLevelType w:val="hybridMultilevel"/>
    <w:lvl w:ilvl="0">
      <w:lvlJc w:val="left"/>
      <w:lvlText w:val="(%1)"/>
      <w:numFmt w:val="decimal"/>
      <w:start w:val="8"/>
    </w:lvl>
  </w:abstractNum>
  <w:abstractNum w:abstractNumId="17">
    <w:nsid w:val="6763845E"/>
    <w:multiLevelType w:val="hybridMultilevel"/>
    <w:lvl w:ilvl="0">
      <w:lvlJc w:val="left"/>
      <w:lvlText w:val="(%1)"/>
      <w:numFmt w:val="decimal"/>
      <w:start w:val="9"/>
    </w:lvl>
  </w:abstractNum>
  <w:abstractNum w:abstractNumId="18">
    <w:nsid w:val="75A2A8D4"/>
    <w:multiLevelType w:val="hybridMultilevel"/>
    <w:lvl w:ilvl="0">
      <w:lvlJc w:val="left"/>
      <w:lvlText w:val="(%1)"/>
      <w:numFmt w:val="decimal"/>
      <w:start w:val="10"/>
    </w:lvl>
  </w:abstractNum>
  <w:abstractNum w:abstractNumId="19">
    <w:nsid w:val="8EDBDAB"/>
    <w:multiLevelType w:val="hybridMultilevel"/>
    <w:lvl w:ilvl="0">
      <w:lvlJc w:val="left"/>
      <w:lvlText w:val="(%1)"/>
      <w:numFmt w:val="decimal"/>
      <w:start w:val="1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decimal"/>
      <w:start w:val="14"/>
    </w:lvl>
  </w:abstractNum>
  <w:abstractNum w:abstractNumId="22">
    <w:nsid w:val="B03E0C6"/>
    <w:multiLevelType w:val="hybridMultilevel"/>
    <w:lvl w:ilvl="0">
      <w:lvlJc w:val="left"/>
      <w:lvlText w:val="(%1)"/>
      <w:numFmt w:val="decimal"/>
      <w:start w:val="15"/>
    </w:lvl>
  </w:abstractNum>
  <w:abstractNum w:abstractNumId="23">
    <w:nsid w:val="189A769B"/>
    <w:multiLevelType w:val="hybridMultilevel"/>
    <w:lvl w:ilvl="0">
      <w:lvlJc w:val="left"/>
      <w:lvlText w:val="(%1)"/>
      <w:numFmt w:val="decimal"/>
      <w:start w:val="16"/>
    </w:lvl>
  </w:abstractNum>
  <w:abstractNum w:abstractNumId="24">
    <w:nsid w:val="54E49EB4"/>
    <w:multiLevelType w:val="hybridMultilevel"/>
    <w:lvl w:ilvl="0">
      <w:lvlJc w:val="left"/>
      <w:lvlText w:val="(%1)"/>
      <w:numFmt w:val="decimal"/>
      <w:start w:val="17"/>
    </w:lvl>
  </w:abstractNum>
  <w:abstractNum w:abstractNumId="25">
    <w:nsid w:val="71F32454"/>
    <w:multiLevelType w:val="hybridMultilevel"/>
    <w:lvl w:ilvl="0">
      <w:lvlJc w:val="left"/>
      <w:lvlText w:val="(%1)"/>
      <w:numFmt w:val="decimal"/>
      <w:start w:val="18"/>
    </w:lvl>
  </w:abstractNum>
  <w:abstractNum w:abstractNumId="26">
    <w:nsid w:val="2CA88611"/>
    <w:multiLevelType w:val="hybridMultilevel"/>
    <w:lvl w:ilvl="0">
      <w:lvlJc w:val="left"/>
      <w:lvlText w:val="(%1)"/>
      <w:numFmt w:val="decimal"/>
      <w:start w:val="26"/>
    </w:lvl>
  </w:abstractNum>
  <w:abstractNum w:abstractNumId="27">
    <w:nsid w:val="836C40E"/>
    <w:multiLevelType w:val="hybridMultilevel"/>
    <w:lvl w:ilvl="0">
      <w:lvlJc w:val="left"/>
      <w:lvlText w:val="(%1)"/>
      <w:numFmt w:val="decimal"/>
      <w:start w:val="27"/>
    </w:lvl>
  </w:abstractNum>
  <w:abstractNum w:abstractNumId="28">
    <w:nsid w:val="2901D82"/>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2026-10-27T15:26:24Z</dcterms:created>
  <dcterms:modified xsi:type="dcterms:W3CDTF">2026-10-27T15:26:24Z</dcterms:modified>
</cp:coreProperties>
</file>