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4"/>
          <w:szCs w:val="24"/>
          <w:color w:val="auto"/>
        </w:rPr>
      </w:pPr>
    </w:p>
    <w:p>
      <w:pPr>
        <w:jc w:val="center"/>
        <w:ind w:right="-1120"/>
        <w:spacing w:after="0"/>
        <w:rPr>
          <w:sz w:val="20"/>
          <w:szCs w:val="20"/>
          <w:color w:val="auto"/>
        </w:rPr>
      </w:pPr>
      <w:r>
        <w:rPr>
          <w:rFonts w:ascii="Arial" w:cs="Arial" w:eastAsia="Arial" w:hAnsi="Arial"/>
          <w:sz w:val="21"/>
          <w:szCs w:val="21"/>
          <w:b w:val="1"/>
          <w:bCs w:val="1"/>
          <w:color w:val="auto"/>
        </w:rPr>
        <w:t>UNITED STATES</w:t>
      </w:r>
    </w:p>
    <w:p>
      <w:pPr>
        <w:spacing w:after="0" w:line="106" w:lineRule="exact"/>
        <w:rPr>
          <w:sz w:val="24"/>
          <w:szCs w:val="24"/>
          <w:color w:val="auto"/>
        </w:rPr>
      </w:pPr>
    </w:p>
    <w:p>
      <w:pPr>
        <w:jc w:val="center"/>
        <w:ind w:right="-1120"/>
        <w:spacing w:after="0"/>
        <w:rPr>
          <w:sz w:val="20"/>
          <w:szCs w:val="20"/>
          <w:color w:val="auto"/>
        </w:rPr>
      </w:pPr>
      <w:r>
        <w:rPr>
          <w:rFonts w:ascii="Arial" w:cs="Arial" w:eastAsia="Arial" w:hAnsi="Arial"/>
          <w:sz w:val="21"/>
          <w:szCs w:val="21"/>
          <w:b w:val="1"/>
          <w:bCs w:val="1"/>
          <w:color w:val="auto"/>
        </w:rPr>
        <w:t>SECURITIES AND EXCHANGE COMMISSION</w:t>
      </w:r>
    </w:p>
    <w:p>
      <w:pPr>
        <w:spacing w:after="0" w:line="106" w:lineRule="exact"/>
        <w:rPr>
          <w:sz w:val="24"/>
          <w:szCs w:val="24"/>
          <w:color w:val="auto"/>
        </w:rPr>
      </w:pPr>
    </w:p>
    <w:p>
      <w:pPr>
        <w:jc w:val="center"/>
        <w:ind w:right="-1120"/>
        <w:spacing w:after="0"/>
        <w:rPr>
          <w:sz w:val="20"/>
          <w:szCs w:val="20"/>
          <w:color w:val="auto"/>
        </w:rPr>
      </w:pPr>
      <w:r>
        <w:rPr>
          <w:rFonts w:ascii="Arial" w:cs="Arial" w:eastAsia="Arial" w:hAnsi="Arial"/>
          <w:sz w:val="21"/>
          <w:szCs w:val="21"/>
          <w:b w:val="1"/>
          <w:bCs w:val="1"/>
          <w:color w:val="auto"/>
        </w:rPr>
        <w:t>Washington, D.C. 20549</w:t>
      </w:r>
    </w:p>
    <w:p>
      <w:pPr>
        <w:spacing w:after="0" w:line="210" w:lineRule="exact"/>
        <w:rPr>
          <w:sz w:val="24"/>
          <w:szCs w:val="24"/>
          <w:color w:val="auto"/>
        </w:rPr>
      </w:pPr>
    </w:p>
    <w:p>
      <w:pPr>
        <w:ind w:left="4540"/>
        <w:spacing w:after="0"/>
        <w:rPr>
          <w:sz w:val="20"/>
          <w:szCs w:val="20"/>
          <w:color w:val="auto"/>
        </w:rPr>
      </w:pPr>
      <w:r>
        <w:rPr>
          <w:rFonts w:ascii="Arial" w:cs="Arial" w:eastAsia="Arial" w:hAnsi="Arial"/>
          <w:sz w:val="29"/>
          <w:szCs w:val="29"/>
          <w:b w:val="1"/>
          <w:bCs w:val="1"/>
          <w:color w:val="auto"/>
        </w:rPr>
        <w:t>SCHEDULE 14A</w:t>
      </w:r>
    </w:p>
    <w:p>
      <w:pPr>
        <w:sectPr>
          <w:pgSz w:w="11900" w:h="16838" w:orient="portrait"/>
          <w:cols w:equalWidth="0" w:num="1">
            <w:col w:w="10139"/>
          </w:cols>
          <w:pgMar w:left="320" w:top="227" w:right="1440" w:bottom="1440" w:gutter="0" w:footer="0" w:header="0"/>
        </w:sectPr>
      </w:pPr>
    </w:p>
    <w:p>
      <w:pPr>
        <w:spacing w:after="0" w:line="59" w:lineRule="exact"/>
        <w:rPr>
          <w:sz w:val="24"/>
          <w:szCs w:val="24"/>
          <w:color w:val="auto"/>
        </w:rPr>
      </w:pPr>
    </w:p>
    <w:p>
      <w:pPr>
        <w:ind w:left="2540" w:right="120" w:firstLine="922"/>
        <w:spacing w:after="0" w:line="253" w:lineRule="auto"/>
        <w:rPr>
          <w:sz w:val="20"/>
          <w:szCs w:val="20"/>
          <w:color w:val="auto"/>
        </w:rPr>
      </w:pPr>
      <w:r>
        <w:rPr>
          <w:rFonts w:ascii="Arial" w:cs="Arial" w:eastAsia="Arial" w:hAnsi="Arial"/>
          <w:sz w:val="21"/>
          <w:szCs w:val="21"/>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rPr>
          <w:sz w:val="20"/>
          <w:szCs w:val="20"/>
          <w:color w:val="auto"/>
        </w:rPr>
      </w:pPr>
      <w:r>
        <w:rPr>
          <w:rFonts w:ascii="Arial" w:cs="Arial" w:eastAsia="Arial" w:hAnsi="Arial"/>
          <w:sz w:val="21"/>
          <w:szCs w:val="21"/>
          <w:color w:val="auto"/>
        </w:rPr>
        <w:t>)</w:t>
      </w:r>
    </w:p>
    <w:p>
      <w:pPr>
        <w:spacing w:after="0" w:line="39" w:lineRule="exact"/>
        <w:rPr>
          <w:sz w:val="24"/>
          <w:szCs w:val="24"/>
          <w:color w:val="auto"/>
        </w:rPr>
      </w:pPr>
    </w:p>
    <w:p>
      <w:pPr>
        <w:sectPr>
          <w:pgSz w:w="11900" w:h="16838" w:orient="portrait"/>
          <w:cols w:equalWidth="0" w:num="2">
            <w:col w:w="7900" w:space="720"/>
            <w:col w:w="1519"/>
          </w:cols>
          <w:pgMar w:left="320" w:top="227" w:right="1440" w:bottom="1440" w:gutter="0" w:footer="0" w:header="0"/>
          <w:type w:val="continuous"/>
        </w:sectPr>
      </w:pPr>
    </w:p>
    <w:p>
      <w:pPr>
        <w:ind w:left="1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4" w:lineRule="exact"/>
        <w:rPr>
          <w:sz w:val="24"/>
          <w:szCs w:val="24"/>
          <w:color w:val="auto"/>
        </w:rPr>
      </w:pPr>
    </w:p>
    <w:p>
      <w:pPr>
        <w:ind w:left="1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33" w:lineRule="exact"/>
        <w:rPr>
          <w:sz w:val="24"/>
          <w:szCs w:val="24"/>
          <w:color w:val="auto"/>
        </w:rPr>
      </w:pPr>
    </w:p>
    <w:p>
      <w:pPr>
        <w:ind w:left="160"/>
        <w:spacing w:after="0"/>
        <w:rPr>
          <w:sz w:val="20"/>
          <w:szCs w:val="20"/>
          <w:color w:val="auto"/>
        </w:rPr>
      </w:pPr>
      <w:r>
        <w:rPr>
          <w:rFonts w:ascii="Arial" w:cs="Arial" w:eastAsia="Arial" w:hAnsi="Arial"/>
          <w:sz w:val="18"/>
          <w:szCs w:val="18"/>
          <w:color w:val="auto"/>
        </w:rPr>
        <w:t>Check the appropriate box:</w:t>
      </w:r>
    </w:p>
    <w:p>
      <w:pPr>
        <w:spacing w:after="0" w:line="47" w:lineRule="exact"/>
        <w:rPr>
          <w:sz w:val="24"/>
          <w:szCs w:val="24"/>
          <w:color w:val="auto"/>
        </w:rPr>
      </w:pPr>
    </w:p>
    <w:p>
      <w:pPr>
        <w:ind w:left="720" w:hanging="553"/>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33" w:lineRule="exact"/>
        <w:rPr>
          <w:rFonts w:ascii="MS PGothic" w:cs="MS PGothic" w:eastAsia="MS PGothic" w:hAnsi="MS PGothic"/>
          <w:sz w:val="18"/>
          <w:szCs w:val="18"/>
          <w:color w:val="auto"/>
        </w:rPr>
      </w:pPr>
    </w:p>
    <w:p>
      <w:pPr>
        <w:ind w:left="160" w:right="3119" w:firstLine="7"/>
        <w:spacing w:after="0" w:line="239" w:lineRule="exact"/>
        <w:tabs>
          <w:tab w:leader="none" w:pos="70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3" w:lineRule="exact"/>
        <w:rPr>
          <w:rFonts w:ascii="MS PGothic" w:cs="MS PGothic" w:eastAsia="MS PGothic" w:hAnsi="MS PGothic"/>
          <w:sz w:val="18"/>
          <w:szCs w:val="18"/>
          <w:color w:val="auto"/>
        </w:rPr>
      </w:pPr>
    </w:p>
    <w:p>
      <w:pPr>
        <w:ind w:left="720" w:hanging="553"/>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33" w:lineRule="exact"/>
        <w:rPr>
          <w:rFonts w:ascii="MS PGothic" w:cs="MS PGothic" w:eastAsia="MS PGothic" w:hAnsi="MS PGothic"/>
          <w:sz w:val="18"/>
          <w:szCs w:val="18"/>
          <w:color w:val="auto"/>
        </w:rPr>
      </w:pPr>
    </w:p>
    <w:p>
      <w:pPr>
        <w:ind w:left="720" w:hanging="553"/>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85" w:lineRule="exact"/>
        <w:rPr>
          <w:sz w:val="24"/>
          <w:szCs w:val="24"/>
          <w:color w:val="auto"/>
        </w:rPr>
      </w:pPr>
    </w:p>
    <w:p>
      <w:pPr>
        <w:jc w:val="center"/>
        <w:ind w:right="-1120"/>
        <w:spacing w:after="0"/>
        <w:rPr>
          <w:sz w:val="20"/>
          <w:szCs w:val="20"/>
          <w:color w:val="auto"/>
        </w:rPr>
      </w:pPr>
      <w:r>
        <w:rPr>
          <w:rFonts w:ascii="Arial" w:cs="Arial" w:eastAsia="Arial" w:hAnsi="Arial"/>
          <w:sz w:val="21"/>
          <w:szCs w:val="21"/>
          <w:b w:val="1"/>
          <w:bCs w:val="1"/>
          <w:color w:val="auto"/>
        </w:rPr>
        <w:t>LPL Financial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17780</wp:posOffset>
            </wp:positionV>
            <wp:extent cx="69297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25400"/>
                    </a:xfrm>
                    <a:prstGeom prst="rect">
                      <a:avLst/>
                    </a:prstGeom>
                    <a:noFill/>
                  </pic:spPr>
                </pic:pic>
              </a:graphicData>
            </a:graphic>
          </wp:anchor>
        </w:drawing>
      </w:r>
    </w:p>
    <w:p>
      <w:pPr>
        <w:spacing w:after="0" w:line="82"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321945</wp:posOffset>
            </wp:positionV>
            <wp:extent cx="692975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2540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ind w:left="28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0" w:lineRule="exact"/>
        <w:rPr>
          <w:sz w:val="24"/>
          <w:szCs w:val="24"/>
          <w:color w:val="auto"/>
        </w:rPr>
      </w:pPr>
    </w:p>
    <w:p>
      <w:pPr>
        <w:spacing w:after="0" w:line="222" w:lineRule="exact"/>
        <w:rPr>
          <w:sz w:val="24"/>
          <w:szCs w:val="24"/>
          <w:color w:val="auto"/>
        </w:rPr>
      </w:pPr>
    </w:p>
    <w:p>
      <w:pPr>
        <w:ind w:left="160"/>
        <w:spacing w:after="0"/>
        <w:rPr>
          <w:sz w:val="20"/>
          <w:szCs w:val="20"/>
          <w:color w:val="auto"/>
        </w:rPr>
      </w:pPr>
      <w:r>
        <w:rPr>
          <w:rFonts w:ascii="Arial" w:cs="Arial" w:eastAsia="Arial" w:hAnsi="Arial"/>
          <w:sz w:val="18"/>
          <w:szCs w:val="18"/>
          <w:color w:val="auto"/>
        </w:rPr>
        <w:t>Payment of Filing Fee (Check all boxes that apply):</w:t>
      </w:r>
    </w:p>
    <w:p>
      <w:pPr>
        <w:spacing w:after="0" w:line="28" w:lineRule="exact"/>
        <w:rPr>
          <w:sz w:val="24"/>
          <w:szCs w:val="24"/>
          <w:color w:val="auto"/>
        </w:rPr>
      </w:pPr>
    </w:p>
    <w:p>
      <w:pPr>
        <w:ind w:left="720" w:hanging="553"/>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6" w:lineRule="exact"/>
        <w:rPr>
          <w:sz w:val="24"/>
          <w:szCs w:val="24"/>
          <w:color w:val="auto"/>
        </w:rPr>
      </w:pPr>
    </w:p>
    <w:p>
      <w:pPr>
        <w:ind w:left="720" w:hanging="553"/>
        <w:spacing w:after="0"/>
        <w:tabs>
          <w:tab w:leader="none" w:pos="7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 w:lineRule="exact"/>
        <w:rPr>
          <w:rFonts w:ascii="MS PGothic" w:cs="MS PGothic" w:eastAsia="MS PGothic" w:hAnsi="MS PGothic"/>
          <w:sz w:val="18"/>
          <w:szCs w:val="18"/>
          <w:color w:val="auto"/>
        </w:rPr>
      </w:pPr>
    </w:p>
    <w:p>
      <w:pPr>
        <w:ind w:left="720" w:hanging="553"/>
        <w:spacing w:after="0"/>
        <w:tabs>
          <w:tab w:leader="none" w:pos="7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ectPr>
          <w:pgSz w:w="11900" w:h="16838" w:orient="portrait"/>
          <w:cols w:equalWidth="0" w:num="1">
            <w:col w:w="10139"/>
          </w:cols>
          <w:pgMar w:left="320" w:top="227" w:right="1440" w:bottom="1440" w:gutter="0" w:footer="0" w:header="0"/>
          <w:type w:val="continuous"/>
        </w:sectPr>
      </w:pPr>
    </w:p>
    <w:bookmarkStart w:id="1" w:name="page2"/>
    <w:bookmarkEnd w:id="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210820</wp:posOffset>
            </wp:positionV>
            <wp:extent cx="7094855" cy="9171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1638935" cy="212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38935" cy="212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April 8, 2022</w:t>
      </w:r>
    </w:p>
    <w:p>
      <w:pPr>
        <w:spacing w:after="0" w:line="31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Dear Fellow Stockholders:</w:t>
      </w:r>
    </w:p>
    <w:p>
      <w:pPr>
        <w:spacing w:after="0" w:line="208"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It is my pleasure to invite you to attend the 2022 Annual Meeting of Stockholders (the “Annual Meeting”) of LPL Financial Holdings Inc. The meeting will be held on Wednesday, May 18, 2022, at 8:00 a.m., local time, at our offices located at 1055 LPL Way, Fort Mill, South Carolina 29715. Holders of record of our common stock as of March 21, 2022 are entitled to notice of and to vote at the Annual Meeting. The Notice of Annual Meeting of Stockholders and the proxy statement that follow describe the business to be conducted at the meeting.</w:t>
      </w:r>
    </w:p>
    <w:p>
      <w:pPr>
        <w:spacing w:after="0" w:line="178"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Consistent with our focus on sustainability, we are pleased to take advantage of the Securities and Exchange Commission rule allowing companies to furnish proxy materials to their stockholders through the internet. We believe this approach allows us to reduce the environmental impact of the Annual Meeting while expediting your receipt of these materials and lowering our costs of delivery. If you would like us to send you printed copies of our proxy statement and accompanying materials, we will be happy to do so upon your request at no charge. For more information, please refer to the Notice Regarding the Availability of Proxy Materials that we mailed to holders of record on or about April 8, 2022.</w:t>
      </w:r>
    </w:p>
    <w:p>
      <w:pPr>
        <w:spacing w:after="0" w:line="181" w:lineRule="exact"/>
        <w:rPr>
          <w:sz w:val="20"/>
          <w:szCs w:val="20"/>
          <w:color w:val="auto"/>
        </w:rPr>
      </w:pPr>
    </w:p>
    <w:p>
      <w:pPr>
        <w:ind w:left="160" w:right="660"/>
        <w:spacing w:after="0" w:line="277" w:lineRule="auto"/>
        <w:rPr>
          <w:sz w:val="20"/>
          <w:szCs w:val="20"/>
          <w:color w:val="auto"/>
        </w:rPr>
      </w:pPr>
      <w:r>
        <w:rPr>
          <w:rFonts w:ascii="Arial" w:cs="Arial" w:eastAsia="Arial" w:hAnsi="Arial"/>
          <w:sz w:val="18"/>
          <w:szCs w:val="18"/>
          <w:b w:val="1"/>
          <w:bCs w:val="1"/>
          <w:color w:val="050A54"/>
        </w:rPr>
        <w:t>YOUR VOTE IS VERY IMPORTANT. PLEASE SUBMIT YOUR PROXY OR VOTING INSTRUCTIONS AS SOON AS POSSIBLE, WHETHER OR NOT YOU PLAN TO ATTEND THE ANNUAL MEETING.</w:t>
      </w:r>
    </w:p>
    <w:p>
      <w:pPr>
        <w:spacing w:after="0" w:line="137"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You are welcome to attend the Annual Meeting. However, even if you plan to attend, please vote your shares promptly to ensure they are represented at the meeting in the event you later decide not to attend in person. You may submit your proxy through the internet or by telephone, as described in the following materials, or if you request printed copies of these materials, by completing and signing the proxy card and returning it in the envelope provided. If you decide to attend the Annual Meeting and wish to change your proxy, you may do so automatically by voting at the meeting.</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Please refer to page 2 of the accompanying proxy statement for further information concerning attendance.</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On behalf of the Board of Directors, I thank you for your continued support of LPL Financial Holdings Inc.</w:t>
      </w:r>
    </w:p>
    <w:p>
      <w:pPr>
        <w:spacing w:after="0" w:line="234"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4267835</wp:posOffset>
            </wp:positionH>
            <wp:positionV relativeFrom="paragraph">
              <wp:posOffset>84455</wp:posOffset>
            </wp:positionV>
            <wp:extent cx="1520190" cy="4248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0190" cy="424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James S. Putnam</w:t>
      </w:r>
    </w:p>
    <w:p>
      <w:pPr>
        <w:spacing w:after="0" w:line="12" w:lineRule="exact"/>
        <w:rPr>
          <w:sz w:val="20"/>
          <w:szCs w:val="20"/>
          <w:color w:val="auto"/>
        </w:rPr>
      </w:pPr>
    </w:p>
    <w:p>
      <w:pPr>
        <w:ind w:left="6720"/>
        <w:spacing w:after="0"/>
        <w:rPr>
          <w:sz w:val="20"/>
          <w:szCs w:val="20"/>
          <w:color w:val="auto"/>
        </w:rPr>
      </w:pPr>
      <w:r>
        <w:rPr>
          <w:rFonts w:ascii="Arial" w:cs="Arial" w:eastAsia="Arial" w:hAnsi="Arial"/>
          <w:sz w:val="18"/>
          <w:szCs w:val="18"/>
          <w:i w:val="1"/>
          <w:iCs w:val="1"/>
          <w:color w:val="auto"/>
        </w:rPr>
        <w:t>Chair</w:t>
      </w:r>
    </w:p>
    <w:p>
      <w:pPr>
        <w:sectPr>
          <w:pgSz w:w="11900" w:h="16838" w:orient="portrait"/>
          <w:cols w:equalWidth="0" w:num="1">
            <w:col w:w="11080"/>
          </w:cols>
          <w:pgMar w:left="320" w:top="454" w:right="49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1638935" cy="2120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38935" cy="212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160" w:type="dxa"/>
        <w:tblCellMar>
          <w:top w:w="0" w:type="dxa"/>
          <w:left w:w="0" w:type="dxa"/>
          <w:bottom w:w="0" w:type="dxa"/>
          <w:right w:w="0" w:type="dxa"/>
        </w:tblCellMar>
      </w:tblPr>
      <w:tr>
        <w:trPr>
          <w:trHeight w:val="320"/>
        </w:trPr>
        <w:tc>
          <w:tcPr>
            <w:tcW w:w="1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80" w:type="dxa"/>
            <w:vAlign w:val="bottom"/>
          </w:tcPr>
          <w:p>
            <w:pPr>
              <w:ind w:left="920"/>
              <w:spacing w:after="0"/>
              <w:rPr>
                <w:sz w:val="20"/>
                <w:szCs w:val="20"/>
                <w:color w:val="auto"/>
              </w:rPr>
            </w:pPr>
            <w:r>
              <w:rPr>
                <w:rFonts w:ascii="Arial" w:cs="Arial" w:eastAsia="Arial" w:hAnsi="Arial"/>
                <w:sz w:val="23"/>
                <w:szCs w:val="23"/>
                <w:b w:val="1"/>
                <w:bCs w:val="1"/>
                <w:color w:val="050A54"/>
              </w:rPr>
              <w:t>Notice of Annual Meeting of Stockholders</w:t>
            </w:r>
          </w:p>
        </w:tc>
      </w:tr>
      <w:tr>
        <w:trPr>
          <w:trHeight w:val="448"/>
        </w:trPr>
        <w:tc>
          <w:tcPr>
            <w:tcW w:w="1760" w:type="dxa"/>
            <w:vAlign w:val="bottom"/>
          </w:tcPr>
          <w:p>
            <w:pPr>
              <w:spacing w:after="0"/>
              <w:rPr>
                <w:sz w:val="20"/>
                <w:szCs w:val="20"/>
                <w:color w:val="auto"/>
              </w:rPr>
            </w:pPr>
            <w:r>
              <w:rPr>
                <w:rFonts w:ascii="Arial" w:cs="Arial" w:eastAsia="Arial" w:hAnsi="Arial"/>
                <w:sz w:val="18"/>
                <w:szCs w:val="18"/>
                <w:b w:val="1"/>
                <w:bCs w:val="1"/>
                <w:color w:val="050A54"/>
              </w:rPr>
              <w:t>Time and Date</w:t>
            </w:r>
          </w:p>
        </w:tc>
        <w:tc>
          <w:tcPr>
            <w:tcW w:w="9160" w:type="dxa"/>
            <w:vAlign w:val="bottom"/>
            <w:gridSpan w:val="2"/>
          </w:tcPr>
          <w:p>
            <w:pPr>
              <w:ind w:left="220"/>
              <w:spacing w:after="0"/>
              <w:rPr>
                <w:sz w:val="20"/>
                <w:szCs w:val="20"/>
                <w:color w:val="auto"/>
              </w:rPr>
            </w:pPr>
            <w:r>
              <w:rPr>
                <w:rFonts w:ascii="Arial" w:cs="Arial" w:eastAsia="Arial" w:hAnsi="Arial"/>
                <w:sz w:val="18"/>
                <w:szCs w:val="18"/>
                <w:color w:val="auto"/>
              </w:rPr>
              <w:t>8:00 a.m., local time, on Wednesday, May 18, 2022</w:t>
            </w:r>
          </w:p>
        </w:tc>
      </w:tr>
      <w:tr>
        <w:trPr>
          <w:trHeight w:val="370"/>
        </w:trPr>
        <w:tc>
          <w:tcPr>
            <w:tcW w:w="1760" w:type="dxa"/>
            <w:vAlign w:val="bottom"/>
          </w:tcPr>
          <w:p>
            <w:pPr>
              <w:spacing w:after="0"/>
              <w:rPr>
                <w:sz w:val="20"/>
                <w:szCs w:val="20"/>
                <w:color w:val="auto"/>
              </w:rPr>
            </w:pPr>
            <w:r>
              <w:rPr>
                <w:rFonts w:ascii="Arial" w:cs="Arial" w:eastAsia="Arial" w:hAnsi="Arial"/>
                <w:sz w:val="18"/>
                <w:szCs w:val="18"/>
                <w:b w:val="1"/>
                <w:bCs w:val="1"/>
                <w:color w:val="050A54"/>
              </w:rPr>
              <w:t>Items of Business</w:t>
            </w:r>
          </w:p>
        </w:tc>
        <w:tc>
          <w:tcPr>
            <w:tcW w:w="480" w:type="dxa"/>
            <w:vAlign w:val="bottom"/>
          </w:tcPr>
          <w:p>
            <w:pPr>
              <w:ind w:left="220"/>
              <w:spacing w:after="0"/>
              <w:rPr>
                <w:sz w:val="20"/>
                <w:szCs w:val="20"/>
                <w:color w:val="auto"/>
              </w:rPr>
            </w:pPr>
            <w:r>
              <w:rPr>
                <w:rFonts w:ascii="Arial" w:cs="Arial" w:eastAsia="Arial" w:hAnsi="Arial"/>
                <w:sz w:val="18"/>
                <w:szCs w:val="18"/>
                <w:color w:val="auto"/>
              </w:rPr>
              <w:t>(1)</w:t>
            </w:r>
          </w:p>
        </w:tc>
        <w:tc>
          <w:tcPr>
            <w:tcW w:w="8680" w:type="dxa"/>
            <w:vAlign w:val="bottom"/>
          </w:tcPr>
          <w:p>
            <w:pPr>
              <w:ind w:left="40"/>
              <w:spacing w:after="0"/>
              <w:rPr>
                <w:sz w:val="20"/>
                <w:szCs w:val="20"/>
                <w:color w:val="auto"/>
              </w:rPr>
            </w:pPr>
            <w:r>
              <w:rPr>
                <w:rFonts w:ascii="Arial" w:cs="Arial" w:eastAsia="Arial" w:hAnsi="Arial"/>
                <w:sz w:val="18"/>
                <w:szCs w:val="18"/>
                <w:color w:val="auto"/>
              </w:rPr>
              <w:t>Elect the nine nominees named in the proxy statement to the Board of Directors of LPL Financial Holdings</w:t>
            </w:r>
          </w:p>
        </w:tc>
      </w:tr>
      <w:tr>
        <w:trPr>
          <w:trHeight w:val="235"/>
        </w:trPr>
        <w:tc>
          <w:tcPr>
            <w:tcW w:w="1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80" w:type="dxa"/>
            <w:vAlign w:val="bottom"/>
          </w:tcPr>
          <w:p>
            <w:pPr>
              <w:ind w:left="60"/>
              <w:spacing w:after="0"/>
              <w:rPr>
                <w:sz w:val="20"/>
                <w:szCs w:val="20"/>
                <w:color w:val="auto"/>
              </w:rPr>
            </w:pPr>
            <w:r>
              <w:rPr>
                <w:rFonts w:ascii="Arial" w:cs="Arial" w:eastAsia="Arial" w:hAnsi="Arial"/>
                <w:sz w:val="18"/>
                <w:szCs w:val="18"/>
                <w:color w:val="auto"/>
              </w:rPr>
              <w:t>Inc. (the “Company”);</w:t>
            </w:r>
          </w:p>
        </w:tc>
      </w:tr>
      <w:tr>
        <w:trPr>
          <w:trHeight w:val="286"/>
        </w:trPr>
        <w:tc>
          <w:tcPr>
            <w:tcW w:w="176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(2)</w:t>
            </w:r>
          </w:p>
        </w:tc>
        <w:tc>
          <w:tcPr>
            <w:tcW w:w="8680" w:type="dxa"/>
            <w:vAlign w:val="bottom"/>
          </w:tcPr>
          <w:p>
            <w:pPr>
              <w:ind w:left="40"/>
              <w:spacing w:after="0"/>
              <w:rPr>
                <w:sz w:val="20"/>
                <w:szCs w:val="20"/>
                <w:color w:val="auto"/>
              </w:rPr>
            </w:pPr>
            <w:r>
              <w:rPr>
                <w:rFonts w:ascii="Arial" w:cs="Arial" w:eastAsia="Arial" w:hAnsi="Arial"/>
                <w:sz w:val="18"/>
                <w:szCs w:val="18"/>
                <w:color w:val="auto"/>
              </w:rPr>
              <w:t>Ratify the appointment of Deloitte &amp; Touche LLP by the Audit Committee of the Board of Directors as the</w:t>
            </w:r>
          </w:p>
        </w:tc>
      </w:tr>
      <w:tr>
        <w:trPr>
          <w:trHeight w:val="235"/>
        </w:trPr>
        <w:tc>
          <w:tcPr>
            <w:tcW w:w="1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80" w:type="dxa"/>
            <w:vAlign w:val="bottom"/>
          </w:tcPr>
          <w:p>
            <w:pPr>
              <w:ind w:left="60"/>
              <w:spacing w:after="0"/>
              <w:rPr>
                <w:sz w:val="20"/>
                <w:szCs w:val="20"/>
                <w:color w:val="auto"/>
              </w:rPr>
            </w:pPr>
            <w:r>
              <w:rPr>
                <w:rFonts w:ascii="Arial" w:cs="Arial" w:eastAsia="Arial" w:hAnsi="Arial"/>
                <w:sz w:val="18"/>
                <w:szCs w:val="18"/>
                <w:color w:val="auto"/>
              </w:rPr>
              <w:t>Company’s independent registered public accounting firm for the fiscal year ending December 31, 2022;</w:t>
            </w:r>
          </w:p>
        </w:tc>
      </w:tr>
      <w:tr>
        <w:trPr>
          <w:trHeight w:val="321"/>
        </w:trPr>
        <w:tc>
          <w:tcPr>
            <w:tcW w:w="176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(3)</w:t>
            </w:r>
          </w:p>
        </w:tc>
        <w:tc>
          <w:tcPr>
            <w:tcW w:w="8680" w:type="dxa"/>
            <w:vAlign w:val="bottom"/>
          </w:tcPr>
          <w:p>
            <w:pPr>
              <w:ind w:left="40"/>
              <w:spacing w:after="0"/>
              <w:rPr>
                <w:sz w:val="20"/>
                <w:szCs w:val="20"/>
                <w:color w:val="auto"/>
              </w:rPr>
            </w:pPr>
            <w:r>
              <w:rPr>
                <w:rFonts w:ascii="Arial" w:cs="Arial" w:eastAsia="Arial" w:hAnsi="Arial"/>
                <w:sz w:val="18"/>
                <w:szCs w:val="18"/>
                <w:color w:val="auto"/>
              </w:rPr>
              <w:t>Approve, in an advisory vote, the compensation paid to the Company’s named executive officers; and</w:t>
            </w:r>
          </w:p>
        </w:tc>
      </w:tr>
      <w:tr>
        <w:trPr>
          <w:trHeight w:val="286"/>
        </w:trPr>
        <w:tc>
          <w:tcPr>
            <w:tcW w:w="176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(4)</w:t>
            </w:r>
          </w:p>
        </w:tc>
        <w:tc>
          <w:tcPr>
            <w:tcW w:w="8680" w:type="dxa"/>
            <w:vAlign w:val="bottom"/>
          </w:tcPr>
          <w:p>
            <w:pPr>
              <w:ind w:left="40"/>
              <w:spacing w:after="0"/>
              <w:rPr>
                <w:sz w:val="20"/>
                <w:szCs w:val="20"/>
                <w:color w:val="auto"/>
              </w:rPr>
            </w:pPr>
            <w:r>
              <w:rPr>
                <w:rFonts w:ascii="Arial" w:cs="Arial" w:eastAsia="Arial" w:hAnsi="Arial"/>
                <w:sz w:val="18"/>
                <w:szCs w:val="18"/>
                <w:color w:val="auto"/>
              </w:rPr>
              <w:t>Consider and act upon any other business properly coming before the 2022 annual meeting of stockholders</w:t>
            </w:r>
          </w:p>
        </w:tc>
      </w:tr>
      <w:tr>
        <w:trPr>
          <w:trHeight w:val="235"/>
        </w:trPr>
        <w:tc>
          <w:tcPr>
            <w:tcW w:w="1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80" w:type="dxa"/>
            <w:vAlign w:val="bottom"/>
          </w:tcPr>
          <w:p>
            <w:pPr>
              <w:ind w:left="60"/>
              <w:spacing w:after="0"/>
              <w:rPr>
                <w:sz w:val="20"/>
                <w:szCs w:val="20"/>
                <w:color w:val="auto"/>
              </w:rPr>
            </w:pPr>
            <w:r>
              <w:rPr>
                <w:rFonts w:ascii="Arial" w:cs="Arial" w:eastAsia="Arial" w:hAnsi="Arial"/>
                <w:sz w:val="18"/>
                <w:szCs w:val="18"/>
                <w:color w:val="auto"/>
              </w:rPr>
              <w:t>(the “Annual Meeting”) and at any adjournment or postponement thereof.</w:t>
            </w:r>
          </w:p>
        </w:tc>
      </w:tr>
      <w:tr>
        <w:trPr>
          <w:trHeight w:val="393"/>
        </w:trPr>
        <w:tc>
          <w:tcPr>
            <w:tcW w:w="1760" w:type="dxa"/>
            <w:vAlign w:val="bottom"/>
          </w:tcPr>
          <w:p>
            <w:pPr>
              <w:spacing w:after="0"/>
              <w:rPr>
                <w:sz w:val="20"/>
                <w:szCs w:val="20"/>
                <w:color w:val="auto"/>
              </w:rPr>
            </w:pPr>
            <w:r>
              <w:rPr>
                <w:rFonts w:ascii="Arial" w:cs="Arial" w:eastAsia="Arial" w:hAnsi="Arial"/>
                <w:sz w:val="18"/>
                <w:szCs w:val="18"/>
                <w:b w:val="1"/>
                <w:bCs w:val="1"/>
                <w:color w:val="050A54"/>
              </w:rPr>
              <w:t>Location</w:t>
            </w:r>
          </w:p>
        </w:tc>
        <w:tc>
          <w:tcPr>
            <w:tcW w:w="9160" w:type="dxa"/>
            <w:vAlign w:val="bottom"/>
            <w:gridSpan w:val="2"/>
          </w:tcPr>
          <w:p>
            <w:pPr>
              <w:ind w:left="220"/>
              <w:spacing w:after="0"/>
              <w:rPr>
                <w:sz w:val="20"/>
                <w:szCs w:val="20"/>
                <w:color w:val="auto"/>
              </w:rPr>
            </w:pPr>
            <w:r>
              <w:rPr>
                <w:rFonts w:ascii="Arial" w:cs="Arial" w:eastAsia="Arial" w:hAnsi="Arial"/>
                <w:sz w:val="18"/>
                <w:szCs w:val="18"/>
                <w:color w:val="auto"/>
              </w:rPr>
              <w:t>LPL Financial Holdings Inc.</w:t>
            </w:r>
          </w:p>
        </w:tc>
      </w:tr>
      <w:tr>
        <w:trPr>
          <w:trHeight w:val="201"/>
        </w:trPr>
        <w:tc>
          <w:tcPr>
            <w:tcW w:w="1760" w:type="dxa"/>
            <w:vAlign w:val="bottom"/>
          </w:tcPr>
          <w:p>
            <w:pPr>
              <w:spacing w:after="0"/>
              <w:rPr>
                <w:sz w:val="17"/>
                <w:szCs w:val="17"/>
                <w:color w:val="auto"/>
              </w:rPr>
            </w:pPr>
          </w:p>
        </w:tc>
        <w:tc>
          <w:tcPr>
            <w:tcW w:w="916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1055 LPL Way</w:t>
            </w:r>
          </w:p>
        </w:tc>
      </w:tr>
      <w:tr>
        <w:trPr>
          <w:trHeight w:val="235"/>
        </w:trPr>
        <w:tc>
          <w:tcPr>
            <w:tcW w:w="1760" w:type="dxa"/>
            <w:vAlign w:val="bottom"/>
          </w:tcPr>
          <w:p>
            <w:pPr>
              <w:spacing w:after="0"/>
              <w:rPr>
                <w:sz w:val="20"/>
                <w:szCs w:val="20"/>
                <w:color w:val="auto"/>
              </w:rPr>
            </w:pPr>
          </w:p>
        </w:tc>
        <w:tc>
          <w:tcPr>
            <w:tcW w:w="9160" w:type="dxa"/>
            <w:vAlign w:val="bottom"/>
            <w:gridSpan w:val="2"/>
          </w:tcPr>
          <w:p>
            <w:pPr>
              <w:ind w:left="220"/>
              <w:spacing w:after="0"/>
              <w:rPr>
                <w:sz w:val="20"/>
                <w:szCs w:val="20"/>
                <w:color w:val="auto"/>
              </w:rPr>
            </w:pPr>
            <w:r>
              <w:rPr>
                <w:rFonts w:ascii="Arial" w:cs="Arial" w:eastAsia="Arial" w:hAnsi="Arial"/>
                <w:sz w:val="18"/>
                <w:szCs w:val="18"/>
                <w:color w:val="auto"/>
              </w:rPr>
              <w:t>Fort Mill, South Carolina 29715</w:t>
            </w:r>
          </w:p>
        </w:tc>
      </w:tr>
      <w:tr>
        <w:trPr>
          <w:trHeight w:val="393"/>
        </w:trPr>
        <w:tc>
          <w:tcPr>
            <w:tcW w:w="1760" w:type="dxa"/>
            <w:vAlign w:val="bottom"/>
          </w:tcPr>
          <w:p>
            <w:pPr>
              <w:spacing w:after="0"/>
              <w:rPr>
                <w:sz w:val="20"/>
                <w:szCs w:val="20"/>
                <w:color w:val="auto"/>
              </w:rPr>
            </w:pPr>
            <w:r>
              <w:rPr>
                <w:rFonts w:ascii="Arial" w:cs="Arial" w:eastAsia="Arial" w:hAnsi="Arial"/>
                <w:sz w:val="18"/>
                <w:szCs w:val="18"/>
                <w:b w:val="1"/>
                <w:bCs w:val="1"/>
                <w:color w:val="050A54"/>
              </w:rPr>
              <w:t>Record Date</w:t>
            </w:r>
          </w:p>
        </w:tc>
        <w:tc>
          <w:tcPr>
            <w:tcW w:w="9160" w:type="dxa"/>
            <w:vAlign w:val="bottom"/>
            <w:gridSpan w:val="2"/>
          </w:tcPr>
          <w:p>
            <w:pPr>
              <w:ind w:left="220"/>
              <w:spacing w:after="0"/>
              <w:rPr>
                <w:sz w:val="20"/>
                <w:szCs w:val="20"/>
                <w:color w:val="auto"/>
              </w:rPr>
            </w:pPr>
            <w:r>
              <w:rPr>
                <w:rFonts w:ascii="Arial" w:cs="Arial" w:eastAsia="Arial" w:hAnsi="Arial"/>
                <w:sz w:val="18"/>
                <w:szCs w:val="18"/>
                <w:color w:val="auto"/>
              </w:rPr>
              <w:t>Stockholders of record as of 5:00 p.m., Eastern Time, on March 21, 2022 (the “Record Date”) will be entitled to</w:t>
            </w:r>
          </w:p>
        </w:tc>
      </w:tr>
      <w:tr>
        <w:trPr>
          <w:trHeight w:val="235"/>
        </w:trPr>
        <w:tc>
          <w:tcPr>
            <w:tcW w:w="1760" w:type="dxa"/>
            <w:vAlign w:val="bottom"/>
          </w:tcPr>
          <w:p>
            <w:pPr>
              <w:spacing w:after="0"/>
              <w:rPr>
                <w:sz w:val="20"/>
                <w:szCs w:val="20"/>
                <w:color w:val="auto"/>
              </w:rPr>
            </w:pPr>
          </w:p>
        </w:tc>
        <w:tc>
          <w:tcPr>
            <w:tcW w:w="9160" w:type="dxa"/>
            <w:vAlign w:val="bottom"/>
            <w:gridSpan w:val="2"/>
          </w:tcPr>
          <w:p>
            <w:pPr>
              <w:ind w:left="220"/>
              <w:spacing w:after="0"/>
              <w:rPr>
                <w:sz w:val="20"/>
                <w:szCs w:val="20"/>
                <w:color w:val="auto"/>
              </w:rPr>
            </w:pPr>
            <w:r>
              <w:rPr>
                <w:rFonts w:ascii="Arial" w:cs="Arial" w:eastAsia="Arial" w:hAnsi="Arial"/>
                <w:sz w:val="18"/>
                <w:szCs w:val="18"/>
                <w:color w:val="auto"/>
              </w:rPr>
              <w:t>vote at the Annual Meeting and any postponements or adjournments thereof.</w:t>
            </w:r>
          </w:p>
        </w:tc>
      </w:tr>
    </w:tbl>
    <w:p>
      <w:pPr>
        <w:spacing w:after="0" w:line="179"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Information relating to the matters to be considered and voted on at the Annual Meeting is set forth in the proxy statement accompanying this Notice.</w:t>
      </w:r>
    </w:p>
    <w:p>
      <w:pPr>
        <w:spacing w:after="0" w:line="158" w:lineRule="exact"/>
        <w:rPr>
          <w:sz w:val="20"/>
          <w:szCs w:val="20"/>
          <w:color w:val="auto"/>
        </w:rPr>
      </w:pPr>
    </w:p>
    <w:p>
      <w:pPr>
        <w:jc w:val="both"/>
        <w:ind w:left="160"/>
        <w:spacing w:after="0" w:line="247" w:lineRule="auto"/>
        <w:rPr>
          <w:sz w:val="20"/>
          <w:szCs w:val="20"/>
          <w:color w:val="auto"/>
        </w:rPr>
      </w:pPr>
      <w:r>
        <w:rPr>
          <w:rFonts w:ascii="Arial" w:cs="Arial" w:eastAsia="Arial" w:hAnsi="Arial"/>
          <w:sz w:val="18"/>
          <w:szCs w:val="18"/>
          <w:b w:val="1"/>
          <w:bCs w:val="1"/>
          <w:color w:val="auto"/>
        </w:rPr>
        <w:t>YOUR VOTE IS IMPORTANT. WHETHER OR NOT YOU PLAN TO ATTEND THE MEETING, PLEASE SUBMIT YOUR PROXY BY FOLLOWING THE INSTRUCTIONS SET FORTH IN THE FOLLOWING MATERIALS. YOU MAY VOTE YOUR SHARES AND SUBMIT A PROXY THROUGH THE INTERNET OR BY TELEPHONE AS DESCRIBED HEREIN OR, IF YOU REQUESTED PRINTED COPIES OF THESE MATERIALS, BY SIGNING AND RETURNING A PROXY CARD.</w:t>
      </w:r>
    </w:p>
    <w:p>
      <w:pPr>
        <w:spacing w:after="0" w:line="191"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4267835</wp:posOffset>
            </wp:positionH>
            <wp:positionV relativeFrom="paragraph">
              <wp:posOffset>59055</wp:posOffset>
            </wp:positionV>
            <wp:extent cx="883285" cy="696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3285" cy="696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Gregory M. Woods</w:t>
      </w:r>
    </w:p>
    <w:p>
      <w:pPr>
        <w:spacing w:after="0" w:line="12" w:lineRule="exact"/>
        <w:rPr>
          <w:sz w:val="20"/>
          <w:szCs w:val="20"/>
          <w:color w:val="auto"/>
        </w:rPr>
      </w:pPr>
    </w:p>
    <w:p>
      <w:pPr>
        <w:ind w:left="6720"/>
        <w:spacing w:after="0"/>
        <w:rPr>
          <w:sz w:val="20"/>
          <w:szCs w:val="20"/>
          <w:color w:val="auto"/>
        </w:rPr>
      </w:pPr>
      <w:r>
        <w:rPr>
          <w:rFonts w:ascii="Arial" w:cs="Arial" w:eastAsia="Arial" w:hAnsi="Arial"/>
          <w:sz w:val="18"/>
          <w:szCs w:val="18"/>
          <w:i w:val="1"/>
          <w:iCs w:val="1"/>
          <w:color w:val="auto"/>
        </w:rPr>
        <w:t>Secretary</w:t>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Boston, Massachusetts</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April 8, 2022</w:t>
      </w:r>
    </w:p>
    <w:p>
      <w:pPr>
        <w:spacing w:after="0" w:line="190"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MAY 18, 2022: THE PROXY STATEMENT, THE PROXY CARD AND LPL FINANCIAL HOLDINGS INC.’S 2021 ANNUAL REPORT ON FORM 10-K ARE AVAILABLE AT WWW.LPL.COM. ADDITIONALLY, IN ACCORDANCE WITH SECURITIES AND EXCHANGE COMMISSION RULES, YOU MAY ACCESS THESE MATERIALS ON THE WEBSITE INDICATED IN THE NOTICE OF INTERNET AVAILABILITY OF PROXY MATERIALS.</w:t>
      </w:r>
    </w:p>
    <w:p>
      <w:pPr>
        <w:sectPr>
          <w:pgSz w:w="11900" w:h="16838" w:orient="portrait"/>
          <w:cols w:equalWidth="0" w:num="1">
            <w:col w:w="11080"/>
          </w:cols>
          <w:pgMar w:left="320" w:top="454" w:right="49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23"/>
          <w:szCs w:val="23"/>
          <w:b w:val="1"/>
          <w:bCs w:val="1"/>
          <w:color w:val="050A54"/>
        </w:rPr>
        <w:t>Proxy Statement Summary</w:t>
      </w:r>
    </w:p>
    <w:p>
      <w:pPr>
        <w:spacing w:after="0" w:line="233" w:lineRule="exact"/>
        <w:rPr>
          <w:sz w:val="20"/>
          <w:szCs w:val="20"/>
          <w:color w:val="auto"/>
        </w:rPr>
      </w:pPr>
    </w:p>
    <w:p>
      <w:pPr>
        <w:ind w:left="160"/>
        <w:spacing w:after="0" w:line="263" w:lineRule="auto"/>
        <w:rPr>
          <w:sz w:val="20"/>
          <w:szCs w:val="20"/>
          <w:color w:val="auto"/>
        </w:rPr>
      </w:pPr>
      <w:r>
        <w:rPr>
          <w:rFonts w:ascii="Arial" w:cs="Arial" w:eastAsia="Arial" w:hAnsi="Arial"/>
          <w:sz w:val="18"/>
          <w:szCs w:val="18"/>
          <w:i w:val="1"/>
          <w:iCs w:val="1"/>
          <w:color w:val="auto"/>
        </w:rPr>
        <w:t>This summary highlights information contained elsewhere in this proxy statement. This summary does not contain all of the information that you should consider, and you should read the entire proxy statement carefully before voting.</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50A54"/>
        </w:rPr>
        <w:t>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93980</wp:posOffset>
            </wp:positionV>
            <wp:extent cx="69297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6" w:lineRule="exact"/>
        <w:rPr>
          <w:sz w:val="20"/>
          <w:szCs w:val="20"/>
          <w:color w:val="auto"/>
        </w:rPr>
      </w:pPr>
    </w:p>
    <w:p>
      <w:pPr>
        <w:ind w:left="160"/>
        <w:spacing w:after="0"/>
        <w:tabs>
          <w:tab w:leader="none" w:pos="2440" w:val="left"/>
        </w:tabs>
        <w:rPr>
          <w:sz w:val="20"/>
          <w:szCs w:val="20"/>
          <w:color w:val="auto"/>
        </w:rPr>
      </w:pPr>
      <w:r>
        <w:rPr>
          <w:rFonts w:ascii="Arial" w:cs="Arial" w:eastAsia="Arial" w:hAnsi="Arial"/>
          <w:sz w:val="18"/>
          <w:szCs w:val="18"/>
          <w:b w:val="1"/>
          <w:bCs w:val="1"/>
          <w:color w:val="050A54"/>
        </w:rPr>
        <w:t>Time and Date</w:t>
      </w:r>
      <w:r>
        <w:rPr>
          <w:sz w:val="20"/>
          <w:szCs w:val="20"/>
          <w:color w:val="auto"/>
        </w:rPr>
        <w:tab/>
      </w:r>
      <w:r>
        <w:rPr>
          <w:rFonts w:ascii="Arial" w:cs="Arial" w:eastAsia="Arial" w:hAnsi="Arial"/>
          <w:sz w:val="17"/>
          <w:szCs w:val="17"/>
          <w:color w:val="auto"/>
        </w:rPr>
        <w:t>8:00 a.m., local time, on Wednesday, May 18, 2022</w:t>
      </w:r>
    </w:p>
    <w:p>
      <w:pPr>
        <w:spacing w:after="0" w:line="208" w:lineRule="exact"/>
        <w:rPr>
          <w:sz w:val="20"/>
          <w:szCs w:val="20"/>
          <w:color w:val="auto"/>
        </w:rPr>
      </w:pPr>
    </w:p>
    <w:p>
      <w:pPr>
        <w:ind w:left="160"/>
        <w:spacing w:after="0"/>
        <w:tabs>
          <w:tab w:leader="none" w:pos="2440" w:val="left"/>
        </w:tabs>
        <w:rPr>
          <w:sz w:val="20"/>
          <w:szCs w:val="20"/>
          <w:color w:val="auto"/>
        </w:rPr>
      </w:pPr>
      <w:r>
        <w:rPr>
          <w:rFonts w:ascii="Arial" w:cs="Arial" w:eastAsia="Arial" w:hAnsi="Arial"/>
          <w:sz w:val="18"/>
          <w:szCs w:val="18"/>
          <w:b w:val="1"/>
          <w:bCs w:val="1"/>
          <w:color w:val="050A54"/>
        </w:rPr>
        <w:t>Location</w:t>
      </w:r>
      <w:r>
        <w:rPr>
          <w:sz w:val="20"/>
          <w:szCs w:val="20"/>
          <w:color w:val="auto"/>
        </w:rPr>
        <w:tab/>
      </w:r>
      <w:r>
        <w:rPr>
          <w:rFonts w:ascii="Arial" w:cs="Arial" w:eastAsia="Arial" w:hAnsi="Arial"/>
          <w:sz w:val="18"/>
          <w:szCs w:val="18"/>
          <w:color w:val="auto"/>
        </w:rPr>
        <w:t>LPL Financial Holdings Inc.</w:t>
      </w:r>
    </w:p>
    <w:p>
      <w:pPr>
        <w:spacing w:after="0" w:line="5"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1055 LPL Way</w:t>
      </w:r>
    </w:p>
    <w:p>
      <w:pPr>
        <w:ind w:left="2460"/>
        <w:spacing w:after="0"/>
        <w:rPr>
          <w:sz w:val="20"/>
          <w:szCs w:val="20"/>
          <w:color w:val="auto"/>
        </w:rPr>
      </w:pPr>
      <w:r>
        <w:rPr>
          <w:rFonts w:ascii="Arial" w:cs="Arial" w:eastAsia="Arial" w:hAnsi="Arial"/>
          <w:sz w:val="18"/>
          <w:szCs w:val="18"/>
          <w:color w:val="auto"/>
        </w:rPr>
        <w:t>Fort Mill, South Carolina 29715</w:t>
      </w:r>
    </w:p>
    <w:p>
      <w:pPr>
        <w:spacing w:after="0" w:line="203" w:lineRule="exact"/>
        <w:rPr>
          <w:sz w:val="20"/>
          <w:szCs w:val="20"/>
          <w:color w:val="auto"/>
        </w:rPr>
      </w:pPr>
    </w:p>
    <w:p>
      <w:pPr>
        <w:ind w:left="160"/>
        <w:spacing w:after="0"/>
        <w:tabs>
          <w:tab w:leader="none" w:pos="2440" w:val="left"/>
        </w:tabs>
        <w:rPr>
          <w:sz w:val="20"/>
          <w:szCs w:val="20"/>
          <w:color w:val="auto"/>
        </w:rPr>
      </w:pPr>
      <w:r>
        <w:rPr>
          <w:rFonts w:ascii="Arial" w:cs="Arial" w:eastAsia="Arial" w:hAnsi="Arial"/>
          <w:sz w:val="18"/>
          <w:szCs w:val="18"/>
          <w:b w:val="1"/>
          <w:bCs w:val="1"/>
          <w:color w:val="050A54"/>
        </w:rPr>
        <w:t>Record Date</w:t>
      </w:r>
      <w:r>
        <w:rPr>
          <w:sz w:val="20"/>
          <w:szCs w:val="20"/>
          <w:color w:val="auto"/>
        </w:rPr>
        <w:tab/>
      </w:r>
      <w:r>
        <w:rPr>
          <w:rFonts w:ascii="Arial" w:cs="Arial" w:eastAsia="Arial" w:hAnsi="Arial"/>
          <w:sz w:val="17"/>
          <w:szCs w:val="17"/>
          <w:color w:val="auto"/>
        </w:rPr>
        <w:t>5:00 p.m., Eastern Time, on March 21, 2022</w:t>
      </w:r>
    </w:p>
    <w:p>
      <w:pPr>
        <w:spacing w:after="0" w:line="208" w:lineRule="exact"/>
        <w:rPr>
          <w:sz w:val="20"/>
          <w:szCs w:val="20"/>
          <w:color w:val="auto"/>
        </w:rPr>
      </w:pPr>
    </w:p>
    <w:p>
      <w:pPr>
        <w:ind w:left="160"/>
        <w:spacing w:after="0"/>
        <w:tabs>
          <w:tab w:leader="none" w:pos="2440" w:val="left"/>
        </w:tabs>
        <w:rPr>
          <w:sz w:val="20"/>
          <w:szCs w:val="20"/>
          <w:color w:val="auto"/>
        </w:rPr>
      </w:pPr>
      <w:r>
        <w:rPr>
          <w:rFonts w:ascii="Arial" w:cs="Arial" w:eastAsia="Arial" w:hAnsi="Arial"/>
          <w:sz w:val="17"/>
          <w:szCs w:val="17"/>
          <w:b w:val="1"/>
          <w:bCs w:val="1"/>
          <w:color w:val="050A54"/>
        </w:rPr>
        <w:t>Voting</w:t>
      </w:r>
      <w:r>
        <w:rPr>
          <w:sz w:val="20"/>
          <w:szCs w:val="20"/>
          <w:color w:val="auto"/>
        </w:rPr>
        <w:tab/>
      </w:r>
      <w:r>
        <w:rPr>
          <w:rFonts w:ascii="Arial" w:cs="Arial" w:eastAsia="Arial" w:hAnsi="Arial"/>
          <w:sz w:val="17"/>
          <w:szCs w:val="17"/>
          <w:color w:val="auto"/>
        </w:rPr>
        <w:t>Stockholders as of the Record Date are entitled to one vote per share on each matter to be voted upon at the</w:t>
      </w:r>
    </w:p>
    <w:p>
      <w:pPr>
        <w:spacing w:after="0" w:line="23"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Annual Meeting.</w:t>
      </w:r>
    </w:p>
    <w:p>
      <w:pPr>
        <w:spacing w:after="0" w:line="190" w:lineRule="exact"/>
        <w:rPr>
          <w:sz w:val="20"/>
          <w:szCs w:val="20"/>
          <w:color w:val="auto"/>
        </w:rPr>
      </w:pPr>
    </w:p>
    <w:p>
      <w:pPr>
        <w:ind w:left="160"/>
        <w:spacing w:after="0"/>
        <w:tabs>
          <w:tab w:leader="none" w:pos="2440" w:val="left"/>
        </w:tabs>
        <w:rPr>
          <w:sz w:val="20"/>
          <w:szCs w:val="20"/>
          <w:color w:val="auto"/>
        </w:rPr>
      </w:pPr>
      <w:r>
        <w:rPr>
          <w:rFonts w:ascii="Arial" w:cs="Arial" w:eastAsia="Arial" w:hAnsi="Arial"/>
          <w:sz w:val="18"/>
          <w:szCs w:val="18"/>
          <w:b w:val="1"/>
          <w:bCs w:val="1"/>
          <w:color w:val="050A54"/>
        </w:rPr>
        <w:t>Entry</w:t>
      </w:r>
      <w:r>
        <w:rPr>
          <w:sz w:val="20"/>
          <w:szCs w:val="20"/>
          <w:color w:val="auto"/>
        </w:rPr>
        <w:tab/>
      </w:r>
      <w:r>
        <w:rPr>
          <w:rFonts w:ascii="Arial" w:cs="Arial" w:eastAsia="Arial" w:hAnsi="Arial"/>
          <w:sz w:val="18"/>
          <w:szCs w:val="18"/>
          <w:color w:val="auto"/>
        </w:rPr>
        <w:t>We invite all stockholders to attend the Annual Meeting. If you attend the Annual Meeting, you will be</w:t>
      </w:r>
    </w:p>
    <w:p>
      <w:pPr>
        <w:spacing w:after="0" w:line="5"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required to present valid picture identification, such as a driver’s license or passport. If your shares are held</w:t>
      </w:r>
    </w:p>
    <w:p>
      <w:pPr>
        <w:ind w:left="2460"/>
        <w:spacing w:after="0"/>
        <w:rPr>
          <w:sz w:val="20"/>
          <w:szCs w:val="20"/>
          <w:color w:val="auto"/>
        </w:rPr>
      </w:pPr>
      <w:r>
        <w:rPr>
          <w:rFonts w:ascii="Arial" w:cs="Arial" w:eastAsia="Arial" w:hAnsi="Arial"/>
          <w:sz w:val="17"/>
          <w:szCs w:val="17"/>
          <w:color w:val="auto"/>
        </w:rPr>
        <w:t>in “street name,” you will also need to bring a brokerage account statement or letter from your broker, bank or</w:t>
      </w:r>
    </w:p>
    <w:p>
      <w:pPr>
        <w:ind w:left="2460"/>
        <w:spacing w:after="0" w:line="238" w:lineRule="auto"/>
        <w:rPr>
          <w:sz w:val="20"/>
          <w:szCs w:val="20"/>
          <w:color w:val="auto"/>
        </w:rPr>
      </w:pPr>
      <w:r>
        <w:rPr>
          <w:rFonts w:ascii="Arial" w:cs="Arial" w:eastAsia="Arial" w:hAnsi="Arial"/>
          <w:sz w:val="18"/>
          <w:szCs w:val="18"/>
          <w:color w:val="auto"/>
        </w:rPr>
        <w:t>other intermediary reflecting stock ownership as of the Record Date in order to be admitted to the Annual</w:t>
      </w:r>
    </w:p>
    <w:p>
      <w:pPr>
        <w:ind w:left="2460"/>
        <w:spacing w:after="0"/>
        <w:rPr>
          <w:sz w:val="20"/>
          <w:szCs w:val="20"/>
          <w:color w:val="auto"/>
        </w:rPr>
      </w:pPr>
      <w:r>
        <w:rPr>
          <w:rFonts w:ascii="Arial" w:cs="Arial" w:eastAsia="Arial" w:hAnsi="Arial"/>
          <w:sz w:val="18"/>
          <w:szCs w:val="18"/>
          <w:color w:val="auto"/>
        </w:rPr>
        <w:t>Meeting.</w:t>
      </w:r>
    </w:p>
    <w:p>
      <w:pPr>
        <w:spacing w:after="0" w:line="96"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We continue to be mindful of the public health concerns posed by the COVID-19 pandemic. In-person</w:t>
      </w:r>
    </w:p>
    <w:p>
      <w:pPr>
        <w:spacing w:after="0" w:line="5"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attendance will require compliance with protocols consistent with then-applicable federal, state and local</w:t>
      </w:r>
    </w:p>
    <w:p>
      <w:pPr>
        <w:jc w:val="right"/>
        <w:spacing w:after="0" w:line="232" w:lineRule="auto"/>
        <w:rPr>
          <w:sz w:val="20"/>
          <w:szCs w:val="20"/>
          <w:color w:val="auto"/>
        </w:rPr>
      </w:pPr>
      <w:r>
        <w:rPr>
          <w:rFonts w:ascii="Arial" w:cs="Arial" w:eastAsia="Arial" w:hAnsi="Arial"/>
          <w:sz w:val="18"/>
          <w:szCs w:val="18"/>
          <w:color w:val="auto"/>
        </w:rPr>
        <w:t>guidelines, mandates or recommendations, as well as any additional Company health and safety protocols in</w:t>
      </w:r>
    </w:p>
    <w:p>
      <w:pPr>
        <w:ind w:left="2460"/>
        <w:spacing w:after="0" w:line="233" w:lineRule="auto"/>
        <w:rPr>
          <w:sz w:val="20"/>
          <w:szCs w:val="20"/>
          <w:color w:val="auto"/>
        </w:rPr>
      </w:pPr>
      <w:r>
        <w:rPr>
          <w:rFonts w:ascii="Arial" w:cs="Arial" w:eastAsia="Arial" w:hAnsi="Arial"/>
          <w:sz w:val="18"/>
          <w:szCs w:val="18"/>
          <w:color w:val="auto"/>
        </w:rPr>
        <w:t>place at the time of the Annual Meeting. These requirements may include the use of face coverings,</w:t>
      </w:r>
    </w:p>
    <w:p>
      <w:pPr>
        <w:ind w:left="2460"/>
        <w:spacing w:after="0" w:line="232" w:lineRule="auto"/>
        <w:rPr>
          <w:sz w:val="20"/>
          <w:szCs w:val="20"/>
          <w:color w:val="auto"/>
        </w:rPr>
      </w:pPr>
      <w:r>
        <w:rPr>
          <w:rFonts w:ascii="Arial" w:cs="Arial" w:eastAsia="Arial" w:hAnsi="Arial"/>
          <w:sz w:val="18"/>
          <w:szCs w:val="18"/>
          <w:color w:val="auto"/>
        </w:rPr>
        <w:t>temperature checks, proof of vaccination or appropriate social distancing, or additional procedures or</w:t>
      </w:r>
    </w:p>
    <w:p>
      <w:pPr>
        <w:ind w:left="2460"/>
        <w:spacing w:after="0" w:line="233" w:lineRule="auto"/>
        <w:rPr>
          <w:sz w:val="20"/>
          <w:szCs w:val="20"/>
          <w:color w:val="auto"/>
        </w:rPr>
      </w:pPr>
      <w:r>
        <w:rPr>
          <w:rFonts w:ascii="Arial" w:cs="Arial" w:eastAsia="Arial" w:hAnsi="Arial"/>
          <w:sz w:val="18"/>
          <w:szCs w:val="18"/>
          <w:color w:val="auto"/>
        </w:rPr>
        <w:t>limitations on meeting attendees. We plan to announce any such protocols on the “Investor Relations”</w:t>
      </w:r>
    </w:p>
    <w:p>
      <w:pPr>
        <w:ind w:left="2460"/>
        <w:spacing w:after="0"/>
        <w:rPr>
          <w:sz w:val="20"/>
          <w:szCs w:val="20"/>
          <w:color w:val="auto"/>
        </w:rPr>
      </w:pPr>
      <w:r>
        <w:rPr>
          <w:rFonts w:ascii="Arial" w:cs="Arial" w:eastAsia="Arial" w:hAnsi="Arial"/>
          <w:sz w:val="18"/>
          <w:szCs w:val="18"/>
          <w:color w:val="auto"/>
        </w:rPr>
        <w:t>section of our website at www.lpl.com.</w:t>
      </w:r>
    </w:p>
    <w:p>
      <w:pPr>
        <w:spacing w:after="0" w:line="96"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Individuals should not attend the Annual Meeting if they are not feeling well, have had close contact with</w:t>
      </w:r>
    </w:p>
    <w:p>
      <w:pPr>
        <w:spacing w:after="0" w:line="5"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someone who has tested positive for COVID-19 or think they may have been exposed to COVID-19. The</w:t>
      </w:r>
    </w:p>
    <w:p>
      <w:pPr>
        <w:ind w:left="2460"/>
        <w:spacing w:after="0" w:line="232" w:lineRule="auto"/>
        <w:rPr>
          <w:sz w:val="20"/>
          <w:szCs w:val="20"/>
          <w:color w:val="auto"/>
        </w:rPr>
      </w:pPr>
      <w:r>
        <w:rPr>
          <w:rFonts w:ascii="Arial" w:cs="Arial" w:eastAsia="Arial" w:hAnsi="Arial"/>
          <w:sz w:val="18"/>
          <w:szCs w:val="18"/>
          <w:color w:val="auto"/>
        </w:rPr>
        <w:t>Company reserves the right to deny entry into the Annual Meeting if a shareholder or guest does not comply</w:t>
      </w:r>
    </w:p>
    <w:p>
      <w:pPr>
        <w:spacing w:after="0" w:line="1"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with the Company’s health and safety protocols.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234315</wp:posOffset>
            </wp:positionV>
            <wp:extent cx="69297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50A54"/>
        </w:rPr>
        <w:t>Voting Proposals</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4240" w:type="dxa"/>
            <w:vAlign w:val="bottom"/>
          </w:tcPr>
          <w:p>
            <w:pPr>
              <w:spacing w:after="0"/>
              <w:rPr>
                <w:sz w:val="18"/>
                <w:szCs w:val="18"/>
                <w:color w:val="auto"/>
              </w:rPr>
            </w:pPr>
          </w:p>
        </w:tc>
        <w:tc>
          <w:tcPr>
            <w:tcW w:w="5400" w:type="dxa"/>
            <w:vAlign w:val="bottom"/>
          </w:tcPr>
          <w:p>
            <w:pPr>
              <w:jc w:val="center"/>
              <w:ind w:left="2951"/>
              <w:spacing w:after="0"/>
              <w:rPr>
                <w:sz w:val="20"/>
                <w:szCs w:val="20"/>
                <w:color w:val="auto"/>
              </w:rPr>
            </w:pPr>
            <w:r>
              <w:rPr>
                <w:rFonts w:ascii="Arial" w:cs="Arial" w:eastAsia="Arial" w:hAnsi="Arial"/>
                <w:sz w:val="18"/>
                <w:szCs w:val="18"/>
                <w:b w:val="1"/>
                <w:bCs w:val="1"/>
                <w:color w:val="050A54"/>
                <w:w w:val="99"/>
              </w:rPr>
              <w:t>Board</w:t>
            </w:r>
          </w:p>
        </w:tc>
        <w:tc>
          <w:tcPr>
            <w:tcW w:w="1280" w:type="dxa"/>
            <w:vAlign w:val="bottom"/>
          </w:tcPr>
          <w:p>
            <w:pPr>
              <w:jc w:val="center"/>
              <w:ind w:left="331"/>
              <w:spacing w:after="0"/>
              <w:rPr>
                <w:sz w:val="20"/>
                <w:szCs w:val="20"/>
                <w:color w:val="auto"/>
              </w:rPr>
            </w:pPr>
            <w:r>
              <w:rPr>
                <w:rFonts w:ascii="Arial" w:cs="Arial" w:eastAsia="Arial" w:hAnsi="Arial"/>
                <w:sz w:val="18"/>
                <w:szCs w:val="18"/>
                <w:b w:val="1"/>
                <w:bCs w:val="1"/>
                <w:color w:val="050A54"/>
                <w:w w:val="97"/>
              </w:rPr>
              <w:t>Page</w:t>
            </w:r>
          </w:p>
        </w:tc>
      </w:tr>
      <w:tr>
        <w:trPr>
          <w:trHeight w:val="219"/>
        </w:trPr>
        <w:tc>
          <w:tcPr>
            <w:tcW w:w="4240" w:type="dxa"/>
            <w:vAlign w:val="bottom"/>
            <w:tcBorders>
              <w:bottom w:val="single" w:sz="8" w:color="050A54"/>
            </w:tcBorders>
          </w:tcPr>
          <w:p>
            <w:pPr>
              <w:spacing w:after="0"/>
              <w:rPr>
                <w:sz w:val="20"/>
                <w:szCs w:val="20"/>
                <w:color w:val="auto"/>
              </w:rPr>
            </w:pPr>
            <w:r>
              <w:rPr>
                <w:rFonts w:ascii="Arial" w:cs="Arial" w:eastAsia="Arial" w:hAnsi="Arial"/>
                <w:sz w:val="18"/>
                <w:szCs w:val="18"/>
                <w:b w:val="1"/>
                <w:bCs w:val="1"/>
                <w:color w:val="050A54"/>
              </w:rPr>
              <w:t>Proposal</w:t>
            </w:r>
          </w:p>
        </w:tc>
        <w:tc>
          <w:tcPr>
            <w:tcW w:w="5400" w:type="dxa"/>
            <w:vAlign w:val="bottom"/>
            <w:tcBorders>
              <w:bottom w:val="single" w:sz="8" w:color="050A54"/>
            </w:tcBorders>
          </w:tcPr>
          <w:p>
            <w:pPr>
              <w:jc w:val="center"/>
              <w:ind w:left="2951"/>
              <w:spacing w:after="0"/>
              <w:rPr>
                <w:sz w:val="20"/>
                <w:szCs w:val="20"/>
                <w:color w:val="auto"/>
              </w:rPr>
            </w:pPr>
            <w:r>
              <w:rPr>
                <w:rFonts w:ascii="Arial" w:cs="Arial" w:eastAsia="Arial" w:hAnsi="Arial"/>
                <w:sz w:val="18"/>
                <w:szCs w:val="18"/>
                <w:b w:val="1"/>
                <w:bCs w:val="1"/>
                <w:color w:val="050A54"/>
                <w:w w:val="97"/>
              </w:rPr>
              <w:t>Recommendation</w:t>
            </w:r>
          </w:p>
        </w:tc>
        <w:tc>
          <w:tcPr>
            <w:tcW w:w="1280" w:type="dxa"/>
            <w:vAlign w:val="bottom"/>
            <w:tcBorders>
              <w:bottom w:val="single" w:sz="8" w:color="050A54"/>
            </w:tcBorders>
          </w:tcPr>
          <w:p>
            <w:pPr>
              <w:jc w:val="center"/>
              <w:ind w:left="331"/>
              <w:spacing w:after="0"/>
              <w:rPr>
                <w:sz w:val="20"/>
                <w:szCs w:val="20"/>
                <w:color w:val="auto"/>
              </w:rPr>
            </w:pPr>
            <w:r>
              <w:rPr>
                <w:rFonts w:ascii="Arial" w:cs="Arial" w:eastAsia="Arial" w:hAnsi="Arial"/>
                <w:sz w:val="18"/>
                <w:szCs w:val="18"/>
                <w:b w:val="1"/>
                <w:bCs w:val="1"/>
                <w:color w:val="050A54"/>
                <w:w w:val="98"/>
              </w:rPr>
              <w:t>Reference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-7620</wp:posOffset>
            </wp:positionV>
            <wp:extent cx="6929755" cy="3651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29755" cy="36512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16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Proposal 1: Election of Directors</w:t>
      </w:r>
    </w:p>
    <w:p>
      <w:pPr>
        <w:spacing w:after="0" w:line="194" w:lineRule="exact"/>
        <w:rPr>
          <w:sz w:val="20"/>
          <w:szCs w:val="20"/>
          <w:color w:val="auto"/>
        </w:rPr>
      </w:pPr>
    </w:p>
    <w:p>
      <w:pPr>
        <w:jc w:val="both"/>
        <w:ind w:left="1140" w:hanging="980"/>
        <w:spacing w:after="0" w:line="249" w:lineRule="auto"/>
        <w:rPr>
          <w:sz w:val="20"/>
          <w:szCs w:val="20"/>
          <w:color w:val="auto"/>
        </w:rPr>
      </w:pPr>
      <w:r>
        <w:rPr>
          <w:rFonts w:ascii="Arial" w:cs="Arial" w:eastAsia="Arial" w:hAnsi="Arial"/>
          <w:sz w:val="18"/>
          <w:szCs w:val="18"/>
          <w:color w:val="auto"/>
        </w:rPr>
        <w:t>Proposal 2: Ratification of the Appointment of Deloitte &amp; Touche LLP by the Audit Committee of the Board of Directors as Our Independent Registered Public Accounting Firm</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740" w:type="dxa"/>
            <w:vAlign w:val="bottom"/>
            <w:shd w:val="clear" w:color="auto" w:fill="E8E8E8"/>
          </w:tcPr>
          <w:p>
            <w:pPr>
              <w:jc w:val="center"/>
              <w:ind w:left="331"/>
              <w:spacing w:after="0"/>
              <w:rPr>
                <w:sz w:val="20"/>
                <w:szCs w:val="20"/>
                <w:color w:val="auto"/>
              </w:rPr>
            </w:pPr>
            <w:r>
              <w:rPr>
                <w:rFonts w:ascii="Arial" w:cs="Arial" w:eastAsia="Arial" w:hAnsi="Arial"/>
                <w:sz w:val="18"/>
                <w:szCs w:val="18"/>
                <w:color w:val="auto"/>
                <w:w w:val="98"/>
              </w:rPr>
              <w:t>FOR all</w:t>
            </w:r>
          </w:p>
        </w:tc>
        <w:tc>
          <w:tcPr>
            <w:tcW w:w="1300" w:type="dxa"/>
            <w:vAlign w:val="bottom"/>
            <w:vMerge w:val="restart"/>
            <w:shd w:val="clear" w:color="auto" w:fill="E8E8E8"/>
          </w:tcPr>
          <w:p>
            <w:pPr>
              <w:jc w:val="right"/>
              <w:ind w:right="291"/>
              <w:spacing w:after="0"/>
              <w:rPr>
                <w:sz w:val="20"/>
                <w:szCs w:val="20"/>
                <w:color w:val="auto"/>
              </w:rPr>
            </w:pPr>
            <w:r>
              <w:rPr>
                <w:rFonts w:ascii="Arial" w:cs="Arial" w:eastAsia="Arial" w:hAnsi="Arial"/>
                <w:sz w:val="18"/>
                <w:szCs w:val="18"/>
                <w:color w:val="2360D1"/>
              </w:rPr>
              <w:t>7</w:t>
            </w:r>
          </w:p>
        </w:tc>
        <w:tc>
          <w:tcPr>
            <w:tcW w:w="0" w:type="dxa"/>
            <w:vAlign w:val="bottom"/>
          </w:tcPr>
          <w:p>
            <w:pPr>
              <w:spacing w:after="0"/>
              <w:rPr>
                <w:sz w:val="1"/>
                <w:szCs w:val="1"/>
                <w:color w:val="auto"/>
              </w:rPr>
            </w:pPr>
          </w:p>
        </w:tc>
      </w:tr>
      <w:tr>
        <w:trPr>
          <w:trHeight w:val="128"/>
        </w:trPr>
        <w:tc>
          <w:tcPr>
            <w:tcW w:w="2740" w:type="dxa"/>
            <w:vAlign w:val="bottom"/>
            <w:vMerge w:val="restart"/>
            <w:shd w:val="clear" w:color="auto" w:fill="E8E8E8"/>
          </w:tcPr>
          <w:p>
            <w:pPr>
              <w:jc w:val="center"/>
              <w:ind w:left="331"/>
              <w:spacing w:after="0"/>
              <w:rPr>
                <w:sz w:val="20"/>
                <w:szCs w:val="20"/>
                <w:color w:val="auto"/>
              </w:rPr>
            </w:pPr>
            <w:r>
              <w:rPr>
                <w:rFonts w:ascii="Arial" w:cs="Arial" w:eastAsia="Arial" w:hAnsi="Arial"/>
                <w:sz w:val="18"/>
                <w:szCs w:val="18"/>
                <w:color w:val="auto"/>
                <w:w w:val="97"/>
              </w:rPr>
              <w:t>nominees</w:t>
            </w:r>
          </w:p>
        </w:tc>
        <w:tc>
          <w:tcPr>
            <w:tcW w:w="1300" w:type="dxa"/>
            <w:vAlign w:val="bottom"/>
            <w:vMerge w:val="continue"/>
            <w:shd w:val="clear" w:color="auto" w:fill="E8E8E8"/>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740" w:type="dxa"/>
            <w:vAlign w:val="bottom"/>
            <w:tcBorders>
              <w:bottom w:val="single" w:sz="8" w:color="E8E8E8"/>
            </w:tcBorders>
            <w:vMerge w:val="continue"/>
            <w:shd w:val="clear" w:color="auto" w:fill="E8E8E8"/>
          </w:tcPr>
          <w:p>
            <w:pPr>
              <w:spacing w:after="0"/>
              <w:rPr>
                <w:sz w:val="11"/>
                <w:szCs w:val="11"/>
                <w:color w:val="auto"/>
              </w:rPr>
            </w:pPr>
          </w:p>
        </w:tc>
        <w:tc>
          <w:tcPr>
            <w:tcW w:w="1300" w:type="dxa"/>
            <w:vAlign w:val="bottom"/>
            <w:tcBorders>
              <w:bottom w:val="single" w:sz="8" w:color="E8E8E8"/>
            </w:tcBorders>
            <w:shd w:val="clear" w:color="auto" w:fill="E8E8E8"/>
          </w:tcPr>
          <w:p>
            <w:pPr>
              <w:spacing w:after="0"/>
              <w:rPr>
                <w:sz w:val="11"/>
                <w:szCs w:val="11"/>
                <w:color w:val="auto"/>
              </w:rPr>
            </w:pPr>
          </w:p>
        </w:tc>
        <w:tc>
          <w:tcPr>
            <w:tcW w:w="0" w:type="dxa"/>
            <w:vAlign w:val="bottom"/>
          </w:tcPr>
          <w:p>
            <w:pPr>
              <w:spacing w:after="0"/>
              <w:rPr>
                <w:sz w:val="1"/>
                <w:szCs w:val="1"/>
                <w:color w:val="auto"/>
              </w:rPr>
            </w:pPr>
          </w:p>
        </w:tc>
      </w:tr>
      <w:tr>
        <w:trPr>
          <w:trHeight w:val="444"/>
        </w:trPr>
        <w:tc>
          <w:tcPr>
            <w:tcW w:w="2740" w:type="dxa"/>
            <w:vAlign w:val="bottom"/>
          </w:tcPr>
          <w:p>
            <w:pPr>
              <w:jc w:val="center"/>
              <w:ind w:left="331"/>
              <w:spacing w:after="0"/>
              <w:rPr>
                <w:sz w:val="20"/>
                <w:szCs w:val="20"/>
                <w:color w:val="auto"/>
              </w:rPr>
            </w:pPr>
            <w:r>
              <w:rPr>
                <w:rFonts w:ascii="Arial" w:cs="Arial" w:eastAsia="Arial" w:hAnsi="Arial"/>
                <w:sz w:val="18"/>
                <w:szCs w:val="18"/>
                <w:color w:val="auto"/>
                <w:w w:val="94"/>
              </w:rPr>
              <w:t>FOR</w:t>
            </w:r>
          </w:p>
        </w:tc>
        <w:tc>
          <w:tcPr>
            <w:tcW w:w="1300" w:type="dxa"/>
            <w:vAlign w:val="bottom"/>
          </w:tcPr>
          <w:p>
            <w:pPr>
              <w:jc w:val="right"/>
              <w:ind w:right="251"/>
              <w:spacing w:after="0"/>
              <w:rPr>
                <w:sz w:val="20"/>
                <w:szCs w:val="20"/>
                <w:color w:val="auto"/>
              </w:rPr>
            </w:pPr>
            <w:r>
              <w:rPr>
                <w:rFonts w:ascii="Arial" w:cs="Arial" w:eastAsia="Arial" w:hAnsi="Arial"/>
                <w:sz w:val="18"/>
                <w:szCs w:val="18"/>
                <w:color w:val="2360D1"/>
              </w:rPr>
              <w:t>66</w:t>
            </w:r>
          </w:p>
        </w:tc>
        <w:tc>
          <w:tcPr>
            <w:tcW w:w="0" w:type="dxa"/>
            <w:vAlign w:val="bottom"/>
          </w:tcPr>
          <w:p>
            <w:pPr>
              <w:spacing w:after="0"/>
              <w:rPr>
                <w:sz w:val="1"/>
                <w:szCs w:val="1"/>
                <w:color w:val="auto"/>
              </w:rPr>
            </w:pPr>
          </w:p>
        </w:tc>
      </w:tr>
    </w:tbl>
    <w:p>
      <w:pPr>
        <w:spacing w:after="0" w:line="251" w:lineRule="exact"/>
        <w:rPr>
          <w:sz w:val="20"/>
          <w:szCs w:val="20"/>
          <w:color w:val="auto"/>
        </w:rPr>
      </w:pPr>
    </w:p>
    <w:p>
      <w:pPr>
        <w:sectPr>
          <w:pgSz w:w="11900" w:h="16838" w:orient="portrait"/>
          <w:cols w:equalWidth="0" w:num="2">
            <w:col w:w="6580" w:space="460"/>
            <w:col w:w="4040"/>
          </w:cols>
          <w:pgMar w:left="320" w:top="454" w:right="499" w:bottom="1440" w:gutter="0" w:footer="0" w:header="0"/>
          <w:type w:val="continuous"/>
        </w:sectPr>
      </w:pPr>
    </w:p>
    <w:tbl>
      <w:tblPr>
        <w:tblLayout w:type="fixed"/>
        <w:tblInd w:w="160" w:type="dxa"/>
        <w:tblCellMar>
          <w:top w:w="0" w:type="dxa"/>
          <w:left w:w="0" w:type="dxa"/>
          <w:bottom w:w="0" w:type="dxa"/>
          <w:right w:w="0" w:type="dxa"/>
        </w:tblCellMar>
      </w:tblPr>
      <w:tr>
        <w:trPr>
          <w:trHeight w:val="209"/>
        </w:trPr>
        <w:tc>
          <w:tcPr>
            <w:tcW w:w="6880" w:type="dxa"/>
            <w:vAlign w:val="bottom"/>
            <w:shd w:val="clear" w:color="auto" w:fill="E8E8E8"/>
          </w:tcPr>
          <w:p>
            <w:pPr>
              <w:spacing w:after="0"/>
              <w:rPr>
                <w:sz w:val="20"/>
                <w:szCs w:val="20"/>
                <w:color w:val="auto"/>
              </w:rPr>
            </w:pPr>
            <w:r>
              <w:rPr>
                <w:rFonts w:ascii="Arial" w:cs="Arial" w:eastAsia="Arial" w:hAnsi="Arial"/>
                <w:sz w:val="18"/>
                <w:szCs w:val="18"/>
                <w:color w:val="auto"/>
              </w:rPr>
              <w:t>Proposal 3: Approval, in an Advisory Vote, of the Compensation Paid to Our Named</w:t>
            </w:r>
          </w:p>
        </w:tc>
        <w:tc>
          <w:tcPr>
            <w:tcW w:w="2640" w:type="dxa"/>
            <w:vAlign w:val="bottom"/>
            <w:vMerge w:val="restart"/>
            <w:shd w:val="clear" w:color="auto" w:fill="E8E8E8"/>
          </w:tcPr>
          <w:p>
            <w:pPr>
              <w:ind w:left="1400"/>
              <w:spacing w:after="0"/>
              <w:rPr>
                <w:sz w:val="20"/>
                <w:szCs w:val="20"/>
                <w:color w:val="auto"/>
              </w:rPr>
            </w:pPr>
            <w:r>
              <w:rPr>
                <w:rFonts w:ascii="Arial" w:cs="Arial" w:eastAsia="Arial" w:hAnsi="Arial"/>
                <w:sz w:val="18"/>
                <w:szCs w:val="18"/>
                <w:color w:val="auto"/>
              </w:rPr>
              <w:t>FOR</w:t>
            </w:r>
          </w:p>
        </w:tc>
        <w:tc>
          <w:tcPr>
            <w:tcW w:w="1400" w:type="dxa"/>
            <w:vAlign w:val="bottom"/>
            <w:vMerge w:val="restart"/>
            <w:shd w:val="clear" w:color="auto" w:fill="E8E8E8"/>
          </w:tcPr>
          <w:p>
            <w:pPr>
              <w:jc w:val="right"/>
              <w:ind w:right="251"/>
              <w:spacing w:after="0"/>
              <w:rPr>
                <w:sz w:val="20"/>
                <w:szCs w:val="20"/>
                <w:color w:val="auto"/>
              </w:rPr>
            </w:pPr>
            <w:r>
              <w:rPr>
                <w:rFonts w:ascii="Arial" w:cs="Arial" w:eastAsia="Arial" w:hAnsi="Arial"/>
                <w:sz w:val="18"/>
                <w:szCs w:val="18"/>
                <w:color w:val="2360D1"/>
              </w:rPr>
              <w:t>69</w:t>
            </w:r>
          </w:p>
        </w:tc>
        <w:tc>
          <w:tcPr>
            <w:tcW w:w="0" w:type="dxa"/>
            <w:vAlign w:val="bottom"/>
          </w:tcPr>
          <w:p>
            <w:pPr>
              <w:spacing w:after="0"/>
              <w:rPr>
                <w:sz w:val="1"/>
                <w:szCs w:val="1"/>
                <w:color w:val="auto"/>
              </w:rPr>
            </w:pPr>
          </w:p>
        </w:tc>
      </w:tr>
      <w:tr>
        <w:trPr>
          <w:trHeight w:val="128"/>
        </w:trPr>
        <w:tc>
          <w:tcPr>
            <w:tcW w:w="6880" w:type="dxa"/>
            <w:vAlign w:val="bottom"/>
            <w:vMerge w:val="restart"/>
            <w:shd w:val="clear" w:color="auto" w:fill="E8E8E8"/>
          </w:tcPr>
          <w:p>
            <w:pPr>
              <w:ind w:left="980"/>
              <w:spacing w:after="0"/>
              <w:rPr>
                <w:sz w:val="20"/>
                <w:szCs w:val="20"/>
                <w:color w:val="auto"/>
              </w:rPr>
            </w:pPr>
            <w:r>
              <w:rPr>
                <w:rFonts w:ascii="Arial" w:cs="Arial" w:eastAsia="Arial" w:hAnsi="Arial"/>
                <w:sz w:val="18"/>
                <w:szCs w:val="18"/>
                <w:color w:val="auto"/>
              </w:rPr>
              <w:t>Executive Officers</w:t>
            </w:r>
          </w:p>
        </w:tc>
        <w:tc>
          <w:tcPr>
            <w:tcW w:w="2640" w:type="dxa"/>
            <w:vAlign w:val="bottom"/>
            <w:vMerge w:val="continue"/>
            <w:shd w:val="clear" w:color="auto" w:fill="E8E8E8"/>
          </w:tcPr>
          <w:p>
            <w:pPr>
              <w:spacing w:after="0"/>
              <w:rPr>
                <w:sz w:val="11"/>
                <w:szCs w:val="11"/>
                <w:color w:val="auto"/>
              </w:rPr>
            </w:pPr>
          </w:p>
        </w:tc>
        <w:tc>
          <w:tcPr>
            <w:tcW w:w="1400" w:type="dxa"/>
            <w:vAlign w:val="bottom"/>
            <w:vMerge w:val="continue"/>
            <w:shd w:val="clear" w:color="auto" w:fill="E8E8E8"/>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6880" w:type="dxa"/>
            <w:vAlign w:val="bottom"/>
            <w:vMerge w:val="continue"/>
            <w:shd w:val="clear" w:color="auto" w:fill="E8E8E8"/>
          </w:tcPr>
          <w:p>
            <w:pPr>
              <w:spacing w:after="0"/>
              <w:rPr>
                <w:sz w:val="9"/>
                <w:szCs w:val="9"/>
                <w:color w:val="auto"/>
              </w:rPr>
            </w:pPr>
          </w:p>
        </w:tc>
        <w:tc>
          <w:tcPr>
            <w:tcW w:w="2640" w:type="dxa"/>
            <w:vAlign w:val="bottom"/>
            <w:shd w:val="clear" w:color="auto" w:fill="E8E8E8"/>
          </w:tcPr>
          <w:p>
            <w:pPr>
              <w:spacing w:after="0"/>
              <w:rPr>
                <w:sz w:val="9"/>
                <w:szCs w:val="9"/>
                <w:color w:val="auto"/>
              </w:rPr>
            </w:pPr>
          </w:p>
        </w:tc>
        <w:tc>
          <w:tcPr>
            <w:tcW w:w="1400" w:type="dxa"/>
            <w:vAlign w:val="bottom"/>
            <w:shd w:val="clear" w:color="auto" w:fill="E8E8E8"/>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6880" w:type="dxa"/>
            <w:vAlign w:val="bottom"/>
            <w:shd w:val="clear" w:color="auto" w:fill="E8E8E8"/>
          </w:tcPr>
          <w:p>
            <w:pPr>
              <w:spacing w:after="0"/>
              <w:rPr>
                <w:sz w:val="4"/>
                <w:szCs w:val="4"/>
                <w:color w:val="auto"/>
              </w:rPr>
            </w:pPr>
          </w:p>
        </w:tc>
        <w:tc>
          <w:tcPr>
            <w:tcW w:w="2640" w:type="dxa"/>
            <w:vAlign w:val="bottom"/>
            <w:shd w:val="clear" w:color="auto" w:fill="E8E8E8"/>
          </w:tcPr>
          <w:p>
            <w:pPr>
              <w:spacing w:after="0"/>
              <w:rPr>
                <w:sz w:val="4"/>
                <w:szCs w:val="4"/>
                <w:color w:val="auto"/>
              </w:rPr>
            </w:pPr>
          </w:p>
        </w:tc>
        <w:tc>
          <w:tcPr>
            <w:tcW w:w="1400" w:type="dxa"/>
            <w:vAlign w:val="bottom"/>
            <w:shd w:val="clear" w:color="auto" w:fill="E8E8E8"/>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4" w:right="499" w:bottom="1440" w:gutter="0" w:footer="0" w:header="0"/>
          <w:type w:val="continuous"/>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160" w:type="dxa"/>
        <w:tblCellMar>
          <w:top w:w="0" w:type="dxa"/>
          <w:left w:w="0" w:type="dxa"/>
          <w:bottom w:w="0" w:type="dxa"/>
          <w:right w:w="0" w:type="dxa"/>
        </w:tblCellMar>
      </w:tblPr>
      <w:tr>
        <w:trPr>
          <w:trHeight w:val="269"/>
        </w:trPr>
        <w:tc>
          <w:tcPr>
            <w:tcW w:w="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960" w:type="dxa"/>
            <w:vAlign w:val="bottom"/>
            <w:gridSpan w:val="3"/>
          </w:tcPr>
          <w:p>
            <w:pPr>
              <w:jc w:val="right"/>
              <w:ind w:right="122"/>
              <w:spacing w:after="0"/>
              <w:rPr>
                <w:sz w:val="20"/>
                <w:szCs w:val="20"/>
                <w:color w:val="auto"/>
              </w:rPr>
            </w:pPr>
            <w:r>
              <w:rPr>
                <w:rFonts w:ascii="Arial" w:cs="Arial" w:eastAsia="Arial" w:hAnsi="Arial"/>
                <w:sz w:val="20"/>
                <w:szCs w:val="20"/>
                <w:b w:val="1"/>
                <w:bCs w:val="1"/>
                <w:color w:val="050A54"/>
              </w:rPr>
              <w:t>Table of Contents</w:t>
            </w:r>
          </w:p>
        </w:tc>
      </w:tr>
      <w:tr>
        <w:trPr>
          <w:trHeight w:val="75"/>
        </w:trPr>
        <w:tc>
          <w:tcPr>
            <w:tcW w:w="60" w:type="dxa"/>
            <w:vAlign w:val="bottom"/>
            <w:tcBorders>
              <w:bottom w:val="single" w:sz="8" w:color="050A54"/>
            </w:tcBorders>
          </w:tcPr>
          <w:p>
            <w:pPr>
              <w:spacing w:after="0"/>
              <w:rPr>
                <w:sz w:val="6"/>
                <w:szCs w:val="6"/>
                <w:color w:val="auto"/>
              </w:rPr>
            </w:pPr>
          </w:p>
        </w:tc>
        <w:tc>
          <w:tcPr>
            <w:tcW w:w="1540" w:type="dxa"/>
            <w:vAlign w:val="bottom"/>
            <w:tcBorders>
              <w:bottom w:val="single" w:sz="8" w:color="050A54"/>
            </w:tcBorders>
          </w:tcPr>
          <w:p>
            <w:pPr>
              <w:spacing w:after="0"/>
              <w:rPr>
                <w:sz w:val="6"/>
                <w:szCs w:val="6"/>
                <w:color w:val="auto"/>
              </w:rPr>
            </w:pPr>
          </w:p>
        </w:tc>
        <w:tc>
          <w:tcPr>
            <w:tcW w:w="200" w:type="dxa"/>
            <w:vAlign w:val="bottom"/>
            <w:tcBorders>
              <w:bottom w:val="single" w:sz="8" w:color="050A54"/>
            </w:tcBorders>
          </w:tcPr>
          <w:p>
            <w:pPr>
              <w:spacing w:after="0"/>
              <w:rPr>
                <w:sz w:val="6"/>
                <w:szCs w:val="6"/>
                <w:color w:val="auto"/>
              </w:rPr>
            </w:pPr>
          </w:p>
        </w:tc>
        <w:tc>
          <w:tcPr>
            <w:tcW w:w="1060" w:type="dxa"/>
            <w:vAlign w:val="bottom"/>
            <w:tcBorders>
              <w:bottom w:val="single" w:sz="8" w:color="050A54"/>
            </w:tcBorders>
          </w:tcPr>
          <w:p>
            <w:pPr>
              <w:spacing w:after="0"/>
              <w:rPr>
                <w:sz w:val="6"/>
                <w:szCs w:val="6"/>
                <w:color w:val="auto"/>
              </w:rPr>
            </w:pPr>
          </w:p>
        </w:tc>
        <w:tc>
          <w:tcPr>
            <w:tcW w:w="100" w:type="dxa"/>
            <w:vAlign w:val="bottom"/>
            <w:tcBorders>
              <w:bottom w:val="single" w:sz="8" w:color="050A54"/>
            </w:tcBorders>
          </w:tcPr>
          <w:p>
            <w:pPr>
              <w:spacing w:after="0"/>
              <w:rPr>
                <w:sz w:val="6"/>
                <w:szCs w:val="6"/>
                <w:color w:val="auto"/>
              </w:rPr>
            </w:pPr>
          </w:p>
        </w:tc>
        <w:tc>
          <w:tcPr>
            <w:tcW w:w="540" w:type="dxa"/>
            <w:vAlign w:val="bottom"/>
            <w:tcBorders>
              <w:bottom w:val="single" w:sz="8" w:color="050A54"/>
            </w:tcBorders>
          </w:tcPr>
          <w:p>
            <w:pPr>
              <w:spacing w:after="0"/>
              <w:rPr>
                <w:sz w:val="6"/>
                <w:szCs w:val="6"/>
                <w:color w:val="auto"/>
              </w:rPr>
            </w:pPr>
          </w:p>
        </w:tc>
        <w:tc>
          <w:tcPr>
            <w:tcW w:w="160" w:type="dxa"/>
            <w:vAlign w:val="bottom"/>
            <w:tcBorders>
              <w:bottom w:val="single" w:sz="8" w:color="050A54"/>
            </w:tcBorders>
          </w:tcPr>
          <w:p>
            <w:pPr>
              <w:spacing w:after="0"/>
              <w:rPr>
                <w:sz w:val="6"/>
                <w:szCs w:val="6"/>
                <w:color w:val="auto"/>
              </w:rPr>
            </w:pPr>
          </w:p>
        </w:tc>
        <w:tc>
          <w:tcPr>
            <w:tcW w:w="200" w:type="dxa"/>
            <w:vAlign w:val="bottom"/>
            <w:tcBorders>
              <w:bottom w:val="single" w:sz="8" w:color="050A54"/>
            </w:tcBorders>
          </w:tcPr>
          <w:p>
            <w:pPr>
              <w:spacing w:after="0"/>
              <w:rPr>
                <w:sz w:val="6"/>
                <w:szCs w:val="6"/>
                <w:color w:val="auto"/>
              </w:rPr>
            </w:pPr>
          </w:p>
        </w:tc>
        <w:tc>
          <w:tcPr>
            <w:tcW w:w="860" w:type="dxa"/>
            <w:vAlign w:val="bottom"/>
            <w:tcBorders>
              <w:bottom w:val="single" w:sz="8" w:color="050A54"/>
            </w:tcBorders>
          </w:tcPr>
          <w:p>
            <w:pPr>
              <w:spacing w:after="0"/>
              <w:rPr>
                <w:sz w:val="6"/>
                <w:szCs w:val="6"/>
                <w:color w:val="auto"/>
              </w:rPr>
            </w:pPr>
          </w:p>
        </w:tc>
        <w:tc>
          <w:tcPr>
            <w:tcW w:w="100" w:type="dxa"/>
            <w:vAlign w:val="bottom"/>
            <w:tcBorders>
              <w:bottom w:val="single" w:sz="8" w:color="050A54"/>
            </w:tcBorders>
          </w:tcPr>
          <w:p>
            <w:pPr>
              <w:spacing w:after="0"/>
              <w:rPr>
                <w:sz w:val="6"/>
                <w:szCs w:val="6"/>
                <w:color w:val="auto"/>
              </w:rPr>
            </w:pPr>
          </w:p>
        </w:tc>
        <w:tc>
          <w:tcPr>
            <w:tcW w:w="40" w:type="dxa"/>
            <w:vAlign w:val="bottom"/>
            <w:tcBorders>
              <w:bottom w:val="single" w:sz="8" w:color="050A54"/>
            </w:tcBorders>
          </w:tcPr>
          <w:p>
            <w:pPr>
              <w:spacing w:after="0"/>
              <w:rPr>
                <w:sz w:val="6"/>
                <w:szCs w:val="6"/>
                <w:color w:val="auto"/>
              </w:rPr>
            </w:pPr>
          </w:p>
        </w:tc>
        <w:tc>
          <w:tcPr>
            <w:tcW w:w="20" w:type="dxa"/>
            <w:vAlign w:val="bottom"/>
            <w:tcBorders>
              <w:bottom w:val="single" w:sz="8" w:color="050A54"/>
            </w:tcBorders>
          </w:tcPr>
          <w:p>
            <w:pPr>
              <w:spacing w:after="0"/>
              <w:rPr>
                <w:sz w:val="6"/>
                <w:szCs w:val="6"/>
                <w:color w:val="auto"/>
              </w:rPr>
            </w:pPr>
          </w:p>
        </w:tc>
        <w:tc>
          <w:tcPr>
            <w:tcW w:w="1000" w:type="dxa"/>
            <w:vAlign w:val="bottom"/>
            <w:tcBorders>
              <w:bottom w:val="single" w:sz="8" w:color="050A54"/>
            </w:tcBorders>
          </w:tcPr>
          <w:p>
            <w:pPr>
              <w:spacing w:after="0"/>
              <w:rPr>
                <w:sz w:val="6"/>
                <w:szCs w:val="6"/>
                <w:color w:val="auto"/>
              </w:rPr>
            </w:pPr>
          </w:p>
        </w:tc>
        <w:tc>
          <w:tcPr>
            <w:tcW w:w="880" w:type="dxa"/>
            <w:vAlign w:val="bottom"/>
            <w:tcBorders>
              <w:bottom w:val="single" w:sz="8" w:color="050A54"/>
            </w:tcBorders>
          </w:tcPr>
          <w:p>
            <w:pPr>
              <w:spacing w:after="0"/>
              <w:rPr>
                <w:sz w:val="6"/>
                <w:szCs w:val="6"/>
                <w:color w:val="auto"/>
              </w:rPr>
            </w:pPr>
          </w:p>
        </w:tc>
        <w:tc>
          <w:tcPr>
            <w:tcW w:w="1000" w:type="dxa"/>
            <w:vAlign w:val="bottom"/>
            <w:tcBorders>
              <w:bottom w:val="single" w:sz="8" w:color="050A54"/>
            </w:tcBorders>
          </w:tcPr>
          <w:p>
            <w:pPr>
              <w:spacing w:after="0"/>
              <w:rPr>
                <w:sz w:val="6"/>
                <w:szCs w:val="6"/>
                <w:color w:val="auto"/>
              </w:rPr>
            </w:pPr>
          </w:p>
        </w:tc>
        <w:tc>
          <w:tcPr>
            <w:tcW w:w="1200" w:type="dxa"/>
            <w:vAlign w:val="bottom"/>
            <w:tcBorders>
              <w:bottom w:val="single" w:sz="8" w:color="050A54"/>
            </w:tcBorders>
          </w:tcPr>
          <w:p>
            <w:pPr>
              <w:spacing w:after="0"/>
              <w:rPr>
                <w:sz w:val="6"/>
                <w:szCs w:val="6"/>
                <w:color w:val="auto"/>
              </w:rPr>
            </w:pPr>
          </w:p>
        </w:tc>
        <w:tc>
          <w:tcPr>
            <w:tcW w:w="1360" w:type="dxa"/>
            <w:vAlign w:val="bottom"/>
            <w:tcBorders>
              <w:bottom w:val="single" w:sz="8" w:color="050A54"/>
            </w:tcBorders>
          </w:tcPr>
          <w:p>
            <w:pPr>
              <w:spacing w:after="0"/>
              <w:rPr>
                <w:sz w:val="6"/>
                <w:szCs w:val="6"/>
                <w:color w:val="auto"/>
              </w:rPr>
            </w:pPr>
          </w:p>
        </w:tc>
        <w:tc>
          <w:tcPr>
            <w:tcW w:w="120" w:type="dxa"/>
            <w:vAlign w:val="bottom"/>
            <w:tcBorders>
              <w:bottom w:val="single" w:sz="8" w:color="050A54"/>
            </w:tcBorders>
          </w:tcPr>
          <w:p>
            <w:pPr>
              <w:spacing w:after="0"/>
              <w:rPr>
                <w:sz w:val="6"/>
                <w:szCs w:val="6"/>
                <w:color w:val="auto"/>
              </w:rPr>
            </w:pPr>
          </w:p>
        </w:tc>
        <w:tc>
          <w:tcPr>
            <w:tcW w:w="480" w:type="dxa"/>
            <w:vAlign w:val="bottom"/>
            <w:tcBorders>
              <w:bottom w:val="single" w:sz="8" w:color="050A54"/>
            </w:tcBorders>
          </w:tcPr>
          <w:p>
            <w:pPr>
              <w:spacing w:after="0"/>
              <w:rPr>
                <w:sz w:val="6"/>
                <w:szCs w:val="6"/>
                <w:color w:val="auto"/>
              </w:rPr>
            </w:pPr>
          </w:p>
        </w:tc>
      </w:tr>
      <w:tr>
        <w:trPr>
          <w:trHeight w:val="434"/>
        </w:trPr>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580" w:type="dxa"/>
            <w:vAlign w:val="bottom"/>
            <w:gridSpan w:val="10"/>
          </w:tcPr>
          <w:p>
            <w:pPr>
              <w:ind w:left="700"/>
              <w:spacing w:after="0"/>
              <w:rPr>
                <w:sz w:val="20"/>
                <w:szCs w:val="20"/>
                <w:color w:val="auto"/>
              </w:rPr>
            </w:pPr>
            <w:r>
              <w:rPr>
                <w:rFonts w:ascii="Arial" w:cs="Arial" w:eastAsia="Arial" w:hAnsi="Arial"/>
                <w:sz w:val="21"/>
                <w:szCs w:val="21"/>
                <w:b w:val="1"/>
                <w:bCs w:val="1"/>
                <w:color w:val="050A54"/>
              </w:rPr>
              <w:t>Table of Contents</w:t>
            </w:r>
          </w:p>
        </w:tc>
        <w:tc>
          <w:tcPr>
            <w:tcW w:w="480" w:type="dxa"/>
            <w:vAlign w:val="bottom"/>
          </w:tcPr>
          <w:p>
            <w:pPr>
              <w:spacing w:after="0"/>
              <w:rPr>
                <w:sz w:val="24"/>
                <w:szCs w:val="24"/>
                <w:color w:val="auto"/>
              </w:rPr>
            </w:pPr>
          </w:p>
        </w:tc>
      </w:tr>
      <w:tr>
        <w:trPr>
          <w:trHeight w:val="147"/>
        </w:trPr>
        <w:tc>
          <w:tcPr>
            <w:tcW w:w="60" w:type="dxa"/>
            <w:vAlign w:val="bottom"/>
            <w:tcBorders>
              <w:bottom w:val="single" w:sz="8" w:color="050A54"/>
            </w:tcBorders>
          </w:tcPr>
          <w:p>
            <w:pPr>
              <w:spacing w:after="0"/>
              <w:rPr>
                <w:sz w:val="12"/>
                <w:szCs w:val="12"/>
                <w:color w:val="auto"/>
              </w:rPr>
            </w:pPr>
          </w:p>
        </w:tc>
        <w:tc>
          <w:tcPr>
            <w:tcW w:w="1540" w:type="dxa"/>
            <w:vAlign w:val="bottom"/>
            <w:tcBorders>
              <w:bottom w:val="single" w:sz="8" w:color="050A54"/>
            </w:tcBorders>
          </w:tcPr>
          <w:p>
            <w:pPr>
              <w:spacing w:after="0"/>
              <w:rPr>
                <w:sz w:val="12"/>
                <w:szCs w:val="12"/>
                <w:color w:val="auto"/>
              </w:rPr>
            </w:pPr>
          </w:p>
        </w:tc>
        <w:tc>
          <w:tcPr>
            <w:tcW w:w="200" w:type="dxa"/>
            <w:vAlign w:val="bottom"/>
            <w:tcBorders>
              <w:bottom w:val="single" w:sz="8" w:color="050A54"/>
            </w:tcBorders>
          </w:tcPr>
          <w:p>
            <w:pPr>
              <w:spacing w:after="0"/>
              <w:rPr>
                <w:sz w:val="12"/>
                <w:szCs w:val="12"/>
                <w:color w:val="auto"/>
              </w:rPr>
            </w:pPr>
          </w:p>
        </w:tc>
        <w:tc>
          <w:tcPr>
            <w:tcW w:w="1060" w:type="dxa"/>
            <w:vAlign w:val="bottom"/>
            <w:tcBorders>
              <w:bottom w:val="single" w:sz="8" w:color="050A54"/>
            </w:tcBorders>
          </w:tcPr>
          <w:p>
            <w:pPr>
              <w:spacing w:after="0"/>
              <w:rPr>
                <w:sz w:val="12"/>
                <w:szCs w:val="12"/>
                <w:color w:val="auto"/>
              </w:rPr>
            </w:pPr>
          </w:p>
        </w:tc>
        <w:tc>
          <w:tcPr>
            <w:tcW w:w="100" w:type="dxa"/>
            <w:vAlign w:val="bottom"/>
            <w:tcBorders>
              <w:bottom w:val="single" w:sz="8" w:color="050A54"/>
            </w:tcBorders>
          </w:tcPr>
          <w:p>
            <w:pPr>
              <w:spacing w:after="0"/>
              <w:rPr>
                <w:sz w:val="12"/>
                <w:szCs w:val="12"/>
                <w:color w:val="auto"/>
              </w:rPr>
            </w:pPr>
          </w:p>
        </w:tc>
        <w:tc>
          <w:tcPr>
            <w:tcW w:w="540" w:type="dxa"/>
            <w:vAlign w:val="bottom"/>
            <w:tcBorders>
              <w:bottom w:val="single" w:sz="8" w:color="050A54"/>
            </w:tcBorders>
          </w:tcPr>
          <w:p>
            <w:pPr>
              <w:spacing w:after="0"/>
              <w:rPr>
                <w:sz w:val="12"/>
                <w:szCs w:val="12"/>
                <w:color w:val="auto"/>
              </w:rPr>
            </w:pPr>
          </w:p>
        </w:tc>
        <w:tc>
          <w:tcPr>
            <w:tcW w:w="160" w:type="dxa"/>
            <w:vAlign w:val="bottom"/>
            <w:tcBorders>
              <w:bottom w:val="single" w:sz="8" w:color="050A54"/>
            </w:tcBorders>
          </w:tcPr>
          <w:p>
            <w:pPr>
              <w:spacing w:after="0"/>
              <w:rPr>
                <w:sz w:val="12"/>
                <w:szCs w:val="12"/>
                <w:color w:val="auto"/>
              </w:rPr>
            </w:pPr>
          </w:p>
        </w:tc>
        <w:tc>
          <w:tcPr>
            <w:tcW w:w="200" w:type="dxa"/>
            <w:vAlign w:val="bottom"/>
            <w:tcBorders>
              <w:bottom w:val="single" w:sz="8" w:color="050A54"/>
            </w:tcBorders>
          </w:tcPr>
          <w:p>
            <w:pPr>
              <w:spacing w:after="0"/>
              <w:rPr>
                <w:sz w:val="12"/>
                <w:szCs w:val="12"/>
                <w:color w:val="auto"/>
              </w:rPr>
            </w:pPr>
          </w:p>
        </w:tc>
        <w:tc>
          <w:tcPr>
            <w:tcW w:w="860" w:type="dxa"/>
            <w:vAlign w:val="bottom"/>
            <w:tcBorders>
              <w:bottom w:val="single" w:sz="8" w:color="050A54"/>
            </w:tcBorders>
          </w:tcPr>
          <w:p>
            <w:pPr>
              <w:spacing w:after="0"/>
              <w:rPr>
                <w:sz w:val="12"/>
                <w:szCs w:val="12"/>
                <w:color w:val="auto"/>
              </w:rPr>
            </w:pPr>
          </w:p>
        </w:tc>
        <w:tc>
          <w:tcPr>
            <w:tcW w:w="100" w:type="dxa"/>
            <w:vAlign w:val="bottom"/>
            <w:tcBorders>
              <w:bottom w:val="single" w:sz="8" w:color="050A54"/>
            </w:tcBorders>
          </w:tcPr>
          <w:p>
            <w:pPr>
              <w:spacing w:after="0"/>
              <w:rPr>
                <w:sz w:val="12"/>
                <w:szCs w:val="12"/>
                <w:color w:val="auto"/>
              </w:rPr>
            </w:pPr>
          </w:p>
        </w:tc>
        <w:tc>
          <w:tcPr>
            <w:tcW w:w="40" w:type="dxa"/>
            <w:vAlign w:val="bottom"/>
            <w:tcBorders>
              <w:bottom w:val="single" w:sz="8" w:color="050A54"/>
            </w:tcBorders>
          </w:tcPr>
          <w:p>
            <w:pPr>
              <w:spacing w:after="0"/>
              <w:rPr>
                <w:sz w:val="12"/>
                <w:szCs w:val="12"/>
                <w:color w:val="auto"/>
              </w:rPr>
            </w:pPr>
          </w:p>
        </w:tc>
        <w:tc>
          <w:tcPr>
            <w:tcW w:w="20" w:type="dxa"/>
            <w:vAlign w:val="bottom"/>
            <w:tcBorders>
              <w:bottom w:val="single" w:sz="8" w:color="050A54"/>
            </w:tcBorders>
          </w:tcPr>
          <w:p>
            <w:pPr>
              <w:spacing w:after="0"/>
              <w:rPr>
                <w:sz w:val="12"/>
                <w:szCs w:val="12"/>
                <w:color w:val="auto"/>
              </w:rPr>
            </w:pPr>
          </w:p>
        </w:tc>
        <w:tc>
          <w:tcPr>
            <w:tcW w:w="1000" w:type="dxa"/>
            <w:vAlign w:val="bottom"/>
            <w:tcBorders>
              <w:bottom w:val="single" w:sz="8" w:color="050A54"/>
            </w:tcBorders>
          </w:tcPr>
          <w:p>
            <w:pPr>
              <w:spacing w:after="0"/>
              <w:rPr>
                <w:sz w:val="12"/>
                <w:szCs w:val="12"/>
                <w:color w:val="auto"/>
              </w:rPr>
            </w:pPr>
          </w:p>
        </w:tc>
        <w:tc>
          <w:tcPr>
            <w:tcW w:w="880" w:type="dxa"/>
            <w:vAlign w:val="bottom"/>
            <w:tcBorders>
              <w:bottom w:val="single" w:sz="8" w:color="050A54"/>
            </w:tcBorders>
          </w:tcPr>
          <w:p>
            <w:pPr>
              <w:spacing w:after="0"/>
              <w:rPr>
                <w:sz w:val="12"/>
                <w:szCs w:val="12"/>
                <w:color w:val="auto"/>
              </w:rPr>
            </w:pPr>
          </w:p>
        </w:tc>
        <w:tc>
          <w:tcPr>
            <w:tcW w:w="1000" w:type="dxa"/>
            <w:vAlign w:val="bottom"/>
            <w:tcBorders>
              <w:bottom w:val="single" w:sz="8" w:color="050A54"/>
            </w:tcBorders>
          </w:tcPr>
          <w:p>
            <w:pPr>
              <w:spacing w:after="0"/>
              <w:rPr>
                <w:sz w:val="12"/>
                <w:szCs w:val="12"/>
                <w:color w:val="auto"/>
              </w:rPr>
            </w:pPr>
          </w:p>
        </w:tc>
        <w:tc>
          <w:tcPr>
            <w:tcW w:w="1200" w:type="dxa"/>
            <w:vAlign w:val="bottom"/>
            <w:tcBorders>
              <w:bottom w:val="single" w:sz="8" w:color="050A54"/>
            </w:tcBorders>
          </w:tcPr>
          <w:p>
            <w:pPr>
              <w:spacing w:after="0"/>
              <w:rPr>
                <w:sz w:val="12"/>
                <w:szCs w:val="12"/>
                <w:color w:val="auto"/>
              </w:rPr>
            </w:pPr>
          </w:p>
        </w:tc>
        <w:tc>
          <w:tcPr>
            <w:tcW w:w="1360" w:type="dxa"/>
            <w:vAlign w:val="bottom"/>
            <w:tcBorders>
              <w:bottom w:val="single" w:sz="8" w:color="050A54"/>
            </w:tcBorders>
          </w:tcPr>
          <w:p>
            <w:pPr>
              <w:spacing w:after="0"/>
              <w:rPr>
                <w:sz w:val="12"/>
                <w:szCs w:val="12"/>
                <w:color w:val="auto"/>
              </w:rPr>
            </w:pPr>
          </w:p>
        </w:tc>
        <w:tc>
          <w:tcPr>
            <w:tcW w:w="120" w:type="dxa"/>
            <w:vAlign w:val="bottom"/>
            <w:tcBorders>
              <w:bottom w:val="single" w:sz="8" w:color="050A54"/>
            </w:tcBorders>
          </w:tcPr>
          <w:p>
            <w:pPr>
              <w:spacing w:after="0"/>
              <w:rPr>
                <w:sz w:val="12"/>
                <w:szCs w:val="12"/>
                <w:color w:val="auto"/>
              </w:rPr>
            </w:pPr>
          </w:p>
        </w:tc>
        <w:tc>
          <w:tcPr>
            <w:tcW w:w="480" w:type="dxa"/>
            <w:vAlign w:val="bottom"/>
            <w:tcBorders>
              <w:bottom w:val="single" w:sz="8" w:color="050A54"/>
            </w:tcBorders>
          </w:tcPr>
          <w:p>
            <w:pPr>
              <w:spacing w:after="0"/>
              <w:rPr>
                <w:sz w:val="12"/>
                <w:szCs w:val="12"/>
                <w:color w:val="auto"/>
              </w:rPr>
            </w:pPr>
          </w:p>
        </w:tc>
      </w:tr>
      <w:tr>
        <w:trPr>
          <w:trHeight w:val="354"/>
        </w:trPr>
        <w:tc>
          <w:tcPr>
            <w:tcW w:w="60" w:type="dxa"/>
            <w:vAlign w:val="bottom"/>
          </w:tcPr>
          <w:p>
            <w:pPr>
              <w:spacing w:after="0"/>
              <w:rPr>
                <w:sz w:val="24"/>
                <w:szCs w:val="24"/>
                <w:color w:val="auto"/>
              </w:rPr>
            </w:pPr>
          </w:p>
        </w:tc>
        <w:tc>
          <w:tcPr>
            <w:tcW w:w="1740" w:type="dxa"/>
            <w:vAlign w:val="bottom"/>
            <w:tcBorders>
              <w:bottom w:val="single" w:sz="8" w:color="0000EE"/>
            </w:tcBorders>
            <w:gridSpan w:val="2"/>
          </w:tcPr>
          <w:p>
            <w:pPr>
              <w:spacing w:after="0"/>
              <w:rPr>
                <w:rFonts w:ascii="Arial" w:cs="Arial" w:eastAsia="Arial" w:hAnsi="Arial"/>
                <w:sz w:val="20"/>
                <w:szCs w:val="20"/>
                <w:color w:val="0000EE"/>
                <w:w w:val="97"/>
              </w:rPr>
            </w:pPr>
            <w:hyperlink w:anchor="page7">
              <w:r>
                <w:rPr>
                  <w:rFonts w:ascii="Arial" w:cs="Arial" w:eastAsia="Arial" w:hAnsi="Arial"/>
                  <w:sz w:val="20"/>
                  <w:szCs w:val="20"/>
                  <w:color w:val="0000EE"/>
                  <w:w w:val="97"/>
                </w:rPr>
                <w:t>General Information</w:t>
              </w:r>
            </w:hyperlink>
          </w:p>
        </w:tc>
        <w:tc>
          <w:tcPr>
            <w:tcW w:w="8640" w:type="dxa"/>
            <w:vAlign w:val="bottom"/>
            <w:gridSpan w:val="15"/>
          </w:tcPr>
          <w:p>
            <w:pPr>
              <w:spacing w:after="0"/>
              <w:rPr>
                <w:sz w:val="24"/>
                <w:szCs w:val="24"/>
                <w:color w:val="auto"/>
              </w:rPr>
            </w:pPr>
          </w:p>
        </w:tc>
        <w:tc>
          <w:tcPr>
            <w:tcW w:w="480" w:type="dxa"/>
            <w:vAlign w:val="bottom"/>
          </w:tcPr>
          <w:p>
            <w:pPr>
              <w:jc w:val="right"/>
              <w:ind w:right="22"/>
              <w:spacing w:after="0"/>
              <w:rPr>
                <w:sz w:val="20"/>
                <w:szCs w:val="20"/>
                <w:color w:val="auto"/>
              </w:rPr>
            </w:pPr>
            <w:r>
              <w:rPr>
                <w:rFonts w:ascii="Arial" w:cs="Arial" w:eastAsia="Arial" w:hAnsi="Arial"/>
                <w:sz w:val="20"/>
                <w:szCs w:val="20"/>
                <w:color w:val="2360D1"/>
              </w:rPr>
              <w:t>1</w:t>
            </w:r>
          </w:p>
        </w:tc>
      </w:tr>
      <w:tr>
        <w:trPr>
          <w:trHeight w:val="475"/>
        </w:trPr>
        <w:tc>
          <w:tcPr>
            <w:tcW w:w="60" w:type="dxa"/>
            <w:vAlign w:val="bottom"/>
          </w:tcPr>
          <w:p>
            <w:pPr>
              <w:spacing w:after="0"/>
              <w:rPr>
                <w:sz w:val="24"/>
                <w:szCs w:val="24"/>
                <w:color w:val="auto"/>
              </w:rPr>
            </w:pPr>
          </w:p>
        </w:tc>
        <w:tc>
          <w:tcPr>
            <w:tcW w:w="6700" w:type="dxa"/>
            <w:vAlign w:val="bottom"/>
            <w:tcBorders>
              <w:bottom w:val="single" w:sz="8" w:color="0000EE"/>
            </w:tcBorders>
            <w:gridSpan w:val="13"/>
          </w:tcPr>
          <w:p>
            <w:pPr>
              <w:spacing w:after="0"/>
              <w:rPr>
                <w:rFonts w:ascii="Arial" w:cs="Arial" w:eastAsia="Arial" w:hAnsi="Arial"/>
                <w:sz w:val="20"/>
                <w:szCs w:val="20"/>
                <w:color w:val="0000EE"/>
                <w:w w:val="97"/>
              </w:rPr>
            </w:pPr>
            <w:hyperlink w:anchor="page12">
              <w:r>
                <w:rPr>
                  <w:rFonts w:ascii="Arial" w:cs="Arial" w:eastAsia="Arial" w:hAnsi="Arial"/>
                  <w:sz w:val="20"/>
                  <w:szCs w:val="20"/>
                  <w:color w:val="0000EE"/>
                  <w:w w:val="97"/>
                </w:rPr>
                <w:t>General Information About Corporate Governance and the Board of Directors</w:t>
              </w:r>
            </w:hyperlink>
          </w:p>
        </w:tc>
        <w:tc>
          <w:tcPr>
            <w:tcW w:w="3680" w:type="dxa"/>
            <w:vAlign w:val="bottom"/>
            <w:gridSpan w:val="4"/>
          </w:tcPr>
          <w:p>
            <w:pPr>
              <w:spacing w:after="0"/>
              <w:rPr>
                <w:sz w:val="24"/>
                <w:szCs w:val="24"/>
                <w:color w:val="auto"/>
              </w:rPr>
            </w:pPr>
          </w:p>
        </w:tc>
        <w:tc>
          <w:tcPr>
            <w:tcW w:w="480" w:type="dxa"/>
            <w:vAlign w:val="bottom"/>
          </w:tcPr>
          <w:p>
            <w:pPr>
              <w:jc w:val="right"/>
              <w:ind w:right="22"/>
              <w:spacing w:after="0"/>
              <w:rPr>
                <w:sz w:val="20"/>
                <w:szCs w:val="20"/>
                <w:color w:val="auto"/>
              </w:rPr>
            </w:pPr>
            <w:r>
              <w:rPr>
                <w:rFonts w:ascii="Arial" w:cs="Arial" w:eastAsia="Arial" w:hAnsi="Arial"/>
                <w:sz w:val="20"/>
                <w:szCs w:val="20"/>
                <w:color w:val="2360D1"/>
              </w:rPr>
              <w:t>6</w:t>
            </w:r>
          </w:p>
        </w:tc>
      </w:tr>
      <w:tr>
        <w:trPr>
          <w:trHeight w:val="475"/>
        </w:trPr>
        <w:tc>
          <w:tcPr>
            <w:tcW w:w="60" w:type="dxa"/>
            <w:vAlign w:val="bottom"/>
          </w:tcPr>
          <w:p>
            <w:pPr>
              <w:spacing w:after="0"/>
              <w:rPr>
                <w:sz w:val="24"/>
                <w:szCs w:val="24"/>
                <w:color w:val="auto"/>
              </w:rPr>
            </w:pPr>
          </w:p>
        </w:tc>
        <w:tc>
          <w:tcPr>
            <w:tcW w:w="10380" w:type="dxa"/>
            <w:vAlign w:val="bottom"/>
            <w:gridSpan w:val="17"/>
          </w:tcPr>
          <w:p>
            <w:pPr>
              <w:spacing w:after="0"/>
              <w:rPr>
                <w:rFonts w:ascii="Arial" w:cs="Arial" w:eastAsia="Arial" w:hAnsi="Arial"/>
                <w:sz w:val="20"/>
                <w:szCs w:val="20"/>
                <w:color w:val="0000EE"/>
              </w:rPr>
            </w:pPr>
            <w:hyperlink w:anchor="page13">
              <w:r>
                <w:rPr>
                  <w:rFonts w:ascii="Arial" w:cs="Arial" w:eastAsia="Arial" w:hAnsi="Arial"/>
                  <w:sz w:val="20"/>
                  <w:szCs w:val="20"/>
                  <w:color w:val="0000EE"/>
                </w:rPr>
                <w:t>Proposal 1: Election of Directors</w:t>
              </w:r>
            </w:hyperlink>
          </w:p>
        </w:tc>
        <w:tc>
          <w:tcPr>
            <w:tcW w:w="480" w:type="dxa"/>
            <w:vAlign w:val="bottom"/>
          </w:tcPr>
          <w:p>
            <w:pPr>
              <w:jc w:val="right"/>
              <w:ind w:right="22"/>
              <w:spacing w:after="0"/>
              <w:rPr>
                <w:sz w:val="20"/>
                <w:szCs w:val="20"/>
                <w:color w:val="auto"/>
              </w:rPr>
            </w:pPr>
            <w:r>
              <w:rPr>
                <w:rFonts w:ascii="Arial" w:cs="Arial" w:eastAsia="Arial" w:hAnsi="Arial"/>
                <w:sz w:val="20"/>
                <w:szCs w:val="20"/>
                <w:color w:val="2360D1"/>
              </w:rPr>
              <w:t>7</w:t>
            </w:r>
          </w:p>
        </w:tc>
      </w:tr>
      <w:tr>
        <w:trPr>
          <w:trHeight w:val="20"/>
        </w:trPr>
        <w:tc>
          <w:tcPr>
            <w:tcW w:w="6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75"/>
        </w:trPr>
        <w:tc>
          <w:tcPr>
            <w:tcW w:w="60" w:type="dxa"/>
            <w:vAlign w:val="bottom"/>
          </w:tcPr>
          <w:p>
            <w:pPr>
              <w:spacing w:after="0"/>
              <w:rPr>
                <w:sz w:val="24"/>
                <w:szCs w:val="24"/>
                <w:color w:val="auto"/>
              </w:rPr>
            </w:pPr>
          </w:p>
        </w:tc>
        <w:tc>
          <w:tcPr>
            <w:tcW w:w="4760" w:type="dxa"/>
            <w:vAlign w:val="bottom"/>
            <w:tcBorders>
              <w:bottom w:val="single" w:sz="8" w:color="0000EE"/>
            </w:tcBorders>
            <w:gridSpan w:val="9"/>
          </w:tcPr>
          <w:p>
            <w:pPr>
              <w:spacing w:after="0"/>
              <w:rPr>
                <w:rFonts w:ascii="Arial" w:cs="Arial" w:eastAsia="Arial" w:hAnsi="Arial"/>
                <w:sz w:val="20"/>
                <w:szCs w:val="20"/>
                <w:color w:val="0000EE"/>
                <w:w w:val="97"/>
              </w:rPr>
            </w:pPr>
            <w:hyperlink w:anchor="page23">
              <w:r>
                <w:rPr>
                  <w:rFonts w:ascii="Arial" w:cs="Arial" w:eastAsia="Arial" w:hAnsi="Arial"/>
                  <w:sz w:val="20"/>
                  <w:szCs w:val="20"/>
                  <w:color w:val="0000EE"/>
                  <w:w w:val="97"/>
                </w:rPr>
                <w:t>Information Regarding Board and Committee Structure</w:t>
              </w:r>
            </w:hyperlink>
          </w:p>
        </w:tc>
        <w:tc>
          <w:tcPr>
            <w:tcW w:w="5620" w:type="dxa"/>
            <w:vAlign w:val="bottom"/>
            <w:gridSpan w:val="8"/>
          </w:tcPr>
          <w:p>
            <w:pPr>
              <w:spacing w:after="0"/>
              <w:rPr>
                <w:sz w:val="24"/>
                <w:szCs w:val="24"/>
                <w:color w:val="auto"/>
              </w:rPr>
            </w:pPr>
          </w:p>
        </w:tc>
        <w:tc>
          <w:tcPr>
            <w:tcW w:w="480" w:type="dxa"/>
            <w:vAlign w:val="bottom"/>
          </w:tcPr>
          <w:p>
            <w:pPr>
              <w:jc w:val="right"/>
              <w:ind w:right="22"/>
              <w:spacing w:after="0"/>
              <w:rPr>
                <w:sz w:val="20"/>
                <w:szCs w:val="20"/>
                <w:color w:val="auto"/>
              </w:rPr>
            </w:pPr>
            <w:r>
              <w:rPr>
                <w:rFonts w:ascii="Arial" w:cs="Arial" w:eastAsia="Arial" w:hAnsi="Arial"/>
                <w:sz w:val="20"/>
                <w:szCs w:val="20"/>
                <w:color w:val="2360D1"/>
              </w:rPr>
              <w:t>17</w:t>
            </w:r>
          </w:p>
        </w:tc>
      </w:tr>
      <w:tr>
        <w:trPr>
          <w:trHeight w:val="475"/>
        </w:trPr>
        <w:tc>
          <w:tcPr>
            <w:tcW w:w="60" w:type="dxa"/>
            <w:vAlign w:val="bottom"/>
          </w:tcPr>
          <w:p>
            <w:pPr>
              <w:spacing w:after="0"/>
              <w:rPr>
                <w:sz w:val="24"/>
                <w:szCs w:val="24"/>
                <w:color w:val="auto"/>
              </w:rPr>
            </w:pPr>
          </w:p>
        </w:tc>
        <w:tc>
          <w:tcPr>
            <w:tcW w:w="10380" w:type="dxa"/>
            <w:vAlign w:val="bottom"/>
            <w:gridSpan w:val="17"/>
          </w:tcPr>
          <w:p>
            <w:pPr>
              <w:spacing w:after="0"/>
              <w:rPr>
                <w:rFonts w:ascii="Arial" w:cs="Arial" w:eastAsia="Arial" w:hAnsi="Arial"/>
                <w:sz w:val="20"/>
                <w:szCs w:val="20"/>
                <w:color w:val="0000EE"/>
              </w:rPr>
            </w:pPr>
            <w:hyperlink w:anchor="page34">
              <w:r>
                <w:rPr>
                  <w:rFonts w:ascii="Arial" w:cs="Arial" w:eastAsia="Arial" w:hAnsi="Arial"/>
                  <w:sz w:val="20"/>
                  <w:szCs w:val="20"/>
                  <w:color w:val="0000EE"/>
                </w:rPr>
                <w:t>Board of Directors Compensation</w:t>
              </w:r>
            </w:hyperlink>
          </w:p>
        </w:tc>
        <w:tc>
          <w:tcPr>
            <w:tcW w:w="480" w:type="dxa"/>
            <w:vAlign w:val="bottom"/>
          </w:tcPr>
          <w:p>
            <w:pPr>
              <w:jc w:val="right"/>
              <w:ind w:right="22"/>
              <w:spacing w:after="0"/>
              <w:rPr>
                <w:sz w:val="20"/>
                <w:szCs w:val="20"/>
                <w:color w:val="auto"/>
              </w:rPr>
            </w:pPr>
            <w:r>
              <w:rPr>
                <w:rFonts w:ascii="Arial" w:cs="Arial" w:eastAsia="Arial" w:hAnsi="Arial"/>
                <w:sz w:val="20"/>
                <w:szCs w:val="20"/>
                <w:color w:val="2360D1"/>
              </w:rPr>
              <w:t>28</w:t>
            </w:r>
          </w:p>
        </w:tc>
      </w:tr>
      <w:tr>
        <w:trPr>
          <w:trHeight w:val="20"/>
        </w:trPr>
        <w:tc>
          <w:tcPr>
            <w:tcW w:w="6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75"/>
        </w:trPr>
        <w:tc>
          <w:tcPr>
            <w:tcW w:w="60" w:type="dxa"/>
            <w:vAlign w:val="bottom"/>
          </w:tcPr>
          <w:p>
            <w:pPr>
              <w:spacing w:after="0"/>
              <w:rPr>
                <w:sz w:val="24"/>
                <w:szCs w:val="24"/>
                <w:color w:val="auto"/>
              </w:rPr>
            </w:pPr>
          </w:p>
        </w:tc>
        <w:tc>
          <w:tcPr>
            <w:tcW w:w="3440" w:type="dxa"/>
            <w:vAlign w:val="bottom"/>
            <w:tcBorders>
              <w:bottom w:val="single" w:sz="8" w:color="0000EE"/>
            </w:tcBorders>
            <w:gridSpan w:val="5"/>
          </w:tcPr>
          <w:p>
            <w:pPr>
              <w:spacing w:after="0"/>
              <w:rPr>
                <w:rFonts w:ascii="Arial" w:cs="Arial" w:eastAsia="Arial" w:hAnsi="Arial"/>
                <w:sz w:val="20"/>
                <w:szCs w:val="20"/>
                <w:color w:val="0000EE"/>
                <w:w w:val="97"/>
              </w:rPr>
            </w:pPr>
            <w:hyperlink w:anchor="page36">
              <w:r>
                <w:rPr>
                  <w:rFonts w:ascii="Arial" w:cs="Arial" w:eastAsia="Arial" w:hAnsi="Arial"/>
                  <w:sz w:val="20"/>
                  <w:szCs w:val="20"/>
                  <w:color w:val="0000EE"/>
                  <w:w w:val="97"/>
                </w:rPr>
                <w:t>Compensation Discussion and Analysis</w:t>
              </w:r>
            </w:hyperlink>
          </w:p>
        </w:tc>
        <w:tc>
          <w:tcPr>
            <w:tcW w:w="6940" w:type="dxa"/>
            <w:vAlign w:val="bottom"/>
            <w:gridSpan w:val="12"/>
          </w:tcPr>
          <w:p>
            <w:pPr>
              <w:spacing w:after="0"/>
              <w:rPr>
                <w:sz w:val="24"/>
                <w:szCs w:val="24"/>
                <w:color w:val="auto"/>
              </w:rPr>
            </w:pPr>
          </w:p>
        </w:tc>
        <w:tc>
          <w:tcPr>
            <w:tcW w:w="480" w:type="dxa"/>
            <w:vAlign w:val="bottom"/>
          </w:tcPr>
          <w:p>
            <w:pPr>
              <w:jc w:val="right"/>
              <w:ind w:right="22"/>
              <w:spacing w:after="0"/>
              <w:rPr>
                <w:sz w:val="20"/>
                <w:szCs w:val="20"/>
                <w:color w:val="auto"/>
              </w:rPr>
            </w:pPr>
            <w:r>
              <w:rPr>
                <w:rFonts w:ascii="Arial" w:cs="Arial" w:eastAsia="Arial" w:hAnsi="Arial"/>
                <w:sz w:val="20"/>
                <w:szCs w:val="20"/>
                <w:color w:val="2360D1"/>
              </w:rPr>
              <w:t>30</w:t>
            </w:r>
          </w:p>
        </w:tc>
      </w:tr>
      <w:tr>
        <w:trPr>
          <w:trHeight w:val="475"/>
        </w:trPr>
        <w:tc>
          <w:tcPr>
            <w:tcW w:w="60" w:type="dxa"/>
            <w:vAlign w:val="bottom"/>
          </w:tcPr>
          <w:p>
            <w:pPr>
              <w:spacing w:after="0"/>
              <w:rPr>
                <w:sz w:val="24"/>
                <w:szCs w:val="24"/>
                <w:color w:val="auto"/>
              </w:rPr>
            </w:pPr>
          </w:p>
        </w:tc>
        <w:tc>
          <w:tcPr>
            <w:tcW w:w="7700" w:type="dxa"/>
            <w:vAlign w:val="bottom"/>
            <w:tcBorders>
              <w:bottom w:val="single" w:sz="8" w:color="0000EE"/>
            </w:tcBorders>
            <w:gridSpan w:val="14"/>
          </w:tcPr>
          <w:p>
            <w:pPr>
              <w:spacing w:after="0"/>
              <w:rPr>
                <w:rFonts w:ascii="Arial" w:cs="Arial" w:eastAsia="Arial" w:hAnsi="Arial"/>
                <w:sz w:val="20"/>
                <w:szCs w:val="20"/>
                <w:color w:val="0000EE"/>
                <w:w w:val="97"/>
              </w:rPr>
            </w:pPr>
            <w:hyperlink w:anchor="page55">
              <w:r>
                <w:rPr>
                  <w:rFonts w:ascii="Arial" w:cs="Arial" w:eastAsia="Arial" w:hAnsi="Arial"/>
                  <w:sz w:val="20"/>
                  <w:szCs w:val="20"/>
                  <w:color w:val="0000EE"/>
                  <w:w w:val="97"/>
                </w:rPr>
                <w:t>Report of the Compensation and Human Resources Committee of the Board of Directors</w:t>
              </w:r>
            </w:hyperlink>
          </w:p>
        </w:tc>
        <w:tc>
          <w:tcPr>
            <w:tcW w:w="2680" w:type="dxa"/>
            <w:vAlign w:val="bottom"/>
            <w:gridSpan w:val="3"/>
          </w:tcPr>
          <w:p>
            <w:pPr>
              <w:spacing w:after="0"/>
              <w:rPr>
                <w:sz w:val="24"/>
                <w:szCs w:val="24"/>
                <w:color w:val="auto"/>
              </w:rPr>
            </w:pPr>
          </w:p>
        </w:tc>
        <w:tc>
          <w:tcPr>
            <w:tcW w:w="480" w:type="dxa"/>
            <w:vAlign w:val="bottom"/>
          </w:tcPr>
          <w:p>
            <w:pPr>
              <w:jc w:val="right"/>
              <w:ind w:right="22"/>
              <w:spacing w:after="0"/>
              <w:rPr>
                <w:sz w:val="20"/>
                <w:szCs w:val="20"/>
                <w:color w:val="auto"/>
              </w:rPr>
            </w:pPr>
            <w:r>
              <w:rPr>
                <w:rFonts w:ascii="Arial" w:cs="Arial" w:eastAsia="Arial" w:hAnsi="Arial"/>
                <w:sz w:val="20"/>
                <w:szCs w:val="20"/>
                <w:color w:val="2360D1"/>
              </w:rPr>
              <w:t>49</w:t>
            </w:r>
          </w:p>
        </w:tc>
      </w:tr>
      <w:tr>
        <w:trPr>
          <w:trHeight w:val="475"/>
        </w:trPr>
        <w:tc>
          <w:tcPr>
            <w:tcW w:w="60" w:type="dxa"/>
            <w:vAlign w:val="bottom"/>
          </w:tcPr>
          <w:p>
            <w:pPr>
              <w:spacing w:after="0"/>
              <w:rPr>
                <w:sz w:val="24"/>
                <w:szCs w:val="24"/>
                <w:color w:val="auto"/>
              </w:rPr>
            </w:pPr>
          </w:p>
        </w:tc>
        <w:tc>
          <w:tcPr>
            <w:tcW w:w="10380" w:type="dxa"/>
            <w:vAlign w:val="bottom"/>
            <w:gridSpan w:val="17"/>
          </w:tcPr>
          <w:p>
            <w:pPr>
              <w:spacing w:after="0"/>
              <w:rPr>
                <w:rFonts w:ascii="Arial" w:cs="Arial" w:eastAsia="Arial" w:hAnsi="Arial"/>
                <w:sz w:val="20"/>
                <w:szCs w:val="20"/>
                <w:color w:val="0000EE"/>
              </w:rPr>
            </w:pPr>
            <w:hyperlink w:anchor="page56">
              <w:r>
                <w:rPr>
                  <w:rFonts w:ascii="Arial" w:cs="Arial" w:eastAsia="Arial" w:hAnsi="Arial"/>
                  <w:sz w:val="20"/>
                  <w:szCs w:val="20"/>
                  <w:color w:val="0000EE"/>
                </w:rPr>
                <w:t>Compensation of Named Executive Officers</w:t>
              </w:r>
            </w:hyperlink>
          </w:p>
        </w:tc>
        <w:tc>
          <w:tcPr>
            <w:tcW w:w="480" w:type="dxa"/>
            <w:vAlign w:val="bottom"/>
          </w:tcPr>
          <w:p>
            <w:pPr>
              <w:jc w:val="right"/>
              <w:ind w:right="22"/>
              <w:spacing w:after="0"/>
              <w:rPr>
                <w:sz w:val="20"/>
                <w:szCs w:val="20"/>
                <w:color w:val="auto"/>
              </w:rPr>
            </w:pPr>
            <w:r>
              <w:rPr>
                <w:rFonts w:ascii="Arial" w:cs="Arial" w:eastAsia="Arial" w:hAnsi="Arial"/>
                <w:sz w:val="20"/>
                <w:szCs w:val="20"/>
                <w:color w:val="2360D1"/>
              </w:rPr>
              <w:t>50</w:t>
            </w:r>
          </w:p>
        </w:tc>
      </w:tr>
      <w:tr>
        <w:trPr>
          <w:trHeight w:val="20"/>
        </w:trPr>
        <w:tc>
          <w:tcPr>
            <w:tcW w:w="6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75"/>
        </w:trPr>
        <w:tc>
          <w:tcPr>
            <w:tcW w:w="60" w:type="dxa"/>
            <w:vAlign w:val="bottom"/>
          </w:tcPr>
          <w:p>
            <w:pPr>
              <w:spacing w:after="0"/>
              <w:rPr>
                <w:sz w:val="24"/>
                <w:szCs w:val="24"/>
                <w:color w:val="auto"/>
              </w:rPr>
            </w:pPr>
          </w:p>
        </w:tc>
        <w:tc>
          <w:tcPr>
            <w:tcW w:w="10380" w:type="dxa"/>
            <w:vAlign w:val="bottom"/>
            <w:gridSpan w:val="17"/>
          </w:tcPr>
          <w:p>
            <w:pPr>
              <w:spacing w:after="0"/>
              <w:rPr>
                <w:rFonts w:ascii="Arial" w:cs="Arial" w:eastAsia="Arial" w:hAnsi="Arial"/>
                <w:sz w:val="20"/>
                <w:szCs w:val="20"/>
                <w:color w:val="0000EE"/>
              </w:rPr>
            </w:pPr>
            <w:hyperlink w:anchor="page69">
              <w:r>
                <w:rPr>
                  <w:rFonts w:ascii="Arial" w:cs="Arial" w:eastAsia="Arial" w:hAnsi="Arial"/>
                  <w:sz w:val="20"/>
                  <w:szCs w:val="20"/>
                  <w:color w:val="0000EE"/>
                </w:rPr>
                <w:t>Security Ownership of Certain Beneficial Owners and Management</w:t>
              </w:r>
            </w:hyperlink>
          </w:p>
        </w:tc>
        <w:tc>
          <w:tcPr>
            <w:tcW w:w="480" w:type="dxa"/>
            <w:vAlign w:val="bottom"/>
          </w:tcPr>
          <w:p>
            <w:pPr>
              <w:jc w:val="right"/>
              <w:ind w:right="22"/>
              <w:spacing w:after="0"/>
              <w:rPr>
                <w:sz w:val="20"/>
                <w:szCs w:val="20"/>
                <w:color w:val="auto"/>
              </w:rPr>
            </w:pPr>
            <w:r>
              <w:rPr>
                <w:rFonts w:ascii="Arial" w:cs="Arial" w:eastAsia="Arial" w:hAnsi="Arial"/>
                <w:sz w:val="20"/>
                <w:szCs w:val="20"/>
                <w:color w:val="2360D1"/>
              </w:rPr>
              <w:t>63</w:t>
            </w:r>
          </w:p>
        </w:tc>
      </w:tr>
      <w:tr>
        <w:trPr>
          <w:trHeight w:val="475"/>
        </w:trPr>
        <w:tc>
          <w:tcPr>
            <w:tcW w:w="60" w:type="dxa"/>
            <w:vAlign w:val="bottom"/>
          </w:tcPr>
          <w:p>
            <w:pPr>
              <w:spacing w:after="0"/>
              <w:rPr>
                <w:sz w:val="24"/>
                <w:szCs w:val="24"/>
                <w:color w:val="auto"/>
              </w:rPr>
            </w:pPr>
          </w:p>
        </w:tc>
        <w:tc>
          <w:tcPr>
            <w:tcW w:w="5820" w:type="dxa"/>
            <w:vAlign w:val="bottom"/>
            <w:tcBorders>
              <w:top w:val="single" w:sz="8" w:color="0000EE"/>
            </w:tcBorders>
            <w:gridSpan w:val="12"/>
          </w:tcPr>
          <w:p>
            <w:pPr>
              <w:spacing w:after="0"/>
              <w:rPr>
                <w:rFonts w:ascii="Arial" w:cs="Arial" w:eastAsia="Arial" w:hAnsi="Arial"/>
                <w:sz w:val="20"/>
                <w:szCs w:val="20"/>
                <w:color w:val="0000EE"/>
              </w:rPr>
            </w:pPr>
            <w:hyperlink w:anchor="page71">
              <w:r>
                <w:rPr>
                  <w:rFonts w:ascii="Arial" w:cs="Arial" w:eastAsia="Arial" w:hAnsi="Arial"/>
                  <w:sz w:val="20"/>
                  <w:szCs w:val="20"/>
                  <w:color w:val="0000EE"/>
                </w:rPr>
                <w:t>Certain Relationships and Related Party Transactions</w:t>
              </w:r>
            </w:hyperlink>
          </w:p>
        </w:tc>
        <w:tc>
          <w:tcPr>
            <w:tcW w:w="4560" w:type="dxa"/>
            <w:vAlign w:val="bottom"/>
            <w:gridSpan w:val="5"/>
          </w:tcPr>
          <w:p>
            <w:pPr>
              <w:spacing w:after="0"/>
              <w:rPr>
                <w:sz w:val="24"/>
                <w:szCs w:val="24"/>
                <w:color w:val="auto"/>
              </w:rPr>
            </w:pPr>
          </w:p>
        </w:tc>
        <w:tc>
          <w:tcPr>
            <w:tcW w:w="480" w:type="dxa"/>
            <w:vAlign w:val="bottom"/>
          </w:tcPr>
          <w:p>
            <w:pPr>
              <w:jc w:val="right"/>
              <w:ind w:right="22"/>
              <w:spacing w:after="0"/>
              <w:rPr>
                <w:sz w:val="20"/>
                <w:szCs w:val="20"/>
                <w:color w:val="auto"/>
              </w:rPr>
            </w:pPr>
            <w:r>
              <w:rPr>
                <w:rFonts w:ascii="Arial" w:cs="Arial" w:eastAsia="Arial" w:hAnsi="Arial"/>
                <w:sz w:val="20"/>
                <w:szCs w:val="20"/>
                <w:color w:val="2360D1"/>
              </w:rPr>
              <w:t>65</w:t>
            </w:r>
          </w:p>
        </w:tc>
      </w:tr>
      <w:tr>
        <w:trPr>
          <w:trHeight w:val="20"/>
        </w:trPr>
        <w:tc>
          <w:tcPr>
            <w:tcW w:w="6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80" w:type="dxa"/>
            <w:vAlign w:val="bottom"/>
            <w:gridSpan w:val="4"/>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75"/>
        </w:trPr>
        <w:tc>
          <w:tcPr>
            <w:tcW w:w="60" w:type="dxa"/>
            <w:vAlign w:val="bottom"/>
          </w:tcPr>
          <w:p>
            <w:pPr>
              <w:spacing w:after="0"/>
              <w:rPr>
                <w:sz w:val="24"/>
                <w:szCs w:val="24"/>
                <w:color w:val="auto"/>
              </w:rPr>
            </w:pPr>
          </w:p>
        </w:tc>
        <w:tc>
          <w:tcPr>
            <w:tcW w:w="10380" w:type="dxa"/>
            <w:vAlign w:val="bottom"/>
            <w:gridSpan w:val="17"/>
          </w:tcPr>
          <w:p>
            <w:pPr>
              <w:spacing w:after="0"/>
              <w:rPr>
                <w:rFonts w:ascii="Arial" w:cs="Arial" w:eastAsia="Arial" w:hAnsi="Arial"/>
                <w:sz w:val="20"/>
                <w:szCs w:val="20"/>
                <w:color w:val="0000EE"/>
                <w:w w:val="99"/>
              </w:rPr>
            </w:pPr>
            <w:hyperlink w:anchor="page72">
              <w:r>
                <w:rPr>
                  <w:rFonts w:ascii="Arial" w:cs="Arial" w:eastAsia="Arial" w:hAnsi="Arial"/>
                  <w:sz w:val="20"/>
                  <w:szCs w:val="20"/>
                  <w:color w:val="0000EE"/>
                  <w:w w:val="99"/>
                </w:rPr>
                <w:t>Proposal 2: Ratification of the Appointment of Deloitte &amp; Touche LLP by the Audit Committee of the Board of Directors</w:t>
              </w:r>
            </w:hyperlink>
          </w:p>
        </w:tc>
        <w:tc>
          <w:tcPr>
            <w:tcW w:w="480" w:type="dxa"/>
            <w:vAlign w:val="bottom"/>
          </w:tcPr>
          <w:p>
            <w:pPr>
              <w:jc w:val="right"/>
              <w:ind w:right="22"/>
              <w:spacing w:after="0"/>
              <w:rPr>
                <w:sz w:val="20"/>
                <w:szCs w:val="20"/>
                <w:color w:val="auto"/>
              </w:rPr>
            </w:pPr>
            <w:r>
              <w:rPr>
                <w:rFonts w:ascii="Arial" w:cs="Arial" w:eastAsia="Arial" w:hAnsi="Arial"/>
                <w:sz w:val="20"/>
                <w:szCs w:val="20"/>
                <w:color w:val="2360D1"/>
              </w:rPr>
              <w:t>66</w:t>
            </w:r>
          </w:p>
        </w:tc>
      </w:tr>
      <w:tr>
        <w:trPr>
          <w:trHeight w:val="194"/>
        </w:trPr>
        <w:tc>
          <w:tcPr>
            <w:tcW w:w="60" w:type="dxa"/>
            <w:vAlign w:val="bottom"/>
          </w:tcPr>
          <w:p>
            <w:pPr>
              <w:spacing w:after="0"/>
              <w:rPr>
                <w:sz w:val="16"/>
                <w:szCs w:val="16"/>
                <w:color w:val="auto"/>
              </w:rPr>
            </w:pPr>
          </w:p>
        </w:tc>
        <w:tc>
          <w:tcPr>
            <w:tcW w:w="10260" w:type="dxa"/>
            <w:vAlign w:val="bottom"/>
            <w:tcBorders>
              <w:top w:val="single" w:sz="8" w:color="0000EE"/>
            </w:tcBorders>
            <w:gridSpan w:val="16"/>
          </w:tcPr>
          <w:p>
            <w:pPr>
              <w:spacing w:after="0" w:line="194" w:lineRule="exact"/>
              <w:rPr>
                <w:rFonts w:ascii="Arial" w:cs="Arial" w:eastAsia="Arial" w:hAnsi="Arial"/>
                <w:sz w:val="20"/>
                <w:szCs w:val="20"/>
                <w:color w:val="0000EE"/>
              </w:rPr>
            </w:pPr>
            <w:hyperlink w:anchor="page72">
              <w:r>
                <w:rPr>
                  <w:rFonts w:ascii="Arial" w:cs="Arial" w:eastAsia="Arial" w:hAnsi="Arial"/>
                  <w:sz w:val="20"/>
                  <w:szCs w:val="20"/>
                  <w:color w:val="0000EE"/>
                </w:rPr>
                <w:t>as Our Independent Registered Public Accounting Firm</w:t>
              </w:r>
            </w:hyperlink>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0"/>
        </w:trPr>
        <w:tc>
          <w:tcPr>
            <w:tcW w:w="6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80" w:type="dxa"/>
            <w:vAlign w:val="bottom"/>
            <w:gridSpan w:val="4"/>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75"/>
        </w:trPr>
        <w:tc>
          <w:tcPr>
            <w:tcW w:w="60" w:type="dxa"/>
            <w:vAlign w:val="bottom"/>
          </w:tcPr>
          <w:p>
            <w:pPr>
              <w:spacing w:after="0"/>
              <w:rPr>
                <w:sz w:val="24"/>
                <w:szCs w:val="24"/>
                <w:color w:val="auto"/>
              </w:rPr>
            </w:pPr>
          </w:p>
        </w:tc>
        <w:tc>
          <w:tcPr>
            <w:tcW w:w="10380" w:type="dxa"/>
            <w:vAlign w:val="bottom"/>
            <w:gridSpan w:val="17"/>
          </w:tcPr>
          <w:p>
            <w:pPr>
              <w:spacing w:after="0"/>
              <w:rPr>
                <w:rFonts w:ascii="Arial" w:cs="Arial" w:eastAsia="Arial" w:hAnsi="Arial"/>
                <w:sz w:val="20"/>
                <w:szCs w:val="20"/>
                <w:color w:val="0000EE"/>
              </w:rPr>
            </w:pPr>
            <w:hyperlink w:anchor="page74">
              <w:r>
                <w:rPr>
                  <w:rFonts w:ascii="Arial" w:cs="Arial" w:eastAsia="Arial" w:hAnsi="Arial"/>
                  <w:sz w:val="20"/>
                  <w:szCs w:val="20"/>
                  <w:color w:val="0000EE"/>
                </w:rPr>
                <w:t>Report of the Audit Committee of the Board of Directors</w:t>
              </w:r>
            </w:hyperlink>
          </w:p>
        </w:tc>
        <w:tc>
          <w:tcPr>
            <w:tcW w:w="480" w:type="dxa"/>
            <w:vAlign w:val="bottom"/>
          </w:tcPr>
          <w:p>
            <w:pPr>
              <w:jc w:val="right"/>
              <w:ind w:right="22"/>
              <w:spacing w:after="0"/>
              <w:rPr>
                <w:sz w:val="20"/>
                <w:szCs w:val="20"/>
                <w:color w:val="auto"/>
              </w:rPr>
            </w:pPr>
            <w:r>
              <w:rPr>
                <w:rFonts w:ascii="Arial" w:cs="Arial" w:eastAsia="Arial" w:hAnsi="Arial"/>
                <w:sz w:val="20"/>
                <w:szCs w:val="20"/>
                <w:color w:val="2360D1"/>
              </w:rPr>
              <w:t>68</w:t>
            </w:r>
          </w:p>
        </w:tc>
      </w:tr>
      <w:tr>
        <w:trPr>
          <w:trHeight w:val="20"/>
        </w:trPr>
        <w:tc>
          <w:tcPr>
            <w:tcW w:w="6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4080" w:type="dxa"/>
            <w:vAlign w:val="bottom"/>
            <w:gridSpan w:val="4"/>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75"/>
        </w:trPr>
        <w:tc>
          <w:tcPr>
            <w:tcW w:w="60" w:type="dxa"/>
            <w:vAlign w:val="bottom"/>
          </w:tcPr>
          <w:p>
            <w:pPr>
              <w:spacing w:after="0"/>
              <w:rPr>
                <w:sz w:val="24"/>
                <w:szCs w:val="24"/>
                <w:color w:val="auto"/>
              </w:rPr>
            </w:pPr>
          </w:p>
        </w:tc>
        <w:tc>
          <w:tcPr>
            <w:tcW w:w="8900" w:type="dxa"/>
            <w:vAlign w:val="bottom"/>
            <w:tcBorders>
              <w:bottom w:val="single" w:sz="8" w:color="0000EE"/>
            </w:tcBorders>
            <w:gridSpan w:val="15"/>
          </w:tcPr>
          <w:p>
            <w:pPr>
              <w:spacing w:after="0"/>
              <w:rPr>
                <w:rFonts w:ascii="Arial" w:cs="Arial" w:eastAsia="Arial" w:hAnsi="Arial"/>
                <w:sz w:val="20"/>
                <w:szCs w:val="20"/>
                <w:color w:val="0000EE"/>
                <w:w w:val="97"/>
              </w:rPr>
            </w:pPr>
            <w:hyperlink w:anchor="page75">
              <w:r>
                <w:rPr>
                  <w:rFonts w:ascii="Arial" w:cs="Arial" w:eastAsia="Arial" w:hAnsi="Arial"/>
                  <w:sz w:val="20"/>
                  <w:szCs w:val="20"/>
                  <w:color w:val="0000EE"/>
                  <w:w w:val="97"/>
                </w:rPr>
                <w:t>Proposal 3: Approval, in an Advisory Vote, of the Compensation Paid to Our Named Executive Officers</w:t>
              </w:r>
            </w:hyperlink>
          </w:p>
        </w:tc>
        <w:tc>
          <w:tcPr>
            <w:tcW w:w="1480" w:type="dxa"/>
            <w:vAlign w:val="bottom"/>
            <w:gridSpan w:val="2"/>
          </w:tcPr>
          <w:p>
            <w:pPr>
              <w:spacing w:after="0"/>
              <w:rPr>
                <w:sz w:val="24"/>
                <w:szCs w:val="24"/>
                <w:color w:val="auto"/>
              </w:rPr>
            </w:pPr>
          </w:p>
        </w:tc>
        <w:tc>
          <w:tcPr>
            <w:tcW w:w="480" w:type="dxa"/>
            <w:vAlign w:val="bottom"/>
          </w:tcPr>
          <w:p>
            <w:pPr>
              <w:jc w:val="right"/>
              <w:ind w:right="22"/>
              <w:spacing w:after="0"/>
              <w:rPr>
                <w:sz w:val="20"/>
                <w:szCs w:val="20"/>
                <w:color w:val="auto"/>
              </w:rPr>
            </w:pPr>
            <w:r>
              <w:rPr>
                <w:rFonts w:ascii="Arial" w:cs="Arial" w:eastAsia="Arial" w:hAnsi="Arial"/>
                <w:sz w:val="20"/>
                <w:szCs w:val="20"/>
                <w:color w:val="2360D1"/>
              </w:rPr>
              <w:t>69</w:t>
            </w:r>
          </w:p>
        </w:tc>
      </w:tr>
      <w:tr>
        <w:trPr>
          <w:trHeight w:val="475"/>
        </w:trPr>
        <w:tc>
          <w:tcPr>
            <w:tcW w:w="60" w:type="dxa"/>
            <w:vAlign w:val="bottom"/>
          </w:tcPr>
          <w:p>
            <w:pPr>
              <w:spacing w:after="0"/>
              <w:rPr>
                <w:sz w:val="24"/>
                <w:szCs w:val="24"/>
                <w:color w:val="auto"/>
              </w:rPr>
            </w:pPr>
          </w:p>
        </w:tc>
        <w:tc>
          <w:tcPr>
            <w:tcW w:w="10380" w:type="dxa"/>
            <w:vAlign w:val="bottom"/>
            <w:gridSpan w:val="17"/>
          </w:tcPr>
          <w:p>
            <w:pPr>
              <w:spacing w:after="0"/>
              <w:rPr>
                <w:rFonts w:ascii="Arial" w:cs="Arial" w:eastAsia="Arial" w:hAnsi="Arial"/>
                <w:sz w:val="20"/>
                <w:szCs w:val="20"/>
                <w:color w:val="0000EE"/>
              </w:rPr>
            </w:pPr>
            <w:hyperlink w:anchor="page77">
              <w:r>
                <w:rPr>
                  <w:rFonts w:ascii="Arial" w:cs="Arial" w:eastAsia="Arial" w:hAnsi="Arial"/>
                  <w:sz w:val="20"/>
                  <w:szCs w:val="20"/>
                  <w:color w:val="0000EE"/>
                </w:rPr>
                <w:t>Stockholder Proposals and Other Matters</w:t>
              </w:r>
            </w:hyperlink>
          </w:p>
        </w:tc>
        <w:tc>
          <w:tcPr>
            <w:tcW w:w="480" w:type="dxa"/>
            <w:vAlign w:val="bottom"/>
          </w:tcPr>
          <w:p>
            <w:pPr>
              <w:jc w:val="right"/>
              <w:ind w:right="22"/>
              <w:spacing w:after="0"/>
              <w:rPr>
                <w:sz w:val="20"/>
                <w:szCs w:val="20"/>
                <w:color w:val="auto"/>
              </w:rPr>
            </w:pPr>
            <w:r>
              <w:rPr>
                <w:rFonts w:ascii="Arial" w:cs="Arial" w:eastAsia="Arial" w:hAnsi="Arial"/>
                <w:sz w:val="20"/>
                <w:szCs w:val="20"/>
                <w:color w:val="2360D1"/>
              </w:rPr>
              <w:t>71</w:t>
            </w:r>
          </w:p>
        </w:tc>
      </w:tr>
      <w:tr>
        <w:trPr>
          <w:trHeight w:val="475"/>
        </w:trPr>
        <w:tc>
          <w:tcPr>
            <w:tcW w:w="60" w:type="dxa"/>
            <w:vAlign w:val="bottom"/>
          </w:tcPr>
          <w:p>
            <w:pPr>
              <w:spacing w:after="0"/>
              <w:rPr>
                <w:sz w:val="24"/>
                <w:szCs w:val="24"/>
                <w:color w:val="auto"/>
              </w:rPr>
            </w:pPr>
          </w:p>
        </w:tc>
        <w:tc>
          <w:tcPr>
            <w:tcW w:w="1540" w:type="dxa"/>
            <w:vAlign w:val="bottom"/>
            <w:tcBorders>
              <w:top w:val="single" w:sz="8" w:color="0000EE"/>
              <w:bottom w:val="single" w:sz="8" w:color="0000EE"/>
            </w:tcBorders>
          </w:tcPr>
          <w:p>
            <w:pPr>
              <w:spacing w:after="0"/>
              <w:rPr>
                <w:rFonts w:ascii="Arial" w:cs="Arial" w:eastAsia="Arial" w:hAnsi="Arial"/>
                <w:sz w:val="20"/>
                <w:szCs w:val="20"/>
                <w:color w:val="0000EE"/>
                <w:w w:val="97"/>
              </w:rPr>
            </w:pPr>
            <w:hyperlink w:anchor="page79">
              <w:r>
                <w:rPr>
                  <w:rFonts w:ascii="Arial" w:cs="Arial" w:eastAsia="Arial" w:hAnsi="Arial"/>
                  <w:sz w:val="20"/>
                  <w:szCs w:val="20"/>
                  <w:color w:val="0000EE"/>
                  <w:w w:val="97"/>
                </w:rPr>
                <w:t>Other Information</w:t>
              </w:r>
            </w:hyperlink>
          </w:p>
        </w:tc>
        <w:tc>
          <w:tcPr>
            <w:tcW w:w="2060" w:type="dxa"/>
            <w:vAlign w:val="bottom"/>
            <w:tcBorders>
              <w:top w:val="single" w:sz="8" w:color="0000EE"/>
            </w:tcBorders>
            <w:gridSpan w:val="5"/>
          </w:tcPr>
          <w:p>
            <w:pPr>
              <w:spacing w:after="0"/>
              <w:rPr>
                <w:sz w:val="24"/>
                <w:szCs w:val="24"/>
                <w:color w:val="auto"/>
              </w:rPr>
            </w:pPr>
          </w:p>
        </w:tc>
        <w:tc>
          <w:tcPr>
            <w:tcW w:w="6780" w:type="dxa"/>
            <w:vAlign w:val="bottom"/>
            <w:gridSpan w:val="11"/>
          </w:tcPr>
          <w:p>
            <w:pPr>
              <w:spacing w:after="0"/>
              <w:rPr>
                <w:sz w:val="24"/>
                <w:szCs w:val="24"/>
                <w:color w:val="auto"/>
              </w:rPr>
            </w:pPr>
          </w:p>
        </w:tc>
        <w:tc>
          <w:tcPr>
            <w:tcW w:w="480" w:type="dxa"/>
            <w:vAlign w:val="bottom"/>
          </w:tcPr>
          <w:p>
            <w:pPr>
              <w:jc w:val="right"/>
              <w:ind w:right="22"/>
              <w:spacing w:after="0"/>
              <w:rPr>
                <w:sz w:val="20"/>
                <w:szCs w:val="20"/>
                <w:color w:val="auto"/>
              </w:rPr>
            </w:pPr>
            <w:r>
              <w:rPr>
                <w:rFonts w:ascii="Arial" w:cs="Arial" w:eastAsia="Arial" w:hAnsi="Arial"/>
                <w:sz w:val="20"/>
                <w:szCs w:val="20"/>
                <w:color w:val="2360D1"/>
              </w:rPr>
              <w:t>73</w:t>
            </w:r>
          </w:p>
        </w:tc>
      </w:tr>
      <w:tr>
        <w:trPr>
          <w:trHeight w:val="475"/>
        </w:trPr>
        <w:tc>
          <w:tcPr>
            <w:tcW w:w="60" w:type="dxa"/>
            <w:vAlign w:val="bottom"/>
          </w:tcPr>
          <w:p>
            <w:pPr>
              <w:spacing w:after="0"/>
              <w:rPr>
                <w:sz w:val="24"/>
                <w:szCs w:val="24"/>
                <w:color w:val="auto"/>
              </w:rPr>
            </w:pPr>
          </w:p>
        </w:tc>
        <w:tc>
          <w:tcPr>
            <w:tcW w:w="10380" w:type="dxa"/>
            <w:vAlign w:val="bottom"/>
            <w:gridSpan w:val="17"/>
          </w:tcPr>
          <w:p>
            <w:pPr>
              <w:spacing w:after="0"/>
              <w:rPr>
                <w:rFonts w:ascii="Arial" w:cs="Arial" w:eastAsia="Arial" w:hAnsi="Arial"/>
                <w:sz w:val="20"/>
                <w:szCs w:val="20"/>
                <w:color w:val="0000EE"/>
              </w:rPr>
            </w:pPr>
            <w:hyperlink w:anchor="page80">
              <w:r>
                <w:rPr>
                  <w:rFonts w:ascii="Arial" w:cs="Arial" w:eastAsia="Arial" w:hAnsi="Arial"/>
                  <w:sz w:val="20"/>
                  <w:szCs w:val="20"/>
                  <w:color w:val="0000EE"/>
                </w:rPr>
                <w:t>Appendix A: Non-GAAP Financial Measures</w:t>
              </w:r>
            </w:hyperlink>
          </w:p>
        </w:tc>
        <w:tc>
          <w:tcPr>
            <w:tcW w:w="480" w:type="dxa"/>
            <w:vAlign w:val="bottom"/>
          </w:tcPr>
          <w:p>
            <w:pPr>
              <w:jc w:val="right"/>
              <w:ind w:right="22"/>
              <w:spacing w:after="0"/>
              <w:rPr>
                <w:sz w:val="20"/>
                <w:szCs w:val="20"/>
                <w:color w:val="auto"/>
              </w:rPr>
            </w:pPr>
            <w:r>
              <w:rPr>
                <w:rFonts w:ascii="Arial" w:cs="Arial" w:eastAsia="Arial" w:hAnsi="Arial"/>
                <w:sz w:val="20"/>
                <w:szCs w:val="20"/>
                <w:color w:val="2360D1"/>
              </w:rPr>
              <w:t>74</w:t>
            </w:r>
          </w:p>
        </w:tc>
      </w:tr>
      <w:tr>
        <w:trPr>
          <w:trHeight w:val="20"/>
        </w:trPr>
        <w:tc>
          <w:tcPr>
            <w:tcW w:w="6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ectPr>
          <w:pgSz w:w="11900" w:h="16838" w:orient="portrait"/>
          <w:cols w:equalWidth="0" w:num="1">
            <w:col w:w="11080"/>
          </w:cols>
          <w:pgMar w:left="320" w:top="454" w:right="49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2" w:lineRule="exact"/>
        <w:rPr>
          <w:sz w:val="20"/>
          <w:szCs w:val="20"/>
          <w:color w:val="auto"/>
        </w:rPr>
      </w:pPr>
    </w:p>
    <w:p>
      <w:pPr>
        <w:jc w:val="center"/>
        <w:ind w:right="-179"/>
        <w:spacing w:after="0"/>
        <w:rPr>
          <w:sz w:val="20"/>
          <w:szCs w:val="20"/>
          <w:color w:val="auto"/>
        </w:rPr>
      </w:pPr>
      <w:r>
        <w:rPr>
          <w:rFonts w:ascii="Arial" w:cs="Arial" w:eastAsia="Arial" w:hAnsi="Arial"/>
          <w:sz w:val="23"/>
          <w:szCs w:val="23"/>
          <w:b w:val="1"/>
          <w:bCs w:val="1"/>
          <w:color w:val="050A54"/>
        </w:rPr>
        <w:t>LPL FINANCIAL HOLDINGS INC.</w:t>
      </w:r>
    </w:p>
    <w:p>
      <w:pPr>
        <w:spacing w:after="0" w:line="17"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050A54"/>
        </w:rPr>
        <w:t>Proxy Statement</w:t>
      </w:r>
    </w:p>
    <w:p>
      <w:pPr>
        <w:jc w:val="center"/>
        <w:ind w:right="-179"/>
        <w:spacing w:after="0"/>
        <w:rPr>
          <w:sz w:val="20"/>
          <w:szCs w:val="20"/>
          <w:color w:val="auto"/>
        </w:rPr>
      </w:pPr>
      <w:r>
        <w:rPr>
          <w:rFonts w:ascii="Arial" w:cs="Arial" w:eastAsia="Arial" w:hAnsi="Arial"/>
          <w:sz w:val="20"/>
          <w:szCs w:val="20"/>
          <w:b w:val="1"/>
          <w:bCs w:val="1"/>
          <w:color w:val="050A54"/>
        </w:rPr>
        <w:t>2022 Annual Meeting of Stockholders</w:t>
      </w:r>
    </w:p>
    <w:p>
      <w:pPr>
        <w:spacing w:after="0" w:line="66" w:lineRule="exact"/>
        <w:rPr>
          <w:sz w:val="20"/>
          <w:szCs w:val="20"/>
          <w:color w:val="auto"/>
        </w:rPr>
      </w:pPr>
    </w:p>
    <w:p>
      <w:pPr>
        <w:jc w:val="center"/>
        <w:ind w:right="-179"/>
        <w:spacing w:after="0"/>
        <w:rPr>
          <w:sz w:val="20"/>
          <w:szCs w:val="20"/>
          <w:color w:val="auto"/>
        </w:rPr>
      </w:pPr>
      <w:r>
        <w:rPr>
          <w:rFonts w:ascii="Arial" w:cs="Arial" w:eastAsia="Arial" w:hAnsi="Arial"/>
          <w:sz w:val="21"/>
          <w:szCs w:val="21"/>
          <w:b w:val="1"/>
          <w:bCs w:val="1"/>
          <w:color w:val="050A54"/>
        </w:rPr>
        <w:t>General Information</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Introduction</w:t>
      </w:r>
    </w:p>
    <w:p>
      <w:pPr>
        <w:sectPr>
          <w:pgSz w:w="11900" w:h="16838" w:orient="portrait"/>
          <w:cols w:equalWidth="0" w:num="1">
            <w:col w:w="11080"/>
          </w:cols>
          <w:pgMar w:left="320" w:top="454" w:right="499" w:bottom="1440" w:gutter="0" w:footer="0" w:header="0"/>
        </w:sectPr>
      </w:pPr>
    </w:p>
    <w:p>
      <w:pPr>
        <w:spacing w:after="0" w:line="283"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This proxy statement and the accompanying Notice of Annual Meeting of Stockholders are being furnished to the holders of common stock, $0.001 par value per share (the “Common Stock”), of LPL Financial Holdings Inc., a Delaware corporation (the “Company,” “we” or “our”), in connection with the Company’s 2022 annual meeting of stockholders (the “Annual Meeting”).</w:t>
      </w:r>
    </w:p>
    <w:p>
      <w:pPr>
        <w:spacing w:after="0" w:line="181"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As a stockholder of the Company as of 5:00 p.m. Eastern Time on March 21, 2022 (the “Record Date”), you are entitled and requested to vote on the items of business described in this proxy statement.</w:t>
      </w:r>
    </w:p>
    <w:p>
      <w:pPr>
        <w:spacing w:after="0" w:line="178"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The Annual Meeting will be held on Wednesday, May 18, 2022 at the offices of the Company, 1055 LPL Way, Fort Mill, South Carolina 29715 at 8:00 a.m., local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137795</wp:posOffset>
            </wp:positionV>
            <wp:extent cx="3320415" cy="704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20415" cy="70485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20" w:right="360"/>
        <w:spacing w:after="0" w:line="253" w:lineRule="auto"/>
        <w:rPr>
          <w:sz w:val="20"/>
          <w:szCs w:val="20"/>
          <w:color w:val="auto"/>
        </w:rPr>
      </w:pPr>
      <w:r>
        <w:rPr>
          <w:rFonts w:ascii="Arial" w:cs="Arial" w:eastAsia="Arial" w:hAnsi="Arial"/>
          <w:sz w:val="18"/>
          <w:szCs w:val="18"/>
          <w:b w:val="1"/>
          <w:bCs w:val="1"/>
          <w:i w:val="1"/>
          <w:iCs w:val="1"/>
          <w:color w:val="FFFFFF"/>
        </w:rPr>
        <w:t>We invite all stockholders to attend the Annual Meeting. Please see “Attending the Annual Meeting” below for instructions if you plan to attend.</w:t>
      </w:r>
    </w:p>
    <w:p>
      <w:pPr>
        <w:spacing w:after="0" w:line="395" w:lineRule="exact"/>
        <w:rPr>
          <w:sz w:val="20"/>
          <w:szCs w:val="20"/>
          <w:color w:val="auto"/>
        </w:rPr>
      </w:pPr>
    </w:p>
    <w:p>
      <w:pPr>
        <w:ind w:left="160" w:right="300"/>
        <w:spacing w:after="0" w:line="264" w:lineRule="auto"/>
        <w:rPr>
          <w:sz w:val="20"/>
          <w:szCs w:val="20"/>
          <w:color w:val="auto"/>
        </w:rPr>
      </w:pPr>
      <w:r>
        <w:rPr>
          <w:rFonts w:ascii="Arial" w:cs="Arial" w:eastAsia="Arial" w:hAnsi="Arial"/>
          <w:sz w:val="20"/>
          <w:szCs w:val="20"/>
          <w:b w:val="1"/>
          <w:bCs w:val="1"/>
          <w:color w:val="050A54"/>
        </w:rPr>
        <w:t>Notice of Internet Availability of Proxy Statement and Annual Report</w:t>
      </w:r>
    </w:p>
    <w:p>
      <w:pPr>
        <w:spacing w:after="0" w:line="141"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As permitted by the Securities and Exchange Commission (the “SEC”), we are making this proxy statement, the accompanying proxy card and our 2021 annual report on Form 10-K (the “Annual Report”) available to our stockholders electronically through the internet in lieu of mailing printed copies to each record holder of Common Stock as of the Record Date. You will not receive a printed copy of our proxy materials unless you request one, which we will deliver free of charge. On or about April 8, 2022, a Notice Regarding the Availability of Proxy Materials (the “Notice”) was mailed to stockholders of record as of the Record Date. The Notice instructs you as to how to access and review through the internet all of the important information contained in these proxy materials or request a printed copy. The Notice also instructs you as to how you may vote your proxy.</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Notice, this proxy statement, the Annual Report and the proxy card are also available through the internet at www.proxyvote.com. You will need your 16-digit control number located on the Notice or your proxy card in order to access the materials. The website does not use “cookies” to track or identify visitors to the website.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050A54"/>
        </w:rPr>
        <w:t>Record Date, Shares Outstanding and Quorum</w:t>
      </w:r>
    </w:p>
    <w:p>
      <w:pPr>
        <w:spacing w:after="0" w:line="20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Stockholders of record as of the Record Date will be entitled to vote at the Annual Meeting. On the Record Date, there were 80,057,022 outstanding shares of Common Stock.</w:t>
      </w:r>
    </w:p>
    <w:p>
      <w:pPr>
        <w:spacing w:after="0" w:line="17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 list of stockholders of record as of the Record Date will be available at the Annual Meeting. In addition, you may contact our corporate secretary, at LPL Financial Holdings Inc., 75 State Street, 22nd Floor, Boston, Massachusetts 02109, to make arrangements to review a copy of the stockholder list at our offices, for any purpose germane to the Annual Meeting, between the hours of 9:00 a.m. and 5:00 p.m., local time, on any business day from May 8, 2022 up to the time of the Annual Meeting.</w:t>
      </w:r>
    </w:p>
    <w:p>
      <w:pPr>
        <w:spacing w:after="0" w:line="18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 quorum at the Annual Meeting will consist of the presence, in person or by proxy, of a majority of shares of Common Stock outstanding and entitled to vote at the Annual Meeting. Both abstentions and broker non-votes will be counted as present in determining the presence of a quorum. A “broker non-vote” is a proxy from a broker or other nominee indicating that such person has not received instructions from the beneficial owner on a particular matter with respect to which the broker or other nominee does not have discretionary voting power. Brokers have the discretion to vote their clients’ proxies only on routine matters. At the Annual Meeting, only the ratification of our auditors is a routine matter. Each share of Common Stock is entitled to one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2760" w:type="dxa"/>
        <w:tblCellMar>
          <w:top w:w="0" w:type="dxa"/>
          <w:left w:w="0" w:type="dxa"/>
          <w:bottom w:w="0" w:type="dxa"/>
          <w:right w:w="0" w:type="dxa"/>
        </w:tblCellMar>
      </w:tblPr>
      <w:tr>
        <w:trPr>
          <w:trHeight w:val="233"/>
        </w:trPr>
        <w:tc>
          <w:tcPr>
            <w:tcW w:w="2060" w:type="dxa"/>
            <w:vAlign w:val="bottom"/>
            <w:tcBorders>
              <w:right w:val="single" w:sz="8" w:color="050A54"/>
            </w:tcBorders>
          </w:tcPr>
          <w:p>
            <w:pPr>
              <w:spacing w:after="0"/>
              <w:rPr>
                <w:sz w:val="20"/>
                <w:szCs w:val="20"/>
                <w:color w:val="auto"/>
              </w:rPr>
            </w:pPr>
            <w:r>
              <w:rPr>
                <w:rFonts w:ascii="Arial" w:cs="Arial" w:eastAsia="Arial" w:hAnsi="Arial"/>
                <w:sz w:val="18"/>
                <w:szCs w:val="18"/>
                <w:b w:val="1"/>
                <w:bCs w:val="1"/>
                <w:color w:val="050A54"/>
              </w:rPr>
              <w:t>2022 Proxy Statement</w:t>
            </w:r>
          </w:p>
        </w:tc>
        <w:tc>
          <w:tcPr>
            <w:tcW w:w="520" w:type="dxa"/>
            <w:vAlign w:val="bottom"/>
          </w:tcPr>
          <w:p>
            <w:pPr>
              <w:jc w:val="right"/>
              <w:spacing w:after="0"/>
              <w:rPr>
                <w:sz w:val="20"/>
                <w:szCs w:val="20"/>
                <w:color w:val="auto"/>
              </w:rPr>
            </w:pPr>
            <w:r>
              <w:rPr>
                <w:rFonts w:ascii="Arial" w:cs="Arial" w:eastAsia="Arial" w:hAnsi="Arial"/>
                <w:sz w:val="18"/>
                <w:szCs w:val="18"/>
                <w:color w:val="050A54"/>
              </w:rPr>
              <w:t>1</w:t>
            </w:r>
          </w:p>
        </w:tc>
      </w:tr>
    </w:tbl>
    <w:p>
      <w:pPr>
        <w:sectPr>
          <w:pgSz w:w="11900" w:h="16838" w:orient="portrait"/>
          <w:cols w:equalWidth="0" w:num="2">
            <w:col w:w="5400" w:space="340"/>
            <w:col w:w="5340"/>
          </w:cols>
          <w:pgMar w:left="320" w:top="454" w:right="499" w:bottom="1440" w:gutter="0" w:footer="0" w:header="0"/>
          <w:type w:val="continuous"/>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33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0A54"/>
        </w:rPr>
        <w:t>Attending the Annual Meeting</w:t>
      </w:r>
    </w:p>
    <w:p>
      <w:pPr>
        <w:spacing w:after="0" w:line="101"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We invite all stockholders as of the Record Date to attend the Annual Meeting. If you are a record holder of our Common Stock, which means that your shares are represented by ledger entries in your own name directly registered with our transfer agent, Computershare Shareowner Services, please bring valid picture identification with you to the Annual Meeting to allow us to verify your ownership. If your Common Stock is held in “street name,” which means that the shares are held for your benefit in the name of a broker, bank or other intermediary, please also bring a brokerage account statement or letter from your broker, bank or other intermediary reflecting stock ownership in order to be admitted to the Annual Meeting. Please note that if you hold your Common Stock in street name, you may not vote your shares in person unless you obtain a legal proxy from your broker giving you the right to vote the shares at the Annual Meeting.</w:t>
      </w:r>
    </w:p>
    <w:p>
      <w:pPr>
        <w:spacing w:after="0" w:line="183"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We continue to be mindful of the public health concerns posed by the COVID-19 pandemic. In-person attendance will require compliance with protocols consistent with then-applicable federal,</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state and local guidelines, mandates or recommendations, as well as any additional Company health and safety protocols in place at the time of the Annual Meeting. These requirements may include the use of face coverings, temperature checks, proof of vaccination or appropriate social distancing, or additional procedures or limitations on meeting attendees. We plan to announce any such protocols on the “Investor Relations” section of our website at www.lpl.com.</w:t>
      </w:r>
    </w:p>
    <w:p>
      <w:pPr>
        <w:spacing w:after="0" w:line="18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Individuals should not attend the Annual Meeting if they are not feeling well, have had close contact with someone who has tested positive for COVID-19 or think they may have been exposed to COVID-19. The Company reserves the right to deny entry into the Annual Meeting if a shareholder or guest does not comply with the Company’s health and safety protocols.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789305</wp:posOffset>
            </wp:positionV>
            <wp:extent cx="6929755" cy="12566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9755" cy="1256665"/>
                    </a:xfrm>
                    <a:prstGeom prst="rect">
                      <a:avLst/>
                    </a:prstGeom>
                    <a:noFill/>
                  </pic:spPr>
                </pic:pic>
              </a:graphicData>
            </a:graphic>
          </wp:anchor>
        </w:drawing>
      </w:r>
    </w:p>
    <w:p>
      <w:pPr>
        <w:spacing w:after="0" w:line="1298" w:lineRule="exact"/>
        <w:rPr>
          <w:sz w:val="20"/>
          <w:szCs w:val="20"/>
          <w:color w:val="auto"/>
        </w:rPr>
      </w:pPr>
    </w:p>
    <w:p>
      <w:pPr>
        <w:sectPr>
          <w:pgSz w:w="11900" w:h="16838" w:orient="portrait"/>
          <w:cols w:equalWidth="0" w:num="2">
            <w:col w:w="5400" w:space="340"/>
            <w:col w:w="5340"/>
          </w:cols>
          <w:pgMar w:left="320" w:top="454" w:right="499" w:bottom="1440" w:gutter="0" w:footer="0" w:header="0"/>
          <w:type w:val="continuous"/>
        </w:sectPr>
      </w:pPr>
    </w:p>
    <w:p>
      <w:pPr>
        <w:ind w:left="280"/>
        <w:spacing w:after="0"/>
        <w:rPr>
          <w:sz w:val="20"/>
          <w:szCs w:val="20"/>
          <w:color w:val="auto"/>
        </w:rPr>
      </w:pPr>
      <w:r>
        <w:rPr>
          <w:rFonts w:ascii="Arial" w:cs="Arial" w:eastAsia="Arial" w:hAnsi="Arial"/>
          <w:sz w:val="19"/>
          <w:szCs w:val="19"/>
          <w:b w:val="1"/>
          <w:bCs w:val="1"/>
          <w:i w:val="1"/>
          <w:iCs w:val="1"/>
          <w:color w:val="050A54"/>
        </w:rPr>
        <w:t>Items of Business to be Voted upon at the Annual Meeting</w:t>
      </w:r>
    </w:p>
    <w:p>
      <w:pPr>
        <w:spacing w:after="0" w:line="20" w:lineRule="exact"/>
        <w:rPr>
          <w:sz w:val="20"/>
          <w:szCs w:val="20"/>
          <w:color w:val="auto"/>
        </w:rPr>
      </w:pPr>
    </w:p>
    <w:p>
      <w:pPr>
        <w:ind w:left="600" w:right="120" w:firstLine="102"/>
        <w:spacing w:after="0" w:line="260" w:lineRule="auto"/>
        <w:rPr>
          <w:sz w:val="20"/>
          <w:szCs w:val="20"/>
          <w:color w:val="auto"/>
        </w:rPr>
      </w:pPr>
      <w:r>
        <w:rPr>
          <w:rFonts w:ascii="Arial" w:cs="Arial" w:eastAsia="Arial" w:hAnsi="Arial"/>
          <w:sz w:val="18"/>
          <w:szCs w:val="18"/>
          <w:color w:val="auto"/>
        </w:rPr>
        <w:t>To elect each of the nine nominees named in this proxy statement to the Board of Directors of the Company (the “Board of Directors” or the “Board”) for a term to end at our annual meeting of stockholders in 2023;</w:t>
      </w:r>
    </w:p>
    <w:p>
      <w:pPr>
        <w:spacing w:after="0" w:line="1" w:lineRule="exact"/>
        <w:rPr>
          <w:sz w:val="20"/>
          <w:szCs w:val="20"/>
          <w:color w:val="auto"/>
        </w:rPr>
      </w:pPr>
    </w:p>
    <w:p>
      <w:pPr>
        <w:ind w:left="600" w:right="100" w:firstLine="75"/>
        <w:spacing w:after="0" w:line="271" w:lineRule="auto"/>
        <w:rPr>
          <w:sz w:val="20"/>
          <w:szCs w:val="20"/>
          <w:color w:val="auto"/>
        </w:rPr>
      </w:pPr>
      <w:r>
        <w:rPr>
          <w:rFonts w:ascii="Arial" w:cs="Arial" w:eastAsia="Arial" w:hAnsi="Arial"/>
          <w:sz w:val="18"/>
          <w:szCs w:val="18"/>
          <w:color w:val="auto"/>
        </w:rPr>
        <w:t>To ratify the appointment of Deloitte &amp; Touche LLP by the audit committee of the Board of Directors (the “Audit Committee”) as our independent registered public accounting firm for the fiscal year ending December 31, 2022;</w:t>
      </w:r>
    </w:p>
    <w:p>
      <w:pPr>
        <w:ind w:left="420"/>
        <w:spacing w:after="0"/>
        <w:rPr>
          <w:sz w:val="20"/>
          <w:szCs w:val="20"/>
          <w:color w:val="auto"/>
        </w:rPr>
      </w:pPr>
      <w:r>
        <w:rPr>
          <w:rFonts w:ascii="Arial" w:cs="Arial" w:eastAsia="Arial" w:hAnsi="Arial"/>
          <w:sz w:val="18"/>
          <w:szCs w:val="18"/>
          <w:color w:val="auto"/>
        </w:rPr>
        <w:t>To approve, in an advisory vote, the compensation paid to the Company’s named executive officers; and</w:t>
      </w:r>
    </w:p>
    <w:p>
      <w:pPr>
        <w:spacing w:after="0" w:line="60" w:lineRule="exact"/>
        <w:rPr>
          <w:sz w:val="20"/>
          <w:szCs w:val="20"/>
          <w:color w:val="auto"/>
        </w:rPr>
      </w:pPr>
    </w:p>
    <w:p>
      <w:pPr>
        <w:ind w:left="600" w:right="100" w:firstLine="128"/>
        <w:spacing w:after="0" w:line="280" w:lineRule="auto"/>
        <w:rPr>
          <w:sz w:val="20"/>
          <w:szCs w:val="20"/>
          <w:color w:val="auto"/>
        </w:rPr>
      </w:pPr>
      <w:r>
        <w:rPr>
          <w:rFonts w:ascii="Arial" w:cs="Arial" w:eastAsia="Arial" w:hAnsi="Arial"/>
          <w:sz w:val="18"/>
          <w:szCs w:val="18"/>
          <w:color w:val="auto"/>
        </w:rPr>
        <w:t>To consider and act upon any other business properly coming before the Annual Meeting and at any adjournment or postponement thereof.</w:t>
      </w:r>
    </w:p>
    <w:p>
      <w:pPr>
        <w:spacing w:after="0" w:line="146" w:lineRule="exact"/>
        <w:rPr>
          <w:sz w:val="20"/>
          <w:szCs w:val="20"/>
          <w:color w:val="auto"/>
        </w:rPr>
      </w:pPr>
    </w:p>
    <w:p>
      <w:pPr>
        <w:ind w:left="920" w:hanging="610"/>
        <w:spacing w:after="0"/>
        <w:tabs>
          <w:tab w:leader="none" w:pos="920" w:val="left"/>
        </w:tabs>
        <w:numPr>
          <w:ilvl w:val="0"/>
          <w:numId w:val="5"/>
        </w:numPr>
        <w:rPr>
          <w:rFonts w:ascii="Arial" w:cs="Arial" w:eastAsia="Arial" w:hAnsi="Arial"/>
          <w:sz w:val="18"/>
          <w:szCs w:val="18"/>
          <w:color w:val="050A54"/>
        </w:rPr>
      </w:pPr>
      <w:r>
        <w:rPr>
          <w:rFonts w:ascii="Arial" w:cs="Arial" w:eastAsia="Arial" w:hAnsi="Arial"/>
          <w:sz w:val="18"/>
          <w:szCs w:val="18"/>
          <w:b w:val="1"/>
          <w:bCs w:val="1"/>
          <w:color w:val="050A54"/>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-118745</wp:posOffset>
            </wp:positionV>
            <wp:extent cx="8255" cy="135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33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Manner of Voting</w:t>
      </w:r>
    </w:p>
    <w:p>
      <w:pPr>
        <w:spacing w:after="0" w:line="9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If you are a holder of record of our Common Stock as of the</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Record Date, you may vote in one of the following ways:</w:t>
      </w:r>
    </w:p>
    <w:p>
      <w:pPr>
        <w:spacing w:after="0" w:line="337" w:lineRule="exact"/>
        <w:rPr>
          <w:sz w:val="20"/>
          <w:szCs w:val="20"/>
          <w:color w:val="auto"/>
        </w:rPr>
      </w:pPr>
    </w:p>
    <w:p>
      <w:pPr>
        <w:jc w:val="both"/>
        <w:ind w:left="700"/>
        <w:spacing w:after="0" w:line="249" w:lineRule="auto"/>
        <w:rPr>
          <w:sz w:val="20"/>
          <w:szCs w:val="20"/>
          <w:color w:val="auto"/>
        </w:rPr>
      </w:pPr>
      <w:r>
        <w:rPr>
          <w:rFonts w:ascii="Arial" w:cs="Arial" w:eastAsia="Arial" w:hAnsi="Arial"/>
          <w:sz w:val="18"/>
          <w:szCs w:val="18"/>
          <w:i w:val="1"/>
          <w:iCs w:val="1"/>
          <w:color w:val="2360D1"/>
        </w:rPr>
        <w:t xml:space="preserve">By Internet: </w:t>
      </w:r>
      <w:r>
        <w:rPr>
          <w:rFonts w:ascii="Arial" w:cs="Arial" w:eastAsia="Arial" w:hAnsi="Arial"/>
          <w:sz w:val="18"/>
          <w:szCs w:val="18"/>
          <w:color w:val="000000"/>
        </w:rPr>
        <w:t>by following the internet voting instructions</w:t>
      </w:r>
      <w:r>
        <w:rPr>
          <w:rFonts w:ascii="Arial" w:cs="Arial" w:eastAsia="Arial" w:hAnsi="Arial"/>
          <w:sz w:val="18"/>
          <w:szCs w:val="18"/>
          <w:i w:val="1"/>
          <w:iCs w:val="1"/>
          <w:color w:val="2360D1"/>
        </w:rPr>
        <w:t xml:space="preserve"> </w:t>
      </w:r>
      <w:r>
        <w:rPr>
          <w:rFonts w:ascii="Arial" w:cs="Arial" w:eastAsia="Arial" w:hAnsi="Arial"/>
          <w:sz w:val="18"/>
          <w:szCs w:val="18"/>
          <w:color w:val="000000"/>
        </w:rPr>
        <w:t>included in the proxy card and Notice at any time up until 11:59 p.m., Eastern Time, on May 17,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-396240</wp:posOffset>
            </wp:positionV>
            <wp:extent cx="144145" cy="1276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4145" cy="127635"/>
                    </a:xfrm>
                    <a:prstGeom prst="rect">
                      <a:avLst/>
                    </a:prstGeom>
                    <a:noFill/>
                  </pic:spPr>
                </pic:pic>
              </a:graphicData>
            </a:graphic>
          </wp:anchor>
        </w:drawing>
      </w:r>
    </w:p>
    <w:p>
      <w:pPr>
        <w:spacing w:after="0" w:line="312" w:lineRule="exact"/>
        <w:rPr>
          <w:sz w:val="20"/>
          <w:szCs w:val="20"/>
          <w:color w:val="auto"/>
        </w:rPr>
      </w:pPr>
    </w:p>
    <w:p>
      <w:pPr>
        <w:jc w:val="both"/>
        <w:ind w:left="700"/>
        <w:spacing w:after="0" w:line="249" w:lineRule="auto"/>
        <w:rPr>
          <w:sz w:val="20"/>
          <w:szCs w:val="20"/>
          <w:color w:val="auto"/>
        </w:rPr>
      </w:pPr>
      <w:r>
        <w:rPr>
          <w:rFonts w:ascii="Arial" w:cs="Arial" w:eastAsia="Arial" w:hAnsi="Arial"/>
          <w:sz w:val="18"/>
          <w:szCs w:val="18"/>
          <w:i w:val="1"/>
          <w:iCs w:val="1"/>
          <w:color w:val="2360D1"/>
        </w:rPr>
        <w:t xml:space="preserve">By Telephone: </w:t>
      </w:r>
      <w:r>
        <w:rPr>
          <w:rFonts w:ascii="Arial" w:cs="Arial" w:eastAsia="Arial" w:hAnsi="Arial"/>
          <w:sz w:val="18"/>
          <w:szCs w:val="18"/>
          <w:color w:val="000000"/>
        </w:rPr>
        <w:t>by following the telephone voting</w:t>
      </w:r>
      <w:r>
        <w:rPr>
          <w:rFonts w:ascii="Arial" w:cs="Arial" w:eastAsia="Arial" w:hAnsi="Arial"/>
          <w:sz w:val="18"/>
          <w:szCs w:val="18"/>
          <w:i w:val="1"/>
          <w:iCs w:val="1"/>
          <w:color w:val="2360D1"/>
        </w:rPr>
        <w:t xml:space="preserve"> </w:t>
      </w:r>
      <w:r>
        <w:rPr>
          <w:rFonts w:ascii="Arial" w:cs="Arial" w:eastAsia="Arial" w:hAnsi="Arial"/>
          <w:sz w:val="18"/>
          <w:szCs w:val="18"/>
          <w:color w:val="000000"/>
        </w:rPr>
        <w:t>instructions included in the proxy card and Notice at any time up until 11:59 p.m., Eastern Time, on May 17,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-396240</wp:posOffset>
            </wp:positionV>
            <wp:extent cx="144145" cy="1187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4145" cy="118745"/>
                    </a:xfrm>
                    <a:prstGeom prst="rect">
                      <a:avLst/>
                    </a:prstGeom>
                    <a:noFill/>
                  </pic:spPr>
                </pic:pic>
              </a:graphicData>
            </a:graphic>
          </wp:anchor>
        </w:drawing>
      </w:r>
    </w:p>
    <w:p>
      <w:pPr>
        <w:spacing w:after="0" w:line="192" w:lineRule="exact"/>
        <w:rPr>
          <w:sz w:val="20"/>
          <w:szCs w:val="20"/>
          <w:color w:val="auto"/>
        </w:rPr>
      </w:pPr>
    </w:p>
    <w:p>
      <w:pPr>
        <w:jc w:val="both"/>
        <w:ind w:left="700"/>
        <w:spacing w:after="0"/>
        <w:rPr>
          <w:sz w:val="20"/>
          <w:szCs w:val="20"/>
          <w:color w:val="auto"/>
        </w:rPr>
      </w:pPr>
      <w:r>
        <w:rPr>
          <w:rFonts w:ascii="Arial" w:cs="Arial" w:eastAsia="Arial" w:hAnsi="Arial"/>
          <w:sz w:val="18"/>
          <w:szCs w:val="18"/>
          <w:i w:val="1"/>
          <w:iCs w:val="1"/>
          <w:color w:val="2360D1"/>
        </w:rPr>
        <w:t xml:space="preserve">By Mail: </w:t>
      </w:r>
      <w:r>
        <w:rPr>
          <w:rFonts w:ascii="Arial" w:cs="Arial" w:eastAsia="Arial" w:hAnsi="Arial"/>
          <w:sz w:val="18"/>
          <w:szCs w:val="18"/>
          <w:color w:val="000000"/>
        </w:rPr>
        <w:t>by marking, dating and signing your printed proxy</w:t>
      </w:r>
      <w:r>
        <w:rPr>
          <w:rFonts w:ascii="Arial" w:cs="Arial" w:eastAsia="Arial" w:hAnsi="Arial"/>
          <w:sz w:val="18"/>
          <w:szCs w:val="18"/>
          <w:i w:val="1"/>
          <w:iCs w:val="1"/>
          <w:color w:val="2360D1"/>
        </w:rPr>
        <w:t xml:space="preserve"> </w:t>
      </w:r>
      <w:r>
        <w:rPr>
          <w:rFonts w:ascii="Arial" w:cs="Arial" w:eastAsia="Arial" w:hAnsi="Arial"/>
          <w:sz w:val="18"/>
          <w:szCs w:val="18"/>
          <w:color w:val="000000"/>
        </w:rPr>
        <w:t>card (if received by mail) in accordance with the instructions on it and returning it by mail in the pre-addressed reply envelope provided with the proxy materials for receipt prior to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-644525</wp:posOffset>
            </wp:positionV>
            <wp:extent cx="153035" cy="1187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3035" cy="118745"/>
                    </a:xfrm>
                    <a:prstGeom prst="rect">
                      <a:avLst/>
                    </a:prstGeom>
                    <a:noFill/>
                  </pic:spPr>
                </pic:pic>
              </a:graphicData>
            </a:graphic>
          </wp:anchor>
        </w:drawing>
      </w:r>
    </w:p>
    <w:p>
      <w:pPr>
        <w:spacing w:after="0" w:line="202" w:lineRule="exact"/>
        <w:rPr>
          <w:sz w:val="20"/>
          <w:szCs w:val="20"/>
          <w:color w:val="auto"/>
        </w:rPr>
      </w:pPr>
    </w:p>
    <w:p>
      <w:pPr>
        <w:jc w:val="both"/>
        <w:ind w:left="700"/>
        <w:spacing w:after="0" w:line="239" w:lineRule="auto"/>
        <w:rPr>
          <w:sz w:val="20"/>
          <w:szCs w:val="20"/>
          <w:color w:val="auto"/>
        </w:rPr>
      </w:pPr>
      <w:r>
        <w:rPr>
          <w:rFonts w:ascii="Arial" w:cs="Arial" w:eastAsia="Arial" w:hAnsi="Arial"/>
          <w:sz w:val="18"/>
          <w:szCs w:val="18"/>
          <w:i w:val="1"/>
          <w:iCs w:val="1"/>
          <w:color w:val="2360D1"/>
        </w:rPr>
        <w:t xml:space="preserve">In Person: </w:t>
      </w:r>
      <w:r>
        <w:rPr>
          <w:rFonts w:ascii="Arial" w:cs="Arial" w:eastAsia="Arial" w:hAnsi="Arial"/>
          <w:sz w:val="18"/>
          <w:szCs w:val="18"/>
          <w:color w:val="000000"/>
        </w:rPr>
        <w:t>by voting your shares in person at the Annual</w:t>
      </w:r>
      <w:r>
        <w:rPr>
          <w:rFonts w:ascii="Arial" w:cs="Arial" w:eastAsia="Arial" w:hAnsi="Arial"/>
          <w:sz w:val="18"/>
          <w:szCs w:val="18"/>
          <w:i w:val="1"/>
          <w:iCs w:val="1"/>
          <w:color w:val="2360D1"/>
        </w:rPr>
        <w:t xml:space="preserve"> </w:t>
      </w:r>
      <w:r>
        <w:rPr>
          <w:rFonts w:ascii="Arial" w:cs="Arial" w:eastAsia="Arial" w:hAnsi="Arial"/>
          <w:sz w:val="18"/>
          <w:szCs w:val="18"/>
          <w:color w:val="000000"/>
        </w:rPr>
        <w:t>Meeting (if you satisfy the admission requirements, as described above). Even if you plan to attend the Annual Meeting, we encourage you to vote in advance by internet, telephone or mail so that your vote will be counted in the event you later decide not to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143510</wp:posOffset>
            </wp:positionV>
            <wp:extent cx="3320415" cy="8832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20415" cy="88328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-772795</wp:posOffset>
            </wp:positionV>
            <wp:extent cx="127635" cy="144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635" cy="144145"/>
                    </a:xfrm>
                    <a:prstGeom prst="rect">
                      <a:avLst/>
                    </a:prstGeom>
                    <a:noFill/>
                  </pic:spPr>
                </pic:pic>
              </a:graphicData>
            </a:graphic>
          </wp:anchor>
        </w:drawing>
      </w:r>
    </w:p>
    <w:p>
      <w:pPr>
        <w:spacing w:after="0" w:line="375" w:lineRule="exact"/>
        <w:rPr>
          <w:sz w:val="20"/>
          <w:szCs w:val="20"/>
          <w:color w:val="auto"/>
        </w:rPr>
      </w:pPr>
    </w:p>
    <w:p>
      <w:pPr>
        <w:ind w:left="440" w:right="160"/>
        <w:spacing w:after="0" w:line="258" w:lineRule="auto"/>
        <w:rPr>
          <w:sz w:val="20"/>
          <w:szCs w:val="20"/>
          <w:color w:val="auto"/>
        </w:rPr>
      </w:pPr>
      <w:r>
        <w:rPr>
          <w:rFonts w:ascii="Arial" w:cs="Arial" w:eastAsia="Arial" w:hAnsi="Arial"/>
          <w:sz w:val="17"/>
          <w:szCs w:val="17"/>
          <w:color w:val="FFFFFF"/>
        </w:rPr>
        <w:t>If your shares are held in street name through a broker, bank or other intermediary, your broker, bank or other intermediary should give you instructions for voting your shares. In these cases, you may vote by internet, telephone or mail as instructed by your broker, bank or other intermediary.</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Shares of Common Stock represented by properly executed proxy cards received by the Company in time for the meeting will be voted in accordance with the instructions specified in the proxies. If you submit a proxy but do not indicate any voting instructions, your shares will be voted </w:t>
      </w:r>
      <w:r>
        <w:rPr>
          <w:rFonts w:ascii="Arial" w:cs="Arial" w:eastAsia="Arial" w:hAnsi="Arial"/>
          <w:sz w:val="18"/>
          <w:szCs w:val="18"/>
          <w:b w:val="1"/>
          <w:bCs w:val="1"/>
          <w:color w:val="2360D1"/>
        </w:rPr>
        <w:t>“FOR”</w:t>
      </w:r>
      <w:r>
        <w:rPr>
          <w:rFonts w:ascii="Arial" w:cs="Arial" w:eastAsia="Arial" w:hAnsi="Arial"/>
          <w:sz w:val="18"/>
          <w:szCs w:val="18"/>
          <w:color w:val="auto"/>
        </w:rPr>
        <w:t xml:space="preserve"> the election of each director nominee named in this proxy statement; </w:t>
      </w:r>
      <w:r>
        <w:rPr>
          <w:rFonts w:ascii="Arial" w:cs="Arial" w:eastAsia="Arial" w:hAnsi="Arial"/>
          <w:sz w:val="18"/>
          <w:szCs w:val="18"/>
          <w:b w:val="1"/>
          <w:bCs w:val="1"/>
          <w:color w:val="2360D1"/>
        </w:rPr>
        <w:t>“FOR”</w:t>
      </w:r>
      <w:r>
        <w:rPr>
          <w:rFonts w:ascii="Arial" w:cs="Arial" w:eastAsia="Arial" w:hAnsi="Arial"/>
          <w:sz w:val="18"/>
          <w:szCs w:val="18"/>
          <w:color w:val="auto"/>
        </w:rPr>
        <w:t xml:space="preserve"> the ratification of the appointment of Deloitte &amp; Touche LLP as our independent registered public accounting firm; and </w:t>
      </w:r>
      <w:r>
        <w:rPr>
          <w:rFonts w:ascii="Arial" w:cs="Arial" w:eastAsia="Arial" w:hAnsi="Arial"/>
          <w:sz w:val="18"/>
          <w:szCs w:val="18"/>
          <w:b w:val="1"/>
          <w:bCs w:val="1"/>
          <w:color w:val="2360D1"/>
        </w:rPr>
        <w:t>“FOR”</w:t>
      </w:r>
      <w:r>
        <w:rPr>
          <w:rFonts w:ascii="Arial" w:cs="Arial" w:eastAsia="Arial" w:hAnsi="Arial"/>
          <w:sz w:val="18"/>
          <w:szCs w:val="18"/>
          <w:color w:val="auto"/>
        </w:rPr>
        <w:t xml:space="preserve"> the approval, in an advisory vote, of the compensation paid to the Company’s named executive officers.</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management and Board of Directors know of no other matters to be brought before the Annual Meeting. If other matters are properly presented to the stockholders for action at the Annual Meeting or any adjournments or postponements thereof, it is the intention of the proxy holders named in the proxy card to vote in their discretion on all matters on which the shares of Common Stock represented by such proxy are entitled to vote.</w:t>
      </w:r>
    </w:p>
    <w:p>
      <w:pPr>
        <w:spacing w:after="0" w:line="3398" w:lineRule="exact"/>
        <w:rPr>
          <w:sz w:val="20"/>
          <w:szCs w:val="20"/>
          <w:color w:val="auto"/>
        </w:rPr>
      </w:pPr>
    </w:p>
    <w:p>
      <w:pPr>
        <w:sectPr>
          <w:pgSz w:w="11900" w:h="16838" w:orient="portrait"/>
          <w:cols w:equalWidth="0" w:num="2">
            <w:col w:w="5400" w:space="340"/>
            <w:col w:w="5340"/>
          </w:cols>
          <w:pgMar w:left="320" w:top="454" w:right="499" w:bottom="1440" w:gutter="0" w:footer="0" w:header="0"/>
          <w:type w:val="continuous"/>
        </w:sectPr>
      </w:pPr>
    </w:p>
    <w:p>
      <w:pPr>
        <w:spacing w:after="0" w:line="247" w:lineRule="exact"/>
        <w:rPr>
          <w:sz w:val="20"/>
          <w:szCs w:val="20"/>
          <w:color w:val="auto"/>
        </w:rPr>
      </w:pPr>
    </w:p>
    <w:tbl>
      <w:tblPr>
        <w:tblLayout w:type="fixed"/>
        <w:tblInd w:w="8500" w:type="dxa"/>
        <w:tblCellMar>
          <w:top w:w="0" w:type="dxa"/>
          <w:left w:w="0" w:type="dxa"/>
          <w:bottom w:w="0" w:type="dxa"/>
          <w:right w:w="0" w:type="dxa"/>
        </w:tblCellMar>
      </w:tblPr>
      <w:tr>
        <w:trPr>
          <w:trHeight w:val="233"/>
        </w:trPr>
        <w:tc>
          <w:tcPr>
            <w:tcW w:w="2060" w:type="dxa"/>
            <w:vAlign w:val="bottom"/>
            <w:tcBorders>
              <w:right w:val="single" w:sz="8" w:color="050A54"/>
            </w:tcBorders>
          </w:tcPr>
          <w:p>
            <w:pPr>
              <w:spacing w:after="0"/>
              <w:rPr>
                <w:sz w:val="20"/>
                <w:szCs w:val="20"/>
                <w:color w:val="auto"/>
              </w:rPr>
            </w:pPr>
            <w:r>
              <w:rPr>
                <w:rFonts w:ascii="Arial" w:cs="Arial" w:eastAsia="Arial" w:hAnsi="Arial"/>
                <w:sz w:val="18"/>
                <w:szCs w:val="18"/>
                <w:b w:val="1"/>
                <w:bCs w:val="1"/>
                <w:color w:val="050A54"/>
              </w:rPr>
              <w:t>2022 Proxy Statement</w:t>
            </w:r>
          </w:p>
        </w:tc>
        <w:tc>
          <w:tcPr>
            <w:tcW w:w="520" w:type="dxa"/>
            <w:vAlign w:val="bottom"/>
          </w:tcPr>
          <w:p>
            <w:pPr>
              <w:jc w:val="right"/>
              <w:spacing w:after="0"/>
              <w:rPr>
                <w:sz w:val="20"/>
                <w:szCs w:val="20"/>
                <w:color w:val="auto"/>
              </w:rPr>
            </w:pPr>
            <w:r>
              <w:rPr>
                <w:rFonts w:ascii="Arial" w:cs="Arial" w:eastAsia="Arial" w:hAnsi="Arial"/>
                <w:sz w:val="18"/>
                <w:szCs w:val="18"/>
                <w:color w:val="050A54"/>
              </w:rPr>
              <w:t>3</w:t>
            </w:r>
          </w:p>
        </w:tc>
      </w:tr>
    </w:tbl>
    <w:p>
      <w:pPr>
        <w:sectPr>
          <w:pgSz w:w="11900" w:h="16838" w:orient="portrait"/>
          <w:cols w:equalWidth="0" w:num="1">
            <w:col w:w="11080"/>
          </w:cols>
          <w:pgMar w:left="320" w:top="454" w:right="499" w:bottom="1440" w:gutter="0" w:footer="0" w:header="0"/>
          <w:type w:val="continuous"/>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050A54"/>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Voting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157480</wp:posOffset>
            </wp:positionV>
            <wp:extent cx="6929755" cy="8661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29755" cy="866140"/>
                    </a:xfrm>
                    <a:prstGeom prst="rect">
                      <a:avLst/>
                    </a:prstGeom>
                    <a:noFill/>
                  </pic:spPr>
                </pic:pic>
              </a:graphicData>
            </a:graphic>
          </wp:anchor>
        </w:drawing>
      </w:r>
    </w:p>
    <w:p>
      <w:pPr>
        <w:spacing w:after="0" w:line="31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050A54"/>
        </w:rPr>
        <w:t>Proposal One—Election of Directors</w:t>
      </w:r>
    </w:p>
    <w:p>
      <w:pPr>
        <w:spacing w:after="0" w:line="112" w:lineRule="exact"/>
        <w:rPr>
          <w:sz w:val="20"/>
          <w:szCs w:val="20"/>
          <w:color w:val="auto"/>
        </w:rPr>
      </w:pPr>
    </w:p>
    <w:p>
      <w:pPr>
        <w:jc w:val="both"/>
        <w:ind w:left="320"/>
        <w:spacing w:after="0" w:line="243" w:lineRule="auto"/>
        <w:rPr>
          <w:sz w:val="20"/>
          <w:szCs w:val="20"/>
          <w:color w:val="auto"/>
        </w:rPr>
      </w:pPr>
      <w:r>
        <w:rPr>
          <w:rFonts w:ascii="Arial" w:cs="Arial" w:eastAsia="Arial" w:hAnsi="Arial"/>
          <w:sz w:val="18"/>
          <w:szCs w:val="18"/>
          <w:color w:val="auto"/>
        </w:rPr>
        <w:t>Our bylaws provide that a nominee for director will be elected if the number of votes properly cast “for” such nominee’s election exceeds the number of votes properly cast “against” such nominee’s election; however, if the number of persons properly nominated for election to the Board of Directors exceeds the number of directors to be elected, the directors will be elected by the plurality of the votes properly cast. A vote to abstain or a broker non-vote will have no direct effect on the outcome of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226695</wp:posOffset>
            </wp:positionV>
            <wp:extent cx="6929755" cy="7391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29755" cy="73914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050A54"/>
        </w:rPr>
        <w:t>Proposal Two—Ratification of Appointment of Deloitte &amp; Touche LLP</w:t>
      </w:r>
    </w:p>
    <w:p>
      <w:pPr>
        <w:spacing w:after="0" w:line="112" w:lineRule="exact"/>
        <w:rPr>
          <w:sz w:val="20"/>
          <w:szCs w:val="20"/>
          <w:color w:val="auto"/>
        </w:rPr>
      </w:pPr>
    </w:p>
    <w:p>
      <w:pPr>
        <w:jc w:val="both"/>
        <w:ind w:left="320"/>
        <w:spacing w:after="0" w:line="249" w:lineRule="auto"/>
        <w:rPr>
          <w:sz w:val="20"/>
          <w:szCs w:val="20"/>
          <w:color w:val="auto"/>
        </w:rPr>
      </w:pPr>
      <w:r>
        <w:rPr>
          <w:rFonts w:ascii="Arial" w:cs="Arial" w:eastAsia="Arial" w:hAnsi="Arial"/>
          <w:sz w:val="18"/>
          <w:szCs w:val="18"/>
          <w:color w:val="auto"/>
        </w:rPr>
        <w:t>The proposal to ratify the appointment of Deloitte &amp; Touche LLP will be determined by a majority of the votes cast on the matter affirmatively or negatively in person or by proxy at the Annual Meeting. A vote to abstain or a broker non-vote will have no direct effect on the outcome of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222885</wp:posOffset>
            </wp:positionV>
            <wp:extent cx="6929755" cy="9937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29755" cy="99377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050A54"/>
        </w:rPr>
        <w:t>Proposal Three—Approval, in an Advisory Vote, of the Compensation Paid to the Company’s Named Executive Officers</w:t>
      </w:r>
    </w:p>
    <w:p>
      <w:pPr>
        <w:spacing w:after="0" w:line="112" w:lineRule="exact"/>
        <w:rPr>
          <w:sz w:val="20"/>
          <w:szCs w:val="20"/>
          <w:color w:val="auto"/>
        </w:rPr>
      </w:pPr>
    </w:p>
    <w:p>
      <w:pPr>
        <w:jc w:val="both"/>
        <w:ind w:left="320"/>
        <w:spacing w:after="0"/>
        <w:rPr>
          <w:sz w:val="20"/>
          <w:szCs w:val="20"/>
          <w:color w:val="auto"/>
        </w:rPr>
      </w:pPr>
      <w:r>
        <w:rPr>
          <w:rFonts w:ascii="Arial" w:cs="Arial" w:eastAsia="Arial" w:hAnsi="Arial"/>
          <w:sz w:val="18"/>
          <w:szCs w:val="18"/>
          <w:color w:val="auto"/>
        </w:rPr>
        <w:t>Because the proposal to approve, on an advisory basis, the compensation awarded to named executive officers for the fiscal year ended December 31, 2021 is a non-binding, advisory vote, there is no required vote that would constitute approval. Although the vote is advisory and non-binding in nature, the compensation and human resources committee (the “Compensation Committee”) will consider the outcome of the vote when considering future named executive officer compensation arrangements. A vote to abstain or a broker non-vote will have no direct effect on the outcome of the proposal.</w:t>
      </w:r>
    </w:p>
    <w:p>
      <w:pPr>
        <w:spacing w:after="0" w:line="249" w:lineRule="exact"/>
        <w:rPr>
          <w:sz w:val="20"/>
          <w:szCs w:val="20"/>
          <w:color w:val="auto"/>
        </w:rPr>
      </w:pPr>
    </w:p>
    <w:p>
      <w:pPr>
        <w:ind w:left="920" w:hanging="610"/>
        <w:spacing w:after="0"/>
        <w:tabs>
          <w:tab w:leader="none" w:pos="920" w:val="left"/>
        </w:tabs>
        <w:numPr>
          <w:ilvl w:val="0"/>
          <w:numId w:val="6"/>
        </w:numPr>
        <w:rPr>
          <w:rFonts w:ascii="Arial" w:cs="Arial" w:eastAsia="Arial" w:hAnsi="Arial"/>
          <w:sz w:val="18"/>
          <w:szCs w:val="18"/>
          <w:color w:val="050A54"/>
        </w:rPr>
      </w:pPr>
      <w:r>
        <w:rPr>
          <w:rFonts w:ascii="Arial" w:cs="Arial" w:eastAsia="Arial" w:hAnsi="Arial"/>
          <w:sz w:val="18"/>
          <w:szCs w:val="18"/>
          <w:b w:val="1"/>
          <w:bCs w:val="1"/>
          <w:color w:val="050A54"/>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-118745</wp:posOffset>
            </wp:positionV>
            <wp:extent cx="8255" cy="135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0860"/>
          </w:cols>
          <w:pgMar w:left="320" w:top="454" w:right="71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33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Revocation of Proxies</w:t>
      </w:r>
    </w:p>
    <w:p>
      <w:pPr>
        <w:spacing w:after="0" w:line="203"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color w:val="auto"/>
        </w:rPr>
        <w:t>If you submit a proxy, you are entitled to revoke your proxy at any time before it is exercised in one of the following ways:</w:t>
      </w:r>
    </w:p>
    <w:p>
      <w:pPr>
        <w:spacing w:after="0" w:line="185" w:lineRule="exact"/>
        <w:rPr>
          <w:sz w:val="20"/>
          <w:szCs w:val="20"/>
          <w:color w:val="auto"/>
        </w:rPr>
      </w:pPr>
    </w:p>
    <w:p>
      <w:pPr>
        <w:ind w:left="860" w:hanging="372"/>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attending and voting during the Annual Meeting;</w:t>
      </w:r>
    </w:p>
    <w:p>
      <w:pPr>
        <w:spacing w:after="0" w:line="234" w:lineRule="exact"/>
        <w:rPr>
          <w:rFonts w:ascii="Arial" w:cs="Arial" w:eastAsia="Arial" w:hAnsi="Arial"/>
          <w:sz w:val="18"/>
          <w:szCs w:val="18"/>
          <w:color w:val="auto"/>
        </w:rPr>
      </w:pPr>
    </w:p>
    <w:p>
      <w:pPr>
        <w:ind w:left="860" w:right="20" w:hanging="372"/>
        <w:spacing w:after="0" w:line="265"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submitting a duly executed proxy bearing a later date; or</w:t>
      </w:r>
    </w:p>
    <w:p>
      <w:pPr>
        <w:spacing w:after="0" w:line="184" w:lineRule="exact"/>
        <w:rPr>
          <w:rFonts w:ascii="Arial" w:cs="Arial" w:eastAsia="Arial" w:hAnsi="Arial"/>
          <w:sz w:val="18"/>
          <w:szCs w:val="18"/>
          <w:color w:val="auto"/>
        </w:rPr>
      </w:pPr>
    </w:p>
    <w:p>
      <w:pPr>
        <w:jc w:val="both"/>
        <w:ind w:left="860" w:hanging="372"/>
        <w:spacing w:after="0" w:line="249"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sending written notice of revocation to our corporate secretary at LPL Financial Holdings Inc., 75 State Street, 22nd Floor, Boston, Massachusetts 02109.</w:t>
      </w:r>
    </w:p>
    <w:p>
      <w:pPr>
        <w:spacing w:after="0" w:line="172"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A stockholder of record as of the Record Date who voted through the internet or by telephone may also change his or her vote with a timely and valid later internet or telephone vote, as the case may be. Any stockholder of record as of the Record Date attending the Annual Meeting may vote during the meeting whether or not a proxy has previously been given, but a stockholder’s attendance at the Annual Meeting (without further action) will not constitute revocation of a previously given proxy. If you hold your shares in street name and would like to change your voting instructions, please follow the instructions provided to you by your broker, bank or other intermediary.</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copy of the Notice, or copies of the proxy statement and/or Annual Report, to a stockholder at a shared address to which a single copy of the Notice was delivered. You may make a written or oral request by sending a written notification to our corporate secretary at LPL Financial Holdings Inc., 75 State Street, 22nd Floor, Boston, Massachusetts 02109, or by calling our offices at (617) 423-3644, extension 4574, and providing your name, your shared address and the address to which we should direct the copies of the proxy statement and Annual Report. Multiple stockholders sharing an address who have received one copy of the Notice and would prefer us to mail each stockholder a separate copy of future mailings should contact us at the address or telephone number above. Additionally, if current stockholders with a shared address received multiple copies of the Notice and would prefer us to mail one copy of future mailings to stockholders at the shared address, please notify us at the address or telephone number above.</w:t>
      </w:r>
    </w:p>
    <w:p>
      <w:pPr>
        <w:spacing w:after="0" w:line="2142" w:lineRule="exact"/>
        <w:rPr>
          <w:sz w:val="20"/>
          <w:szCs w:val="20"/>
          <w:color w:val="auto"/>
        </w:rPr>
      </w:pPr>
    </w:p>
    <w:p>
      <w:pPr>
        <w:sectPr>
          <w:pgSz w:w="11900" w:h="16838" w:orient="portrait"/>
          <w:cols w:equalWidth="0" w:num="2">
            <w:col w:w="5400" w:space="340"/>
            <w:col w:w="5340"/>
          </w:cols>
          <w:pgMar w:left="320" w:top="454" w:right="499" w:bottom="1440" w:gutter="0" w:footer="0" w:header="0"/>
          <w:type w:val="continuous"/>
        </w:sectPr>
      </w:pPr>
    </w:p>
    <w:p>
      <w:pPr>
        <w:ind w:left="160"/>
        <w:spacing w:after="0"/>
        <w:rPr>
          <w:sz w:val="20"/>
          <w:szCs w:val="20"/>
          <w:color w:val="auto"/>
        </w:rPr>
      </w:pPr>
      <w:r>
        <w:rPr>
          <w:rFonts w:ascii="Arial" w:cs="Arial" w:eastAsia="Arial" w:hAnsi="Arial"/>
          <w:sz w:val="20"/>
          <w:szCs w:val="20"/>
          <w:b w:val="1"/>
          <w:bCs w:val="1"/>
          <w:color w:val="050A54"/>
        </w:rPr>
        <w:t>Solicitation of Proxies</w:t>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Board of Directors of LPL Financial Holdings Inc. is soliciting</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proxies. Copies of proxy materials and the Annual Report will be</w:t>
      </w:r>
    </w:p>
    <w:p>
      <w:pPr>
        <w:ind w:left="160"/>
        <w:spacing w:after="0" w:line="232" w:lineRule="auto"/>
        <w:rPr>
          <w:sz w:val="20"/>
          <w:szCs w:val="20"/>
          <w:color w:val="auto"/>
        </w:rPr>
      </w:pPr>
      <w:r>
        <w:rPr>
          <w:rFonts w:ascii="Arial" w:cs="Arial" w:eastAsia="Arial" w:hAnsi="Arial"/>
          <w:sz w:val="18"/>
          <w:szCs w:val="18"/>
          <w:color w:val="auto"/>
        </w:rPr>
        <w:t>supplied to brokers, dealers, banks and voting trustees, or their</w:t>
      </w:r>
    </w:p>
    <w:p>
      <w:pPr>
        <w:ind w:left="160"/>
        <w:spacing w:after="0" w:line="233" w:lineRule="auto"/>
        <w:rPr>
          <w:sz w:val="20"/>
          <w:szCs w:val="20"/>
          <w:color w:val="auto"/>
        </w:rPr>
      </w:pPr>
      <w:r>
        <w:rPr>
          <w:rFonts w:ascii="Arial" w:cs="Arial" w:eastAsia="Arial" w:hAnsi="Arial"/>
          <w:sz w:val="18"/>
          <w:szCs w:val="18"/>
          <w:color w:val="auto"/>
        </w:rPr>
        <w:t>nominees, for the purpose of soliciting proxies from beneficial</w:t>
      </w:r>
    </w:p>
    <w:p>
      <w:pPr>
        <w:ind w:left="160"/>
        <w:spacing w:after="0" w:line="232" w:lineRule="auto"/>
        <w:rPr>
          <w:sz w:val="20"/>
          <w:szCs w:val="20"/>
          <w:color w:val="auto"/>
        </w:rPr>
      </w:pPr>
      <w:r>
        <w:rPr>
          <w:rFonts w:ascii="Arial" w:cs="Arial" w:eastAsia="Arial" w:hAnsi="Arial"/>
          <w:sz w:val="18"/>
          <w:szCs w:val="18"/>
          <w:color w:val="auto"/>
        </w:rPr>
        <w:t>owners, and we will reimburse such record holders for their</w:t>
      </w:r>
    </w:p>
    <w:p>
      <w:pPr>
        <w:ind w:left="160"/>
        <w:spacing w:after="0" w:line="233" w:lineRule="auto"/>
        <w:rPr>
          <w:sz w:val="20"/>
          <w:szCs w:val="20"/>
          <w:color w:val="auto"/>
        </w:rPr>
      </w:pPr>
      <w:r>
        <w:rPr>
          <w:rFonts w:ascii="Arial" w:cs="Arial" w:eastAsia="Arial" w:hAnsi="Arial"/>
          <w:sz w:val="18"/>
          <w:szCs w:val="18"/>
          <w:color w:val="auto"/>
        </w:rPr>
        <w:t>reasonable expenses. Stockholders who elect to vote through the</w:t>
      </w:r>
    </w:p>
    <w:p>
      <w:pPr>
        <w:ind w:left="160"/>
        <w:spacing w:after="0" w:line="233" w:lineRule="auto"/>
        <w:tabs>
          <w:tab w:leader="none" w:pos="960" w:val="left"/>
          <w:tab w:leader="none" w:pos="1360" w:val="left"/>
          <w:tab w:leader="none" w:pos="1760" w:val="left"/>
          <w:tab w:leader="none" w:pos="2780" w:val="left"/>
          <w:tab w:leader="none" w:pos="3340" w:val="left"/>
          <w:tab w:leader="none" w:pos="3940" w:val="left"/>
          <w:tab w:leader="none" w:pos="4580" w:val="left"/>
          <w:tab w:leader="none" w:pos="5180" w:val="left"/>
        </w:tabs>
        <w:rPr>
          <w:sz w:val="20"/>
          <w:szCs w:val="20"/>
          <w:color w:val="auto"/>
        </w:rPr>
      </w:pPr>
      <w:r>
        <w:rPr>
          <w:rFonts w:ascii="Arial" w:cs="Arial" w:eastAsia="Arial" w:hAnsi="Arial"/>
          <w:sz w:val="18"/>
          <w:szCs w:val="18"/>
          <w:color w:val="auto"/>
        </w:rPr>
        <w:t>internet</w:t>
        <w:tab/>
        <w:t>or</w:t>
        <w:tab/>
        <w:t>by</w:t>
        <w:tab/>
        <w:t>telephone</w:t>
        <w:tab/>
        <w:t>may</w:t>
        <w:tab/>
        <w:t>incur</w:t>
        <w:tab/>
        <w:t>costs</w:t>
        <w:tab/>
        <w:t>such</w:t>
        <w:tab/>
        <w:t>as</w:t>
      </w:r>
    </w:p>
    <w:p>
      <w:pPr>
        <w:ind w:left="160"/>
        <w:spacing w:after="0" w:line="232" w:lineRule="auto"/>
        <w:rPr>
          <w:sz w:val="20"/>
          <w:szCs w:val="20"/>
          <w:color w:val="auto"/>
        </w:rPr>
      </w:pPr>
      <w:r>
        <w:rPr>
          <w:rFonts w:ascii="Arial" w:cs="Arial" w:eastAsia="Arial" w:hAnsi="Arial"/>
          <w:sz w:val="18"/>
          <w:szCs w:val="18"/>
          <w:color w:val="auto"/>
        </w:rPr>
        <w:t>telecommunication and internet access charges for which the</w:t>
      </w:r>
    </w:p>
    <w:p>
      <w:pPr>
        <w:ind w:left="160"/>
        <w:spacing w:after="0" w:line="233" w:lineRule="auto"/>
        <w:rPr>
          <w:sz w:val="20"/>
          <w:szCs w:val="20"/>
          <w:color w:val="auto"/>
        </w:rPr>
      </w:pPr>
      <w:r>
        <w:rPr>
          <w:rFonts w:ascii="Arial" w:cs="Arial" w:eastAsia="Arial" w:hAnsi="Arial"/>
          <w:sz w:val="18"/>
          <w:szCs w:val="18"/>
          <w:color w:val="auto"/>
        </w:rPr>
        <w:t>stockholder is solely responsible. The Company will otherwise pay</w:t>
      </w:r>
    </w:p>
    <w:p>
      <w:pPr>
        <w:ind w:left="160"/>
        <w:spacing w:after="0" w:line="232" w:lineRule="auto"/>
        <w:rPr>
          <w:sz w:val="20"/>
          <w:szCs w:val="20"/>
          <w:color w:val="auto"/>
        </w:rPr>
      </w:pPr>
      <w:r>
        <w:rPr>
          <w:rFonts w:ascii="Arial" w:cs="Arial" w:eastAsia="Arial" w:hAnsi="Arial"/>
          <w:sz w:val="18"/>
          <w:szCs w:val="18"/>
          <w:color w:val="auto"/>
        </w:rPr>
        <w:t>the expenses of solicitation of proxies. The telephone and internet</w:t>
      </w:r>
    </w:p>
    <w:p>
      <w:pPr>
        <w:ind w:left="160"/>
        <w:spacing w:after="0" w:line="233" w:lineRule="auto"/>
        <w:rPr>
          <w:sz w:val="20"/>
          <w:szCs w:val="20"/>
          <w:color w:val="auto"/>
        </w:rPr>
      </w:pPr>
      <w:r>
        <w:rPr>
          <w:rFonts w:ascii="Arial" w:cs="Arial" w:eastAsia="Arial" w:hAnsi="Arial"/>
          <w:sz w:val="18"/>
          <w:szCs w:val="18"/>
          <w:color w:val="auto"/>
        </w:rPr>
        <w:t>voting facilities for stockholders of record will close at 11:59 p.m.,</w:t>
      </w:r>
    </w:p>
    <w:p>
      <w:pPr>
        <w:ind w:left="160"/>
        <w:spacing w:after="0"/>
        <w:rPr>
          <w:sz w:val="20"/>
          <w:szCs w:val="20"/>
          <w:color w:val="auto"/>
        </w:rPr>
      </w:pPr>
      <w:r>
        <w:rPr>
          <w:rFonts w:ascii="Arial" w:cs="Arial" w:eastAsia="Arial" w:hAnsi="Arial"/>
          <w:sz w:val="18"/>
          <w:szCs w:val="18"/>
          <w:color w:val="auto"/>
        </w:rPr>
        <w:t>Eastern Time, on May 17, 2022.</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Householding</w:t>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Only  one  copy  of  the  Notice  is  being  delivered  to  multiple</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stockholders  sharing  an  address,  unless  we  have  received</w:t>
      </w:r>
    </w:p>
    <w:p>
      <w:pPr>
        <w:ind w:left="160"/>
        <w:spacing w:after="0" w:line="232" w:lineRule="auto"/>
        <w:rPr>
          <w:sz w:val="20"/>
          <w:szCs w:val="20"/>
          <w:color w:val="auto"/>
        </w:rPr>
      </w:pPr>
      <w:r>
        <w:rPr>
          <w:rFonts w:ascii="Arial" w:cs="Arial" w:eastAsia="Arial" w:hAnsi="Arial"/>
          <w:sz w:val="18"/>
          <w:szCs w:val="18"/>
          <w:color w:val="auto"/>
        </w:rPr>
        <w:t>contrary instructions from one or more of the stockholders. We will</w:t>
      </w:r>
    </w:p>
    <w:p>
      <w:pPr>
        <w:ind w:left="160"/>
        <w:spacing w:after="0" w:line="233" w:lineRule="auto"/>
        <w:rPr>
          <w:sz w:val="20"/>
          <w:szCs w:val="20"/>
          <w:color w:val="auto"/>
        </w:rPr>
      </w:pPr>
      <w:r>
        <w:rPr>
          <w:rFonts w:ascii="Arial" w:cs="Arial" w:eastAsia="Arial" w:hAnsi="Arial"/>
          <w:sz w:val="18"/>
          <w:szCs w:val="18"/>
          <w:color w:val="auto"/>
        </w:rPr>
        <w:t>undertake to deliver promptly, upon written or oral request, a</w:t>
      </w:r>
    </w:p>
    <w:p>
      <w:pPr>
        <w:ind w:left="160"/>
        <w:spacing w:after="0"/>
        <w:rPr>
          <w:sz w:val="20"/>
          <w:szCs w:val="20"/>
          <w:color w:val="auto"/>
        </w:rPr>
      </w:pPr>
      <w:r>
        <w:rPr>
          <w:rFonts w:ascii="Arial" w:cs="Arial" w:eastAsia="Arial" w:hAnsi="Arial"/>
          <w:sz w:val="18"/>
          <w:szCs w:val="18"/>
          <w:color w:val="auto"/>
        </w:rPr>
        <w:t>separate</w:t>
      </w:r>
    </w:p>
    <w:p>
      <w:pPr>
        <w:spacing w:after="0" w:line="270" w:lineRule="exact"/>
        <w:rPr>
          <w:sz w:val="20"/>
          <w:szCs w:val="20"/>
          <w:color w:val="auto"/>
        </w:rPr>
      </w:pPr>
    </w:p>
    <w:tbl>
      <w:tblPr>
        <w:tblLayout w:type="fixed"/>
        <w:tblInd w:w="8500" w:type="dxa"/>
        <w:tblCellMar>
          <w:top w:w="0" w:type="dxa"/>
          <w:left w:w="0" w:type="dxa"/>
          <w:bottom w:w="0" w:type="dxa"/>
          <w:right w:w="0" w:type="dxa"/>
        </w:tblCellMar>
      </w:tblPr>
      <w:tr>
        <w:trPr>
          <w:trHeight w:val="233"/>
        </w:trPr>
        <w:tc>
          <w:tcPr>
            <w:tcW w:w="2060" w:type="dxa"/>
            <w:vAlign w:val="bottom"/>
            <w:tcBorders>
              <w:right w:val="single" w:sz="8" w:color="050A54"/>
            </w:tcBorders>
          </w:tcPr>
          <w:p>
            <w:pPr>
              <w:spacing w:after="0"/>
              <w:rPr>
                <w:sz w:val="20"/>
                <w:szCs w:val="20"/>
                <w:color w:val="auto"/>
              </w:rPr>
            </w:pPr>
            <w:r>
              <w:rPr>
                <w:rFonts w:ascii="Arial" w:cs="Arial" w:eastAsia="Arial" w:hAnsi="Arial"/>
                <w:sz w:val="18"/>
                <w:szCs w:val="18"/>
                <w:b w:val="1"/>
                <w:bCs w:val="1"/>
                <w:color w:val="050A54"/>
              </w:rPr>
              <w:t>2022 Proxy Statement</w:t>
            </w:r>
          </w:p>
        </w:tc>
        <w:tc>
          <w:tcPr>
            <w:tcW w:w="520" w:type="dxa"/>
            <w:vAlign w:val="bottom"/>
          </w:tcPr>
          <w:p>
            <w:pPr>
              <w:jc w:val="right"/>
              <w:spacing w:after="0"/>
              <w:rPr>
                <w:sz w:val="20"/>
                <w:szCs w:val="20"/>
                <w:color w:val="auto"/>
              </w:rPr>
            </w:pPr>
            <w:r>
              <w:rPr>
                <w:rFonts w:ascii="Arial" w:cs="Arial" w:eastAsia="Arial" w:hAnsi="Arial"/>
                <w:sz w:val="18"/>
                <w:szCs w:val="18"/>
                <w:color w:val="050A54"/>
              </w:rPr>
              <w:t>5</w:t>
            </w:r>
          </w:p>
        </w:tc>
      </w:tr>
    </w:tbl>
    <w:p>
      <w:pPr>
        <w:sectPr>
          <w:pgSz w:w="11900" w:h="16838" w:orient="portrait"/>
          <w:cols w:equalWidth="0" w:num="1">
            <w:col w:w="11080"/>
          </w:cols>
          <w:pgMar w:left="320" w:top="454" w:right="49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11"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General Information About Corporate</w:t>
      </w:r>
    </w:p>
    <w:p>
      <w:pPr>
        <w:spacing w:after="0" w:line="4"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Governance and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60325</wp:posOffset>
            </wp:positionV>
            <wp:extent cx="69297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4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050A54"/>
        </w:rPr>
        <w:t>General Information About Corporate Governance and the Board of Directors</w:t>
      </w:r>
    </w:p>
    <w:p>
      <w:pPr>
        <w:spacing w:after="0" w:line="208"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We believe that good corporate governance is important to ensure that we are managed for the long-term benefit of our stakeholders. In support of that philosophy, we have adopted many leading corporate governance practices, including those summarized below and elsewhere in this proxy statement.</w:t>
      </w:r>
    </w:p>
    <w:p>
      <w:pPr>
        <w:spacing w:after="0" w:line="198" w:lineRule="exact"/>
        <w:rPr>
          <w:sz w:val="20"/>
          <w:szCs w:val="20"/>
          <w:color w:val="auto"/>
        </w:rPr>
      </w:pPr>
    </w:p>
    <w:tbl>
      <w:tblPr>
        <w:tblLayout w:type="fixed"/>
        <w:tblInd w:w="160" w:type="dxa"/>
        <w:tblCellMar>
          <w:top w:w="0" w:type="dxa"/>
          <w:left w:w="0" w:type="dxa"/>
          <w:bottom w:w="0" w:type="dxa"/>
          <w:right w:w="0" w:type="dxa"/>
        </w:tblCellMar>
      </w:tblPr>
      <w:tr>
        <w:trPr>
          <w:trHeight w:val="245"/>
        </w:trPr>
        <w:tc>
          <w:tcPr>
            <w:tcW w:w="2240" w:type="dxa"/>
            <w:vAlign w:val="bottom"/>
          </w:tcPr>
          <w:p>
            <w:pPr>
              <w:spacing w:after="0"/>
              <w:rPr>
                <w:sz w:val="21"/>
                <w:szCs w:val="21"/>
                <w:color w:val="auto"/>
              </w:rPr>
            </w:pPr>
          </w:p>
        </w:tc>
        <w:tc>
          <w:tcPr>
            <w:tcW w:w="8680" w:type="dxa"/>
            <w:vAlign w:val="bottom"/>
          </w:tcPr>
          <w:p>
            <w:pPr>
              <w:ind w:left="2360"/>
              <w:spacing w:after="0"/>
              <w:rPr>
                <w:sz w:val="20"/>
                <w:szCs w:val="20"/>
                <w:color w:val="auto"/>
              </w:rPr>
            </w:pPr>
            <w:r>
              <w:rPr>
                <w:rFonts w:ascii="Arial" w:cs="Arial" w:eastAsia="Arial" w:hAnsi="Arial"/>
                <w:sz w:val="18"/>
                <w:szCs w:val="18"/>
                <w:b w:val="1"/>
                <w:bCs w:val="1"/>
                <w:color w:val="050A54"/>
              </w:rPr>
              <w:t>BOARD PRACTICES</w:t>
            </w:r>
          </w:p>
        </w:tc>
      </w:tr>
      <w:tr>
        <w:trPr>
          <w:trHeight w:val="81"/>
        </w:trPr>
        <w:tc>
          <w:tcPr>
            <w:tcW w:w="2240" w:type="dxa"/>
            <w:vAlign w:val="bottom"/>
          </w:tcPr>
          <w:p>
            <w:pPr>
              <w:spacing w:after="0"/>
              <w:rPr>
                <w:sz w:val="7"/>
                <w:szCs w:val="7"/>
                <w:color w:val="auto"/>
              </w:rPr>
            </w:pPr>
          </w:p>
        </w:tc>
        <w:tc>
          <w:tcPr>
            <w:tcW w:w="8680" w:type="dxa"/>
            <w:vAlign w:val="bottom"/>
          </w:tcPr>
          <w:p>
            <w:pPr>
              <w:spacing w:after="0"/>
              <w:rPr>
                <w:sz w:val="7"/>
                <w:szCs w:val="7"/>
                <w:color w:val="auto"/>
              </w:rPr>
            </w:pPr>
          </w:p>
        </w:tc>
      </w:tr>
      <w:tr>
        <w:trPr>
          <w:trHeight w:val="182"/>
        </w:trPr>
        <w:tc>
          <w:tcPr>
            <w:tcW w:w="2240" w:type="dxa"/>
            <w:vAlign w:val="bottom"/>
            <w:shd w:val="clear" w:color="auto" w:fill="E8E8E8"/>
          </w:tcPr>
          <w:p>
            <w:pPr>
              <w:ind w:left="160"/>
              <w:spacing w:after="0" w:line="182" w:lineRule="exact"/>
              <w:rPr>
                <w:sz w:val="20"/>
                <w:szCs w:val="20"/>
                <w:color w:val="auto"/>
              </w:rPr>
            </w:pPr>
            <w:r>
              <w:rPr>
                <w:rFonts w:ascii="Arial" w:cs="Arial" w:eastAsia="Arial" w:hAnsi="Arial"/>
                <w:sz w:val="18"/>
                <w:szCs w:val="18"/>
                <w:color w:val="auto"/>
              </w:rPr>
              <w:t>Independence</w:t>
            </w:r>
          </w:p>
        </w:tc>
        <w:tc>
          <w:tcPr>
            <w:tcW w:w="8680" w:type="dxa"/>
            <w:vAlign w:val="bottom"/>
            <w:shd w:val="clear" w:color="auto" w:fill="E8E8E8"/>
          </w:tcPr>
          <w:p>
            <w:pPr>
              <w:ind w:left="200"/>
              <w:spacing w:after="0" w:line="182" w:lineRule="exact"/>
              <w:rPr>
                <w:sz w:val="20"/>
                <w:szCs w:val="20"/>
                <w:color w:val="auto"/>
              </w:rPr>
            </w:pPr>
            <w:r>
              <w:rPr>
                <w:rFonts w:ascii="Arial" w:cs="Arial" w:eastAsia="Arial" w:hAnsi="Arial"/>
                <w:sz w:val="18"/>
                <w:szCs w:val="18"/>
                <w:color w:val="auto"/>
              </w:rPr>
              <w:t>A majority of our directors must be independent. All of our director nominees other than our chief</w:t>
            </w:r>
          </w:p>
        </w:tc>
      </w:tr>
      <w:tr>
        <w:trPr>
          <w:trHeight w:val="201"/>
        </w:trPr>
        <w:tc>
          <w:tcPr>
            <w:tcW w:w="2240" w:type="dxa"/>
            <w:vAlign w:val="bottom"/>
            <w:shd w:val="clear" w:color="auto" w:fill="E8E8E8"/>
          </w:tcPr>
          <w:p>
            <w:pPr>
              <w:spacing w:after="0"/>
              <w:rPr>
                <w:sz w:val="17"/>
                <w:szCs w:val="17"/>
                <w:color w:val="auto"/>
              </w:rPr>
            </w:pPr>
          </w:p>
        </w:tc>
        <w:tc>
          <w:tcPr>
            <w:tcW w:w="8680" w:type="dxa"/>
            <w:vAlign w:val="bottom"/>
            <w:shd w:val="clear" w:color="auto" w:fill="E8E8E8"/>
          </w:tcPr>
          <w:p>
            <w:pPr>
              <w:ind w:left="200"/>
              <w:spacing w:after="0" w:line="201" w:lineRule="exact"/>
              <w:rPr>
                <w:sz w:val="20"/>
                <w:szCs w:val="20"/>
                <w:color w:val="auto"/>
              </w:rPr>
            </w:pPr>
            <w:r>
              <w:rPr>
                <w:rFonts w:ascii="Arial" w:cs="Arial" w:eastAsia="Arial" w:hAnsi="Arial"/>
                <w:sz w:val="18"/>
                <w:szCs w:val="18"/>
                <w:color w:val="auto"/>
              </w:rPr>
              <w:t>executive officer are independent, and all of the Board committees are composed exclusively of</w:t>
            </w:r>
          </w:p>
        </w:tc>
      </w:tr>
      <w:tr>
        <w:trPr>
          <w:trHeight w:val="253"/>
        </w:trPr>
        <w:tc>
          <w:tcPr>
            <w:tcW w:w="2240" w:type="dxa"/>
            <w:vAlign w:val="bottom"/>
            <w:tcBorders>
              <w:bottom w:val="single" w:sz="8" w:color="E8E8E8"/>
            </w:tcBorders>
            <w:shd w:val="clear" w:color="auto" w:fill="E8E8E8"/>
          </w:tcPr>
          <w:p>
            <w:pPr>
              <w:spacing w:after="0"/>
              <w:rPr>
                <w:sz w:val="21"/>
                <w:szCs w:val="21"/>
                <w:color w:val="auto"/>
              </w:rPr>
            </w:pPr>
          </w:p>
        </w:tc>
        <w:tc>
          <w:tcPr>
            <w:tcW w:w="8680" w:type="dxa"/>
            <w:vAlign w:val="bottom"/>
            <w:tcBorders>
              <w:bottom w:val="single" w:sz="8" w:color="E8E8E8"/>
            </w:tcBorders>
            <w:shd w:val="clear" w:color="auto" w:fill="E8E8E8"/>
          </w:tcPr>
          <w:p>
            <w:pPr>
              <w:ind w:left="200"/>
              <w:spacing w:after="0"/>
              <w:rPr>
                <w:sz w:val="20"/>
                <w:szCs w:val="20"/>
                <w:color w:val="auto"/>
              </w:rPr>
            </w:pPr>
            <w:r>
              <w:rPr>
                <w:rFonts w:ascii="Arial" w:cs="Arial" w:eastAsia="Arial" w:hAnsi="Arial"/>
                <w:sz w:val="18"/>
                <w:szCs w:val="18"/>
                <w:color w:val="auto"/>
              </w:rPr>
              <w:t>independent directors.</w:t>
            </w:r>
          </w:p>
        </w:tc>
      </w:tr>
      <w:tr>
        <w:trPr>
          <w:trHeight w:val="182"/>
        </w:trPr>
        <w:tc>
          <w:tcPr>
            <w:tcW w:w="2240" w:type="dxa"/>
            <w:vAlign w:val="bottom"/>
          </w:tcPr>
          <w:p>
            <w:pPr>
              <w:ind w:left="160"/>
              <w:spacing w:after="0" w:line="182" w:lineRule="exact"/>
              <w:rPr>
                <w:sz w:val="20"/>
                <w:szCs w:val="20"/>
                <w:color w:val="auto"/>
              </w:rPr>
            </w:pPr>
            <w:r>
              <w:rPr>
                <w:rFonts w:ascii="Arial" w:cs="Arial" w:eastAsia="Arial" w:hAnsi="Arial"/>
                <w:sz w:val="18"/>
                <w:szCs w:val="18"/>
                <w:color w:val="auto"/>
              </w:rPr>
              <w:t>Non-executive Chair</w:t>
            </w:r>
          </w:p>
        </w:tc>
        <w:tc>
          <w:tcPr>
            <w:tcW w:w="8680" w:type="dxa"/>
            <w:vAlign w:val="bottom"/>
          </w:tcPr>
          <w:p>
            <w:pPr>
              <w:ind w:left="200"/>
              <w:spacing w:after="0" w:line="182" w:lineRule="exact"/>
              <w:rPr>
                <w:sz w:val="20"/>
                <w:szCs w:val="20"/>
                <w:color w:val="auto"/>
              </w:rPr>
            </w:pPr>
            <w:r>
              <w:rPr>
                <w:rFonts w:ascii="Arial" w:cs="Arial" w:eastAsia="Arial" w:hAnsi="Arial"/>
                <w:sz w:val="18"/>
                <w:szCs w:val="18"/>
                <w:color w:val="auto"/>
              </w:rPr>
              <w:t>We currently separate the offices of chair of the Board and chief executive officer of the Company. The</w:t>
            </w:r>
          </w:p>
        </w:tc>
      </w:tr>
      <w:tr>
        <w:trPr>
          <w:trHeight w:val="235"/>
        </w:trPr>
        <w:tc>
          <w:tcPr>
            <w:tcW w:w="2240" w:type="dxa"/>
            <w:vAlign w:val="bottom"/>
          </w:tcPr>
          <w:p>
            <w:pPr>
              <w:spacing w:after="0"/>
              <w:rPr>
                <w:sz w:val="20"/>
                <w:szCs w:val="20"/>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current chair of our Board, James S. Putnam, is an independent director.</w:t>
            </w:r>
          </w:p>
        </w:tc>
      </w:tr>
      <w:tr>
        <w:trPr>
          <w:trHeight w:val="38"/>
        </w:trPr>
        <w:tc>
          <w:tcPr>
            <w:tcW w:w="2240" w:type="dxa"/>
            <w:vAlign w:val="bottom"/>
          </w:tcPr>
          <w:p>
            <w:pPr>
              <w:spacing w:after="0"/>
              <w:rPr>
                <w:sz w:val="3"/>
                <w:szCs w:val="3"/>
                <w:color w:val="auto"/>
              </w:rPr>
            </w:pPr>
          </w:p>
        </w:tc>
        <w:tc>
          <w:tcPr>
            <w:tcW w:w="8680" w:type="dxa"/>
            <w:vAlign w:val="bottom"/>
          </w:tcPr>
          <w:p>
            <w:pPr>
              <w:spacing w:after="0"/>
              <w:rPr>
                <w:sz w:val="3"/>
                <w:szCs w:val="3"/>
                <w:color w:val="auto"/>
              </w:rPr>
            </w:pPr>
          </w:p>
        </w:tc>
      </w:tr>
      <w:tr>
        <w:trPr>
          <w:trHeight w:val="182"/>
        </w:trPr>
        <w:tc>
          <w:tcPr>
            <w:tcW w:w="2240" w:type="dxa"/>
            <w:vAlign w:val="bottom"/>
            <w:shd w:val="clear" w:color="auto" w:fill="E8E8E8"/>
          </w:tcPr>
          <w:p>
            <w:pPr>
              <w:ind w:left="160"/>
              <w:spacing w:after="0" w:line="182" w:lineRule="exact"/>
              <w:rPr>
                <w:sz w:val="20"/>
                <w:szCs w:val="20"/>
                <w:color w:val="auto"/>
              </w:rPr>
            </w:pPr>
            <w:r>
              <w:rPr>
                <w:rFonts w:ascii="Arial" w:cs="Arial" w:eastAsia="Arial" w:hAnsi="Arial"/>
                <w:sz w:val="18"/>
                <w:szCs w:val="18"/>
                <w:color w:val="auto"/>
              </w:rPr>
              <w:t>Director Diversity</w:t>
            </w:r>
          </w:p>
        </w:tc>
        <w:tc>
          <w:tcPr>
            <w:tcW w:w="8680" w:type="dxa"/>
            <w:vAlign w:val="bottom"/>
            <w:shd w:val="clear" w:color="auto" w:fill="E8E8E8"/>
          </w:tcPr>
          <w:p>
            <w:pPr>
              <w:ind w:left="200"/>
              <w:spacing w:after="0" w:line="182" w:lineRule="exact"/>
              <w:rPr>
                <w:sz w:val="20"/>
                <w:szCs w:val="20"/>
                <w:color w:val="auto"/>
              </w:rPr>
            </w:pPr>
            <w:r>
              <w:rPr>
                <w:rFonts w:ascii="Arial" w:cs="Arial" w:eastAsia="Arial" w:hAnsi="Arial"/>
                <w:sz w:val="18"/>
                <w:szCs w:val="18"/>
                <w:color w:val="auto"/>
              </w:rPr>
              <w:t>Our goal is a balanced and diverse Board, with members who bring a diversity of skills, expertise,</w:t>
            </w:r>
          </w:p>
        </w:tc>
      </w:tr>
      <w:tr>
        <w:trPr>
          <w:trHeight w:val="201"/>
        </w:trPr>
        <w:tc>
          <w:tcPr>
            <w:tcW w:w="2240" w:type="dxa"/>
            <w:vAlign w:val="bottom"/>
            <w:shd w:val="clear" w:color="auto" w:fill="E8E8E8"/>
          </w:tcPr>
          <w:p>
            <w:pPr>
              <w:spacing w:after="0"/>
              <w:rPr>
                <w:sz w:val="17"/>
                <w:szCs w:val="17"/>
                <w:color w:val="auto"/>
              </w:rPr>
            </w:pPr>
          </w:p>
        </w:tc>
        <w:tc>
          <w:tcPr>
            <w:tcW w:w="8680" w:type="dxa"/>
            <w:vAlign w:val="bottom"/>
            <w:shd w:val="clear" w:color="auto" w:fill="E8E8E8"/>
          </w:tcPr>
          <w:p>
            <w:pPr>
              <w:ind w:left="200"/>
              <w:spacing w:after="0" w:line="201" w:lineRule="exact"/>
              <w:rPr>
                <w:sz w:val="20"/>
                <w:szCs w:val="20"/>
                <w:color w:val="auto"/>
              </w:rPr>
            </w:pPr>
            <w:r>
              <w:rPr>
                <w:rFonts w:ascii="Arial" w:cs="Arial" w:eastAsia="Arial" w:hAnsi="Arial"/>
                <w:sz w:val="18"/>
                <w:szCs w:val="18"/>
                <w:color w:val="auto"/>
              </w:rPr>
              <w:t>experiences, perspectives, tenures and personal characteristics, including with respect to age, race,</w:t>
            </w:r>
          </w:p>
        </w:tc>
      </w:tr>
      <w:tr>
        <w:trPr>
          <w:trHeight w:val="253"/>
        </w:trPr>
        <w:tc>
          <w:tcPr>
            <w:tcW w:w="2240" w:type="dxa"/>
            <w:vAlign w:val="bottom"/>
            <w:tcBorders>
              <w:bottom w:val="single" w:sz="8" w:color="E8E8E8"/>
            </w:tcBorders>
            <w:shd w:val="clear" w:color="auto" w:fill="E8E8E8"/>
          </w:tcPr>
          <w:p>
            <w:pPr>
              <w:spacing w:after="0"/>
              <w:rPr>
                <w:sz w:val="21"/>
                <w:szCs w:val="21"/>
                <w:color w:val="auto"/>
              </w:rPr>
            </w:pPr>
          </w:p>
        </w:tc>
        <w:tc>
          <w:tcPr>
            <w:tcW w:w="8680" w:type="dxa"/>
            <w:vAlign w:val="bottom"/>
            <w:tcBorders>
              <w:bottom w:val="single" w:sz="8" w:color="E8E8E8"/>
            </w:tcBorders>
            <w:shd w:val="clear" w:color="auto" w:fill="E8E8E8"/>
          </w:tcPr>
          <w:p>
            <w:pPr>
              <w:ind w:left="200"/>
              <w:spacing w:after="0"/>
              <w:rPr>
                <w:sz w:val="20"/>
                <w:szCs w:val="20"/>
                <w:color w:val="auto"/>
              </w:rPr>
            </w:pPr>
            <w:r>
              <w:rPr>
                <w:rFonts w:ascii="Arial" w:cs="Arial" w:eastAsia="Arial" w:hAnsi="Arial"/>
                <w:sz w:val="18"/>
                <w:szCs w:val="18"/>
                <w:color w:val="auto"/>
              </w:rPr>
              <w:t>gender and ethnicity.</w:t>
            </w:r>
          </w:p>
        </w:tc>
      </w:tr>
      <w:tr>
        <w:trPr>
          <w:trHeight w:val="182"/>
        </w:trPr>
        <w:tc>
          <w:tcPr>
            <w:tcW w:w="2240" w:type="dxa"/>
            <w:vAlign w:val="bottom"/>
          </w:tcPr>
          <w:p>
            <w:pPr>
              <w:ind w:left="160"/>
              <w:spacing w:after="0" w:line="182" w:lineRule="exact"/>
              <w:rPr>
                <w:sz w:val="20"/>
                <w:szCs w:val="20"/>
                <w:color w:val="auto"/>
              </w:rPr>
            </w:pPr>
            <w:r>
              <w:rPr>
                <w:rFonts w:ascii="Arial" w:cs="Arial" w:eastAsia="Arial" w:hAnsi="Arial"/>
                <w:sz w:val="18"/>
                <w:szCs w:val="18"/>
                <w:color w:val="auto"/>
              </w:rPr>
              <w:t>Board Refreshment</w:t>
            </w:r>
          </w:p>
        </w:tc>
        <w:tc>
          <w:tcPr>
            <w:tcW w:w="8680" w:type="dxa"/>
            <w:vAlign w:val="bottom"/>
          </w:tcPr>
          <w:p>
            <w:pPr>
              <w:ind w:left="200"/>
              <w:spacing w:after="0" w:line="182" w:lineRule="exact"/>
              <w:rPr>
                <w:sz w:val="20"/>
                <w:szCs w:val="20"/>
                <w:color w:val="auto"/>
              </w:rPr>
            </w:pPr>
            <w:r>
              <w:rPr>
                <w:rFonts w:ascii="Arial" w:cs="Arial" w:eastAsia="Arial" w:hAnsi="Arial"/>
                <w:sz w:val="18"/>
                <w:szCs w:val="18"/>
                <w:color w:val="auto"/>
              </w:rPr>
              <w:t>Our Board’s composition represents a balanced approach to director tenure, allowing the Board to benefit</w:t>
            </w:r>
          </w:p>
        </w:tc>
      </w:tr>
      <w:tr>
        <w:trPr>
          <w:trHeight w:val="201"/>
        </w:trPr>
        <w:tc>
          <w:tcPr>
            <w:tcW w:w="2240" w:type="dxa"/>
            <w:vAlign w:val="bottom"/>
          </w:tcPr>
          <w:p>
            <w:pPr>
              <w:spacing w:after="0"/>
              <w:rPr>
                <w:sz w:val="17"/>
                <w:szCs w:val="17"/>
                <w:color w:val="auto"/>
              </w:rPr>
            </w:pPr>
          </w:p>
        </w:tc>
        <w:tc>
          <w:tcPr>
            <w:tcW w:w="8680" w:type="dxa"/>
            <w:vAlign w:val="bottom"/>
          </w:tcPr>
          <w:p>
            <w:pPr>
              <w:ind w:left="200"/>
              <w:spacing w:after="0" w:line="201" w:lineRule="exact"/>
              <w:rPr>
                <w:sz w:val="20"/>
                <w:szCs w:val="20"/>
                <w:color w:val="auto"/>
              </w:rPr>
            </w:pPr>
            <w:r>
              <w:rPr>
                <w:rFonts w:ascii="Arial" w:cs="Arial" w:eastAsia="Arial" w:hAnsi="Arial"/>
                <w:sz w:val="18"/>
                <w:szCs w:val="18"/>
                <w:color w:val="auto"/>
              </w:rPr>
              <w:t>from the experience of longer-serving directors as well as fresh perspectives from newer directors. The</w:t>
            </w:r>
          </w:p>
        </w:tc>
      </w:tr>
      <w:tr>
        <w:trPr>
          <w:trHeight w:val="201"/>
        </w:trPr>
        <w:tc>
          <w:tcPr>
            <w:tcW w:w="2240" w:type="dxa"/>
            <w:vAlign w:val="bottom"/>
          </w:tcPr>
          <w:p>
            <w:pPr>
              <w:spacing w:after="0"/>
              <w:rPr>
                <w:sz w:val="17"/>
                <w:szCs w:val="17"/>
                <w:color w:val="auto"/>
              </w:rPr>
            </w:pPr>
          </w:p>
        </w:tc>
        <w:tc>
          <w:tcPr>
            <w:tcW w:w="8680" w:type="dxa"/>
            <w:vAlign w:val="bottom"/>
          </w:tcPr>
          <w:p>
            <w:pPr>
              <w:ind w:left="200"/>
              <w:spacing w:after="0" w:line="201" w:lineRule="exact"/>
              <w:rPr>
                <w:sz w:val="20"/>
                <w:szCs w:val="20"/>
                <w:color w:val="auto"/>
              </w:rPr>
            </w:pPr>
            <w:r>
              <w:rPr>
                <w:rFonts w:ascii="Arial" w:cs="Arial" w:eastAsia="Arial" w:hAnsi="Arial"/>
                <w:sz w:val="18"/>
                <w:szCs w:val="18"/>
                <w:color w:val="auto"/>
              </w:rPr>
              <w:t>nominating and governance committee of the Board (the “Nominating and Governance Committee”) has</w:t>
            </w:r>
          </w:p>
        </w:tc>
      </w:tr>
      <w:tr>
        <w:trPr>
          <w:trHeight w:val="235"/>
        </w:trPr>
        <w:tc>
          <w:tcPr>
            <w:tcW w:w="2240" w:type="dxa"/>
            <w:vAlign w:val="bottom"/>
          </w:tcPr>
          <w:p>
            <w:pPr>
              <w:spacing w:after="0"/>
              <w:rPr>
                <w:sz w:val="20"/>
                <w:szCs w:val="20"/>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developed a skills matrix to inform director searches and succession planning.</w:t>
            </w:r>
          </w:p>
        </w:tc>
      </w:tr>
      <w:tr>
        <w:trPr>
          <w:trHeight w:val="38"/>
        </w:trPr>
        <w:tc>
          <w:tcPr>
            <w:tcW w:w="2240" w:type="dxa"/>
            <w:vAlign w:val="bottom"/>
          </w:tcPr>
          <w:p>
            <w:pPr>
              <w:spacing w:after="0"/>
              <w:rPr>
                <w:sz w:val="3"/>
                <w:szCs w:val="3"/>
                <w:color w:val="auto"/>
              </w:rPr>
            </w:pPr>
          </w:p>
        </w:tc>
        <w:tc>
          <w:tcPr>
            <w:tcW w:w="8680" w:type="dxa"/>
            <w:vAlign w:val="bottom"/>
          </w:tcPr>
          <w:p>
            <w:pPr>
              <w:spacing w:after="0"/>
              <w:rPr>
                <w:sz w:val="3"/>
                <w:szCs w:val="3"/>
                <w:color w:val="auto"/>
              </w:rPr>
            </w:pPr>
          </w:p>
        </w:tc>
      </w:tr>
      <w:tr>
        <w:trPr>
          <w:trHeight w:val="182"/>
        </w:trPr>
        <w:tc>
          <w:tcPr>
            <w:tcW w:w="2240" w:type="dxa"/>
            <w:vAlign w:val="bottom"/>
            <w:shd w:val="clear" w:color="auto" w:fill="E8E8E8"/>
          </w:tcPr>
          <w:p>
            <w:pPr>
              <w:ind w:left="160"/>
              <w:spacing w:after="0" w:line="182" w:lineRule="exact"/>
              <w:rPr>
                <w:sz w:val="20"/>
                <w:szCs w:val="20"/>
                <w:color w:val="auto"/>
              </w:rPr>
            </w:pPr>
            <w:r>
              <w:rPr>
                <w:rFonts w:ascii="Arial" w:cs="Arial" w:eastAsia="Arial" w:hAnsi="Arial"/>
                <w:sz w:val="18"/>
                <w:szCs w:val="18"/>
                <w:color w:val="auto"/>
              </w:rPr>
              <w:t>Director Overboarding</w:t>
            </w:r>
          </w:p>
        </w:tc>
        <w:tc>
          <w:tcPr>
            <w:tcW w:w="8680" w:type="dxa"/>
            <w:vAlign w:val="bottom"/>
            <w:shd w:val="clear" w:color="auto" w:fill="E8E8E8"/>
          </w:tcPr>
          <w:p>
            <w:pPr>
              <w:ind w:left="200"/>
              <w:spacing w:after="0" w:line="182" w:lineRule="exact"/>
              <w:rPr>
                <w:sz w:val="20"/>
                <w:szCs w:val="20"/>
                <w:color w:val="auto"/>
              </w:rPr>
            </w:pPr>
            <w:r>
              <w:rPr>
                <w:rFonts w:ascii="Arial" w:cs="Arial" w:eastAsia="Arial" w:hAnsi="Arial"/>
                <w:sz w:val="18"/>
                <w:szCs w:val="18"/>
                <w:color w:val="auto"/>
              </w:rPr>
              <w:t>Any director who is not serving as chief executive officer of a public company is expected to serve on no</w:t>
            </w:r>
          </w:p>
        </w:tc>
      </w:tr>
      <w:tr>
        <w:trPr>
          <w:trHeight w:val="201"/>
        </w:trPr>
        <w:tc>
          <w:tcPr>
            <w:tcW w:w="2240" w:type="dxa"/>
            <w:vAlign w:val="bottom"/>
            <w:shd w:val="clear" w:color="auto" w:fill="E8E8E8"/>
          </w:tcPr>
          <w:p>
            <w:pPr>
              <w:spacing w:after="0"/>
              <w:rPr>
                <w:sz w:val="17"/>
                <w:szCs w:val="17"/>
                <w:color w:val="auto"/>
              </w:rPr>
            </w:pPr>
          </w:p>
        </w:tc>
        <w:tc>
          <w:tcPr>
            <w:tcW w:w="8680" w:type="dxa"/>
            <w:vAlign w:val="bottom"/>
            <w:shd w:val="clear" w:color="auto" w:fill="E8E8E8"/>
          </w:tcPr>
          <w:p>
            <w:pPr>
              <w:ind w:left="200"/>
              <w:spacing w:after="0" w:line="201" w:lineRule="exact"/>
              <w:rPr>
                <w:sz w:val="20"/>
                <w:szCs w:val="20"/>
                <w:color w:val="auto"/>
              </w:rPr>
            </w:pPr>
            <w:r>
              <w:rPr>
                <w:rFonts w:ascii="Arial" w:cs="Arial" w:eastAsia="Arial" w:hAnsi="Arial"/>
                <w:sz w:val="18"/>
                <w:szCs w:val="18"/>
                <w:color w:val="auto"/>
              </w:rPr>
              <w:t>more than four public company boards (including our Board), and any director serving as chief executive</w:t>
            </w:r>
          </w:p>
        </w:tc>
      </w:tr>
      <w:tr>
        <w:trPr>
          <w:trHeight w:val="201"/>
        </w:trPr>
        <w:tc>
          <w:tcPr>
            <w:tcW w:w="2240" w:type="dxa"/>
            <w:vAlign w:val="bottom"/>
            <w:shd w:val="clear" w:color="auto" w:fill="E8E8E8"/>
          </w:tcPr>
          <w:p>
            <w:pPr>
              <w:spacing w:after="0"/>
              <w:rPr>
                <w:sz w:val="17"/>
                <w:szCs w:val="17"/>
                <w:color w:val="auto"/>
              </w:rPr>
            </w:pPr>
          </w:p>
        </w:tc>
        <w:tc>
          <w:tcPr>
            <w:tcW w:w="8680" w:type="dxa"/>
            <w:vAlign w:val="bottom"/>
            <w:shd w:val="clear" w:color="auto" w:fill="E8E8E8"/>
          </w:tcPr>
          <w:p>
            <w:pPr>
              <w:ind w:left="200"/>
              <w:spacing w:after="0" w:line="201" w:lineRule="exact"/>
              <w:rPr>
                <w:sz w:val="20"/>
                <w:szCs w:val="20"/>
                <w:color w:val="auto"/>
              </w:rPr>
            </w:pPr>
            <w:r>
              <w:rPr>
                <w:rFonts w:ascii="Arial" w:cs="Arial" w:eastAsia="Arial" w:hAnsi="Arial"/>
                <w:sz w:val="18"/>
                <w:szCs w:val="18"/>
                <w:color w:val="auto"/>
              </w:rPr>
              <w:t>officer of a public company is expected to serve on no more than three public company boards (including</w:t>
            </w:r>
          </w:p>
        </w:tc>
      </w:tr>
      <w:tr>
        <w:trPr>
          <w:trHeight w:val="253"/>
        </w:trPr>
        <w:tc>
          <w:tcPr>
            <w:tcW w:w="2240" w:type="dxa"/>
            <w:vAlign w:val="bottom"/>
            <w:tcBorders>
              <w:bottom w:val="single" w:sz="8" w:color="E8E8E8"/>
            </w:tcBorders>
            <w:shd w:val="clear" w:color="auto" w:fill="E8E8E8"/>
          </w:tcPr>
          <w:p>
            <w:pPr>
              <w:spacing w:after="0"/>
              <w:rPr>
                <w:sz w:val="21"/>
                <w:szCs w:val="21"/>
                <w:color w:val="auto"/>
              </w:rPr>
            </w:pPr>
          </w:p>
        </w:tc>
        <w:tc>
          <w:tcPr>
            <w:tcW w:w="8680" w:type="dxa"/>
            <w:vAlign w:val="bottom"/>
            <w:tcBorders>
              <w:bottom w:val="single" w:sz="8" w:color="E8E8E8"/>
            </w:tcBorders>
            <w:shd w:val="clear" w:color="auto" w:fill="E8E8E8"/>
          </w:tcPr>
          <w:p>
            <w:pPr>
              <w:ind w:left="200"/>
              <w:spacing w:after="0"/>
              <w:rPr>
                <w:sz w:val="20"/>
                <w:szCs w:val="20"/>
                <w:color w:val="auto"/>
              </w:rPr>
            </w:pPr>
            <w:r>
              <w:rPr>
                <w:rFonts w:ascii="Arial" w:cs="Arial" w:eastAsia="Arial" w:hAnsi="Arial"/>
                <w:sz w:val="18"/>
                <w:szCs w:val="18"/>
                <w:color w:val="auto"/>
              </w:rPr>
              <w:t>the board of his or her own company).</w:t>
            </w:r>
          </w:p>
        </w:tc>
      </w:tr>
      <w:tr>
        <w:trPr>
          <w:trHeight w:val="182"/>
        </w:trPr>
        <w:tc>
          <w:tcPr>
            <w:tcW w:w="2240" w:type="dxa"/>
            <w:vAlign w:val="bottom"/>
          </w:tcPr>
          <w:p>
            <w:pPr>
              <w:ind w:left="160"/>
              <w:spacing w:after="0" w:line="182" w:lineRule="exact"/>
              <w:rPr>
                <w:sz w:val="20"/>
                <w:szCs w:val="20"/>
                <w:color w:val="auto"/>
              </w:rPr>
            </w:pPr>
            <w:r>
              <w:rPr>
                <w:rFonts w:ascii="Arial" w:cs="Arial" w:eastAsia="Arial" w:hAnsi="Arial"/>
                <w:sz w:val="18"/>
                <w:szCs w:val="18"/>
                <w:color w:val="auto"/>
              </w:rPr>
              <w:t>Committee Membership</w:t>
            </w:r>
          </w:p>
        </w:tc>
        <w:tc>
          <w:tcPr>
            <w:tcW w:w="8680" w:type="dxa"/>
            <w:vAlign w:val="bottom"/>
          </w:tcPr>
          <w:p>
            <w:pPr>
              <w:ind w:left="200"/>
              <w:spacing w:after="0" w:line="182" w:lineRule="exact"/>
              <w:rPr>
                <w:sz w:val="20"/>
                <w:szCs w:val="20"/>
                <w:color w:val="auto"/>
              </w:rPr>
            </w:pPr>
            <w:r>
              <w:rPr>
                <w:rFonts w:ascii="Arial" w:cs="Arial" w:eastAsia="Arial" w:hAnsi="Arial"/>
                <w:sz w:val="18"/>
                <w:szCs w:val="18"/>
                <w:color w:val="auto"/>
              </w:rPr>
              <w:t>The Board appoints members of its committees on an annual basis with the Nominating and Governance</w:t>
            </w:r>
          </w:p>
        </w:tc>
      </w:tr>
      <w:tr>
        <w:trPr>
          <w:trHeight w:val="201"/>
        </w:trPr>
        <w:tc>
          <w:tcPr>
            <w:tcW w:w="2240" w:type="dxa"/>
            <w:vAlign w:val="bottom"/>
          </w:tcPr>
          <w:p>
            <w:pPr>
              <w:spacing w:after="0"/>
              <w:rPr>
                <w:sz w:val="17"/>
                <w:szCs w:val="17"/>
                <w:color w:val="auto"/>
              </w:rPr>
            </w:pPr>
          </w:p>
        </w:tc>
        <w:tc>
          <w:tcPr>
            <w:tcW w:w="8680" w:type="dxa"/>
            <w:vAlign w:val="bottom"/>
          </w:tcPr>
          <w:p>
            <w:pPr>
              <w:ind w:left="200"/>
              <w:spacing w:after="0" w:line="201" w:lineRule="exact"/>
              <w:rPr>
                <w:sz w:val="20"/>
                <w:szCs w:val="20"/>
                <w:color w:val="auto"/>
              </w:rPr>
            </w:pPr>
            <w:r>
              <w:rPr>
                <w:rFonts w:ascii="Arial" w:cs="Arial" w:eastAsia="Arial" w:hAnsi="Arial"/>
                <w:sz w:val="18"/>
                <w:szCs w:val="18"/>
                <w:color w:val="auto"/>
              </w:rPr>
              <w:t>Committee reviewing and recommending committee membership based in part on the need to ensure a</w:t>
            </w:r>
          </w:p>
        </w:tc>
      </w:tr>
      <w:tr>
        <w:trPr>
          <w:trHeight w:val="235"/>
        </w:trPr>
        <w:tc>
          <w:tcPr>
            <w:tcW w:w="2240" w:type="dxa"/>
            <w:vAlign w:val="bottom"/>
          </w:tcPr>
          <w:p>
            <w:pPr>
              <w:spacing w:after="0"/>
              <w:rPr>
                <w:sz w:val="20"/>
                <w:szCs w:val="20"/>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succession plan for each committee chair.</w:t>
            </w:r>
          </w:p>
        </w:tc>
      </w:tr>
      <w:tr>
        <w:trPr>
          <w:trHeight w:val="38"/>
        </w:trPr>
        <w:tc>
          <w:tcPr>
            <w:tcW w:w="2240" w:type="dxa"/>
            <w:vAlign w:val="bottom"/>
          </w:tcPr>
          <w:p>
            <w:pPr>
              <w:spacing w:after="0"/>
              <w:rPr>
                <w:sz w:val="3"/>
                <w:szCs w:val="3"/>
                <w:color w:val="auto"/>
              </w:rPr>
            </w:pPr>
          </w:p>
        </w:tc>
        <w:tc>
          <w:tcPr>
            <w:tcW w:w="8680" w:type="dxa"/>
            <w:vAlign w:val="bottom"/>
          </w:tcPr>
          <w:p>
            <w:pPr>
              <w:spacing w:after="0"/>
              <w:rPr>
                <w:sz w:val="3"/>
                <w:szCs w:val="3"/>
                <w:color w:val="auto"/>
              </w:rPr>
            </w:pPr>
          </w:p>
        </w:tc>
      </w:tr>
      <w:tr>
        <w:trPr>
          <w:trHeight w:val="182"/>
        </w:trPr>
        <w:tc>
          <w:tcPr>
            <w:tcW w:w="2240" w:type="dxa"/>
            <w:vAlign w:val="bottom"/>
            <w:shd w:val="clear" w:color="auto" w:fill="E8E8E8"/>
          </w:tcPr>
          <w:p>
            <w:pPr>
              <w:ind w:left="160"/>
              <w:spacing w:after="0" w:line="182" w:lineRule="exact"/>
              <w:rPr>
                <w:sz w:val="20"/>
                <w:szCs w:val="20"/>
                <w:color w:val="auto"/>
              </w:rPr>
            </w:pPr>
            <w:r>
              <w:rPr>
                <w:rFonts w:ascii="Arial" w:cs="Arial" w:eastAsia="Arial" w:hAnsi="Arial"/>
                <w:sz w:val="18"/>
                <w:szCs w:val="18"/>
                <w:color w:val="auto"/>
              </w:rPr>
              <w:t>Board Self-evaluations</w:t>
            </w:r>
          </w:p>
        </w:tc>
        <w:tc>
          <w:tcPr>
            <w:tcW w:w="8680" w:type="dxa"/>
            <w:vAlign w:val="bottom"/>
            <w:shd w:val="clear" w:color="auto" w:fill="E8E8E8"/>
          </w:tcPr>
          <w:p>
            <w:pPr>
              <w:ind w:left="200"/>
              <w:spacing w:after="0" w:line="182" w:lineRule="exact"/>
              <w:rPr>
                <w:sz w:val="20"/>
                <w:szCs w:val="20"/>
                <w:color w:val="auto"/>
              </w:rPr>
            </w:pPr>
            <w:r>
              <w:rPr>
                <w:rFonts w:ascii="Arial" w:cs="Arial" w:eastAsia="Arial" w:hAnsi="Arial"/>
                <w:sz w:val="18"/>
                <w:szCs w:val="18"/>
                <w:color w:val="auto"/>
              </w:rPr>
              <w:t>The Board conducts an annual evaluation of its performance, operations, size and composition with the</w:t>
            </w:r>
          </w:p>
        </w:tc>
      </w:tr>
      <w:tr>
        <w:trPr>
          <w:trHeight w:val="201"/>
        </w:trPr>
        <w:tc>
          <w:tcPr>
            <w:tcW w:w="2240" w:type="dxa"/>
            <w:vAlign w:val="bottom"/>
            <w:shd w:val="clear" w:color="auto" w:fill="E8E8E8"/>
          </w:tcPr>
          <w:p>
            <w:pPr>
              <w:spacing w:after="0"/>
              <w:rPr>
                <w:sz w:val="17"/>
                <w:szCs w:val="17"/>
                <w:color w:val="auto"/>
              </w:rPr>
            </w:pPr>
          </w:p>
        </w:tc>
        <w:tc>
          <w:tcPr>
            <w:tcW w:w="8680" w:type="dxa"/>
            <w:vAlign w:val="bottom"/>
            <w:shd w:val="clear" w:color="auto" w:fill="E8E8E8"/>
          </w:tcPr>
          <w:p>
            <w:pPr>
              <w:ind w:left="200"/>
              <w:spacing w:after="0" w:line="201" w:lineRule="exact"/>
              <w:rPr>
                <w:sz w:val="20"/>
                <w:szCs w:val="20"/>
                <w:color w:val="auto"/>
              </w:rPr>
            </w:pPr>
            <w:r>
              <w:rPr>
                <w:rFonts w:ascii="Arial" w:cs="Arial" w:eastAsia="Arial" w:hAnsi="Arial"/>
                <w:sz w:val="18"/>
                <w:szCs w:val="18"/>
                <w:color w:val="auto"/>
              </w:rPr>
              <w:t>Nominating and Governance Committee overseeing the evaluation process, which also encompasses the</w:t>
            </w:r>
          </w:p>
        </w:tc>
      </w:tr>
      <w:tr>
        <w:trPr>
          <w:trHeight w:val="253"/>
        </w:trPr>
        <w:tc>
          <w:tcPr>
            <w:tcW w:w="2240" w:type="dxa"/>
            <w:vAlign w:val="bottom"/>
            <w:tcBorders>
              <w:bottom w:val="single" w:sz="8" w:color="E8E8E8"/>
            </w:tcBorders>
            <w:shd w:val="clear" w:color="auto" w:fill="E8E8E8"/>
          </w:tcPr>
          <w:p>
            <w:pPr>
              <w:spacing w:after="0"/>
              <w:rPr>
                <w:sz w:val="21"/>
                <w:szCs w:val="21"/>
                <w:color w:val="auto"/>
              </w:rPr>
            </w:pPr>
          </w:p>
        </w:tc>
        <w:tc>
          <w:tcPr>
            <w:tcW w:w="8680" w:type="dxa"/>
            <w:vAlign w:val="bottom"/>
            <w:tcBorders>
              <w:bottom w:val="single" w:sz="8" w:color="E8E8E8"/>
            </w:tcBorders>
            <w:shd w:val="clear" w:color="auto" w:fill="E8E8E8"/>
          </w:tcPr>
          <w:p>
            <w:pPr>
              <w:ind w:left="200"/>
              <w:spacing w:after="0"/>
              <w:rPr>
                <w:sz w:val="20"/>
                <w:szCs w:val="20"/>
                <w:color w:val="auto"/>
              </w:rPr>
            </w:pPr>
            <w:r>
              <w:rPr>
                <w:rFonts w:ascii="Arial" w:cs="Arial" w:eastAsia="Arial" w:hAnsi="Arial"/>
                <w:sz w:val="18"/>
                <w:szCs w:val="18"/>
                <w:color w:val="auto"/>
              </w:rPr>
              <w:t>Board’s committees.</w:t>
            </w:r>
          </w:p>
        </w:tc>
      </w:tr>
      <w:tr>
        <w:trPr>
          <w:trHeight w:val="182"/>
        </w:trPr>
        <w:tc>
          <w:tcPr>
            <w:tcW w:w="2240" w:type="dxa"/>
            <w:vAlign w:val="bottom"/>
          </w:tcPr>
          <w:p>
            <w:pPr>
              <w:ind w:left="160"/>
              <w:spacing w:after="0" w:line="182" w:lineRule="exact"/>
              <w:rPr>
                <w:sz w:val="20"/>
                <w:szCs w:val="20"/>
                <w:color w:val="auto"/>
              </w:rPr>
            </w:pPr>
            <w:r>
              <w:rPr>
                <w:rFonts w:ascii="Arial" w:cs="Arial" w:eastAsia="Arial" w:hAnsi="Arial"/>
                <w:sz w:val="18"/>
                <w:szCs w:val="18"/>
                <w:color w:val="auto"/>
              </w:rPr>
              <w:t>Strategy Oversight</w:t>
            </w:r>
          </w:p>
        </w:tc>
        <w:tc>
          <w:tcPr>
            <w:tcW w:w="8680" w:type="dxa"/>
            <w:vAlign w:val="bottom"/>
          </w:tcPr>
          <w:p>
            <w:pPr>
              <w:ind w:left="200"/>
              <w:spacing w:after="0" w:line="182" w:lineRule="exact"/>
              <w:rPr>
                <w:sz w:val="20"/>
                <w:szCs w:val="20"/>
                <w:color w:val="auto"/>
              </w:rPr>
            </w:pPr>
            <w:r>
              <w:rPr>
                <w:rFonts w:ascii="Arial" w:cs="Arial" w:eastAsia="Arial" w:hAnsi="Arial"/>
                <w:sz w:val="18"/>
                <w:szCs w:val="18"/>
                <w:color w:val="auto"/>
              </w:rPr>
              <w:t>In addition to discussing at least one strategic topic in each quarterly meeting, the Board holds an annual</w:t>
            </w:r>
          </w:p>
        </w:tc>
      </w:tr>
      <w:tr>
        <w:trPr>
          <w:trHeight w:val="201"/>
        </w:trPr>
        <w:tc>
          <w:tcPr>
            <w:tcW w:w="2240" w:type="dxa"/>
            <w:vAlign w:val="bottom"/>
          </w:tcPr>
          <w:p>
            <w:pPr>
              <w:spacing w:after="0"/>
              <w:rPr>
                <w:sz w:val="17"/>
                <w:szCs w:val="17"/>
                <w:color w:val="auto"/>
              </w:rPr>
            </w:pPr>
          </w:p>
        </w:tc>
        <w:tc>
          <w:tcPr>
            <w:tcW w:w="8680" w:type="dxa"/>
            <w:vAlign w:val="bottom"/>
          </w:tcPr>
          <w:p>
            <w:pPr>
              <w:ind w:left="200"/>
              <w:spacing w:after="0" w:line="201" w:lineRule="exact"/>
              <w:rPr>
                <w:sz w:val="20"/>
                <w:szCs w:val="20"/>
                <w:color w:val="auto"/>
              </w:rPr>
            </w:pPr>
            <w:r>
              <w:rPr>
                <w:rFonts w:ascii="Arial" w:cs="Arial" w:eastAsia="Arial" w:hAnsi="Arial"/>
                <w:sz w:val="18"/>
                <w:szCs w:val="18"/>
                <w:color w:val="auto"/>
              </w:rPr>
              <w:t>two-day session focused on the Company’s long-term strategy, which informs the Board’s oversight and</w:t>
            </w:r>
          </w:p>
        </w:tc>
      </w:tr>
      <w:tr>
        <w:trPr>
          <w:trHeight w:val="235"/>
        </w:trPr>
        <w:tc>
          <w:tcPr>
            <w:tcW w:w="2240" w:type="dxa"/>
            <w:vAlign w:val="bottom"/>
          </w:tcPr>
          <w:p>
            <w:pPr>
              <w:spacing w:after="0"/>
              <w:rPr>
                <w:sz w:val="20"/>
                <w:szCs w:val="20"/>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work plan for the following year.</w:t>
            </w:r>
          </w:p>
        </w:tc>
      </w:tr>
      <w:tr>
        <w:trPr>
          <w:trHeight w:val="38"/>
        </w:trPr>
        <w:tc>
          <w:tcPr>
            <w:tcW w:w="2240" w:type="dxa"/>
            <w:vAlign w:val="bottom"/>
          </w:tcPr>
          <w:p>
            <w:pPr>
              <w:spacing w:after="0"/>
              <w:rPr>
                <w:sz w:val="3"/>
                <w:szCs w:val="3"/>
                <w:color w:val="auto"/>
              </w:rPr>
            </w:pPr>
          </w:p>
        </w:tc>
        <w:tc>
          <w:tcPr>
            <w:tcW w:w="8680" w:type="dxa"/>
            <w:vAlign w:val="bottom"/>
          </w:tcPr>
          <w:p>
            <w:pPr>
              <w:spacing w:after="0"/>
              <w:rPr>
                <w:sz w:val="3"/>
                <w:szCs w:val="3"/>
                <w:color w:val="auto"/>
              </w:rPr>
            </w:pPr>
          </w:p>
        </w:tc>
      </w:tr>
      <w:tr>
        <w:trPr>
          <w:trHeight w:val="182"/>
        </w:trPr>
        <w:tc>
          <w:tcPr>
            <w:tcW w:w="2240" w:type="dxa"/>
            <w:vAlign w:val="bottom"/>
            <w:shd w:val="clear" w:color="auto" w:fill="E8E8E8"/>
          </w:tcPr>
          <w:p>
            <w:pPr>
              <w:ind w:left="160"/>
              <w:spacing w:after="0" w:line="182" w:lineRule="exact"/>
              <w:rPr>
                <w:sz w:val="20"/>
                <w:szCs w:val="20"/>
                <w:color w:val="auto"/>
              </w:rPr>
            </w:pPr>
            <w:r>
              <w:rPr>
                <w:rFonts w:ascii="Arial" w:cs="Arial" w:eastAsia="Arial" w:hAnsi="Arial"/>
                <w:sz w:val="18"/>
                <w:szCs w:val="18"/>
                <w:color w:val="auto"/>
              </w:rPr>
              <w:t>Executive Succession</w:t>
            </w:r>
          </w:p>
        </w:tc>
        <w:tc>
          <w:tcPr>
            <w:tcW w:w="8680" w:type="dxa"/>
            <w:vAlign w:val="bottom"/>
            <w:shd w:val="clear" w:color="auto" w:fill="E8E8E8"/>
          </w:tcPr>
          <w:p>
            <w:pPr>
              <w:ind w:left="200"/>
              <w:spacing w:after="0" w:line="182" w:lineRule="exact"/>
              <w:rPr>
                <w:sz w:val="20"/>
                <w:szCs w:val="20"/>
                <w:color w:val="auto"/>
              </w:rPr>
            </w:pPr>
            <w:r>
              <w:rPr>
                <w:rFonts w:ascii="Arial" w:cs="Arial" w:eastAsia="Arial" w:hAnsi="Arial"/>
                <w:sz w:val="18"/>
                <w:szCs w:val="18"/>
                <w:color w:val="auto"/>
              </w:rPr>
              <w:t>The  Compensation  Committee  conducts  regular  reviews  of  executive  talent,  development  and</w:t>
            </w:r>
          </w:p>
        </w:tc>
      </w:tr>
      <w:tr>
        <w:trPr>
          <w:trHeight w:val="201"/>
        </w:trPr>
        <w:tc>
          <w:tcPr>
            <w:tcW w:w="2240" w:type="dxa"/>
            <w:vAlign w:val="bottom"/>
            <w:shd w:val="clear" w:color="auto" w:fill="E8E8E8"/>
          </w:tcPr>
          <w:p>
            <w:pPr>
              <w:ind w:left="160"/>
              <w:spacing w:after="0" w:line="201" w:lineRule="exact"/>
              <w:rPr>
                <w:sz w:val="20"/>
                <w:szCs w:val="20"/>
                <w:color w:val="auto"/>
              </w:rPr>
            </w:pPr>
            <w:r>
              <w:rPr>
                <w:rFonts w:ascii="Arial" w:cs="Arial" w:eastAsia="Arial" w:hAnsi="Arial"/>
                <w:sz w:val="18"/>
                <w:szCs w:val="18"/>
                <w:color w:val="auto"/>
              </w:rPr>
              <w:t>Planning</w:t>
            </w:r>
          </w:p>
        </w:tc>
        <w:tc>
          <w:tcPr>
            <w:tcW w:w="8680" w:type="dxa"/>
            <w:vAlign w:val="bottom"/>
            <w:shd w:val="clear" w:color="auto" w:fill="E8E8E8"/>
          </w:tcPr>
          <w:p>
            <w:pPr>
              <w:ind w:left="200"/>
              <w:spacing w:after="0" w:line="201" w:lineRule="exact"/>
              <w:rPr>
                <w:sz w:val="20"/>
                <w:szCs w:val="20"/>
                <w:color w:val="auto"/>
              </w:rPr>
            </w:pPr>
            <w:r>
              <w:rPr>
                <w:rFonts w:ascii="Arial" w:cs="Arial" w:eastAsia="Arial" w:hAnsi="Arial"/>
                <w:sz w:val="18"/>
                <w:szCs w:val="18"/>
                <w:color w:val="auto"/>
              </w:rPr>
              <w:t>succession planning, and our Board reviews the succession plans for the chief executive officer position</w:t>
            </w:r>
          </w:p>
        </w:tc>
      </w:tr>
      <w:tr>
        <w:trPr>
          <w:trHeight w:val="235"/>
        </w:trPr>
        <w:tc>
          <w:tcPr>
            <w:tcW w:w="2240" w:type="dxa"/>
            <w:vAlign w:val="bottom"/>
            <w:shd w:val="clear" w:color="auto" w:fill="E8E8E8"/>
          </w:tcPr>
          <w:p>
            <w:pPr>
              <w:spacing w:after="0"/>
              <w:rPr>
                <w:sz w:val="20"/>
                <w:szCs w:val="20"/>
                <w:color w:val="auto"/>
              </w:rPr>
            </w:pPr>
          </w:p>
        </w:tc>
        <w:tc>
          <w:tcPr>
            <w:tcW w:w="8680" w:type="dxa"/>
            <w:vAlign w:val="bottom"/>
            <w:shd w:val="clear" w:color="auto" w:fill="E8E8E8"/>
          </w:tcPr>
          <w:p>
            <w:pPr>
              <w:ind w:left="200"/>
              <w:spacing w:after="0"/>
              <w:rPr>
                <w:sz w:val="20"/>
                <w:szCs w:val="20"/>
                <w:color w:val="auto"/>
              </w:rPr>
            </w:pPr>
            <w:r>
              <w:rPr>
                <w:rFonts w:ascii="Arial" w:cs="Arial" w:eastAsia="Arial" w:hAnsi="Arial"/>
                <w:sz w:val="18"/>
                <w:szCs w:val="18"/>
                <w:color w:val="auto"/>
              </w:rPr>
              <w:t>annually.</w:t>
            </w:r>
          </w:p>
        </w:tc>
      </w:tr>
      <w:tr>
        <w:trPr>
          <w:trHeight w:val="38"/>
        </w:trPr>
        <w:tc>
          <w:tcPr>
            <w:tcW w:w="2240" w:type="dxa"/>
            <w:vAlign w:val="bottom"/>
            <w:shd w:val="clear" w:color="auto" w:fill="E8E8E8"/>
          </w:tcPr>
          <w:p>
            <w:pPr>
              <w:spacing w:after="0"/>
              <w:rPr>
                <w:sz w:val="3"/>
                <w:szCs w:val="3"/>
                <w:color w:val="auto"/>
              </w:rPr>
            </w:pPr>
          </w:p>
        </w:tc>
        <w:tc>
          <w:tcPr>
            <w:tcW w:w="8680" w:type="dxa"/>
            <w:vAlign w:val="bottom"/>
            <w:shd w:val="clear" w:color="auto" w:fill="E8E8E8"/>
          </w:tcPr>
          <w:p>
            <w:pPr>
              <w:spacing w:after="0"/>
              <w:rPr>
                <w:sz w:val="3"/>
                <w:szCs w:val="3"/>
                <w:color w:val="auto"/>
              </w:rPr>
            </w:pPr>
          </w:p>
        </w:tc>
      </w:tr>
    </w:tbl>
    <w:p>
      <w:pPr>
        <w:spacing w:after="0" w:line="88" w:lineRule="exact"/>
        <w:rPr>
          <w:sz w:val="20"/>
          <w:szCs w:val="20"/>
          <w:color w:val="auto"/>
        </w:rPr>
      </w:pPr>
    </w:p>
    <w:tbl>
      <w:tblPr>
        <w:tblLayout w:type="fixed"/>
        <w:tblInd w:w="160" w:type="dxa"/>
        <w:tblCellMar>
          <w:top w:w="0" w:type="dxa"/>
          <w:left w:w="0" w:type="dxa"/>
          <w:bottom w:w="0" w:type="dxa"/>
          <w:right w:w="0" w:type="dxa"/>
        </w:tblCellMar>
      </w:tblPr>
      <w:tr>
        <w:trPr>
          <w:trHeight w:val="245"/>
        </w:trPr>
        <w:tc>
          <w:tcPr>
            <w:tcW w:w="2260" w:type="dxa"/>
            <w:vAlign w:val="bottom"/>
          </w:tcPr>
          <w:p>
            <w:pPr>
              <w:spacing w:after="0"/>
              <w:rPr>
                <w:sz w:val="21"/>
                <w:szCs w:val="21"/>
                <w:color w:val="auto"/>
              </w:rPr>
            </w:pPr>
          </w:p>
        </w:tc>
        <w:tc>
          <w:tcPr>
            <w:tcW w:w="8660" w:type="dxa"/>
            <w:vAlign w:val="bottom"/>
          </w:tcPr>
          <w:p>
            <w:pPr>
              <w:ind w:left="2140"/>
              <w:spacing w:after="0"/>
              <w:rPr>
                <w:sz w:val="20"/>
                <w:szCs w:val="20"/>
                <w:color w:val="auto"/>
              </w:rPr>
            </w:pPr>
            <w:r>
              <w:rPr>
                <w:rFonts w:ascii="Arial" w:cs="Arial" w:eastAsia="Arial" w:hAnsi="Arial"/>
                <w:sz w:val="18"/>
                <w:szCs w:val="18"/>
                <w:b w:val="1"/>
                <w:bCs w:val="1"/>
                <w:color w:val="050A54"/>
              </w:rPr>
              <w:t>STOCKHOLDER RIGHTS</w:t>
            </w:r>
          </w:p>
        </w:tc>
      </w:tr>
      <w:tr>
        <w:trPr>
          <w:trHeight w:val="81"/>
        </w:trPr>
        <w:tc>
          <w:tcPr>
            <w:tcW w:w="2260" w:type="dxa"/>
            <w:vAlign w:val="bottom"/>
          </w:tcPr>
          <w:p>
            <w:pPr>
              <w:spacing w:after="0"/>
              <w:rPr>
                <w:sz w:val="7"/>
                <w:szCs w:val="7"/>
                <w:color w:val="auto"/>
              </w:rPr>
            </w:pPr>
          </w:p>
        </w:tc>
        <w:tc>
          <w:tcPr>
            <w:tcW w:w="8660" w:type="dxa"/>
            <w:vAlign w:val="bottom"/>
          </w:tcPr>
          <w:p>
            <w:pPr>
              <w:spacing w:after="0"/>
              <w:rPr>
                <w:sz w:val="7"/>
                <w:szCs w:val="7"/>
                <w:color w:val="auto"/>
              </w:rPr>
            </w:pPr>
          </w:p>
        </w:tc>
      </w:tr>
      <w:tr>
        <w:trPr>
          <w:trHeight w:val="182"/>
        </w:trPr>
        <w:tc>
          <w:tcPr>
            <w:tcW w:w="2260" w:type="dxa"/>
            <w:vAlign w:val="bottom"/>
            <w:shd w:val="clear" w:color="auto" w:fill="E8E8E8"/>
          </w:tcPr>
          <w:p>
            <w:pPr>
              <w:ind w:left="160"/>
              <w:spacing w:after="0" w:line="182" w:lineRule="exact"/>
              <w:rPr>
                <w:sz w:val="20"/>
                <w:szCs w:val="20"/>
                <w:color w:val="auto"/>
              </w:rPr>
            </w:pPr>
            <w:r>
              <w:rPr>
                <w:rFonts w:ascii="Arial" w:cs="Arial" w:eastAsia="Arial" w:hAnsi="Arial"/>
                <w:sz w:val="18"/>
                <w:szCs w:val="18"/>
                <w:color w:val="auto"/>
              </w:rPr>
              <w:t>Annual Election of</w:t>
            </w:r>
          </w:p>
        </w:tc>
        <w:tc>
          <w:tcPr>
            <w:tcW w:w="8660" w:type="dxa"/>
            <w:vAlign w:val="bottom"/>
            <w:shd w:val="clear" w:color="auto" w:fill="E8E8E8"/>
          </w:tcPr>
          <w:p>
            <w:pPr>
              <w:spacing w:after="0"/>
              <w:rPr>
                <w:sz w:val="15"/>
                <w:szCs w:val="15"/>
                <w:color w:val="auto"/>
              </w:rPr>
            </w:pPr>
          </w:p>
        </w:tc>
      </w:tr>
      <w:tr>
        <w:trPr>
          <w:trHeight w:val="253"/>
        </w:trPr>
        <w:tc>
          <w:tcPr>
            <w:tcW w:w="2260" w:type="dxa"/>
            <w:vAlign w:val="bottom"/>
            <w:tcBorders>
              <w:bottom w:val="single" w:sz="8" w:color="E8E8E8"/>
            </w:tcBorders>
            <w:shd w:val="clear" w:color="auto" w:fill="E8E8E8"/>
          </w:tcPr>
          <w:p>
            <w:pPr>
              <w:ind w:left="160"/>
              <w:spacing w:after="0"/>
              <w:rPr>
                <w:sz w:val="20"/>
                <w:szCs w:val="20"/>
                <w:color w:val="auto"/>
              </w:rPr>
            </w:pPr>
            <w:r>
              <w:rPr>
                <w:rFonts w:ascii="Arial" w:cs="Arial" w:eastAsia="Arial" w:hAnsi="Arial"/>
                <w:sz w:val="18"/>
                <w:szCs w:val="18"/>
                <w:color w:val="auto"/>
              </w:rPr>
              <w:t>Directors</w:t>
            </w:r>
          </w:p>
        </w:tc>
        <w:tc>
          <w:tcPr>
            <w:tcW w:w="8660" w:type="dxa"/>
            <w:vAlign w:val="bottom"/>
            <w:tcBorders>
              <w:bottom w:val="single" w:sz="8" w:color="E8E8E8"/>
            </w:tcBorders>
            <w:shd w:val="clear" w:color="auto" w:fill="E8E8E8"/>
          </w:tcPr>
          <w:p>
            <w:pPr>
              <w:ind w:left="180"/>
              <w:spacing w:after="0"/>
              <w:rPr>
                <w:sz w:val="20"/>
                <w:szCs w:val="20"/>
                <w:color w:val="auto"/>
              </w:rPr>
            </w:pPr>
            <w:r>
              <w:rPr>
                <w:rFonts w:ascii="Arial" w:cs="Arial" w:eastAsia="Arial" w:hAnsi="Arial"/>
                <w:sz w:val="18"/>
                <w:szCs w:val="18"/>
                <w:color w:val="auto"/>
              </w:rPr>
              <w:t>All directors are elected annually, which reinforces our Board’s accountability to our stockholders.</w:t>
            </w:r>
          </w:p>
        </w:tc>
      </w:tr>
      <w:tr>
        <w:trPr>
          <w:trHeight w:val="182"/>
        </w:trPr>
        <w:tc>
          <w:tcPr>
            <w:tcW w:w="2260" w:type="dxa"/>
            <w:vAlign w:val="bottom"/>
          </w:tcPr>
          <w:p>
            <w:pPr>
              <w:ind w:left="160"/>
              <w:spacing w:after="0" w:line="182" w:lineRule="exact"/>
              <w:rPr>
                <w:sz w:val="20"/>
                <w:szCs w:val="20"/>
                <w:color w:val="auto"/>
              </w:rPr>
            </w:pPr>
            <w:r>
              <w:rPr>
                <w:rFonts w:ascii="Arial" w:cs="Arial" w:eastAsia="Arial" w:hAnsi="Arial"/>
                <w:sz w:val="18"/>
                <w:szCs w:val="18"/>
                <w:color w:val="auto"/>
              </w:rPr>
              <w:t>Majority Voting Standard</w:t>
            </w:r>
          </w:p>
        </w:tc>
        <w:tc>
          <w:tcPr>
            <w:tcW w:w="8660" w:type="dxa"/>
            <w:vAlign w:val="bottom"/>
          </w:tcPr>
          <w:p>
            <w:pPr>
              <w:ind w:left="180"/>
              <w:spacing w:after="0" w:line="182" w:lineRule="exact"/>
              <w:rPr>
                <w:sz w:val="20"/>
                <w:szCs w:val="20"/>
                <w:color w:val="auto"/>
              </w:rPr>
            </w:pPr>
            <w:r>
              <w:rPr>
                <w:rFonts w:ascii="Arial" w:cs="Arial" w:eastAsia="Arial" w:hAnsi="Arial"/>
                <w:sz w:val="18"/>
                <w:szCs w:val="18"/>
                <w:color w:val="auto"/>
              </w:rPr>
              <w:t>Our bylaws require that directors be elected under a “majority voting” standard in uncontested elections.</w:t>
            </w:r>
          </w:p>
        </w:tc>
      </w:tr>
      <w:tr>
        <w:trPr>
          <w:trHeight w:val="201"/>
        </w:trPr>
        <w:tc>
          <w:tcPr>
            <w:tcW w:w="2260" w:type="dxa"/>
            <w:vAlign w:val="bottom"/>
          </w:tcPr>
          <w:p>
            <w:pPr>
              <w:ind w:left="160"/>
              <w:spacing w:after="0" w:line="201" w:lineRule="exact"/>
              <w:rPr>
                <w:sz w:val="20"/>
                <w:szCs w:val="20"/>
                <w:color w:val="auto"/>
              </w:rPr>
            </w:pPr>
            <w:r>
              <w:rPr>
                <w:rFonts w:ascii="Arial" w:cs="Arial" w:eastAsia="Arial" w:hAnsi="Arial"/>
                <w:sz w:val="18"/>
                <w:szCs w:val="18"/>
                <w:color w:val="auto"/>
              </w:rPr>
              <w:t>for Director Elections</w:t>
            </w:r>
          </w:p>
        </w:tc>
        <w:tc>
          <w:tcPr>
            <w:tcW w:w="8660" w:type="dxa"/>
            <w:vAlign w:val="bottom"/>
          </w:tcPr>
          <w:p>
            <w:pPr>
              <w:ind w:left="180"/>
              <w:spacing w:after="0" w:line="201" w:lineRule="exact"/>
              <w:rPr>
                <w:sz w:val="20"/>
                <w:szCs w:val="20"/>
                <w:color w:val="auto"/>
              </w:rPr>
            </w:pPr>
            <w:r>
              <w:rPr>
                <w:rFonts w:ascii="Arial" w:cs="Arial" w:eastAsia="Arial" w:hAnsi="Arial"/>
                <w:sz w:val="18"/>
                <w:szCs w:val="18"/>
                <w:color w:val="auto"/>
              </w:rPr>
              <w:t>Any director who does not receive more votes “for” his or her election than votes “against” must tender</w:t>
            </w:r>
          </w:p>
        </w:tc>
      </w:tr>
      <w:tr>
        <w:trPr>
          <w:trHeight w:val="235"/>
        </w:trPr>
        <w:tc>
          <w:tcPr>
            <w:tcW w:w="2260" w:type="dxa"/>
            <w:vAlign w:val="bottom"/>
          </w:tcPr>
          <w:p>
            <w:pPr>
              <w:spacing w:after="0"/>
              <w:rPr>
                <w:sz w:val="20"/>
                <w:szCs w:val="20"/>
                <w:color w:val="auto"/>
              </w:rPr>
            </w:pPr>
          </w:p>
        </w:tc>
        <w:tc>
          <w:tcPr>
            <w:tcW w:w="8660" w:type="dxa"/>
            <w:vAlign w:val="bottom"/>
          </w:tcPr>
          <w:p>
            <w:pPr>
              <w:ind w:left="180"/>
              <w:spacing w:after="0"/>
              <w:rPr>
                <w:sz w:val="20"/>
                <w:szCs w:val="20"/>
                <w:color w:val="auto"/>
              </w:rPr>
            </w:pPr>
            <w:r>
              <w:rPr>
                <w:rFonts w:ascii="Arial" w:cs="Arial" w:eastAsia="Arial" w:hAnsi="Arial"/>
                <w:sz w:val="18"/>
                <w:szCs w:val="18"/>
                <w:color w:val="auto"/>
              </w:rPr>
              <w:t>his or her resignation and, if our Board accepts the resignation, step down from our Board.</w:t>
            </w:r>
          </w:p>
        </w:tc>
      </w:tr>
      <w:tr>
        <w:trPr>
          <w:trHeight w:val="38"/>
        </w:trPr>
        <w:tc>
          <w:tcPr>
            <w:tcW w:w="2260" w:type="dxa"/>
            <w:vAlign w:val="bottom"/>
          </w:tcPr>
          <w:p>
            <w:pPr>
              <w:spacing w:after="0"/>
              <w:rPr>
                <w:sz w:val="3"/>
                <w:szCs w:val="3"/>
                <w:color w:val="auto"/>
              </w:rPr>
            </w:pPr>
          </w:p>
        </w:tc>
        <w:tc>
          <w:tcPr>
            <w:tcW w:w="8660" w:type="dxa"/>
            <w:vAlign w:val="bottom"/>
          </w:tcPr>
          <w:p>
            <w:pPr>
              <w:spacing w:after="0"/>
              <w:rPr>
                <w:sz w:val="3"/>
                <w:szCs w:val="3"/>
                <w:color w:val="auto"/>
              </w:rPr>
            </w:pPr>
          </w:p>
        </w:tc>
      </w:tr>
      <w:tr>
        <w:trPr>
          <w:trHeight w:val="254"/>
        </w:trPr>
        <w:tc>
          <w:tcPr>
            <w:tcW w:w="2260" w:type="dxa"/>
            <w:vAlign w:val="bottom"/>
            <w:shd w:val="clear" w:color="auto" w:fill="E8E8E8"/>
          </w:tcPr>
          <w:p>
            <w:pPr>
              <w:ind w:left="160"/>
              <w:spacing w:after="0"/>
              <w:rPr>
                <w:sz w:val="20"/>
                <w:szCs w:val="20"/>
                <w:color w:val="auto"/>
              </w:rPr>
            </w:pPr>
            <w:r>
              <w:rPr>
                <w:rFonts w:ascii="Arial" w:cs="Arial" w:eastAsia="Arial" w:hAnsi="Arial"/>
                <w:sz w:val="18"/>
                <w:szCs w:val="18"/>
                <w:color w:val="auto"/>
              </w:rPr>
              <w:t>Single Voting Class</w:t>
            </w:r>
          </w:p>
        </w:tc>
        <w:tc>
          <w:tcPr>
            <w:tcW w:w="8660" w:type="dxa"/>
            <w:vAlign w:val="bottom"/>
            <w:shd w:val="clear" w:color="auto" w:fill="E8E8E8"/>
          </w:tcPr>
          <w:p>
            <w:pPr>
              <w:ind w:left="180"/>
              <w:spacing w:after="0"/>
              <w:rPr>
                <w:sz w:val="20"/>
                <w:szCs w:val="20"/>
                <w:color w:val="auto"/>
              </w:rPr>
            </w:pPr>
            <w:r>
              <w:rPr>
                <w:rFonts w:ascii="Arial" w:cs="Arial" w:eastAsia="Arial" w:hAnsi="Arial"/>
                <w:sz w:val="18"/>
                <w:szCs w:val="18"/>
                <w:color w:val="auto"/>
              </w:rPr>
              <w:t>Our Common Stock is the only class of voting shares outstanding.</w:t>
            </w:r>
          </w:p>
        </w:tc>
      </w:tr>
      <w:tr>
        <w:trPr>
          <w:trHeight w:val="182"/>
        </w:trPr>
        <w:tc>
          <w:tcPr>
            <w:tcW w:w="2260" w:type="dxa"/>
            <w:vAlign w:val="bottom"/>
          </w:tcPr>
          <w:p>
            <w:pPr>
              <w:ind w:left="160"/>
              <w:spacing w:after="0" w:line="182" w:lineRule="exact"/>
              <w:rPr>
                <w:sz w:val="20"/>
                <w:szCs w:val="20"/>
                <w:color w:val="auto"/>
              </w:rPr>
            </w:pPr>
            <w:r>
              <w:rPr>
                <w:rFonts w:ascii="Arial" w:cs="Arial" w:eastAsia="Arial" w:hAnsi="Arial"/>
                <w:sz w:val="18"/>
                <w:szCs w:val="18"/>
                <w:color w:val="auto"/>
              </w:rPr>
              <w:t>Proxy Access</w:t>
            </w:r>
          </w:p>
        </w:tc>
        <w:tc>
          <w:tcPr>
            <w:tcW w:w="8660" w:type="dxa"/>
            <w:vAlign w:val="bottom"/>
          </w:tcPr>
          <w:p>
            <w:pPr>
              <w:ind w:left="180"/>
              <w:spacing w:after="0" w:line="182" w:lineRule="exact"/>
              <w:rPr>
                <w:sz w:val="20"/>
                <w:szCs w:val="20"/>
                <w:color w:val="auto"/>
              </w:rPr>
            </w:pPr>
            <w:r>
              <w:rPr>
                <w:rFonts w:ascii="Arial" w:cs="Arial" w:eastAsia="Arial" w:hAnsi="Arial"/>
                <w:sz w:val="18"/>
                <w:szCs w:val="18"/>
                <w:color w:val="auto"/>
              </w:rPr>
              <w:t>Our bylaws permit a stockholder, or a group of up to 20 stockholders, that has owned at least three</w:t>
            </w:r>
          </w:p>
        </w:tc>
      </w:tr>
      <w:tr>
        <w:trPr>
          <w:trHeight w:val="201"/>
        </w:trPr>
        <w:tc>
          <w:tcPr>
            <w:tcW w:w="2260" w:type="dxa"/>
            <w:vAlign w:val="bottom"/>
          </w:tcPr>
          <w:p>
            <w:pPr>
              <w:spacing w:after="0"/>
              <w:rPr>
                <w:sz w:val="17"/>
                <w:szCs w:val="17"/>
                <w:color w:val="auto"/>
              </w:rPr>
            </w:pPr>
          </w:p>
        </w:tc>
        <w:tc>
          <w:tcPr>
            <w:tcW w:w="8660" w:type="dxa"/>
            <w:vAlign w:val="bottom"/>
          </w:tcPr>
          <w:p>
            <w:pPr>
              <w:ind w:left="180"/>
              <w:spacing w:after="0" w:line="201" w:lineRule="exact"/>
              <w:rPr>
                <w:sz w:val="20"/>
                <w:szCs w:val="20"/>
                <w:color w:val="auto"/>
              </w:rPr>
            </w:pPr>
            <w:r>
              <w:rPr>
                <w:rFonts w:ascii="Arial" w:cs="Arial" w:eastAsia="Arial" w:hAnsi="Arial"/>
                <w:sz w:val="18"/>
                <w:szCs w:val="18"/>
                <w:color w:val="auto"/>
              </w:rPr>
              <w:t>percent of our Common Stock continuously for three years to nominate and include in the Company’s</w:t>
            </w:r>
          </w:p>
        </w:tc>
      </w:tr>
      <w:tr>
        <w:trPr>
          <w:trHeight w:val="201"/>
        </w:trPr>
        <w:tc>
          <w:tcPr>
            <w:tcW w:w="2260" w:type="dxa"/>
            <w:vAlign w:val="bottom"/>
          </w:tcPr>
          <w:p>
            <w:pPr>
              <w:spacing w:after="0"/>
              <w:rPr>
                <w:sz w:val="17"/>
                <w:szCs w:val="17"/>
                <w:color w:val="auto"/>
              </w:rPr>
            </w:pPr>
          </w:p>
        </w:tc>
        <w:tc>
          <w:tcPr>
            <w:tcW w:w="8660" w:type="dxa"/>
            <w:vAlign w:val="bottom"/>
          </w:tcPr>
          <w:p>
            <w:pPr>
              <w:ind w:left="180"/>
              <w:spacing w:after="0" w:line="201" w:lineRule="exact"/>
              <w:rPr>
                <w:sz w:val="20"/>
                <w:szCs w:val="20"/>
                <w:color w:val="auto"/>
              </w:rPr>
            </w:pPr>
            <w:r>
              <w:rPr>
                <w:rFonts w:ascii="Arial" w:cs="Arial" w:eastAsia="Arial" w:hAnsi="Arial"/>
                <w:sz w:val="18"/>
                <w:szCs w:val="18"/>
                <w:color w:val="auto"/>
              </w:rPr>
              <w:t>annual meeting proxy materials the greater of two directors or 20 percent of the Board, provided that the</w:t>
            </w:r>
          </w:p>
        </w:tc>
      </w:tr>
      <w:tr>
        <w:trPr>
          <w:trHeight w:val="235"/>
        </w:trPr>
        <w:tc>
          <w:tcPr>
            <w:tcW w:w="2260" w:type="dxa"/>
            <w:vAlign w:val="bottom"/>
          </w:tcPr>
          <w:p>
            <w:pPr>
              <w:spacing w:after="0"/>
              <w:rPr>
                <w:sz w:val="20"/>
                <w:szCs w:val="20"/>
                <w:color w:val="auto"/>
              </w:rPr>
            </w:pPr>
          </w:p>
        </w:tc>
        <w:tc>
          <w:tcPr>
            <w:tcW w:w="8660" w:type="dxa"/>
            <w:vAlign w:val="bottom"/>
          </w:tcPr>
          <w:p>
            <w:pPr>
              <w:ind w:left="180"/>
              <w:spacing w:after="0"/>
              <w:rPr>
                <w:sz w:val="20"/>
                <w:szCs w:val="20"/>
                <w:color w:val="auto"/>
              </w:rPr>
            </w:pPr>
            <w:r>
              <w:rPr>
                <w:rFonts w:ascii="Arial" w:cs="Arial" w:eastAsia="Arial" w:hAnsi="Arial"/>
                <w:sz w:val="18"/>
                <w:szCs w:val="18"/>
                <w:color w:val="auto"/>
              </w:rPr>
              <w:t>stockholders and nominees satisfy the requirements specified in the bylaws.</w:t>
            </w:r>
          </w:p>
        </w:tc>
      </w:tr>
    </w:tbl>
    <w:p>
      <w:pPr>
        <w:spacing w:after="0" w:line="12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050A54"/>
        </w:rPr>
        <w:t>COMPENSATION PRACTICES</w:t>
      </w:r>
    </w:p>
    <w:p>
      <w:pPr>
        <w:spacing w:after="0" w:line="101" w:lineRule="exact"/>
        <w:rPr>
          <w:sz w:val="20"/>
          <w:szCs w:val="20"/>
          <w:color w:val="auto"/>
        </w:rPr>
      </w:pPr>
    </w:p>
    <w:p>
      <w:pPr>
        <w:ind w:left="320"/>
        <w:spacing w:after="0"/>
        <w:tabs>
          <w:tab w:leader="none" w:pos="2580" w:val="left"/>
        </w:tabs>
        <w:rPr>
          <w:sz w:val="20"/>
          <w:szCs w:val="20"/>
          <w:color w:val="auto"/>
        </w:rPr>
      </w:pPr>
      <w:r>
        <w:rPr>
          <w:rFonts w:ascii="Arial" w:cs="Arial" w:eastAsia="Arial" w:hAnsi="Arial"/>
          <w:sz w:val="18"/>
          <w:szCs w:val="18"/>
          <w:color w:val="auto"/>
        </w:rPr>
        <w:t>Follow Leading Practices</w:t>
      </w:r>
      <w:r>
        <w:rPr>
          <w:sz w:val="20"/>
          <w:szCs w:val="20"/>
          <w:color w:val="auto"/>
        </w:rPr>
        <w:tab/>
      </w:r>
      <w:r>
        <w:rPr>
          <w:rFonts w:ascii="Arial" w:cs="Arial" w:eastAsia="Arial" w:hAnsi="Arial"/>
          <w:sz w:val="17"/>
          <w:szCs w:val="17"/>
          <w:color w:val="auto"/>
        </w:rPr>
        <w:t>See “</w:t>
      </w:r>
      <w:r>
        <w:rPr>
          <w:rFonts w:ascii="Arial" w:cs="Arial" w:eastAsia="Arial" w:hAnsi="Arial"/>
          <w:sz w:val="17"/>
          <w:szCs w:val="17"/>
          <w:i w:val="1"/>
          <w:iCs w:val="1"/>
          <w:color w:val="auto"/>
        </w:rPr>
        <w:t>Compensation Discussion and Analysis—Compensation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-118745</wp:posOffset>
            </wp:positionV>
            <wp:extent cx="6929755" cy="161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29755" cy="161290"/>
                    </a:xfrm>
                    <a:prstGeom prst="rect">
                      <a:avLst/>
                    </a:prstGeom>
                    <a:noFill/>
                  </pic:spPr>
                </pic:pic>
              </a:graphicData>
            </a:graphic>
          </wp:anchor>
        </w:drawing>
      </w:r>
    </w:p>
    <w:p>
      <w:pPr>
        <w:spacing w:after="0" w:line="174" w:lineRule="exact"/>
        <w:rPr>
          <w:sz w:val="20"/>
          <w:szCs w:val="20"/>
          <w:color w:val="auto"/>
        </w:rPr>
      </w:pPr>
    </w:p>
    <w:p>
      <w:pPr>
        <w:ind w:left="920" w:hanging="610"/>
        <w:spacing w:after="0"/>
        <w:tabs>
          <w:tab w:leader="none" w:pos="920" w:val="left"/>
        </w:tabs>
        <w:numPr>
          <w:ilvl w:val="0"/>
          <w:numId w:val="8"/>
        </w:numPr>
        <w:rPr>
          <w:rFonts w:ascii="Arial" w:cs="Arial" w:eastAsia="Arial" w:hAnsi="Arial"/>
          <w:sz w:val="18"/>
          <w:szCs w:val="18"/>
          <w:color w:val="050A54"/>
        </w:rPr>
      </w:pPr>
      <w:r>
        <w:rPr>
          <w:rFonts w:ascii="Arial" w:cs="Arial" w:eastAsia="Arial" w:hAnsi="Arial"/>
          <w:sz w:val="18"/>
          <w:szCs w:val="18"/>
          <w:b w:val="1"/>
          <w:bCs w:val="1"/>
          <w:color w:val="050A54"/>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-118745</wp:posOffset>
            </wp:positionV>
            <wp:extent cx="8255" cy="135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3" w:lineRule="exact"/>
        <w:rPr>
          <w:sz w:val="20"/>
          <w:szCs w:val="20"/>
          <w:color w:val="auto"/>
        </w:rPr>
      </w:pPr>
    </w:p>
    <w:p>
      <w:pPr>
        <w:jc w:val="center"/>
        <w:ind w:right="-179"/>
        <w:spacing w:after="0"/>
        <w:rPr>
          <w:sz w:val="20"/>
          <w:szCs w:val="20"/>
          <w:color w:val="auto"/>
        </w:rPr>
      </w:pPr>
      <w:r>
        <w:rPr>
          <w:rFonts w:ascii="Arial" w:cs="Arial" w:eastAsia="Arial" w:hAnsi="Arial"/>
          <w:sz w:val="21"/>
          <w:szCs w:val="21"/>
          <w:b w:val="1"/>
          <w:bCs w:val="1"/>
          <w:color w:val="050A54"/>
        </w:rPr>
        <w:t>Proposal 1: Election of Directors</w:t>
      </w:r>
    </w:p>
    <w:p>
      <w:pPr>
        <w:sectPr>
          <w:pgSz w:w="11900" w:h="16838" w:orient="portrait"/>
          <w:cols w:equalWidth="0" w:num="1">
            <w:col w:w="11080"/>
          </w:cols>
          <w:pgMar w:left="320" w:top="454" w:right="499" w:bottom="1440" w:gutter="0" w:footer="0" w:header="0"/>
        </w:sectPr>
      </w:pPr>
    </w:p>
    <w:p>
      <w:pPr>
        <w:spacing w:after="0" w:line="357"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As of April 8, 2022, our Board of Directors consisted of nine directors: eight independent directors and our chief executive officer, Dan H. Arnold. Each of our current directors is standing for reelection at the Annual Meeting, and each has been nominated by our Board based on the recommendation of the Nominating and Governance Committee. Each director nominee would hold office until our annual meeting of stockholders in 2023 and until his or her respective successor has been elected.</w:t>
      </w:r>
    </w:p>
    <w:p>
      <w:pPr>
        <w:spacing w:after="0" w:line="184"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 xml:space="preserve">As described below, each of our nominees has considerable professional and business expertise. Our Board of Directors recommends a vote </w:t>
      </w:r>
      <w:r>
        <w:rPr>
          <w:rFonts w:ascii="Arial" w:cs="Arial" w:eastAsia="Arial" w:hAnsi="Arial"/>
          <w:sz w:val="18"/>
          <w:szCs w:val="18"/>
          <w:b w:val="1"/>
          <w:bCs w:val="1"/>
          <w:color w:val="2360D1"/>
        </w:rPr>
        <w:t>“FOR”</w:t>
      </w:r>
      <w:r>
        <w:rPr>
          <w:rFonts w:ascii="Arial" w:cs="Arial" w:eastAsia="Arial" w:hAnsi="Arial"/>
          <w:sz w:val="18"/>
          <w:szCs w:val="18"/>
          <w:color w:val="auto"/>
        </w:rPr>
        <w:t xml:space="preserve"> each nominee based on its carefully considered judgment that the experience, qualifications, attributes and skills of each nominee qualify him or her to serve on our Board of Directors.</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Board Membership Criteria</w:t>
      </w:r>
    </w:p>
    <w:p>
      <w:pPr>
        <w:spacing w:after="0" w:line="203"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The Nominating and Governance Committee reviews annually the appropriate skills and characteristics required of directors in the context of the current make-up of the Board. As reflected in the corporate governance guidelines applicable to the Company (the “Corporate Governance Guidelines”), it is the policy of the Board that all directors should:</w:t>
      </w:r>
    </w:p>
    <w:p>
      <w:pPr>
        <w:spacing w:after="0" w:line="87" w:lineRule="exact"/>
        <w:rPr>
          <w:sz w:val="20"/>
          <w:szCs w:val="20"/>
          <w:color w:val="auto"/>
        </w:rPr>
      </w:pPr>
    </w:p>
    <w:p>
      <w:pPr>
        <w:jc w:val="both"/>
        <w:ind w:left="860" w:hanging="372"/>
        <w:spacing w:after="0" w:line="249"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possess unimpeachable integrity and a personal reputation for transparency, honesty and ethical behavior;</w:t>
      </w:r>
    </w:p>
    <w:p>
      <w:pPr>
        <w:spacing w:after="0" w:line="77" w:lineRule="exact"/>
        <w:rPr>
          <w:rFonts w:ascii="Arial" w:cs="Arial" w:eastAsia="Arial" w:hAnsi="Arial"/>
          <w:sz w:val="18"/>
          <w:szCs w:val="18"/>
          <w:color w:val="auto"/>
        </w:rPr>
      </w:pPr>
    </w:p>
    <w:p>
      <w:pPr>
        <w:ind w:left="860" w:hanging="372"/>
        <w:spacing w:after="0" w:line="265"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have considerable personal accomplishment and professional expertise;</w:t>
      </w:r>
    </w:p>
    <w:p>
      <w:pPr>
        <w:spacing w:after="0" w:line="64" w:lineRule="exact"/>
        <w:rPr>
          <w:rFonts w:ascii="Arial" w:cs="Arial" w:eastAsia="Arial" w:hAnsi="Arial"/>
          <w:sz w:val="18"/>
          <w:szCs w:val="18"/>
          <w:color w:val="auto"/>
        </w:rPr>
      </w:pPr>
    </w:p>
    <w:p>
      <w:pPr>
        <w:ind w:left="860" w:right="20" w:hanging="372"/>
        <w:spacing w:after="0" w:line="265"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demonstrate strong business acumen, financial literacy and strategic agility;</w:t>
      </w:r>
    </w:p>
    <w:p>
      <w:pPr>
        <w:spacing w:after="0" w:line="64" w:lineRule="exact"/>
        <w:rPr>
          <w:rFonts w:ascii="Arial" w:cs="Arial" w:eastAsia="Arial" w:hAnsi="Arial"/>
          <w:sz w:val="18"/>
          <w:szCs w:val="18"/>
          <w:color w:val="auto"/>
        </w:rPr>
      </w:pPr>
    </w:p>
    <w:p>
      <w:pPr>
        <w:jc w:val="both"/>
        <w:ind w:left="860" w:hanging="372"/>
        <w:spacing w:after="0" w:line="249"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contribute to boardroom dialogue through critical thinking and independent judgment, and candid and constructive communication;</w:t>
      </w:r>
    </w:p>
    <w:p>
      <w:pPr>
        <w:spacing w:after="0" w:line="77" w:lineRule="exact"/>
        <w:rPr>
          <w:rFonts w:ascii="Arial" w:cs="Arial" w:eastAsia="Arial" w:hAnsi="Arial"/>
          <w:sz w:val="18"/>
          <w:szCs w:val="18"/>
          <w:color w:val="auto"/>
        </w:rPr>
      </w:pPr>
    </w:p>
    <w:p>
      <w:pPr>
        <w:jc w:val="both"/>
        <w:ind w:left="860" w:hanging="372"/>
        <w:spacing w:after="0" w:line="249"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 passionate about the vision of the Company and enthusiastic about the commitments entailed in serving as a director; and</w:t>
      </w:r>
    </w:p>
    <w:p>
      <w:pPr>
        <w:spacing w:after="0" w:line="77" w:lineRule="exact"/>
        <w:rPr>
          <w:rFonts w:ascii="Arial" w:cs="Arial" w:eastAsia="Arial" w:hAnsi="Arial"/>
          <w:sz w:val="18"/>
          <w:szCs w:val="18"/>
          <w:color w:val="auto"/>
        </w:rPr>
      </w:pPr>
    </w:p>
    <w:p>
      <w:pPr>
        <w:ind w:left="860" w:right="20" w:hanging="372"/>
        <w:spacing w:after="0" w:line="265"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understand their role as stewards in representing the long-term interests of our stakeholders.</w:t>
      </w:r>
    </w:p>
    <w:p>
      <w:pPr>
        <w:spacing w:after="0" w:line="15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Director Diversity</w:t>
      </w:r>
    </w:p>
    <w:p>
      <w:pPr>
        <w:spacing w:after="0" w:line="203"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Our Corporate Governance Guidelines reflect our commitment to director diversity. Our goal is a balanced and diverse Board, with members who bring</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 diversity of skills, expertise, experiences, perspectives, tenures and personal characteristics, including with regard to age, race, gender and ethnicity. When conducting director searches, the Board is committed to actively seeking highly qualified women and individuals from minority groups to include in the pool from which Board nominees are selected.</w:t>
      </w:r>
    </w:p>
    <w:p>
      <w:pPr>
        <w:spacing w:after="0" w:line="18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recent years, our Nominating and Governance Committee has focused on the refreshment and continued diversity of the Board. Since 2018, we have added three new independent directors: Edward C. Bernard, Allison H. Mnookin and Corey E. Thomas. Through the addition of these directors, the Board of Directors has gained seasoned leaders, as well as particularly relevant experience related to our industry, strategic planning, oversight and execution, business innovation, technology and digital transformation, and risk management. The addition of these directors also reflects our commitment to diversity in the context of considering directors and a balanced approach to director tenure, allowing the Board to benefit from the experience of longer-serving directors as well as fresh perspectives from newer directors.</w:t>
      </w:r>
    </w:p>
    <w:p>
      <w:pPr>
        <w:spacing w:after="0" w:line="18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average age of our independent director nominees is 62, and the average tenure of our independent director nominees is eight years.</w:t>
      </w:r>
    </w:p>
    <w:p>
      <w:pPr>
        <w:spacing w:after="0" w:line="198"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050A54"/>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775335</wp:posOffset>
            </wp:positionH>
            <wp:positionV relativeFrom="paragraph">
              <wp:posOffset>84455</wp:posOffset>
            </wp:positionV>
            <wp:extent cx="1842770" cy="13163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42770" cy="1316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050A54"/>
        </w:rPr>
        <w:t>Tenure</w:t>
      </w:r>
    </w:p>
    <w:p>
      <w:pPr>
        <w:spacing w:after="0" w:line="2028" w:lineRule="exact"/>
        <w:rPr>
          <w:sz w:val="20"/>
          <w:szCs w:val="20"/>
          <w:color w:val="auto"/>
        </w:rPr>
      </w:pPr>
    </w:p>
    <w:p>
      <w:pPr>
        <w:sectPr>
          <w:pgSz w:w="11900" w:h="16838" w:orient="portrait"/>
          <w:cols w:equalWidth="0" w:num="2">
            <w:col w:w="5400" w:space="340"/>
            <w:col w:w="5340"/>
          </w:cols>
          <w:pgMar w:left="320" w:top="454" w:right="499" w:bottom="1440" w:gutter="0" w:footer="0" w:header="0"/>
          <w:type w:val="continuous"/>
        </w:sectPr>
      </w:pPr>
    </w:p>
    <w:p>
      <w:pPr>
        <w:spacing w:after="0" w:line="346" w:lineRule="exact"/>
        <w:rPr>
          <w:sz w:val="20"/>
          <w:szCs w:val="20"/>
          <w:color w:val="auto"/>
        </w:rPr>
      </w:pPr>
    </w:p>
    <w:tbl>
      <w:tblPr>
        <w:tblLayout w:type="fixed"/>
        <w:tblInd w:w="8500" w:type="dxa"/>
        <w:tblCellMar>
          <w:top w:w="0" w:type="dxa"/>
          <w:left w:w="0" w:type="dxa"/>
          <w:bottom w:w="0" w:type="dxa"/>
          <w:right w:w="0" w:type="dxa"/>
        </w:tblCellMar>
      </w:tblPr>
      <w:tr>
        <w:trPr>
          <w:trHeight w:val="233"/>
        </w:trPr>
        <w:tc>
          <w:tcPr>
            <w:tcW w:w="2060" w:type="dxa"/>
            <w:vAlign w:val="bottom"/>
            <w:tcBorders>
              <w:right w:val="single" w:sz="8" w:color="050A54"/>
            </w:tcBorders>
          </w:tcPr>
          <w:p>
            <w:pPr>
              <w:spacing w:after="0"/>
              <w:rPr>
                <w:sz w:val="20"/>
                <w:szCs w:val="20"/>
                <w:color w:val="auto"/>
              </w:rPr>
            </w:pPr>
            <w:r>
              <w:rPr>
                <w:rFonts w:ascii="Arial" w:cs="Arial" w:eastAsia="Arial" w:hAnsi="Arial"/>
                <w:sz w:val="18"/>
                <w:szCs w:val="18"/>
                <w:b w:val="1"/>
                <w:bCs w:val="1"/>
                <w:color w:val="050A54"/>
              </w:rPr>
              <w:t>2022 Proxy Statement</w:t>
            </w:r>
          </w:p>
        </w:tc>
        <w:tc>
          <w:tcPr>
            <w:tcW w:w="520" w:type="dxa"/>
            <w:vAlign w:val="bottom"/>
          </w:tcPr>
          <w:p>
            <w:pPr>
              <w:jc w:val="right"/>
              <w:spacing w:after="0"/>
              <w:rPr>
                <w:sz w:val="20"/>
                <w:szCs w:val="20"/>
                <w:color w:val="auto"/>
              </w:rPr>
            </w:pPr>
            <w:r>
              <w:rPr>
                <w:rFonts w:ascii="Arial" w:cs="Arial" w:eastAsia="Arial" w:hAnsi="Arial"/>
                <w:sz w:val="18"/>
                <w:szCs w:val="18"/>
                <w:color w:val="050A54"/>
              </w:rPr>
              <w:t>7</w:t>
            </w:r>
          </w:p>
        </w:tc>
      </w:tr>
    </w:tbl>
    <w:p>
      <w:pPr>
        <w:sectPr>
          <w:pgSz w:w="11900" w:h="16838" w:orient="portrait"/>
          <w:cols w:equalWidth="0" w:num="1">
            <w:col w:w="11080"/>
          </w:cols>
          <w:pgMar w:left="320" w:top="454" w:right="499"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820"/>
        <w:spacing w:after="0"/>
        <w:rPr>
          <w:sz w:val="20"/>
          <w:szCs w:val="20"/>
          <w:color w:val="auto"/>
        </w:rPr>
      </w:pPr>
      <w:r>
        <w:rPr>
          <w:rFonts w:ascii="Arial" w:cs="Arial" w:eastAsia="Arial" w:hAnsi="Arial"/>
          <w:sz w:val="20"/>
          <w:szCs w:val="20"/>
          <w:b w:val="1"/>
          <w:bCs w:val="1"/>
          <w:color w:val="050A54"/>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3"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The charts below reflect the diversity of our Board based on the self-identified characteristics of our director nominees, including Mr. Arnold. We have also included diversity statistics required by new listing rules that were approved by the SEC in August 2021. These rules, which the Company supported, require all companies listed on Nasdaq’s U.S. exchange to publicly disclose consistent, transparent diversity statistics regarding their board of directors through a uniform disclosure matrix, subject to applicable compliance periods.</w:t>
      </w:r>
    </w:p>
    <w:p>
      <w:pPr>
        <w:spacing w:after="0" w:line="325" w:lineRule="exact"/>
        <w:rPr>
          <w:sz w:val="20"/>
          <w:szCs w:val="20"/>
          <w:color w:val="auto"/>
        </w:rPr>
      </w:pPr>
    </w:p>
    <w:p>
      <w:pPr>
        <w:ind w:left="2180"/>
        <w:spacing w:after="0"/>
        <w:tabs>
          <w:tab w:leader="none" w:pos="7240" w:val="left"/>
        </w:tabs>
        <w:rPr>
          <w:sz w:val="20"/>
          <w:szCs w:val="20"/>
          <w:color w:val="auto"/>
        </w:rPr>
      </w:pPr>
      <w:r>
        <w:rPr>
          <w:rFonts w:ascii="Arial" w:cs="Arial" w:eastAsia="Arial" w:hAnsi="Arial"/>
          <w:sz w:val="18"/>
          <w:szCs w:val="18"/>
          <w:b w:val="1"/>
          <w:bCs w:val="1"/>
          <w:color w:val="050A54"/>
        </w:rPr>
        <w:t>Gender Diversity</w:t>
      </w:r>
      <w:r>
        <w:rPr>
          <w:sz w:val="20"/>
          <w:szCs w:val="20"/>
          <w:color w:val="auto"/>
        </w:rPr>
        <w:tab/>
      </w:r>
      <w:r>
        <w:rPr>
          <w:rFonts w:ascii="Arial" w:cs="Arial" w:eastAsia="Arial" w:hAnsi="Arial"/>
          <w:sz w:val="17"/>
          <w:szCs w:val="17"/>
          <w:b w:val="1"/>
          <w:bCs w:val="1"/>
          <w:color w:val="050A54"/>
        </w:rPr>
        <w:t>Racial and Ethnic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1014730</wp:posOffset>
            </wp:positionH>
            <wp:positionV relativeFrom="paragraph">
              <wp:posOffset>211455</wp:posOffset>
            </wp:positionV>
            <wp:extent cx="1656080" cy="13163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56080" cy="1316355"/>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84455</wp:posOffset>
            </wp:positionV>
            <wp:extent cx="1910715" cy="14439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10715" cy="1443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diversity statistics are reported in the standardized disclosure matrix provided by Nasdaq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160655</wp:posOffset>
            </wp:positionV>
            <wp:extent cx="6929755" cy="2889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29755" cy="288925"/>
                    </a:xfrm>
                    <a:prstGeom prst="rect">
                      <a:avLst/>
                    </a:prstGeom>
                    <a:noFill/>
                  </pic:spPr>
                </pic:pic>
              </a:graphicData>
            </a:graphic>
          </wp:anchor>
        </w:drawing>
      </w:r>
    </w:p>
    <w:p>
      <w:pPr>
        <w:spacing w:after="0" w:line="3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FFFFFF"/>
        </w:rPr>
        <w:t>Board Diversity Matrix (As of March 21, 2022)</w:t>
      </w:r>
    </w:p>
    <w:p>
      <w:pPr>
        <w:spacing w:after="0" w:line="133" w:lineRule="exact"/>
        <w:rPr>
          <w:sz w:val="20"/>
          <w:szCs w:val="20"/>
          <w:color w:val="auto"/>
        </w:rPr>
      </w:pPr>
    </w:p>
    <w:tbl>
      <w:tblPr>
        <w:tblLayout w:type="fixed"/>
        <w:tblInd w:w="160" w:type="dxa"/>
        <w:tblCellMar>
          <w:top w:w="0" w:type="dxa"/>
          <w:left w:w="0" w:type="dxa"/>
          <w:bottom w:w="0" w:type="dxa"/>
          <w:right w:w="0" w:type="dxa"/>
        </w:tblCellMar>
      </w:tblPr>
      <w:tr>
        <w:trPr>
          <w:trHeight w:val="267"/>
        </w:trPr>
        <w:tc>
          <w:tcPr>
            <w:tcW w:w="20" w:type="dxa"/>
            <w:vAlign w:val="bottom"/>
          </w:tcPr>
          <w:p>
            <w:pPr>
              <w:spacing w:after="0"/>
              <w:rPr>
                <w:sz w:val="23"/>
                <w:szCs w:val="23"/>
                <w:color w:val="auto"/>
              </w:rPr>
            </w:pPr>
          </w:p>
        </w:tc>
        <w:tc>
          <w:tcPr>
            <w:tcW w:w="5620" w:type="dxa"/>
            <w:vAlign w:val="bottom"/>
            <w:gridSpan w:val="3"/>
            <w:shd w:val="clear" w:color="auto" w:fill="DBDBDB"/>
          </w:tcPr>
          <w:p>
            <w:pPr>
              <w:spacing w:after="0"/>
              <w:rPr>
                <w:sz w:val="20"/>
                <w:szCs w:val="20"/>
                <w:color w:val="auto"/>
              </w:rPr>
            </w:pPr>
            <w:r>
              <w:rPr>
                <w:rFonts w:ascii="Arial" w:cs="Arial" w:eastAsia="Arial" w:hAnsi="Arial"/>
                <w:sz w:val="18"/>
                <w:szCs w:val="18"/>
                <w:b w:val="1"/>
                <w:bCs w:val="1"/>
                <w:color w:val="auto"/>
              </w:rPr>
              <w:t>Board Size:</w:t>
            </w:r>
          </w:p>
        </w:tc>
        <w:tc>
          <w:tcPr>
            <w:tcW w:w="620" w:type="dxa"/>
            <w:vAlign w:val="bottom"/>
            <w:shd w:val="clear" w:color="auto" w:fill="DBDBDB"/>
          </w:tcPr>
          <w:p>
            <w:pPr>
              <w:spacing w:after="0"/>
              <w:rPr>
                <w:sz w:val="23"/>
                <w:szCs w:val="23"/>
                <w:color w:val="auto"/>
              </w:rPr>
            </w:pPr>
          </w:p>
        </w:tc>
        <w:tc>
          <w:tcPr>
            <w:tcW w:w="2280" w:type="dxa"/>
            <w:vAlign w:val="bottom"/>
            <w:shd w:val="clear" w:color="auto" w:fill="DBDBDB"/>
          </w:tcPr>
          <w:p>
            <w:pPr>
              <w:spacing w:after="0"/>
              <w:rPr>
                <w:sz w:val="23"/>
                <w:szCs w:val="23"/>
                <w:color w:val="auto"/>
              </w:rPr>
            </w:pPr>
          </w:p>
        </w:tc>
        <w:tc>
          <w:tcPr>
            <w:tcW w:w="2380" w:type="dxa"/>
            <w:vAlign w:val="bottom"/>
            <w:shd w:val="clear" w:color="auto" w:fill="DBDBDB"/>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620" w:type="dxa"/>
            <w:vAlign w:val="bottom"/>
            <w:gridSpan w:val="3"/>
          </w:tcPr>
          <w:p>
            <w:pPr>
              <w:spacing w:after="0"/>
              <w:rPr>
                <w:sz w:val="20"/>
                <w:szCs w:val="20"/>
                <w:color w:val="auto"/>
              </w:rPr>
            </w:pPr>
            <w:r>
              <w:rPr>
                <w:rFonts w:ascii="Arial" w:cs="Arial" w:eastAsia="Arial" w:hAnsi="Arial"/>
                <w:sz w:val="18"/>
                <w:szCs w:val="18"/>
                <w:color w:val="auto"/>
              </w:rPr>
              <w:t>Total Number of Directors</w:t>
            </w:r>
          </w:p>
        </w:tc>
        <w:tc>
          <w:tcPr>
            <w:tcW w:w="620" w:type="dxa"/>
            <w:vAlign w:val="bottom"/>
          </w:tcPr>
          <w:p>
            <w:pPr>
              <w:spacing w:after="0"/>
              <w:rPr>
                <w:sz w:val="20"/>
                <w:szCs w:val="20"/>
                <w:color w:val="auto"/>
              </w:rPr>
            </w:pPr>
          </w:p>
        </w:tc>
        <w:tc>
          <w:tcPr>
            <w:tcW w:w="2280" w:type="dxa"/>
            <w:vAlign w:val="bottom"/>
          </w:tcPr>
          <w:p>
            <w:pPr>
              <w:jc w:val="right"/>
              <w:ind w:right="231"/>
              <w:spacing w:after="0"/>
              <w:rPr>
                <w:sz w:val="20"/>
                <w:szCs w:val="20"/>
                <w:color w:val="auto"/>
              </w:rPr>
            </w:pPr>
            <w:r>
              <w:rPr>
                <w:rFonts w:ascii="Arial" w:cs="Arial" w:eastAsia="Arial" w:hAnsi="Arial"/>
                <w:sz w:val="18"/>
                <w:szCs w:val="18"/>
                <w:color w:val="auto"/>
              </w:rPr>
              <w:t>9</w:t>
            </w: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720" w:type="dxa"/>
            <w:vAlign w:val="bottom"/>
            <w:tcBorders>
              <w:bottom w:val="single" w:sz="8" w:color="DBDBDB"/>
            </w:tcBorders>
            <w:gridSpan w:val="2"/>
            <w:shd w:val="clear" w:color="auto" w:fill="DBDBDB"/>
          </w:tcPr>
          <w:p>
            <w:pPr>
              <w:spacing w:after="0"/>
              <w:rPr>
                <w:sz w:val="20"/>
                <w:szCs w:val="20"/>
                <w:color w:val="auto"/>
              </w:rPr>
            </w:pPr>
            <w:r>
              <w:rPr>
                <w:rFonts w:ascii="Arial" w:cs="Arial" w:eastAsia="Arial" w:hAnsi="Arial"/>
                <w:sz w:val="18"/>
                <w:szCs w:val="18"/>
                <w:b w:val="1"/>
                <w:bCs w:val="1"/>
                <w:color w:val="auto"/>
              </w:rPr>
              <w:t>Gender:</w:t>
            </w:r>
          </w:p>
        </w:tc>
        <w:tc>
          <w:tcPr>
            <w:tcW w:w="4900" w:type="dxa"/>
            <w:vAlign w:val="bottom"/>
            <w:tcBorders>
              <w:bottom w:val="single" w:sz="8" w:color="DBDBDB"/>
            </w:tcBorders>
            <w:shd w:val="clear" w:color="auto" w:fill="DBDBDB"/>
          </w:tcPr>
          <w:p>
            <w:pPr>
              <w:spacing w:after="0"/>
              <w:rPr>
                <w:sz w:val="24"/>
                <w:szCs w:val="24"/>
                <w:color w:val="auto"/>
              </w:rPr>
            </w:pPr>
          </w:p>
        </w:tc>
        <w:tc>
          <w:tcPr>
            <w:tcW w:w="620" w:type="dxa"/>
            <w:vAlign w:val="bottom"/>
            <w:tcBorders>
              <w:bottom w:val="single" w:sz="8" w:color="DBDBDB"/>
            </w:tcBorders>
            <w:shd w:val="clear" w:color="auto" w:fill="DBDBDB"/>
          </w:tcPr>
          <w:p>
            <w:pPr>
              <w:jc w:val="center"/>
              <w:ind w:right="11"/>
              <w:spacing w:after="0"/>
              <w:rPr>
                <w:sz w:val="20"/>
                <w:szCs w:val="20"/>
                <w:color w:val="auto"/>
              </w:rPr>
            </w:pPr>
            <w:r>
              <w:rPr>
                <w:rFonts w:ascii="Arial" w:cs="Arial" w:eastAsia="Arial" w:hAnsi="Arial"/>
                <w:sz w:val="18"/>
                <w:szCs w:val="18"/>
                <w:b w:val="1"/>
                <w:bCs w:val="1"/>
                <w:color w:val="auto"/>
                <w:w w:val="99"/>
              </w:rPr>
              <w:t>Male</w:t>
            </w:r>
          </w:p>
        </w:tc>
        <w:tc>
          <w:tcPr>
            <w:tcW w:w="2280" w:type="dxa"/>
            <w:vAlign w:val="bottom"/>
            <w:tcBorders>
              <w:bottom w:val="single" w:sz="8" w:color="DBDBDB"/>
            </w:tcBorders>
            <w:shd w:val="clear" w:color="auto" w:fill="DBDBDB"/>
          </w:tcPr>
          <w:p>
            <w:pPr>
              <w:jc w:val="right"/>
              <w:ind w:right="151"/>
              <w:spacing w:after="0"/>
              <w:rPr>
                <w:sz w:val="20"/>
                <w:szCs w:val="20"/>
                <w:color w:val="auto"/>
              </w:rPr>
            </w:pPr>
            <w:r>
              <w:rPr>
                <w:rFonts w:ascii="Arial" w:cs="Arial" w:eastAsia="Arial" w:hAnsi="Arial"/>
                <w:sz w:val="18"/>
                <w:szCs w:val="18"/>
                <w:b w:val="1"/>
                <w:bCs w:val="1"/>
                <w:color w:val="auto"/>
              </w:rPr>
              <w:t>Female   Non-Binary</w:t>
            </w:r>
          </w:p>
        </w:tc>
        <w:tc>
          <w:tcPr>
            <w:tcW w:w="238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b w:val="1"/>
                <w:bCs w:val="1"/>
                <w:color w:val="auto"/>
              </w:rPr>
              <w:t>Gender Undisclosed</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620" w:type="dxa"/>
            <w:vAlign w:val="bottom"/>
            <w:gridSpan w:val="3"/>
          </w:tcPr>
          <w:p>
            <w:pPr>
              <w:spacing w:after="0"/>
              <w:rPr>
                <w:sz w:val="20"/>
                <w:szCs w:val="20"/>
                <w:color w:val="auto"/>
              </w:rPr>
            </w:pPr>
            <w:r>
              <w:rPr>
                <w:rFonts w:ascii="Arial" w:cs="Arial" w:eastAsia="Arial" w:hAnsi="Arial"/>
                <w:sz w:val="18"/>
                <w:szCs w:val="18"/>
                <w:color w:val="auto"/>
              </w:rPr>
              <w:t>Number of Directors Based on Gender Identity</w:t>
            </w:r>
          </w:p>
        </w:tc>
        <w:tc>
          <w:tcPr>
            <w:tcW w:w="620" w:type="dxa"/>
            <w:vAlign w:val="bottom"/>
          </w:tcPr>
          <w:p>
            <w:pPr>
              <w:jc w:val="center"/>
              <w:ind w:right="31"/>
              <w:spacing w:after="0"/>
              <w:rPr>
                <w:sz w:val="20"/>
                <w:szCs w:val="20"/>
                <w:color w:val="auto"/>
              </w:rPr>
            </w:pPr>
            <w:r>
              <w:rPr>
                <w:rFonts w:ascii="Arial" w:cs="Arial" w:eastAsia="Arial" w:hAnsi="Arial"/>
                <w:sz w:val="18"/>
                <w:szCs w:val="18"/>
                <w:color w:val="auto"/>
                <w:w w:val="99"/>
              </w:rPr>
              <w:t>6</w:t>
            </w:r>
          </w:p>
        </w:tc>
        <w:tc>
          <w:tcPr>
            <w:tcW w:w="2280" w:type="dxa"/>
            <w:vAlign w:val="bottom"/>
          </w:tcPr>
          <w:p>
            <w:pPr>
              <w:jc w:val="right"/>
              <w:ind w:right="1671"/>
              <w:spacing w:after="0"/>
              <w:rPr>
                <w:sz w:val="20"/>
                <w:szCs w:val="20"/>
                <w:color w:val="auto"/>
              </w:rPr>
            </w:pPr>
            <w:r>
              <w:rPr>
                <w:rFonts w:ascii="Arial" w:cs="Arial" w:eastAsia="Arial" w:hAnsi="Arial"/>
                <w:sz w:val="18"/>
                <w:szCs w:val="18"/>
                <w:color w:val="auto"/>
              </w:rPr>
              <w:t>3</w:t>
            </w: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5620" w:type="dxa"/>
            <w:vAlign w:val="bottom"/>
            <w:tcBorders>
              <w:bottom w:val="single" w:sz="8" w:color="DBDBDB"/>
            </w:tcBorders>
            <w:gridSpan w:val="3"/>
            <w:shd w:val="clear" w:color="auto" w:fill="DBDBDB"/>
          </w:tcPr>
          <w:p>
            <w:pPr>
              <w:spacing w:after="0"/>
              <w:rPr>
                <w:sz w:val="20"/>
                <w:szCs w:val="20"/>
                <w:color w:val="auto"/>
              </w:rPr>
            </w:pPr>
            <w:r>
              <w:rPr>
                <w:rFonts w:ascii="Arial" w:cs="Arial" w:eastAsia="Arial" w:hAnsi="Arial"/>
                <w:sz w:val="18"/>
                <w:szCs w:val="18"/>
                <w:b w:val="1"/>
                <w:bCs w:val="1"/>
                <w:color w:val="auto"/>
                <w:w w:val="99"/>
              </w:rPr>
              <w:t>Number of Directors Who Identify in Any of the Categories Below:</w:t>
            </w:r>
          </w:p>
        </w:tc>
        <w:tc>
          <w:tcPr>
            <w:tcW w:w="620" w:type="dxa"/>
            <w:vAlign w:val="bottom"/>
            <w:tcBorders>
              <w:bottom w:val="single" w:sz="8" w:color="DBDBDB"/>
            </w:tcBorders>
            <w:shd w:val="clear" w:color="auto" w:fill="DBDBDB"/>
          </w:tcPr>
          <w:p>
            <w:pPr>
              <w:spacing w:after="0"/>
              <w:rPr>
                <w:sz w:val="24"/>
                <w:szCs w:val="24"/>
                <w:color w:val="auto"/>
              </w:rPr>
            </w:pPr>
          </w:p>
        </w:tc>
        <w:tc>
          <w:tcPr>
            <w:tcW w:w="2280" w:type="dxa"/>
            <w:vAlign w:val="bottom"/>
            <w:tcBorders>
              <w:bottom w:val="single" w:sz="8" w:color="DBDBDB"/>
            </w:tcBorders>
            <w:shd w:val="clear" w:color="auto" w:fill="DBDBDB"/>
          </w:tcPr>
          <w:p>
            <w:pPr>
              <w:spacing w:after="0"/>
              <w:rPr>
                <w:sz w:val="24"/>
                <w:szCs w:val="24"/>
                <w:color w:val="auto"/>
              </w:rPr>
            </w:pPr>
          </w:p>
        </w:tc>
        <w:tc>
          <w:tcPr>
            <w:tcW w:w="2380" w:type="dxa"/>
            <w:vAlign w:val="bottom"/>
            <w:tcBorders>
              <w:bottom w:val="single" w:sz="8" w:color="DBDBDB"/>
            </w:tcBorders>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620" w:type="dxa"/>
            <w:vAlign w:val="bottom"/>
            <w:tcBorders>
              <w:bottom w:val="single" w:sz="8" w:color="F2F2F2"/>
            </w:tcBorders>
            <w:gridSpan w:val="3"/>
            <w:shd w:val="clear" w:color="auto" w:fill="F2F2F2"/>
          </w:tcPr>
          <w:p>
            <w:pPr>
              <w:spacing w:after="0"/>
              <w:rPr>
                <w:sz w:val="20"/>
                <w:szCs w:val="20"/>
                <w:color w:val="auto"/>
              </w:rPr>
            </w:pPr>
            <w:r>
              <w:rPr>
                <w:rFonts w:ascii="Arial" w:cs="Arial" w:eastAsia="Arial" w:hAnsi="Arial"/>
                <w:sz w:val="18"/>
                <w:szCs w:val="18"/>
                <w:color w:val="auto"/>
              </w:rPr>
              <w:t>African American or Black</w:t>
            </w:r>
          </w:p>
        </w:tc>
        <w:tc>
          <w:tcPr>
            <w:tcW w:w="620" w:type="dxa"/>
            <w:vAlign w:val="bottom"/>
            <w:tcBorders>
              <w:bottom w:val="single" w:sz="8" w:color="F2F2F2"/>
            </w:tcBorders>
            <w:shd w:val="clear" w:color="auto" w:fill="F2F2F2"/>
          </w:tcPr>
          <w:p>
            <w:pPr>
              <w:jc w:val="center"/>
              <w:ind w:right="31"/>
              <w:spacing w:after="0"/>
              <w:rPr>
                <w:sz w:val="20"/>
                <w:szCs w:val="20"/>
                <w:color w:val="auto"/>
              </w:rPr>
            </w:pPr>
            <w:r>
              <w:rPr>
                <w:rFonts w:ascii="Arial" w:cs="Arial" w:eastAsia="Arial" w:hAnsi="Arial"/>
                <w:sz w:val="18"/>
                <w:szCs w:val="18"/>
                <w:color w:val="auto"/>
                <w:w w:val="99"/>
              </w:rPr>
              <w:t>1</w:t>
            </w:r>
          </w:p>
        </w:tc>
        <w:tc>
          <w:tcPr>
            <w:tcW w:w="2280" w:type="dxa"/>
            <w:vAlign w:val="bottom"/>
            <w:tcBorders>
              <w:bottom w:val="single" w:sz="8" w:color="F2F2F2"/>
            </w:tcBorders>
            <w:shd w:val="clear" w:color="auto" w:fill="F2F2F2"/>
          </w:tcPr>
          <w:p>
            <w:pPr>
              <w:spacing w:after="0"/>
              <w:rPr>
                <w:sz w:val="21"/>
                <w:szCs w:val="21"/>
                <w:color w:val="auto"/>
              </w:rPr>
            </w:pPr>
          </w:p>
        </w:tc>
        <w:tc>
          <w:tcPr>
            <w:tcW w:w="2380" w:type="dxa"/>
            <w:vAlign w:val="bottom"/>
            <w:tcBorders>
              <w:bottom w:val="single" w:sz="8" w:color="F2F2F2"/>
            </w:tcBorders>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620" w:type="dxa"/>
            <w:vAlign w:val="bottom"/>
            <w:gridSpan w:val="3"/>
          </w:tcPr>
          <w:p>
            <w:pPr>
              <w:spacing w:after="0"/>
              <w:rPr>
                <w:sz w:val="20"/>
                <w:szCs w:val="20"/>
                <w:color w:val="auto"/>
              </w:rPr>
            </w:pPr>
            <w:r>
              <w:rPr>
                <w:rFonts w:ascii="Arial" w:cs="Arial" w:eastAsia="Arial" w:hAnsi="Arial"/>
                <w:sz w:val="18"/>
                <w:szCs w:val="18"/>
                <w:color w:val="auto"/>
              </w:rPr>
              <w:t>Alaskan Native or American Indian</w:t>
            </w:r>
          </w:p>
        </w:tc>
        <w:tc>
          <w:tcPr>
            <w:tcW w:w="6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720" w:type="dxa"/>
            <w:vAlign w:val="bottom"/>
            <w:gridSpan w:val="2"/>
            <w:shd w:val="clear" w:color="auto" w:fill="F2F2F2"/>
          </w:tcPr>
          <w:p>
            <w:pPr>
              <w:spacing w:after="0"/>
              <w:rPr>
                <w:sz w:val="20"/>
                <w:szCs w:val="20"/>
                <w:color w:val="auto"/>
              </w:rPr>
            </w:pPr>
            <w:r>
              <w:rPr>
                <w:rFonts w:ascii="Arial" w:cs="Arial" w:eastAsia="Arial" w:hAnsi="Arial"/>
                <w:sz w:val="18"/>
                <w:szCs w:val="18"/>
                <w:color w:val="auto"/>
              </w:rPr>
              <w:t>Asian</w:t>
            </w:r>
          </w:p>
        </w:tc>
        <w:tc>
          <w:tcPr>
            <w:tcW w:w="4900" w:type="dxa"/>
            <w:vAlign w:val="bottom"/>
            <w:shd w:val="clear" w:color="auto" w:fill="F2F2F2"/>
          </w:tcPr>
          <w:p>
            <w:pPr>
              <w:spacing w:after="0"/>
              <w:rPr>
                <w:sz w:val="23"/>
                <w:szCs w:val="23"/>
                <w:color w:val="auto"/>
              </w:rPr>
            </w:pPr>
          </w:p>
        </w:tc>
        <w:tc>
          <w:tcPr>
            <w:tcW w:w="620" w:type="dxa"/>
            <w:vAlign w:val="bottom"/>
            <w:shd w:val="clear" w:color="auto" w:fill="F2F2F2"/>
          </w:tcPr>
          <w:p>
            <w:pPr>
              <w:spacing w:after="0"/>
              <w:rPr>
                <w:sz w:val="23"/>
                <w:szCs w:val="23"/>
                <w:color w:val="auto"/>
              </w:rPr>
            </w:pPr>
          </w:p>
        </w:tc>
        <w:tc>
          <w:tcPr>
            <w:tcW w:w="2280" w:type="dxa"/>
            <w:vAlign w:val="bottom"/>
            <w:shd w:val="clear" w:color="auto" w:fill="F2F2F2"/>
          </w:tcPr>
          <w:p>
            <w:pPr>
              <w:spacing w:after="0"/>
              <w:rPr>
                <w:sz w:val="23"/>
                <w:szCs w:val="23"/>
                <w:color w:val="auto"/>
              </w:rPr>
            </w:pPr>
          </w:p>
        </w:tc>
        <w:tc>
          <w:tcPr>
            <w:tcW w:w="2380" w:type="dxa"/>
            <w:vAlign w:val="bottom"/>
            <w:shd w:val="clear" w:color="auto" w:fill="F2F2F2"/>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620" w:type="dxa"/>
            <w:vAlign w:val="bottom"/>
            <w:gridSpan w:val="3"/>
          </w:tcPr>
          <w:p>
            <w:pPr>
              <w:spacing w:after="0"/>
              <w:rPr>
                <w:sz w:val="20"/>
                <w:szCs w:val="20"/>
                <w:color w:val="auto"/>
              </w:rPr>
            </w:pPr>
            <w:r>
              <w:rPr>
                <w:rFonts w:ascii="Arial" w:cs="Arial" w:eastAsia="Arial" w:hAnsi="Arial"/>
                <w:sz w:val="18"/>
                <w:szCs w:val="18"/>
                <w:color w:val="auto"/>
              </w:rPr>
              <w:t>Hispanic or Latinx</w:t>
            </w:r>
          </w:p>
        </w:tc>
        <w:tc>
          <w:tcPr>
            <w:tcW w:w="6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5620" w:type="dxa"/>
            <w:vAlign w:val="bottom"/>
            <w:gridSpan w:val="3"/>
            <w:shd w:val="clear" w:color="auto" w:fill="F2F2F2"/>
          </w:tcPr>
          <w:p>
            <w:pPr>
              <w:spacing w:after="0"/>
              <w:rPr>
                <w:sz w:val="20"/>
                <w:szCs w:val="20"/>
                <w:color w:val="auto"/>
              </w:rPr>
            </w:pPr>
            <w:r>
              <w:rPr>
                <w:rFonts w:ascii="Arial" w:cs="Arial" w:eastAsia="Arial" w:hAnsi="Arial"/>
                <w:sz w:val="18"/>
                <w:szCs w:val="18"/>
                <w:color w:val="auto"/>
              </w:rPr>
              <w:t>Native Hawaiian or Pacific Islander</w:t>
            </w:r>
          </w:p>
        </w:tc>
        <w:tc>
          <w:tcPr>
            <w:tcW w:w="620" w:type="dxa"/>
            <w:vAlign w:val="bottom"/>
            <w:shd w:val="clear" w:color="auto" w:fill="F2F2F2"/>
          </w:tcPr>
          <w:p>
            <w:pPr>
              <w:spacing w:after="0"/>
              <w:rPr>
                <w:sz w:val="23"/>
                <w:szCs w:val="23"/>
                <w:color w:val="auto"/>
              </w:rPr>
            </w:pPr>
          </w:p>
        </w:tc>
        <w:tc>
          <w:tcPr>
            <w:tcW w:w="2280" w:type="dxa"/>
            <w:vAlign w:val="bottom"/>
            <w:shd w:val="clear" w:color="auto" w:fill="F2F2F2"/>
          </w:tcPr>
          <w:p>
            <w:pPr>
              <w:spacing w:after="0"/>
              <w:rPr>
                <w:sz w:val="23"/>
                <w:szCs w:val="23"/>
                <w:color w:val="auto"/>
              </w:rPr>
            </w:pPr>
          </w:p>
        </w:tc>
        <w:tc>
          <w:tcPr>
            <w:tcW w:w="2380" w:type="dxa"/>
            <w:vAlign w:val="bottom"/>
            <w:shd w:val="clear" w:color="auto" w:fill="F2F2F2"/>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White</w:t>
            </w:r>
          </w:p>
        </w:tc>
        <w:tc>
          <w:tcPr>
            <w:tcW w:w="4900" w:type="dxa"/>
            <w:vAlign w:val="bottom"/>
          </w:tcPr>
          <w:p>
            <w:pPr>
              <w:spacing w:after="0"/>
              <w:rPr>
                <w:sz w:val="20"/>
                <w:szCs w:val="20"/>
                <w:color w:val="auto"/>
              </w:rPr>
            </w:pPr>
          </w:p>
        </w:tc>
        <w:tc>
          <w:tcPr>
            <w:tcW w:w="620" w:type="dxa"/>
            <w:vAlign w:val="bottom"/>
          </w:tcPr>
          <w:p>
            <w:pPr>
              <w:jc w:val="center"/>
              <w:ind w:right="31"/>
              <w:spacing w:after="0"/>
              <w:rPr>
                <w:sz w:val="20"/>
                <w:szCs w:val="20"/>
                <w:color w:val="auto"/>
              </w:rPr>
            </w:pPr>
            <w:r>
              <w:rPr>
                <w:rFonts w:ascii="Arial" w:cs="Arial" w:eastAsia="Arial" w:hAnsi="Arial"/>
                <w:sz w:val="18"/>
                <w:szCs w:val="18"/>
                <w:color w:val="auto"/>
                <w:w w:val="99"/>
              </w:rPr>
              <w:t>5</w:t>
            </w:r>
          </w:p>
        </w:tc>
        <w:tc>
          <w:tcPr>
            <w:tcW w:w="2280" w:type="dxa"/>
            <w:vAlign w:val="bottom"/>
          </w:tcPr>
          <w:p>
            <w:pPr>
              <w:jc w:val="right"/>
              <w:ind w:right="1671"/>
              <w:spacing w:after="0"/>
              <w:rPr>
                <w:sz w:val="20"/>
                <w:szCs w:val="20"/>
                <w:color w:val="auto"/>
              </w:rPr>
            </w:pPr>
            <w:r>
              <w:rPr>
                <w:rFonts w:ascii="Arial" w:cs="Arial" w:eastAsia="Arial" w:hAnsi="Arial"/>
                <w:sz w:val="18"/>
                <w:szCs w:val="18"/>
                <w:color w:val="auto"/>
              </w:rPr>
              <w:t>3</w:t>
            </w: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5620" w:type="dxa"/>
            <w:vAlign w:val="bottom"/>
            <w:gridSpan w:val="3"/>
            <w:shd w:val="clear" w:color="auto" w:fill="F2F2F2"/>
          </w:tcPr>
          <w:p>
            <w:pPr>
              <w:spacing w:after="0"/>
              <w:rPr>
                <w:sz w:val="20"/>
                <w:szCs w:val="20"/>
                <w:color w:val="auto"/>
              </w:rPr>
            </w:pPr>
            <w:r>
              <w:rPr>
                <w:rFonts w:ascii="Arial" w:cs="Arial" w:eastAsia="Arial" w:hAnsi="Arial"/>
                <w:sz w:val="18"/>
                <w:szCs w:val="18"/>
                <w:color w:val="auto"/>
              </w:rPr>
              <w:t>Two or More Races or Ethnicities</w:t>
            </w:r>
          </w:p>
        </w:tc>
        <w:tc>
          <w:tcPr>
            <w:tcW w:w="620" w:type="dxa"/>
            <w:vAlign w:val="bottom"/>
            <w:shd w:val="clear" w:color="auto" w:fill="F2F2F2"/>
          </w:tcPr>
          <w:p>
            <w:pPr>
              <w:spacing w:after="0"/>
              <w:rPr>
                <w:sz w:val="23"/>
                <w:szCs w:val="23"/>
                <w:color w:val="auto"/>
              </w:rPr>
            </w:pPr>
          </w:p>
        </w:tc>
        <w:tc>
          <w:tcPr>
            <w:tcW w:w="2280" w:type="dxa"/>
            <w:vAlign w:val="bottom"/>
            <w:shd w:val="clear" w:color="auto" w:fill="F2F2F2"/>
          </w:tcPr>
          <w:p>
            <w:pPr>
              <w:spacing w:after="0"/>
              <w:rPr>
                <w:sz w:val="23"/>
                <w:szCs w:val="23"/>
                <w:color w:val="auto"/>
              </w:rPr>
            </w:pPr>
          </w:p>
        </w:tc>
        <w:tc>
          <w:tcPr>
            <w:tcW w:w="2380" w:type="dxa"/>
            <w:vAlign w:val="bottom"/>
            <w:shd w:val="clear" w:color="auto" w:fill="F2F2F2"/>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w w:val="97"/>
              </w:rPr>
              <w:t>LGBTQ+</w:t>
            </w:r>
          </w:p>
        </w:tc>
        <w:tc>
          <w:tcPr>
            <w:tcW w:w="4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5620" w:type="dxa"/>
            <w:vAlign w:val="bottom"/>
            <w:gridSpan w:val="3"/>
            <w:shd w:val="clear" w:color="auto" w:fill="F2F2F2"/>
          </w:tcPr>
          <w:p>
            <w:pPr>
              <w:spacing w:after="0"/>
              <w:rPr>
                <w:sz w:val="20"/>
                <w:szCs w:val="20"/>
                <w:color w:val="auto"/>
              </w:rPr>
            </w:pPr>
            <w:r>
              <w:rPr>
                <w:rFonts w:ascii="Arial" w:cs="Arial" w:eastAsia="Arial" w:hAnsi="Arial"/>
                <w:sz w:val="18"/>
                <w:szCs w:val="18"/>
                <w:color w:val="auto"/>
              </w:rPr>
              <w:t>Demographic Background Undisclosed</w:t>
            </w:r>
          </w:p>
        </w:tc>
        <w:tc>
          <w:tcPr>
            <w:tcW w:w="620" w:type="dxa"/>
            <w:vAlign w:val="bottom"/>
            <w:shd w:val="clear" w:color="auto" w:fill="F2F2F2"/>
          </w:tcPr>
          <w:p>
            <w:pPr>
              <w:spacing w:after="0"/>
              <w:rPr>
                <w:sz w:val="23"/>
                <w:szCs w:val="23"/>
                <w:color w:val="auto"/>
              </w:rPr>
            </w:pPr>
          </w:p>
        </w:tc>
        <w:tc>
          <w:tcPr>
            <w:tcW w:w="2280" w:type="dxa"/>
            <w:vAlign w:val="bottom"/>
            <w:shd w:val="clear" w:color="auto" w:fill="F2F2F2"/>
          </w:tcPr>
          <w:p>
            <w:pPr>
              <w:spacing w:after="0"/>
              <w:rPr>
                <w:sz w:val="23"/>
                <w:szCs w:val="23"/>
                <w:color w:val="auto"/>
              </w:rPr>
            </w:pPr>
          </w:p>
        </w:tc>
        <w:tc>
          <w:tcPr>
            <w:tcW w:w="2380" w:type="dxa"/>
            <w:vAlign w:val="bottom"/>
            <w:shd w:val="clear" w:color="auto" w:fill="F2F2F2"/>
          </w:tcPr>
          <w:p>
            <w:pPr>
              <w:spacing w:after="0"/>
              <w:rPr>
                <w:sz w:val="23"/>
                <w:szCs w:val="23"/>
                <w:color w:val="auto"/>
              </w:rPr>
            </w:pPr>
          </w:p>
        </w:tc>
        <w:tc>
          <w:tcPr>
            <w:tcW w:w="0" w:type="dxa"/>
            <w:vAlign w:val="bottom"/>
          </w:tcPr>
          <w:p>
            <w:pPr>
              <w:spacing w:after="0"/>
              <w:rPr>
                <w:sz w:val="1"/>
                <w:szCs w:val="1"/>
                <w:color w:val="auto"/>
              </w:rPr>
            </w:pPr>
          </w:p>
        </w:tc>
      </w:tr>
      <w:tr>
        <w:trPr>
          <w:trHeight w:val="147"/>
        </w:trPr>
        <w:tc>
          <w:tcPr>
            <w:tcW w:w="440" w:type="dxa"/>
            <w:vAlign w:val="bottom"/>
            <w:gridSpan w:val="2"/>
            <w:vMerge w:val="restart"/>
          </w:tcPr>
          <w:p>
            <w:pPr>
              <w:jc w:val="right"/>
              <w:ind w:right="111"/>
              <w:spacing w:after="0"/>
              <w:rPr>
                <w:sz w:val="20"/>
                <w:szCs w:val="20"/>
                <w:color w:val="auto"/>
              </w:rPr>
            </w:pPr>
            <w:r>
              <w:rPr>
                <w:rFonts w:ascii="Arial" w:cs="Arial" w:eastAsia="Arial" w:hAnsi="Arial"/>
                <w:sz w:val="18"/>
                <w:szCs w:val="18"/>
                <w:color w:val="050A54"/>
              </w:rPr>
              <w:t>8</w:t>
            </w:r>
          </w:p>
        </w:tc>
        <w:tc>
          <w:tcPr>
            <w:tcW w:w="300" w:type="dxa"/>
            <w:vAlign w:val="bottom"/>
          </w:tcPr>
          <w:p>
            <w:pPr>
              <w:spacing w:after="0"/>
              <w:rPr>
                <w:sz w:val="12"/>
                <w:szCs w:val="12"/>
                <w:color w:val="auto"/>
              </w:rPr>
            </w:pPr>
          </w:p>
        </w:tc>
        <w:tc>
          <w:tcPr>
            <w:tcW w:w="4900" w:type="dxa"/>
            <w:vAlign w:val="bottom"/>
            <w:vMerge w:val="restart"/>
          </w:tcPr>
          <w:p>
            <w:pPr>
              <w:ind w:left="20"/>
              <w:spacing w:after="0"/>
              <w:rPr>
                <w:sz w:val="20"/>
                <w:szCs w:val="20"/>
                <w:color w:val="auto"/>
              </w:rPr>
            </w:pPr>
            <w:r>
              <w:rPr>
                <w:rFonts w:ascii="Arial" w:cs="Arial" w:eastAsia="Arial" w:hAnsi="Arial"/>
                <w:sz w:val="18"/>
                <w:szCs w:val="18"/>
                <w:b w:val="1"/>
                <w:bCs w:val="1"/>
                <w:color w:val="050A54"/>
              </w:rPr>
              <w:t>2022 Proxy Statement</w:t>
            </w:r>
          </w:p>
        </w:tc>
        <w:tc>
          <w:tcPr>
            <w:tcW w:w="6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40" w:type="dxa"/>
            <w:vAlign w:val="bottom"/>
            <w:gridSpan w:val="2"/>
            <w:vMerge w:val="continue"/>
          </w:tcPr>
          <w:p>
            <w:pPr>
              <w:spacing w:after="0"/>
              <w:rPr>
                <w:sz w:val="18"/>
                <w:szCs w:val="18"/>
                <w:color w:val="auto"/>
              </w:rPr>
            </w:pPr>
          </w:p>
        </w:tc>
        <w:tc>
          <w:tcPr>
            <w:tcW w:w="300" w:type="dxa"/>
            <w:vAlign w:val="bottom"/>
            <w:tcBorders>
              <w:left w:val="single" w:sz="8" w:color="050A54"/>
            </w:tcBorders>
          </w:tcPr>
          <w:p>
            <w:pPr>
              <w:spacing w:after="0"/>
              <w:rPr>
                <w:sz w:val="18"/>
                <w:szCs w:val="18"/>
                <w:color w:val="auto"/>
              </w:rPr>
            </w:pPr>
          </w:p>
        </w:tc>
        <w:tc>
          <w:tcPr>
            <w:tcW w:w="49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-1697990</wp:posOffset>
            </wp:positionV>
            <wp:extent cx="6929755" cy="14693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29755" cy="14693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-2216150</wp:posOffset>
            </wp:positionV>
            <wp:extent cx="17145" cy="178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145" cy="178435"/>
                    </a:xfrm>
                    <a:prstGeom prst="rect">
                      <a:avLst/>
                    </a:prstGeom>
                    <a:noFill/>
                  </pic:spPr>
                </pic:pic>
              </a:graphicData>
            </a:graphic>
          </wp:anchor>
        </w:drawing>
        <w:drawing>
          <wp:anchor simplePos="0" relativeHeight="251657728" behindDoc="1" locked="0" layoutInCell="0" allowOverlap="1">
            <wp:simplePos x="0" y="0"/>
            <wp:positionH relativeFrom="column">
              <wp:posOffset>4607560</wp:posOffset>
            </wp:positionH>
            <wp:positionV relativeFrom="paragraph">
              <wp:posOffset>-2216150</wp:posOffset>
            </wp:positionV>
            <wp:extent cx="17145" cy="178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145" cy="178435"/>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-2216150</wp:posOffset>
            </wp:positionV>
            <wp:extent cx="17145" cy="178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145" cy="17843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-2216150</wp:posOffset>
            </wp:positionV>
            <wp:extent cx="17145" cy="178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145" cy="17843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332" w:lineRule="exact"/>
        <w:rPr>
          <w:sz w:val="20"/>
          <w:szCs w:val="20"/>
          <w:color w:val="auto"/>
        </w:rPr>
      </w:pPr>
    </w:p>
    <w:p>
      <w:pPr>
        <w:ind w:left="160" w:right="280"/>
        <w:spacing w:after="0" w:line="264" w:lineRule="auto"/>
        <w:rPr>
          <w:sz w:val="20"/>
          <w:szCs w:val="20"/>
          <w:color w:val="auto"/>
        </w:rPr>
      </w:pPr>
      <w:r>
        <w:rPr>
          <w:rFonts w:ascii="Arial" w:cs="Arial" w:eastAsia="Arial" w:hAnsi="Arial"/>
          <w:sz w:val="20"/>
          <w:szCs w:val="20"/>
          <w:b w:val="1"/>
          <w:bCs w:val="1"/>
          <w:color w:val="050A54"/>
        </w:rPr>
        <w:t>Recommendation of the Nominating and Governance Committee</w:t>
      </w:r>
    </w:p>
    <w:p>
      <w:pPr>
        <w:spacing w:after="0" w:line="141" w:lineRule="exact"/>
        <w:rPr>
          <w:sz w:val="20"/>
          <w:szCs w:val="20"/>
          <w:color w:val="auto"/>
        </w:rPr>
      </w:pPr>
    </w:p>
    <w:p>
      <w:pPr>
        <w:jc w:val="both"/>
        <w:ind w:left="160"/>
        <w:spacing w:after="0" w:line="256" w:lineRule="auto"/>
        <w:rPr>
          <w:sz w:val="20"/>
          <w:szCs w:val="20"/>
          <w:color w:val="auto"/>
        </w:rPr>
      </w:pPr>
      <w:r>
        <w:rPr>
          <w:rFonts w:ascii="Arial" w:cs="Arial" w:eastAsia="Arial" w:hAnsi="Arial"/>
          <w:sz w:val="17"/>
          <w:szCs w:val="17"/>
          <w:color w:val="auto"/>
        </w:rPr>
        <w:t>In recommending that the Board nominate each of our current directors to stand for election at the Annual Meeting, the Nominating and Governance Committee evaluated those directors according to the principles set forth in the Corporate Governance Guidelines and considered the pertinent qualifications and experience of each nominee, as further set forth below.</w:t>
      </w:r>
    </w:p>
    <w:p>
      <w:pPr>
        <w:spacing w:after="0" w:line="167"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If any of our nominees is unable or unwilling to serve on our Board of Directors, the shares represented by your proxy will be voted for the election of such other person as may be nominated by our Board of Directors. In addition, in compliance with all applicable state and federal laws and regulations, we</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right="20"/>
        <w:spacing w:after="0" w:line="265" w:lineRule="auto"/>
        <w:rPr>
          <w:sz w:val="20"/>
          <w:szCs w:val="20"/>
          <w:color w:val="auto"/>
        </w:rPr>
      </w:pPr>
      <w:r>
        <w:rPr>
          <w:rFonts w:ascii="Arial" w:cs="Arial" w:eastAsia="Arial" w:hAnsi="Arial"/>
          <w:sz w:val="18"/>
          <w:szCs w:val="18"/>
          <w:color w:val="auto"/>
        </w:rPr>
        <w:t>will file an amended proxy statement and proxy card that, as applicable:</w:t>
      </w:r>
    </w:p>
    <w:p>
      <w:pPr>
        <w:spacing w:after="0" w:line="185" w:lineRule="exact"/>
        <w:rPr>
          <w:sz w:val="20"/>
          <w:szCs w:val="20"/>
          <w:color w:val="auto"/>
        </w:rPr>
      </w:pPr>
    </w:p>
    <w:p>
      <w:pPr>
        <w:ind w:left="680" w:hanging="366"/>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identifies the alternate nominee(s);</w:t>
      </w:r>
    </w:p>
    <w:p>
      <w:pPr>
        <w:spacing w:after="0" w:line="234" w:lineRule="exact"/>
        <w:rPr>
          <w:rFonts w:ascii="Arial" w:cs="Arial" w:eastAsia="Arial" w:hAnsi="Arial"/>
          <w:sz w:val="18"/>
          <w:szCs w:val="18"/>
          <w:color w:val="auto"/>
        </w:rPr>
      </w:pPr>
    </w:p>
    <w:p>
      <w:pPr>
        <w:jc w:val="both"/>
        <w:ind w:left="680" w:right="20" w:hanging="366"/>
        <w:spacing w:after="0" w:line="249"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discloses that any such nominee has consented to being named in the revised proxy statement and to serve if elected; and</w:t>
      </w:r>
    </w:p>
    <w:p>
      <w:pPr>
        <w:spacing w:after="0" w:line="198" w:lineRule="exact"/>
        <w:rPr>
          <w:rFonts w:ascii="Arial" w:cs="Arial" w:eastAsia="Arial" w:hAnsi="Arial"/>
          <w:sz w:val="18"/>
          <w:szCs w:val="18"/>
          <w:color w:val="auto"/>
        </w:rPr>
      </w:pPr>
    </w:p>
    <w:p>
      <w:pPr>
        <w:ind w:left="680" w:right="20" w:hanging="366"/>
        <w:spacing w:after="0" w:line="265"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the disclosure required by Item 7 of Schedule 14A with respect to any such nominee.</w:t>
      </w:r>
    </w:p>
    <w:p>
      <w:pPr>
        <w:spacing w:after="0" w:line="15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know of no reason why any nominee would be unable or unwilling to serve. All nominees have consented to be named in this proxy statement and to serve if elected.</w:t>
      </w:r>
    </w:p>
    <w:p>
      <w:pPr>
        <w:spacing w:after="0" w:line="200" w:lineRule="exact"/>
        <w:rPr>
          <w:sz w:val="20"/>
          <w:szCs w:val="20"/>
          <w:color w:val="auto"/>
        </w:rPr>
      </w:pPr>
    </w:p>
    <w:p>
      <w:pPr>
        <w:sectPr>
          <w:pgSz w:w="11900" w:h="16838" w:orient="portrait"/>
          <w:cols w:equalWidth="0" w:num="2">
            <w:col w:w="5400" w:space="340"/>
            <w:col w:w="5340"/>
          </w:cols>
          <w:pgMar w:left="320" w:top="454" w:right="499" w:bottom="1440" w:gutter="0" w:footer="0" w:header="0"/>
          <w:type w:val="continuous"/>
        </w:sectPr>
      </w:pPr>
    </w:p>
    <w:p>
      <w:pPr>
        <w:spacing w:after="0" w:line="14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Director Qualifications and Experience</w:t>
      </w:r>
    </w:p>
    <w:p>
      <w:pPr>
        <w:spacing w:after="0" w:line="203"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The Board believes that the director nominees possess experience, skills and qualifications that are complementary and, together, cover the spectrum of areas that impact the Company’s current and evolving business circumstances. The Board believes that the combination of backgrounds, skills and experiences will result in a Board that continues to be well-equipped to exercise oversight responsibilities on behalf of the Company’s stakeholders.</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table below provides a summary of the skills and qualifications of each 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160655</wp:posOffset>
            </wp:positionV>
            <wp:extent cx="6861810" cy="16560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61810" cy="1656080"/>
                    </a:xfrm>
                    <a:prstGeom prst="rect">
                      <a:avLst/>
                    </a:prstGeom>
                    <a:noFill/>
                  </pic:spPr>
                </pic:pic>
              </a:graphicData>
            </a:graphic>
          </wp:anchor>
        </w:drawing>
      </w:r>
    </w:p>
    <w:p>
      <w:pPr>
        <w:spacing w:after="0" w:line="233" w:lineRule="exact"/>
        <w:rPr>
          <w:sz w:val="20"/>
          <w:szCs w:val="20"/>
          <w:color w:val="auto"/>
        </w:rPr>
      </w:pPr>
    </w:p>
    <w:tbl>
      <w:tblPr>
        <w:tblLayout w:type="fixed"/>
        <w:tblInd w:w="2900" w:type="dxa"/>
        <w:tblCellMar>
          <w:top w:w="0" w:type="dxa"/>
          <w:left w:w="0" w:type="dxa"/>
          <w:bottom w:w="0" w:type="dxa"/>
          <w:right w:w="0" w:type="dxa"/>
        </w:tblCellMar>
      </w:tblPr>
      <w:tr>
        <w:trPr>
          <w:trHeight w:val="186"/>
        </w:trPr>
        <w:tc>
          <w:tcPr>
            <w:tcW w:w="780" w:type="dxa"/>
            <w:vAlign w:val="bottom"/>
            <w:shd w:val="clear" w:color="auto" w:fill="E8E8E8"/>
          </w:tcPr>
          <w:p>
            <w:pPr>
              <w:jc w:val="center"/>
              <w:spacing w:after="0"/>
              <w:rPr>
                <w:sz w:val="20"/>
                <w:szCs w:val="20"/>
                <w:color w:val="auto"/>
              </w:rPr>
            </w:pPr>
            <w:r>
              <w:rPr>
                <w:rFonts w:ascii="Arial" w:cs="Arial" w:eastAsia="Arial" w:hAnsi="Arial"/>
                <w:sz w:val="16"/>
                <w:szCs w:val="16"/>
                <w:color w:val="auto"/>
                <w:w w:val="95"/>
              </w:rPr>
              <w:t>Dan</w:t>
            </w:r>
          </w:p>
        </w:tc>
        <w:tc>
          <w:tcPr>
            <w:tcW w:w="900" w:type="dxa"/>
            <w:vAlign w:val="bottom"/>
          </w:tcPr>
          <w:p>
            <w:pPr>
              <w:ind w:left="160"/>
              <w:spacing w:after="0"/>
              <w:rPr>
                <w:sz w:val="20"/>
                <w:szCs w:val="20"/>
                <w:color w:val="auto"/>
              </w:rPr>
            </w:pPr>
            <w:r>
              <w:rPr>
                <w:rFonts w:ascii="Arial" w:cs="Arial" w:eastAsia="Arial" w:hAnsi="Arial"/>
                <w:sz w:val="16"/>
                <w:szCs w:val="16"/>
                <w:color w:val="auto"/>
              </w:rPr>
              <w:t>Edward</w:t>
            </w:r>
          </w:p>
        </w:tc>
        <w:tc>
          <w:tcPr>
            <w:tcW w:w="940" w:type="dxa"/>
            <w:vAlign w:val="bottom"/>
            <w:shd w:val="clear" w:color="auto" w:fill="E8E8E8"/>
          </w:tcPr>
          <w:p>
            <w:pPr>
              <w:jc w:val="center"/>
              <w:spacing w:after="0"/>
              <w:rPr>
                <w:sz w:val="20"/>
                <w:szCs w:val="20"/>
                <w:color w:val="auto"/>
              </w:rPr>
            </w:pPr>
            <w:r>
              <w:rPr>
                <w:rFonts w:ascii="Arial" w:cs="Arial" w:eastAsia="Arial" w:hAnsi="Arial"/>
                <w:sz w:val="16"/>
                <w:szCs w:val="16"/>
                <w:color w:val="auto"/>
                <w:w w:val="96"/>
              </w:rPr>
              <w:t>Paulett</w:t>
            </w:r>
          </w:p>
        </w:tc>
        <w:tc>
          <w:tcPr>
            <w:tcW w:w="980" w:type="dxa"/>
            <w:vAlign w:val="bottom"/>
          </w:tcPr>
          <w:p>
            <w:pPr>
              <w:jc w:val="center"/>
              <w:spacing w:after="0"/>
              <w:rPr>
                <w:sz w:val="20"/>
                <w:szCs w:val="20"/>
                <w:color w:val="auto"/>
              </w:rPr>
            </w:pPr>
            <w:r>
              <w:rPr>
                <w:rFonts w:ascii="Arial" w:cs="Arial" w:eastAsia="Arial" w:hAnsi="Arial"/>
                <w:sz w:val="16"/>
                <w:szCs w:val="16"/>
                <w:color w:val="auto"/>
              </w:rPr>
              <w:t>William</w:t>
            </w:r>
          </w:p>
        </w:tc>
        <w:tc>
          <w:tcPr>
            <w:tcW w:w="920" w:type="dxa"/>
            <w:vAlign w:val="bottom"/>
            <w:shd w:val="clear" w:color="auto" w:fill="E8E8E8"/>
          </w:tcPr>
          <w:p>
            <w:pPr>
              <w:jc w:val="center"/>
              <w:spacing w:after="0"/>
              <w:rPr>
                <w:sz w:val="20"/>
                <w:szCs w:val="20"/>
                <w:color w:val="auto"/>
              </w:rPr>
            </w:pPr>
            <w:r>
              <w:rPr>
                <w:rFonts w:ascii="Arial" w:cs="Arial" w:eastAsia="Arial" w:hAnsi="Arial"/>
                <w:sz w:val="16"/>
                <w:szCs w:val="16"/>
                <w:color w:val="auto"/>
              </w:rPr>
              <w:t>Allison</w:t>
            </w:r>
          </w:p>
        </w:tc>
        <w:tc>
          <w:tcPr>
            <w:tcW w:w="940" w:type="dxa"/>
            <w:vAlign w:val="bottom"/>
          </w:tcPr>
          <w:p>
            <w:pPr>
              <w:jc w:val="center"/>
              <w:spacing w:after="0"/>
              <w:rPr>
                <w:sz w:val="20"/>
                <w:szCs w:val="20"/>
                <w:color w:val="auto"/>
              </w:rPr>
            </w:pPr>
            <w:r>
              <w:rPr>
                <w:rFonts w:ascii="Arial" w:cs="Arial" w:eastAsia="Arial" w:hAnsi="Arial"/>
                <w:sz w:val="16"/>
                <w:szCs w:val="16"/>
                <w:color w:val="auto"/>
                <w:w w:val="96"/>
              </w:rPr>
              <w:t>Anne</w:t>
            </w:r>
          </w:p>
        </w:tc>
        <w:tc>
          <w:tcPr>
            <w:tcW w:w="860" w:type="dxa"/>
            <w:vAlign w:val="bottom"/>
            <w:shd w:val="clear" w:color="auto" w:fill="E8E8E8"/>
          </w:tcPr>
          <w:p>
            <w:pPr>
              <w:jc w:val="center"/>
              <w:spacing w:after="0"/>
              <w:rPr>
                <w:sz w:val="20"/>
                <w:szCs w:val="20"/>
                <w:color w:val="auto"/>
              </w:rPr>
            </w:pPr>
            <w:r>
              <w:rPr>
                <w:rFonts w:ascii="Arial" w:cs="Arial" w:eastAsia="Arial" w:hAnsi="Arial"/>
                <w:sz w:val="16"/>
                <w:szCs w:val="16"/>
                <w:color w:val="auto"/>
              </w:rPr>
              <w:t>James</w:t>
            </w:r>
          </w:p>
        </w:tc>
        <w:tc>
          <w:tcPr>
            <w:tcW w:w="880" w:type="dxa"/>
            <w:vAlign w:val="bottom"/>
          </w:tcPr>
          <w:p>
            <w:pPr>
              <w:ind w:left="140"/>
              <w:spacing w:after="0"/>
              <w:rPr>
                <w:sz w:val="20"/>
                <w:szCs w:val="20"/>
                <w:color w:val="auto"/>
              </w:rPr>
            </w:pPr>
            <w:r>
              <w:rPr>
                <w:rFonts w:ascii="Arial" w:cs="Arial" w:eastAsia="Arial" w:hAnsi="Arial"/>
                <w:sz w:val="16"/>
                <w:szCs w:val="16"/>
                <w:color w:val="auto"/>
              </w:rPr>
              <w:t>Richard</w:t>
            </w:r>
          </w:p>
        </w:tc>
        <w:tc>
          <w:tcPr>
            <w:tcW w:w="920" w:type="dxa"/>
            <w:vAlign w:val="bottom"/>
            <w:shd w:val="clear" w:color="auto" w:fill="E8E8E8"/>
          </w:tcPr>
          <w:p>
            <w:pPr>
              <w:jc w:val="center"/>
              <w:ind w:right="20"/>
              <w:spacing w:after="0"/>
              <w:rPr>
                <w:sz w:val="20"/>
                <w:szCs w:val="20"/>
                <w:color w:val="auto"/>
              </w:rPr>
            </w:pPr>
            <w:r>
              <w:rPr>
                <w:rFonts w:ascii="Arial" w:cs="Arial" w:eastAsia="Arial" w:hAnsi="Arial"/>
                <w:sz w:val="16"/>
                <w:szCs w:val="16"/>
                <w:color w:val="auto"/>
                <w:w w:val="98"/>
              </w:rPr>
              <w:t>Corey</w:t>
            </w:r>
          </w:p>
        </w:tc>
      </w:tr>
      <w:tr>
        <w:trPr>
          <w:trHeight w:val="201"/>
        </w:trPr>
        <w:tc>
          <w:tcPr>
            <w:tcW w:w="780" w:type="dxa"/>
            <w:vAlign w:val="bottom"/>
            <w:shd w:val="clear" w:color="auto" w:fill="E8E8E8"/>
          </w:tcPr>
          <w:p>
            <w:pPr>
              <w:jc w:val="center"/>
              <w:spacing w:after="0"/>
              <w:rPr>
                <w:sz w:val="20"/>
                <w:szCs w:val="20"/>
                <w:color w:val="auto"/>
              </w:rPr>
            </w:pPr>
            <w:r>
              <w:rPr>
                <w:rFonts w:ascii="Arial" w:cs="Arial" w:eastAsia="Arial" w:hAnsi="Arial"/>
                <w:sz w:val="16"/>
                <w:szCs w:val="16"/>
                <w:color w:val="auto"/>
              </w:rPr>
              <w:t>Arnold</w:t>
            </w:r>
          </w:p>
        </w:tc>
        <w:tc>
          <w:tcPr>
            <w:tcW w:w="900" w:type="dxa"/>
            <w:vAlign w:val="bottom"/>
          </w:tcPr>
          <w:p>
            <w:pPr>
              <w:ind w:left="140"/>
              <w:spacing w:after="0"/>
              <w:rPr>
                <w:sz w:val="20"/>
                <w:szCs w:val="20"/>
                <w:color w:val="auto"/>
              </w:rPr>
            </w:pPr>
            <w:r>
              <w:rPr>
                <w:rFonts w:ascii="Arial" w:cs="Arial" w:eastAsia="Arial" w:hAnsi="Arial"/>
                <w:sz w:val="16"/>
                <w:szCs w:val="16"/>
                <w:color w:val="auto"/>
              </w:rPr>
              <w:t>Bernard</w:t>
            </w:r>
          </w:p>
        </w:tc>
        <w:tc>
          <w:tcPr>
            <w:tcW w:w="940" w:type="dxa"/>
            <w:vAlign w:val="bottom"/>
            <w:shd w:val="clear" w:color="auto" w:fill="E8E8E8"/>
          </w:tcPr>
          <w:p>
            <w:pPr>
              <w:jc w:val="center"/>
              <w:spacing w:after="0"/>
              <w:rPr>
                <w:sz w:val="20"/>
                <w:szCs w:val="20"/>
                <w:color w:val="auto"/>
              </w:rPr>
            </w:pPr>
            <w:r>
              <w:rPr>
                <w:rFonts w:ascii="Arial" w:cs="Arial" w:eastAsia="Arial" w:hAnsi="Arial"/>
                <w:sz w:val="16"/>
                <w:szCs w:val="16"/>
                <w:color w:val="auto"/>
                <w:w w:val="97"/>
              </w:rPr>
              <w:t>Eberhart</w:t>
            </w:r>
          </w:p>
        </w:tc>
        <w:tc>
          <w:tcPr>
            <w:tcW w:w="980" w:type="dxa"/>
            <w:vAlign w:val="bottom"/>
          </w:tcPr>
          <w:p>
            <w:pPr>
              <w:jc w:val="center"/>
              <w:spacing w:after="0"/>
              <w:rPr>
                <w:sz w:val="20"/>
                <w:szCs w:val="20"/>
                <w:color w:val="auto"/>
              </w:rPr>
            </w:pPr>
            <w:r>
              <w:rPr>
                <w:rFonts w:ascii="Arial" w:cs="Arial" w:eastAsia="Arial" w:hAnsi="Arial"/>
                <w:sz w:val="16"/>
                <w:szCs w:val="16"/>
                <w:color w:val="auto"/>
              </w:rPr>
              <w:t>Glavin Jr.</w:t>
            </w:r>
          </w:p>
        </w:tc>
        <w:tc>
          <w:tcPr>
            <w:tcW w:w="920" w:type="dxa"/>
            <w:vAlign w:val="bottom"/>
            <w:shd w:val="clear" w:color="auto" w:fill="E8E8E8"/>
          </w:tcPr>
          <w:p>
            <w:pPr>
              <w:jc w:val="center"/>
              <w:spacing w:after="0"/>
              <w:rPr>
                <w:sz w:val="20"/>
                <w:szCs w:val="20"/>
                <w:color w:val="auto"/>
              </w:rPr>
            </w:pPr>
            <w:r>
              <w:rPr>
                <w:rFonts w:ascii="Arial" w:cs="Arial" w:eastAsia="Arial" w:hAnsi="Arial"/>
                <w:sz w:val="16"/>
                <w:szCs w:val="16"/>
                <w:color w:val="auto"/>
                <w:w w:val="99"/>
              </w:rPr>
              <w:t>Mnookin</w:t>
            </w:r>
          </w:p>
        </w:tc>
        <w:tc>
          <w:tcPr>
            <w:tcW w:w="940" w:type="dxa"/>
            <w:vAlign w:val="bottom"/>
          </w:tcPr>
          <w:p>
            <w:pPr>
              <w:jc w:val="center"/>
              <w:spacing w:after="0"/>
              <w:rPr>
                <w:sz w:val="20"/>
                <w:szCs w:val="20"/>
                <w:color w:val="auto"/>
              </w:rPr>
            </w:pPr>
            <w:r>
              <w:rPr>
                <w:rFonts w:ascii="Arial" w:cs="Arial" w:eastAsia="Arial" w:hAnsi="Arial"/>
                <w:sz w:val="16"/>
                <w:szCs w:val="16"/>
                <w:color w:val="auto"/>
              </w:rPr>
              <w:t>Mulcahy</w:t>
            </w:r>
          </w:p>
        </w:tc>
        <w:tc>
          <w:tcPr>
            <w:tcW w:w="860" w:type="dxa"/>
            <w:vAlign w:val="bottom"/>
            <w:shd w:val="clear" w:color="auto" w:fill="E8E8E8"/>
          </w:tcPr>
          <w:p>
            <w:pPr>
              <w:jc w:val="center"/>
              <w:spacing w:after="0"/>
              <w:rPr>
                <w:sz w:val="20"/>
                <w:szCs w:val="20"/>
                <w:color w:val="auto"/>
              </w:rPr>
            </w:pPr>
            <w:r>
              <w:rPr>
                <w:rFonts w:ascii="Arial" w:cs="Arial" w:eastAsia="Arial" w:hAnsi="Arial"/>
                <w:sz w:val="16"/>
                <w:szCs w:val="16"/>
                <w:color w:val="auto"/>
              </w:rPr>
              <w:t>Putnam</w:t>
            </w:r>
          </w:p>
        </w:tc>
        <w:tc>
          <w:tcPr>
            <w:tcW w:w="880" w:type="dxa"/>
            <w:vAlign w:val="bottom"/>
          </w:tcPr>
          <w:p>
            <w:pPr>
              <w:ind w:left="140"/>
              <w:spacing w:after="0"/>
              <w:rPr>
                <w:sz w:val="20"/>
                <w:szCs w:val="20"/>
                <w:color w:val="auto"/>
              </w:rPr>
            </w:pPr>
            <w:r>
              <w:rPr>
                <w:rFonts w:ascii="Arial" w:cs="Arial" w:eastAsia="Arial" w:hAnsi="Arial"/>
                <w:sz w:val="16"/>
                <w:szCs w:val="16"/>
                <w:color w:val="auto"/>
              </w:rPr>
              <w:t>Schifter</w:t>
            </w:r>
          </w:p>
        </w:tc>
        <w:tc>
          <w:tcPr>
            <w:tcW w:w="920" w:type="dxa"/>
            <w:vAlign w:val="bottom"/>
            <w:shd w:val="clear" w:color="auto" w:fill="E8E8E8"/>
          </w:tcPr>
          <w:p>
            <w:pPr>
              <w:jc w:val="center"/>
              <w:ind w:right="20"/>
              <w:spacing w:after="0"/>
              <w:rPr>
                <w:sz w:val="20"/>
                <w:szCs w:val="20"/>
                <w:color w:val="auto"/>
              </w:rPr>
            </w:pPr>
            <w:r>
              <w:rPr>
                <w:rFonts w:ascii="Arial" w:cs="Arial" w:eastAsia="Arial" w:hAnsi="Arial"/>
                <w:sz w:val="16"/>
                <w:szCs w:val="16"/>
                <w:color w:val="auto"/>
              </w:rPr>
              <w:t>Thomas</w:t>
            </w:r>
          </w:p>
        </w:tc>
      </w:tr>
    </w:tbl>
    <w:p>
      <w:pPr>
        <w:ind w:left="380"/>
        <w:spacing w:after="0"/>
        <w:rPr>
          <w:sz w:val="20"/>
          <w:szCs w:val="20"/>
          <w:color w:val="auto"/>
        </w:rPr>
      </w:pPr>
      <w:r>
        <w:rPr>
          <w:rFonts w:ascii="Arial" w:cs="Arial" w:eastAsia="Arial" w:hAnsi="Arial"/>
          <w:sz w:val="16"/>
          <w:szCs w:val="16"/>
          <w:color w:val="auto"/>
        </w:rPr>
        <w:t>CEO Experience</w:t>
      </w:r>
    </w:p>
    <w:p>
      <w:pPr>
        <w:spacing w:after="0" w:line="2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Brokerage/Advisory Experience</w:t>
      </w:r>
    </w:p>
    <w:p>
      <w:pPr>
        <w:spacing w:after="0" w:line="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Digital Technology Experience</w:t>
      </w:r>
    </w:p>
    <w:p>
      <w:pPr>
        <w:spacing w:after="0" w:line="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Mergers &amp; Acquisitions</w:t>
      </w:r>
    </w:p>
    <w:p>
      <w:pPr>
        <w:spacing w:after="0" w:line="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Corporate Governance</w:t>
      </w:r>
    </w:p>
    <w:p>
      <w:pPr>
        <w:spacing w:after="0" w:line="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Financial Literacy</w:t>
      </w:r>
    </w:p>
    <w:p>
      <w:pPr>
        <w:spacing w:after="0" w:line="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Law/Regulatory</w:t>
      </w:r>
    </w:p>
    <w:p>
      <w:pPr>
        <w:spacing w:after="0" w:line="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Sales &amp; Marketing</w:t>
      </w:r>
    </w:p>
    <w:p>
      <w:pPr>
        <w:spacing w:after="0" w:line="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Human Resources</w:t>
      </w:r>
    </w:p>
    <w:p>
      <w:pPr>
        <w:spacing w:after="0" w:line="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Risk Management</w:t>
      </w:r>
    </w:p>
    <w:p>
      <w:pPr>
        <w:spacing w:after="0" w:line="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Entrepreneurial Experience</w:t>
      </w:r>
    </w:p>
    <w:p>
      <w:pPr>
        <w:spacing w:after="0" w:line="148" w:lineRule="exact"/>
        <w:rPr>
          <w:sz w:val="20"/>
          <w:szCs w:val="20"/>
          <w:color w:val="auto"/>
        </w:rPr>
      </w:pPr>
    </w:p>
    <w:tbl>
      <w:tblPr>
        <w:tblLayout w:type="fixed"/>
        <w:tblInd w:w="8500" w:type="dxa"/>
        <w:tblCellMar>
          <w:top w:w="0" w:type="dxa"/>
          <w:left w:w="0" w:type="dxa"/>
          <w:bottom w:w="0" w:type="dxa"/>
          <w:right w:w="0" w:type="dxa"/>
        </w:tblCellMar>
      </w:tblPr>
      <w:tr>
        <w:trPr>
          <w:trHeight w:val="233"/>
        </w:trPr>
        <w:tc>
          <w:tcPr>
            <w:tcW w:w="2060" w:type="dxa"/>
            <w:vAlign w:val="bottom"/>
            <w:tcBorders>
              <w:right w:val="single" w:sz="8" w:color="050A54"/>
            </w:tcBorders>
          </w:tcPr>
          <w:p>
            <w:pPr>
              <w:spacing w:after="0"/>
              <w:rPr>
                <w:sz w:val="20"/>
                <w:szCs w:val="20"/>
                <w:color w:val="auto"/>
              </w:rPr>
            </w:pPr>
            <w:r>
              <w:rPr>
                <w:rFonts w:ascii="Arial" w:cs="Arial" w:eastAsia="Arial" w:hAnsi="Arial"/>
                <w:sz w:val="18"/>
                <w:szCs w:val="18"/>
                <w:b w:val="1"/>
                <w:bCs w:val="1"/>
                <w:color w:val="050A54"/>
              </w:rPr>
              <w:t>2022 Proxy Statement</w:t>
            </w:r>
          </w:p>
        </w:tc>
        <w:tc>
          <w:tcPr>
            <w:tcW w:w="520" w:type="dxa"/>
            <w:vAlign w:val="bottom"/>
          </w:tcPr>
          <w:p>
            <w:pPr>
              <w:jc w:val="right"/>
              <w:spacing w:after="0"/>
              <w:rPr>
                <w:sz w:val="20"/>
                <w:szCs w:val="20"/>
                <w:color w:val="auto"/>
              </w:rPr>
            </w:pPr>
            <w:r>
              <w:rPr>
                <w:rFonts w:ascii="Arial" w:cs="Arial" w:eastAsia="Arial" w:hAnsi="Arial"/>
                <w:sz w:val="18"/>
                <w:szCs w:val="18"/>
                <w:color w:val="050A54"/>
              </w:rPr>
              <w:t>9</w:t>
            </w:r>
          </w:p>
        </w:tc>
      </w:tr>
    </w:tbl>
    <w:p>
      <w:pPr>
        <w:sectPr>
          <w:pgSz w:w="11900" w:h="16838" w:orient="portrait"/>
          <w:cols w:equalWidth="0" w:num="1">
            <w:col w:w="11080"/>
          </w:cols>
          <w:pgMar w:left="320" w:top="454" w:right="49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820"/>
        <w:spacing w:after="0"/>
        <w:rPr>
          <w:sz w:val="20"/>
          <w:szCs w:val="20"/>
          <w:color w:val="auto"/>
        </w:rPr>
      </w:pPr>
      <w:r>
        <w:rPr>
          <w:rFonts w:ascii="Arial" w:cs="Arial" w:eastAsia="Arial" w:hAnsi="Arial"/>
          <w:sz w:val="20"/>
          <w:szCs w:val="20"/>
          <w:b w:val="1"/>
          <w:bCs w:val="1"/>
          <w:color w:val="050A54"/>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Board of Director Nominees</w:t>
      </w:r>
    </w:p>
    <w:p>
      <w:pPr>
        <w:spacing w:after="0" w:line="96"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The name, age and a description of the business experience, principal occupation, and past employment and directorships of each of the nominees during at least the last five years are set forth below. In addition, we have summarized the particular experience, qualifications, attributes and skills that led the Board of Directors, including our Nominating and Governance Committee, to determine that each nominee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142240</wp:posOffset>
            </wp:positionV>
            <wp:extent cx="6929755" cy="39998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29755" cy="399986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333"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050A54"/>
        </w:rPr>
        <w:t>Dan H. Arnold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Age 57</w:t>
      </w:r>
    </w:p>
    <w:p>
      <w:pPr>
        <w:spacing w:after="0" w:line="11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Director Since 2017</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050A54"/>
        </w:rPr>
        <w:t>BACKGROUND</w:t>
      </w:r>
    </w:p>
    <w:p>
      <w:pPr>
        <w:spacing w:after="0" w:line="84" w:lineRule="exact"/>
        <w:rPr>
          <w:sz w:val="20"/>
          <w:szCs w:val="20"/>
          <w:color w:val="auto"/>
        </w:rPr>
      </w:pPr>
    </w:p>
    <w:p>
      <w:pPr>
        <w:jc w:val="both"/>
        <w:ind w:left="100" w:right="160"/>
        <w:spacing w:after="0" w:line="235" w:lineRule="auto"/>
        <w:rPr>
          <w:sz w:val="20"/>
          <w:szCs w:val="20"/>
          <w:color w:val="auto"/>
        </w:rPr>
      </w:pPr>
      <w:r>
        <w:rPr>
          <w:rFonts w:ascii="Arial" w:cs="Arial" w:eastAsia="Arial" w:hAnsi="Arial"/>
          <w:sz w:val="18"/>
          <w:szCs w:val="18"/>
          <w:color w:val="auto"/>
        </w:rPr>
        <w:t>Mr. Arnold has served as our chief executive officer and a director since January 2017. Mr. Arnold has served as our president since March 2015, with responsibility for our primary client-facing functions and long-term strategy for growth. Mr. Arnold served as our chief financial officer from June 2012 to March 2015 and was responsible for formulating financial policy, leading our capital management efforts, and ensuring the effectiveness of the organization’s financial functions. Prior to 2012, he was managing director, head of strategy, with responsibility for long-term strategic planning for the firm, product and platform development, and strategic investments, including acquisitions. He has also served as divisional president of our Institution Services. Mr. Arnold joined the Company in January 2007 following our acquisition of UVEST Financial Services Group, Inc. (“UVEST”), a broker-dealer and investment adviser that provided services to banks, credit unions, and other financial institutions. Prior to joining us, Mr. Arnold worked at UVEST for 13 years, serving most recently as president and chief operating officer. Mr. Arnold earned a B.S. in electrical engineering from Auburn University and holds an M.B.A. in finance from Georgia State University.</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050A54"/>
        </w:rPr>
        <w:t>QUALIFICATIONS</w:t>
      </w:r>
    </w:p>
    <w:p>
      <w:pPr>
        <w:spacing w:after="0" w:line="84" w:lineRule="exact"/>
        <w:rPr>
          <w:sz w:val="20"/>
          <w:szCs w:val="20"/>
          <w:color w:val="auto"/>
        </w:rPr>
      </w:pPr>
    </w:p>
    <w:p>
      <w:pPr>
        <w:jc w:val="both"/>
        <w:ind w:left="100" w:right="160"/>
        <w:spacing w:after="0" w:line="237" w:lineRule="auto"/>
        <w:rPr>
          <w:sz w:val="20"/>
          <w:szCs w:val="20"/>
          <w:color w:val="auto"/>
        </w:rPr>
      </w:pPr>
      <w:r>
        <w:rPr>
          <w:rFonts w:ascii="Arial" w:cs="Arial" w:eastAsia="Arial" w:hAnsi="Arial"/>
          <w:sz w:val="18"/>
          <w:szCs w:val="18"/>
          <w:color w:val="auto"/>
        </w:rPr>
        <w:t>Mr. Arnold’s pertinent qualifications include his unique perspective and insights into our operations as our current president and chief executive officer, including knowledge of our business relationships, competitive and financial positioning, senior leadership, and strategic opportunities and challenges; operating, business and management experience as the chief financial officer, president, and now chief executive officer of a public company; and expertise in the financial industry and in particular brokerage and investment advisory services, including service as a director of the American Securities Association since April 2019 and past service as a director of the Securities Industry and Financial Markets Association from April 2015 to July 2018.</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050A54"/>
        </w:rPr>
        <w:t>OTHER PUBLIC COMPANY BOARDS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80" w:type="dxa"/>
            <w:vAlign w:val="bottom"/>
            <w:tcBorders>
              <w:top w:val="single" w:sz="8" w:color="050A54"/>
            </w:tcBorders>
          </w:tcPr>
          <w:p>
            <w:pPr>
              <w:jc w:val="center"/>
              <w:ind w:left="251"/>
              <w:spacing w:after="0" w:line="195" w:lineRule="exact"/>
              <w:rPr>
                <w:sz w:val="20"/>
                <w:szCs w:val="20"/>
                <w:color w:val="auto"/>
              </w:rPr>
            </w:pPr>
            <w:r>
              <w:rPr>
                <w:rFonts w:ascii="Arial" w:cs="Arial" w:eastAsia="Arial" w:hAnsi="Arial"/>
                <w:sz w:val="18"/>
                <w:szCs w:val="18"/>
                <w:b w:val="1"/>
                <w:bCs w:val="1"/>
                <w:color w:val="auto"/>
                <w:w w:val="98"/>
              </w:rPr>
              <w:t>Current</w:t>
            </w:r>
          </w:p>
        </w:tc>
        <w:tc>
          <w:tcPr>
            <w:tcW w:w="4280" w:type="dxa"/>
            <w:vAlign w:val="bottom"/>
            <w:tcBorders>
              <w:top w:val="single" w:sz="8" w:color="050A54"/>
            </w:tcBorders>
          </w:tcPr>
          <w:p>
            <w:pPr>
              <w:jc w:val="center"/>
              <w:ind w:left="271"/>
              <w:spacing w:after="0" w:line="195" w:lineRule="exact"/>
              <w:rPr>
                <w:sz w:val="20"/>
                <w:szCs w:val="20"/>
                <w:color w:val="auto"/>
              </w:rPr>
            </w:pPr>
            <w:r>
              <w:rPr>
                <w:rFonts w:ascii="Arial" w:cs="Arial" w:eastAsia="Arial" w:hAnsi="Arial"/>
                <w:sz w:val="18"/>
                <w:szCs w:val="18"/>
                <w:b w:val="1"/>
                <w:bCs w:val="1"/>
                <w:color w:val="auto"/>
                <w:w w:val="97"/>
              </w:rPr>
              <w:t>Past 5 Years</w:t>
            </w:r>
          </w:p>
        </w:tc>
      </w:tr>
      <w:tr>
        <w:trPr>
          <w:trHeight w:val="235"/>
        </w:trPr>
        <w:tc>
          <w:tcPr>
            <w:tcW w:w="3980" w:type="dxa"/>
            <w:vAlign w:val="bottom"/>
          </w:tcPr>
          <w:p>
            <w:pPr>
              <w:jc w:val="center"/>
              <w:ind w:left="271"/>
              <w:spacing w:after="0"/>
              <w:rPr>
                <w:sz w:val="20"/>
                <w:szCs w:val="20"/>
                <w:color w:val="auto"/>
              </w:rPr>
            </w:pPr>
            <w:r>
              <w:rPr>
                <w:rFonts w:ascii="Arial" w:cs="Arial" w:eastAsia="Arial" w:hAnsi="Arial"/>
                <w:sz w:val="18"/>
                <w:szCs w:val="18"/>
                <w:color w:val="auto"/>
                <w:w w:val="97"/>
              </w:rPr>
              <w:t>None</w:t>
            </w:r>
          </w:p>
        </w:tc>
        <w:tc>
          <w:tcPr>
            <w:tcW w:w="4280" w:type="dxa"/>
            <w:vAlign w:val="bottom"/>
          </w:tcPr>
          <w:p>
            <w:pPr>
              <w:jc w:val="center"/>
              <w:ind w:left="271"/>
              <w:spacing w:after="0"/>
              <w:rPr>
                <w:sz w:val="20"/>
                <w:szCs w:val="20"/>
                <w:color w:val="auto"/>
              </w:rPr>
            </w:pPr>
            <w:r>
              <w:rPr>
                <w:rFonts w:ascii="Arial" w:cs="Arial" w:eastAsia="Arial" w:hAnsi="Arial"/>
                <w:sz w:val="18"/>
                <w:szCs w:val="18"/>
                <w:color w:val="auto"/>
                <w:w w:val="99"/>
              </w:rPr>
              <w:t>Optimum Fund Trust</w:t>
            </w:r>
          </w:p>
        </w:tc>
      </w:tr>
    </w:tbl>
    <w:p>
      <w:pPr>
        <w:spacing w:after="0" w:line="200" w:lineRule="exact"/>
        <w:rPr>
          <w:sz w:val="20"/>
          <w:szCs w:val="20"/>
          <w:color w:val="auto"/>
        </w:rPr>
      </w:pPr>
    </w:p>
    <w:p>
      <w:pPr>
        <w:sectPr>
          <w:pgSz w:w="11900" w:h="16838" w:orient="portrait"/>
          <w:cols w:equalWidth="0" w:num="2">
            <w:col w:w="1940" w:space="560"/>
            <w:col w:w="8580"/>
          </w:cols>
          <w:pgMar w:left="320" w:top="454" w:right="499" w:bottom="1440" w:gutter="0" w:footer="0" w:header="0"/>
          <w:type w:val="continuous"/>
        </w:sectPr>
      </w:pPr>
    </w:p>
    <w:p>
      <w:pPr>
        <w:spacing w:after="0" w:line="46" w:lineRule="exact"/>
        <w:rPr>
          <w:sz w:val="20"/>
          <w:szCs w:val="20"/>
          <w:color w:val="auto"/>
        </w:rPr>
      </w:pPr>
    </w:p>
    <w:p>
      <w:pPr>
        <w:ind w:left="1000" w:hanging="690"/>
        <w:spacing w:after="0"/>
        <w:tabs>
          <w:tab w:leader="none" w:pos="1000" w:val="left"/>
        </w:tabs>
        <w:numPr>
          <w:ilvl w:val="0"/>
          <w:numId w:val="11"/>
        </w:numPr>
        <w:rPr>
          <w:rFonts w:ascii="Arial" w:cs="Arial" w:eastAsia="Arial" w:hAnsi="Arial"/>
          <w:sz w:val="17"/>
          <w:szCs w:val="17"/>
          <w:color w:val="050A54"/>
        </w:rPr>
      </w:pPr>
      <w:r>
        <w:rPr>
          <w:rFonts w:ascii="Arial" w:cs="Arial" w:eastAsia="Arial" w:hAnsi="Arial"/>
          <w:sz w:val="17"/>
          <w:szCs w:val="17"/>
          <w:b w:val="1"/>
          <w:bCs w:val="1"/>
          <w:color w:val="050A54"/>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-111760</wp:posOffset>
            </wp:positionV>
            <wp:extent cx="8255" cy="135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40341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29755" cy="40341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050A54"/>
        </w:rPr>
        <w:t>Edward C. Bernard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Age 66</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Director Nominee</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Independent</w:t>
      </w:r>
    </w:p>
    <w:p>
      <w:pPr>
        <w:spacing w:after="0" w:line="200" w:lineRule="exact"/>
        <w:rPr>
          <w:sz w:val="20"/>
          <w:szCs w:val="20"/>
          <w:color w:val="auto"/>
        </w:rPr>
      </w:pPr>
    </w:p>
    <w:p>
      <w:pPr>
        <w:spacing w:after="0" w:line="28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Committees:</w:t>
      </w:r>
    </w:p>
    <w:p>
      <w:pPr>
        <w:spacing w:after="0" w:line="114" w:lineRule="exact"/>
        <w:rPr>
          <w:sz w:val="20"/>
          <w:szCs w:val="20"/>
          <w:color w:val="auto"/>
        </w:rPr>
      </w:pPr>
    </w:p>
    <w:p>
      <w:pPr>
        <w:ind w:left="320"/>
        <w:spacing w:after="0" w:line="443" w:lineRule="auto"/>
        <w:rPr>
          <w:sz w:val="20"/>
          <w:szCs w:val="20"/>
          <w:color w:val="auto"/>
        </w:rPr>
      </w:pPr>
      <w:r>
        <w:rPr>
          <w:rFonts w:ascii="Arial" w:cs="Arial" w:eastAsia="Arial" w:hAnsi="Arial"/>
          <w:sz w:val="17"/>
          <w:szCs w:val="17"/>
          <w:color w:val="auto"/>
        </w:rPr>
        <w:t>Audit Committee Compensation Committee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050A54"/>
        </w:rPr>
        <w:t>BACKGROUND</w:t>
      </w:r>
    </w:p>
    <w:p>
      <w:pPr>
        <w:spacing w:after="0" w:line="84" w:lineRule="exact"/>
        <w:rPr>
          <w:sz w:val="20"/>
          <w:szCs w:val="20"/>
          <w:color w:val="auto"/>
        </w:rPr>
      </w:pPr>
    </w:p>
    <w:p>
      <w:pPr>
        <w:jc w:val="both"/>
        <w:ind w:left="80" w:right="260"/>
        <w:spacing w:after="0" w:line="235" w:lineRule="auto"/>
        <w:rPr>
          <w:sz w:val="20"/>
          <w:szCs w:val="20"/>
          <w:color w:val="auto"/>
        </w:rPr>
      </w:pPr>
      <w:r>
        <w:rPr>
          <w:rFonts w:ascii="Arial" w:cs="Arial" w:eastAsia="Arial" w:hAnsi="Arial"/>
          <w:sz w:val="18"/>
          <w:szCs w:val="18"/>
          <w:color w:val="auto"/>
        </w:rPr>
        <w:t>Mr. Bernard served as the vice chair of the board of directors of T. Rowe Price Group, Inc. (“TRP”), a global investment management firm, from 2007 to April 2019. Mr. Bernard served as a vice president of TRP from 1989 to December 2018 and as a member of the management committee of TRP from 2000 to December 2018. He oversaw TRP’s marketing, distribution, client service, information technology, legal and communications activities from 2006 until December 2018. He also served as chair of the board of all sponsored TRP mutual funds and trusts during that period and as president and/or chair of T. Rowe Price Investment Services, a registered broker/dealer, from 1996 to 2018. Mr. Bernard served as a director of TRP from 1999 to April 2019 and currently serves as a director of UTI Asset Management Company of India. He previously served as chair of the board of governors, and as a member of the executive committee, of the Investment Company Institute, the national trade association for the mutual fund industry. Mr. Bernard received his B.A. from Brown University and an M.B.A. from New York University.</w:t>
      </w:r>
    </w:p>
    <w:p>
      <w:pPr>
        <w:spacing w:after="0" w:line="235"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050A54"/>
        </w:rPr>
        <w:t>QUALIFICATIONS</w:t>
      </w:r>
    </w:p>
    <w:p>
      <w:pPr>
        <w:spacing w:after="0" w:line="151" w:lineRule="exact"/>
        <w:rPr>
          <w:sz w:val="20"/>
          <w:szCs w:val="20"/>
          <w:color w:val="auto"/>
        </w:rPr>
      </w:pPr>
    </w:p>
    <w:p>
      <w:pPr>
        <w:jc w:val="both"/>
        <w:ind w:left="80" w:right="260"/>
        <w:spacing w:after="0" w:line="237" w:lineRule="auto"/>
        <w:rPr>
          <w:sz w:val="20"/>
          <w:szCs w:val="20"/>
          <w:color w:val="auto"/>
        </w:rPr>
      </w:pPr>
      <w:r>
        <w:rPr>
          <w:rFonts w:ascii="Arial" w:cs="Arial" w:eastAsia="Arial" w:hAnsi="Arial"/>
          <w:sz w:val="18"/>
          <w:szCs w:val="18"/>
          <w:color w:val="auto"/>
        </w:rPr>
        <w:t>Mr. Bernard’s pertinent qualifications include expertise in the wealth management industry, gained through his 30 years of experience in investment management and leadership roles as a member of the board of governors at the Investment Company Institute; his high level of operating, management and strategic planning experience, gained through his executive positions and roles as vice chair of the board of directors of TRP and chair of all sponsored TRP mutual funds and trusts; and his deep understanding of financial product distribution, compliance requirements and the perspectives of advisors and their retail clients, including with respect to the use of technology, product and analytics as a competitive differentiator.</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050A54"/>
        </w:rPr>
        <w:t>OTHER PUBLIC COMPANY BOARDS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00" w:type="dxa"/>
            <w:vAlign w:val="bottom"/>
            <w:tcBorders>
              <w:top w:val="single" w:sz="8" w:color="050A54"/>
            </w:tcBorders>
          </w:tcPr>
          <w:p>
            <w:pPr>
              <w:jc w:val="center"/>
              <w:ind w:right="131"/>
              <w:spacing w:after="0" w:line="195" w:lineRule="exact"/>
              <w:rPr>
                <w:sz w:val="20"/>
                <w:szCs w:val="20"/>
                <w:color w:val="auto"/>
              </w:rPr>
            </w:pPr>
            <w:r>
              <w:rPr>
                <w:rFonts w:ascii="Arial" w:cs="Arial" w:eastAsia="Arial" w:hAnsi="Arial"/>
                <w:sz w:val="18"/>
                <w:szCs w:val="18"/>
                <w:b w:val="1"/>
                <w:bCs w:val="1"/>
                <w:color w:val="auto"/>
                <w:w w:val="98"/>
              </w:rPr>
              <w:t>Current</w:t>
            </w:r>
          </w:p>
        </w:tc>
        <w:tc>
          <w:tcPr>
            <w:tcW w:w="3960" w:type="dxa"/>
            <w:vAlign w:val="bottom"/>
            <w:tcBorders>
              <w:top w:val="single" w:sz="8" w:color="050A54"/>
            </w:tcBorders>
          </w:tcPr>
          <w:p>
            <w:pPr>
              <w:jc w:val="center"/>
              <w:ind w:right="371"/>
              <w:spacing w:after="0" w:line="195" w:lineRule="exact"/>
              <w:rPr>
                <w:sz w:val="20"/>
                <w:szCs w:val="20"/>
                <w:color w:val="auto"/>
              </w:rPr>
            </w:pPr>
            <w:r>
              <w:rPr>
                <w:rFonts w:ascii="Arial" w:cs="Arial" w:eastAsia="Arial" w:hAnsi="Arial"/>
                <w:sz w:val="18"/>
                <w:szCs w:val="18"/>
                <w:b w:val="1"/>
                <w:bCs w:val="1"/>
                <w:color w:val="auto"/>
                <w:w w:val="98"/>
              </w:rPr>
              <w:t>Past 5 Years</w:t>
            </w:r>
          </w:p>
        </w:tc>
      </w:tr>
      <w:tr>
        <w:trPr>
          <w:trHeight w:val="235"/>
        </w:trPr>
        <w:tc>
          <w:tcPr>
            <w:tcW w:w="4500" w:type="dxa"/>
            <w:vAlign w:val="bottom"/>
          </w:tcPr>
          <w:p>
            <w:pPr>
              <w:jc w:val="center"/>
              <w:ind w:right="151"/>
              <w:spacing w:after="0"/>
              <w:rPr>
                <w:sz w:val="20"/>
                <w:szCs w:val="20"/>
                <w:color w:val="auto"/>
              </w:rPr>
            </w:pPr>
            <w:r>
              <w:rPr>
                <w:rFonts w:ascii="Arial" w:cs="Arial" w:eastAsia="Arial" w:hAnsi="Arial"/>
                <w:sz w:val="18"/>
                <w:szCs w:val="18"/>
                <w:color w:val="auto"/>
                <w:w w:val="98"/>
              </w:rPr>
              <w:t>UTI Asset Management Company (India)</w:t>
            </w:r>
          </w:p>
        </w:tc>
        <w:tc>
          <w:tcPr>
            <w:tcW w:w="3960" w:type="dxa"/>
            <w:vAlign w:val="bottom"/>
          </w:tcPr>
          <w:p>
            <w:pPr>
              <w:jc w:val="center"/>
              <w:ind w:right="371"/>
              <w:spacing w:after="0"/>
              <w:rPr>
                <w:sz w:val="20"/>
                <w:szCs w:val="20"/>
                <w:color w:val="auto"/>
              </w:rPr>
            </w:pPr>
            <w:r>
              <w:rPr>
                <w:rFonts w:ascii="Arial" w:cs="Arial" w:eastAsia="Arial" w:hAnsi="Arial"/>
                <w:sz w:val="18"/>
                <w:szCs w:val="18"/>
                <w:color w:val="auto"/>
                <w:w w:val="97"/>
              </w:rPr>
              <w:t>T. Rowe Price Group, Inc.</w:t>
            </w:r>
          </w:p>
        </w:tc>
      </w:tr>
    </w:tbl>
    <w:p>
      <w:pPr>
        <w:spacing w:after="0" w:line="200" w:lineRule="exact"/>
        <w:rPr>
          <w:sz w:val="20"/>
          <w:szCs w:val="20"/>
          <w:color w:val="auto"/>
        </w:rPr>
      </w:pPr>
    </w:p>
    <w:p>
      <w:pPr>
        <w:sectPr>
          <w:pgSz w:w="11900" w:h="16838" w:orient="portrait"/>
          <w:cols w:equalWidth="0" w:num="2">
            <w:col w:w="2380" w:space="80"/>
            <w:col w:w="8620"/>
          </w:cols>
          <w:pgMar w:left="320" w:top="454" w:right="499" w:bottom="1440" w:gutter="0" w:footer="0" w:header="0"/>
          <w:type w:val="continuous"/>
        </w:sectPr>
      </w:pPr>
    </w:p>
    <w:p>
      <w:pPr>
        <w:spacing w:after="0" w:line="46" w:lineRule="exact"/>
        <w:rPr>
          <w:sz w:val="20"/>
          <w:szCs w:val="20"/>
          <w:color w:val="auto"/>
        </w:rPr>
      </w:pPr>
    </w:p>
    <w:tbl>
      <w:tblPr>
        <w:tblLayout w:type="fixed"/>
        <w:tblInd w:w="8500" w:type="dxa"/>
        <w:tblCellMar>
          <w:top w:w="0" w:type="dxa"/>
          <w:left w:w="0" w:type="dxa"/>
          <w:bottom w:w="0" w:type="dxa"/>
          <w:right w:w="0" w:type="dxa"/>
        </w:tblCellMar>
      </w:tblPr>
      <w:tr>
        <w:trPr>
          <w:trHeight w:val="233"/>
        </w:trPr>
        <w:tc>
          <w:tcPr>
            <w:tcW w:w="2060" w:type="dxa"/>
            <w:vAlign w:val="bottom"/>
            <w:tcBorders>
              <w:right w:val="single" w:sz="8" w:color="050A54"/>
            </w:tcBorders>
          </w:tcPr>
          <w:p>
            <w:pPr>
              <w:spacing w:after="0"/>
              <w:rPr>
                <w:sz w:val="20"/>
                <w:szCs w:val="20"/>
                <w:color w:val="auto"/>
              </w:rPr>
            </w:pPr>
            <w:r>
              <w:rPr>
                <w:rFonts w:ascii="Arial" w:cs="Arial" w:eastAsia="Arial" w:hAnsi="Arial"/>
                <w:sz w:val="18"/>
                <w:szCs w:val="18"/>
                <w:b w:val="1"/>
                <w:bCs w:val="1"/>
                <w:color w:val="050A54"/>
              </w:rPr>
              <w:t>2022 Proxy Statement</w:t>
            </w:r>
          </w:p>
        </w:tc>
        <w:tc>
          <w:tcPr>
            <w:tcW w:w="520" w:type="dxa"/>
            <w:vAlign w:val="bottom"/>
          </w:tcPr>
          <w:p>
            <w:pPr>
              <w:jc w:val="right"/>
              <w:spacing w:after="0"/>
              <w:rPr>
                <w:sz w:val="20"/>
                <w:szCs w:val="20"/>
                <w:color w:val="auto"/>
              </w:rPr>
            </w:pPr>
            <w:r>
              <w:rPr>
                <w:rFonts w:ascii="Arial" w:cs="Arial" w:eastAsia="Arial" w:hAnsi="Arial"/>
                <w:sz w:val="18"/>
                <w:szCs w:val="18"/>
                <w:color w:val="050A54"/>
              </w:rPr>
              <w:t>11</w:t>
            </w:r>
          </w:p>
        </w:tc>
      </w:tr>
    </w:tbl>
    <w:p>
      <w:pPr>
        <w:sectPr>
          <w:pgSz w:w="11900" w:h="16838" w:orient="portrait"/>
          <w:cols w:equalWidth="0" w:num="1">
            <w:col w:w="11080"/>
          </w:cols>
          <w:pgMar w:left="320" w:top="454" w:right="49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60"/>
        <w:spacing w:after="0"/>
        <w:rPr>
          <w:sz w:val="20"/>
          <w:szCs w:val="20"/>
          <w:color w:val="auto"/>
        </w:rPr>
      </w:pPr>
      <w:r>
        <w:rPr>
          <w:rFonts w:ascii="Arial" w:cs="Arial" w:eastAsia="Arial" w:hAnsi="Arial"/>
          <w:sz w:val="20"/>
          <w:szCs w:val="20"/>
          <w:b w:val="1"/>
          <w:bCs w:val="1"/>
          <w:color w:val="050A54"/>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46196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29755" cy="4619625"/>
                    </a:xfrm>
                    <a:prstGeom prst="rect">
                      <a:avLst/>
                    </a:prstGeom>
                    <a:noFill/>
                  </pic:spPr>
                </pic:pic>
              </a:graphicData>
            </a:graphic>
          </wp:anchor>
        </w:drawing>
      </w:r>
    </w:p>
    <w:p>
      <w:pPr>
        <w:sectPr>
          <w:pgSz w:w="11900" w:h="16838" w:orient="portrait"/>
          <w:cols w:equalWidth="0" w:num="1">
            <w:col w:w="10920"/>
          </w:cols>
          <w:pgMar w:left="320" w:top="454" w:right="65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050A54"/>
        </w:rPr>
        <w:t>H. Paulett Eberhart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Age 68</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Director Since 2014</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Independent</w:t>
      </w:r>
    </w:p>
    <w:p>
      <w:pPr>
        <w:spacing w:after="0" w:line="200" w:lineRule="exact"/>
        <w:rPr>
          <w:sz w:val="20"/>
          <w:szCs w:val="20"/>
          <w:color w:val="auto"/>
        </w:rPr>
      </w:pPr>
    </w:p>
    <w:p>
      <w:pPr>
        <w:spacing w:after="0" w:line="28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Committees:</w:t>
      </w:r>
    </w:p>
    <w:p>
      <w:pPr>
        <w:spacing w:after="0" w:line="114" w:lineRule="exact"/>
        <w:rPr>
          <w:sz w:val="20"/>
          <w:szCs w:val="20"/>
          <w:color w:val="auto"/>
        </w:rPr>
      </w:pPr>
    </w:p>
    <w:p>
      <w:pPr>
        <w:ind w:left="320" w:right="740"/>
        <w:spacing w:after="0" w:line="295" w:lineRule="auto"/>
        <w:rPr>
          <w:sz w:val="20"/>
          <w:szCs w:val="20"/>
          <w:color w:val="auto"/>
        </w:rPr>
      </w:pPr>
      <w:r>
        <w:rPr>
          <w:rFonts w:ascii="Arial" w:cs="Arial" w:eastAsia="Arial" w:hAnsi="Arial"/>
          <w:sz w:val="17"/>
          <w:szCs w:val="17"/>
          <w:color w:val="auto"/>
        </w:rPr>
        <w:t>Audit Committee (Chair)</w:t>
      </w:r>
    </w:p>
    <w:p>
      <w:pPr>
        <w:spacing w:after="0" w:line="4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Compensation Committee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Arial" w:cs="Arial" w:eastAsia="Arial" w:hAnsi="Arial"/>
          <w:sz w:val="19"/>
          <w:szCs w:val="19"/>
          <w:b w:val="1"/>
          <w:bCs w:val="1"/>
          <w:color w:val="050A54"/>
        </w:rPr>
        <w:t>BACKGROUND</w:t>
      </w:r>
    </w:p>
    <w:p>
      <w:pPr>
        <w:spacing w:after="0" w:line="8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Ms. Eberhart currently serves as chair and chief executive officer of HMS Ventures, a privately-held business involved with technology services and the acquisition and management of real estate. From 2011 through 2014, she served as president and chief executive officer of CDI Corp. (“CDI”), a provider of engineering and information technology outsourcing and professional staffing services that was then a public company. Ms. Eberhart also served as chair and chief executive officer of HMS Ventures from January 2009 until January 2011. She served as president and chief executive officer of Invensys Process Systems, Inc. (“Invensys”), a process automation company, from January 2007 to January 2009. From 1978 to 2004, she was an employee of Electronic Data Systems Corporation (“EDS”), an information technology and business process outsourcing company that was subsequently acquired by the Hewlett-Packard Company, and held roles of increasing responsibility over time, including senior level financial and operating roles as president of Americas of EDS from 2003 until March 2004 and senior vice president of EDS and president of Solutions Consulting from 2002 to 2003. She is a Certified Public Accountant and received her B.S. from Bowling Green State University.</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color w:val="050A54"/>
        </w:rPr>
        <w:t>QUALIFICATIONS</w:t>
      </w:r>
    </w:p>
    <w:p>
      <w:pPr>
        <w:spacing w:after="0" w:line="15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Ms. Eberhart’s pertinent qualifications include her wealth of managerial and executive experience gained through her leadership as the chief executive officer of CDI, formerly an NYSE-listed public company, and Invensys, as well as her numerous years of service as an executive officer of EDS, including president of Americas; financial and accounting expertise gained through various other operating and financial positions during her 26 years at EDS; strong knowledge of the intersection of technology, data and finance industries; and knowledge and experience gained through her leadership and service on the boards of other public companies, including prior service as lead director and chair of the governance and risk committee of the board of directors of Anadarko Petroleum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b w:val="1"/>
          <w:bCs w:val="1"/>
          <w:color w:val="050A54"/>
        </w:rPr>
        <w:t>OTHER PUBLIC COMPANY BOARDS</w:t>
      </w:r>
    </w:p>
    <w:p>
      <w:pPr>
        <w:spacing w:after="0" w:line="198" w:lineRule="exact"/>
        <w:rPr>
          <w:sz w:val="20"/>
          <w:szCs w:val="20"/>
          <w:color w:val="auto"/>
        </w:rPr>
      </w:pPr>
    </w:p>
    <w:tbl>
      <w:tblPr>
        <w:tblLayout w:type="fixed"/>
        <w:tblInd w:w="1320" w:type="dxa"/>
        <w:tblCellMar>
          <w:top w:w="0" w:type="dxa"/>
          <w:left w:w="0" w:type="dxa"/>
          <w:bottom w:w="0" w:type="dxa"/>
          <w:right w:w="0" w:type="dxa"/>
        </w:tblCellMar>
      </w:tblPr>
      <w:tr>
        <w:trPr>
          <w:trHeight w:val="207"/>
        </w:trPr>
        <w:tc>
          <w:tcPr>
            <w:tcW w:w="2500" w:type="dxa"/>
            <w:vAlign w:val="bottom"/>
          </w:tcPr>
          <w:p>
            <w:pPr>
              <w:jc w:val="center"/>
              <w:ind w:right="931"/>
              <w:spacing w:after="0"/>
              <w:rPr>
                <w:sz w:val="20"/>
                <w:szCs w:val="20"/>
                <w:color w:val="auto"/>
              </w:rPr>
            </w:pPr>
            <w:r>
              <w:rPr>
                <w:rFonts w:ascii="Arial" w:cs="Arial" w:eastAsia="Arial" w:hAnsi="Arial"/>
                <w:sz w:val="18"/>
                <w:szCs w:val="18"/>
                <w:b w:val="1"/>
                <w:bCs w:val="1"/>
                <w:color w:val="auto"/>
                <w:w w:val="98"/>
              </w:rPr>
              <w:t>Current</w:t>
            </w:r>
          </w:p>
        </w:tc>
        <w:tc>
          <w:tcPr>
            <w:tcW w:w="3760" w:type="dxa"/>
            <w:vAlign w:val="bottom"/>
          </w:tcPr>
          <w:p>
            <w:pPr>
              <w:jc w:val="center"/>
              <w:ind w:left="911"/>
              <w:spacing w:after="0"/>
              <w:rPr>
                <w:sz w:val="20"/>
                <w:szCs w:val="20"/>
                <w:color w:val="auto"/>
              </w:rPr>
            </w:pPr>
            <w:r>
              <w:rPr>
                <w:rFonts w:ascii="Arial" w:cs="Arial" w:eastAsia="Arial" w:hAnsi="Arial"/>
                <w:sz w:val="18"/>
                <w:szCs w:val="18"/>
                <w:b w:val="1"/>
                <w:bCs w:val="1"/>
                <w:color w:val="auto"/>
                <w:w w:val="97"/>
              </w:rPr>
              <w:t>Past 5 Years</w:t>
            </w:r>
          </w:p>
        </w:tc>
      </w:tr>
      <w:tr>
        <w:trPr>
          <w:trHeight w:val="201"/>
        </w:trPr>
        <w:tc>
          <w:tcPr>
            <w:tcW w:w="2500" w:type="dxa"/>
            <w:vAlign w:val="bottom"/>
          </w:tcPr>
          <w:p>
            <w:pPr>
              <w:jc w:val="center"/>
              <w:ind w:right="911"/>
              <w:spacing w:after="0" w:line="201" w:lineRule="exact"/>
              <w:rPr>
                <w:sz w:val="20"/>
                <w:szCs w:val="20"/>
                <w:color w:val="auto"/>
              </w:rPr>
            </w:pPr>
            <w:r>
              <w:rPr>
                <w:rFonts w:ascii="Arial" w:cs="Arial" w:eastAsia="Arial" w:hAnsi="Arial"/>
                <w:sz w:val="18"/>
                <w:szCs w:val="18"/>
                <w:color w:val="auto"/>
                <w:w w:val="98"/>
              </w:rPr>
              <w:t>Fluor Corporation</w:t>
            </w:r>
          </w:p>
        </w:tc>
        <w:tc>
          <w:tcPr>
            <w:tcW w:w="3760" w:type="dxa"/>
            <w:vAlign w:val="bottom"/>
          </w:tcPr>
          <w:p>
            <w:pPr>
              <w:jc w:val="center"/>
              <w:ind w:left="911"/>
              <w:spacing w:after="0" w:line="201" w:lineRule="exact"/>
              <w:rPr>
                <w:sz w:val="20"/>
                <w:szCs w:val="20"/>
                <w:color w:val="auto"/>
              </w:rPr>
            </w:pPr>
            <w:r>
              <w:rPr>
                <w:rFonts w:ascii="Arial" w:cs="Arial" w:eastAsia="Arial" w:hAnsi="Arial"/>
                <w:sz w:val="18"/>
                <w:szCs w:val="18"/>
                <w:color w:val="auto"/>
                <w:w w:val="98"/>
              </w:rPr>
              <w:t>Anadarko Petroleum Corporation</w:t>
            </w:r>
          </w:p>
        </w:tc>
      </w:tr>
      <w:tr>
        <w:trPr>
          <w:trHeight w:val="201"/>
        </w:trPr>
        <w:tc>
          <w:tcPr>
            <w:tcW w:w="2500" w:type="dxa"/>
            <w:vAlign w:val="bottom"/>
          </w:tcPr>
          <w:p>
            <w:pPr>
              <w:jc w:val="center"/>
              <w:ind w:right="931"/>
              <w:spacing w:after="0" w:line="201" w:lineRule="exact"/>
              <w:rPr>
                <w:sz w:val="20"/>
                <w:szCs w:val="20"/>
                <w:color w:val="auto"/>
              </w:rPr>
            </w:pPr>
            <w:r>
              <w:rPr>
                <w:rFonts w:ascii="Arial" w:cs="Arial" w:eastAsia="Arial" w:hAnsi="Arial"/>
                <w:sz w:val="18"/>
                <w:szCs w:val="18"/>
                <w:color w:val="auto"/>
                <w:w w:val="99"/>
              </w:rPr>
              <w:t>KORE Wireless</w:t>
            </w:r>
          </w:p>
        </w:tc>
        <w:tc>
          <w:tcPr>
            <w:tcW w:w="3760" w:type="dxa"/>
            <w:vAlign w:val="bottom"/>
          </w:tcPr>
          <w:p>
            <w:pPr>
              <w:jc w:val="center"/>
              <w:ind w:left="911"/>
              <w:spacing w:after="0" w:line="201" w:lineRule="exact"/>
              <w:rPr>
                <w:sz w:val="20"/>
                <w:szCs w:val="20"/>
                <w:color w:val="auto"/>
              </w:rPr>
            </w:pPr>
            <w:r>
              <w:rPr>
                <w:rFonts w:ascii="Arial" w:cs="Arial" w:eastAsia="Arial" w:hAnsi="Arial"/>
                <w:sz w:val="18"/>
                <w:szCs w:val="18"/>
                <w:color w:val="auto"/>
                <w:w w:val="99"/>
              </w:rPr>
              <w:t>Cameron International Corporation</w:t>
            </w:r>
          </w:p>
        </w:tc>
      </w:tr>
      <w:tr>
        <w:trPr>
          <w:trHeight w:val="201"/>
        </w:trPr>
        <w:tc>
          <w:tcPr>
            <w:tcW w:w="2500" w:type="dxa"/>
            <w:vAlign w:val="bottom"/>
          </w:tcPr>
          <w:p>
            <w:pPr>
              <w:jc w:val="center"/>
              <w:ind w:right="931"/>
              <w:spacing w:after="0" w:line="201" w:lineRule="exact"/>
              <w:rPr>
                <w:sz w:val="20"/>
                <w:szCs w:val="20"/>
                <w:color w:val="auto"/>
              </w:rPr>
            </w:pPr>
            <w:r>
              <w:rPr>
                <w:rFonts w:ascii="Arial" w:cs="Arial" w:eastAsia="Arial" w:hAnsi="Arial"/>
                <w:sz w:val="18"/>
                <w:szCs w:val="18"/>
                <w:color w:val="auto"/>
                <w:w w:val="97"/>
              </w:rPr>
              <w:t>Valero Corporation</w:t>
            </w:r>
          </w:p>
        </w:tc>
        <w:tc>
          <w:tcPr>
            <w:tcW w:w="3760" w:type="dxa"/>
            <w:vAlign w:val="bottom"/>
          </w:tcPr>
          <w:p>
            <w:pPr>
              <w:jc w:val="center"/>
              <w:ind w:left="911"/>
              <w:spacing w:after="0" w:line="201" w:lineRule="exact"/>
              <w:rPr>
                <w:sz w:val="20"/>
                <w:szCs w:val="20"/>
                <w:color w:val="auto"/>
              </w:rPr>
            </w:pPr>
            <w:r>
              <w:rPr>
                <w:rFonts w:ascii="Arial" w:cs="Arial" w:eastAsia="Arial" w:hAnsi="Arial"/>
                <w:sz w:val="18"/>
                <w:szCs w:val="18"/>
                <w:color w:val="auto"/>
                <w:w w:val="98"/>
              </w:rPr>
              <w:t>Ciber Corporation</w:t>
            </w:r>
          </w:p>
        </w:tc>
      </w:tr>
      <w:tr>
        <w:trPr>
          <w:trHeight w:val="235"/>
        </w:trPr>
        <w:tc>
          <w:tcPr>
            <w:tcW w:w="2500" w:type="dxa"/>
            <w:vAlign w:val="bottom"/>
          </w:tcPr>
          <w:p>
            <w:pPr>
              <w:spacing w:after="0"/>
              <w:rPr>
                <w:sz w:val="20"/>
                <w:szCs w:val="20"/>
                <w:color w:val="auto"/>
              </w:rPr>
            </w:pPr>
          </w:p>
        </w:tc>
        <w:tc>
          <w:tcPr>
            <w:tcW w:w="3760" w:type="dxa"/>
            <w:vAlign w:val="bottom"/>
          </w:tcPr>
          <w:p>
            <w:pPr>
              <w:jc w:val="center"/>
              <w:ind w:left="911"/>
              <w:spacing w:after="0"/>
              <w:rPr>
                <w:sz w:val="20"/>
                <w:szCs w:val="20"/>
                <w:color w:val="auto"/>
              </w:rPr>
            </w:pPr>
            <w:r>
              <w:rPr>
                <w:rFonts w:ascii="Arial" w:cs="Arial" w:eastAsia="Arial" w:hAnsi="Arial"/>
                <w:sz w:val="18"/>
                <w:szCs w:val="18"/>
                <w:color w:val="auto"/>
                <w:w w:val="97"/>
              </w:rPr>
              <w:t>Vine Energy</w:t>
            </w:r>
          </w:p>
        </w:tc>
      </w:tr>
    </w:tbl>
    <w:p>
      <w:pPr>
        <w:spacing w:after="0" w:line="200" w:lineRule="exact"/>
        <w:rPr>
          <w:sz w:val="20"/>
          <w:szCs w:val="20"/>
          <w:color w:val="auto"/>
        </w:rPr>
      </w:pPr>
    </w:p>
    <w:p>
      <w:pPr>
        <w:sectPr>
          <w:pgSz w:w="11900" w:h="16838" w:orient="portrait"/>
          <w:cols w:equalWidth="0" w:num="2">
            <w:col w:w="2380" w:space="220"/>
            <w:col w:w="8320"/>
          </w:cols>
          <w:pgMar w:left="320" w:top="454" w:right="659" w:bottom="1440" w:gutter="0" w:footer="0" w:header="0"/>
          <w:type w:val="continuous"/>
        </w:sectPr>
      </w:pPr>
    </w:p>
    <w:p>
      <w:pPr>
        <w:spacing w:after="0" w:line="287" w:lineRule="exact"/>
        <w:rPr>
          <w:sz w:val="20"/>
          <w:szCs w:val="20"/>
          <w:color w:val="auto"/>
        </w:rPr>
      </w:pPr>
    </w:p>
    <w:p>
      <w:pPr>
        <w:ind w:left="1000" w:hanging="690"/>
        <w:spacing w:after="0"/>
        <w:tabs>
          <w:tab w:leader="none" w:pos="1000" w:val="left"/>
        </w:tabs>
        <w:numPr>
          <w:ilvl w:val="0"/>
          <w:numId w:val="12"/>
        </w:numPr>
        <w:rPr>
          <w:rFonts w:ascii="Arial" w:cs="Arial" w:eastAsia="Arial" w:hAnsi="Arial"/>
          <w:sz w:val="17"/>
          <w:szCs w:val="17"/>
          <w:color w:val="050A54"/>
        </w:rPr>
      </w:pPr>
      <w:r>
        <w:rPr>
          <w:rFonts w:ascii="Arial" w:cs="Arial" w:eastAsia="Arial" w:hAnsi="Arial"/>
          <w:sz w:val="17"/>
          <w:szCs w:val="17"/>
          <w:b w:val="1"/>
          <w:bCs w:val="1"/>
          <w:color w:val="050A54"/>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-111760</wp:posOffset>
            </wp:positionV>
            <wp:extent cx="8255" cy="135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0920"/>
          </w:cols>
          <w:pgMar w:left="320" w:top="454" w:right="65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40341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29755" cy="40341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050A54"/>
        </w:rPr>
        <w:t>William F. Glavin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Age 63</w:t>
      </w:r>
    </w:p>
    <w:p>
      <w:pPr>
        <w:spacing w:after="0" w:line="11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Director Since 2017</w:t>
      </w:r>
    </w:p>
    <w:p>
      <w:pPr>
        <w:spacing w:after="0" w:line="11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Independent</w:t>
      </w:r>
    </w:p>
    <w:p>
      <w:pPr>
        <w:spacing w:after="0" w:line="200" w:lineRule="exact"/>
        <w:rPr>
          <w:sz w:val="20"/>
          <w:szCs w:val="20"/>
          <w:color w:val="auto"/>
        </w:rPr>
      </w:pPr>
    </w:p>
    <w:p>
      <w:pPr>
        <w:spacing w:after="0" w:line="28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Committees</w:t>
      </w:r>
      <w:r>
        <w:rPr>
          <w:rFonts w:ascii="Arial" w:cs="Arial" w:eastAsia="Arial" w:hAnsi="Arial"/>
          <w:sz w:val="18"/>
          <w:szCs w:val="18"/>
          <w:color w:val="auto"/>
        </w:rPr>
        <w:t>:</w:t>
      </w:r>
    </w:p>
    <w:p>
      <w:pPr>
        <w:spacing w:after="0" w:line="11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Audit Committee</w:t>
      </w:r>
    </w:p>
    <w:p>
      <w:pPr>
        <w:spacing w:after="0" w:line="11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Nominating and</w:t>
      </w:r>
    </w:p>
    <w:p>
      <w:pPr>
        <w:spacing w:after="0" w:line="12" w:lineRule="exact"/>
        <w:rPr>
          <w:sz w:val="20"/>
          <w:szCs w:val="20"/>
          <w:color w:val="auto"/>
        </w:rPr>
      </w:pPr>
    </w:p>
    <w:p>
      <w:pPr>
        <w:ind w:left="280"/>
        <w:spacing w:after="0"/>
        <w:rPr>
          <w:sz w:val="20"/>
          <w:szCs w:val="20"/>
          <w:color w:val="auto"/>
        </w:rPr>
      </w:pPr>
      <w:r>
        <w:rPr>
          <w:rFonts w:ascii="Arial" w:cs="Arial" w:eastAsia="Arial" w:hAnsi="Arial"/>
          <w:sz w:val="17"/>
          <w:szCs w:val="17"/>
          <w:color w:val="auto"/>
        </w:rPr>
        <w:t>Governance Committee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050A54"/>
        </w:rPr>
        <w:t>BACKGROUND</w:t>
      </w:r>
    </w:p>
    <w:p>
      <w:pPr>
        <w:spacing w:after="0" w:line="84" w:lineRule="exact"/>
        <w:rPr>
          <w:sz w:val="20"/>
          <w:szCs w:val="20"/>
          <w:color w:val="auto"/>
        </w:rPr>
      </w:pPr>
    </w:p>
    <w:p>
      <w:pPr>
        <w:jc w:val="both"/>
        <w:ind w:left="100" w:right="160"/>
        <w:spacing w:after="0" w:line="235" w:lineRule="auto"/>
        <w:rPr>
          <w:sz w:val="20"/>
          <w:szCs w:val="20"/>
          <w:color w:val="auto"/>
        </w:rPr>
      </w:pPr>
      <w:r>
        <w:rPr>
          <w:rFonts w:ascii="Arial" w:cs="Arial" w:eastAsia="Arial" w:hAnsi="Arial"/>
          <w:sz w:val="18"/>
          <w:szCs w:val="18"/>
          <w:color w:val="auto"/>
        </w:rPr>
        <w:t>Mr. Glavin served as chair of OppenheimerFunds, Inc., a global asset management firm (“OppenheimerFunds”), from 2009 until 2015, as chief executive officer from 2009 until 2014, and as president from 2009 until 2013. OppenheimerFunds was a majority owned subsidiary of MassMutual Financial Group (“MassMutual”), a mutual life insurance company, at which Mr. Glavin held several senior executive positions prior to joining OppenheimerFunds. He served as co-chief operating officer of MassMutual from 2007 to 2008, executive vice president, U.S. Insurance Group of MassMutual from 2006 to 2008, president and chief executive officer of Babson Capital Management LLC (“Babson”), an asset management firm and subsidiary of MassMutual, from 2005 until 2006 and chief operating officer of Babson from 2003 to 2005. Prior to joining MassMutual, Mr. Glavin was president and chief operating officer of Scudder Investments, an asset management firm, from 2000 to 2003. OppenheimerFunds was acquired by Invesco Ltd. (“Invesco”) in 2019, and Mr. Glavin was designated to serve as a director of Invesco pursuant to a shareholder agreement between MassMutual and Invesco. Mr. Glavin received his B.A. in Economics and Accounting from the College of the Holy Cross.</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050A54"/>
        </w:rPr>
        <w:t>QUALIFICATIONS</w:t>
      </w:r>
    </w:p>
    <w:p>
      <w:pPr>
        <w:spacing w:after="0" w:line="151" w:lineRule="exact"/>
        <w:rPr>
          <w:sz w:val="20"/>
          <w:szCs w:val="20"/>
          <w:color w:val="auto"/>
        </w:rPr>
      </w:pPr>
    </w:p>
    <w:p>
      <w:pPr>
        <w:jc w:val="both"/>
        <w:ind w:left="100" w:right="160"/>
        <w:spacing w:after="0" w:line="238" w:lineRule="auto"/>
        <w:rPr>
          <w:sz w:val="20"/>
          <w:szCs w:val="20"/>
          <w:color w:val="auto"/>
        </w:rPr>
      </w:pPr>
      <w:r>
        <w:rPr>
          <w:rFonts w:ascii="Arial" w:cs="Arial" w:eastAsia="Arial" w:hAnsi="Arial"/>
          <w:sz w:val="18"/>
          <w:szCs w:val="18"/>
          <w:color w:val="auto"/>
        </w:rPr>
        <w:t>Mr. Glavin’s pertinent qualifications include his experience over the course of a 25-year career in the financial services industry, including as a chief executive officer and chief operating officer; extensive experience in strategic planning and talent management, in part based on his success in leading OppenheimerFunds through a period of significant market turbulence; a deep understanding of financial product distribution, compliance and operations, including technology demands in the financial services industry; and experience overseeing broker-dealers, including MassMutual’s broker-dealer MML Investor Services, LLC.</w:t>
      </w:r>
    </w:p>
    <w:p>
      <w:pPr>
        <w:spacing w:after="0" w:line="227"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050A54"/>
        </w:rPr>
        <w:t>OTHER PUBLIC COMPANY BOARDS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Borders>
              <w:top w:val="single" w:sz="8" w:color="050A54"/>
            </w:tcBorders>
          </w:tcPr>
          <w:p>
            <w:pPr>
              <w:jc w:val="center"/>
              <w:ind w:left="31"/>
              <w:spacing w:after="0" w:line="195" w:lineRule="exact"/>
              <w:rPr>
                <w:sz w:val="20"/>
                <w:szCs w:val="20"/>
                <w:color w:val="auto"/>
              </w:rPr>
            </w:pPr>
            <w:r>
              <w:rPr>
                <w:rFonts w:ascii="Arial" w:cs="Arial" w:eastAsia="Arial" w:hAnsi="Arial"/>
                <w:sz w:val="18"/>
                <w:szCs w:val="18"/>
                <w:b w:val="1"/>
                <w:bCs w:val="1"/>
                <w:color w:val="auto"/>
                <w:w w:val="98"/>
              </w:rPr>
              <w:t>Current</w:t>
            </w:r>
          </w:p>
        </w:tc>
        <w:tc>
          <w:tcPr>
            <w:tcW w:w="4060" w:type="dxa"/>
            <w:vAlign w:val="bottom"/>
            <w:tcBorders>
              <w:top w:val="single" w:sz="8" w:color="050A54"/>
            </w:tcBorders>
          </w:tcPr>
          <w:p>
            <w:pPr>
              <w:jc w:val="center"/>
              <w:ind w:left="51"/>
              <w:spacing w:after="0" w:line="195" w:lineRule="exact"/>
              <w:rPr>
                <w:sz w:val="20"/>
                <w:szCs w:val="20"/>
                <w:color w:val="auto"/>
              </w:rPr>
            </w:pPr>
            <w:r>
              <w:rPr>
                <w:rFonts w:ascii="Arial" w:cs="Arial" w:eastAsia="Arial" w:hAnsi="Arial"/>
                <w:sz w:val="18"/>
                <w:szCs w:val="18"/>
                <w:b w:val="1"/>
                <w:bCs w:val="1"/>
                <w:color w:val="auto"/>
                <w:w w:val="97"/>
              </w:rPr>
              <w:t>Past 5 Years</w:t>
            </w:r>
          </w:p>
        </w:tc>
      </w:tr>
      <w:tr>
        <w:trPr>
          <w:trHeight w:val="235"/>
        </w:trPr>
        <w:tc>
          <w:tcPr>
            <w:tcW w:w="4240" w:type="dxa"/>
            <w:vAlign w:val="bottom"/>
          </w:tcPr>
          <w:p>
            <w:pPr>
              <w:jc w:val="center"/>
              <w:ind w:left="31"/>
              <w:spacing w:after="0"/>
              <w:rPr>
                <w:sz w:val="20"/>
                <w:szCs w:val="20"/>
                <w:color w:val="auto"/>
              </w:rPr>
            </w:pPr>
            <w:r>
              <w:rPr>
                <w:rFonts w:ascii="Arial" w:cs="Arial" w:eastAsia="Arial" w:hAnsi="Arial"/>
                <w:sz w:val="18"/>
                <w:szCs w:val="18"/>
                <w:color w:val="auto"/>
                <w:w w:val="98"/>
              </w:rPr>
              <w:t>Invesco Ltd.</w:t>
            </w:r>
          </w:p>
        </w:tc>
        <w:tc>
          <w:tcPr>
            <w:tcW w:w="4060" w:type="dxa"/>
            <w:vAlign w:val="bottom"/>
          </w:tcPr>
          <w:p>
            <w:pPr>
              <w:jc w:val="center"/>
              <w:ind w:left="51"/>
              <w:spacing w:after="0"/>
              <w:rPr>
                <w:sz w:val="20"/>
                <w:szCs w:val="20"/>
                <w:color w:val="auto"/>
              </w:rPr>
            </w:pPr>
            <w:r>
              <w:rPr>
                <w:rFonts w:ascii="Arial" w:cs="Arial" w:eastAsia="Arial" w:hAnsi="Arial"/>
                <w:sz w:val="18"/>
                <w:szCs w:val="18"/>
                <w:color w:val="auto"/>
              </w:rPr>
              <w:t>None</w:t>
            </w:r>
          </w:p>
        </w:tc>
      </w:tr>
    </w:tbl>
    <w:p>
      <w:pPr>
        <w:spacing w:after="0" w:line="200" w:lineRule="exact"/>
        <w:rPr>
          <w:sz w:val="20"/>
          <w:szCs w:val="20"/>
          <w:color w:val="auto"/>
        </w:rPr>
      </w:pPr>
    </w:p>
    <w:p>
      <w:pPr>
        <w:sectPr>
          <w:pgSz w:w="11900" w:h="16838" w:orient="portrait"/>
          <w:cols w:equalWidth="0" w:num="2">
            <w:col w:w="2160" w:space="300"/>
            <w:col w:w="8620"/>
          </w:cols>
          <w:pgMar w:left="320" w:top="454" w:right="499" w:bottom="1440" w:gutter="0" w:footer="0" w:header="0"/>
          <w:type w:val="continuous"/>
        </w:sectPr>
      </w:pPr>
    </w:p>
    <w:p>
      <w:pPr>
        <w:spacing w:after="0" w:line="287" w:lineRule="exact"/>
        <w:rPr>
          <w:sz w:val="20"/>
          <w:szCs w:val="20"/>
          <w:color w:val="auto"/>
        </w:rPr>
      </w:pPr>
    </w:p>
    <w:tbl>
      <w:tblPr>
        <w:tblLayout w:type="fixed"/>
        <w:tblInd w:w="8500" w:type="dxa"/>
        <w:tblCellMar>
          <w:top w:w="0" w:type="dxa"/>
          <w:left w:w="0" w:type="dxa"/>
          <w:bottom w:w="0" w:type="dxa"/>
          <w:right w:w="0" w:type="dxa"/>
        </w:tblCellMar>
      </w:tblPr>
      <w:tr>
        <w:trPr>
          <w:trHeight w:val="233"/>
        </w:trPr>
        <w:tc>
          <w:tcPr>
            <w:tcW w:w="2060" w:type="dxa"/>
            <w:vAlign w:val="bottom"/>
            <w:tcBorders>
              <w:right w:val="single" w:sz="8" w:color="050A54"/>
            </w:tcBorders>
          </w:tcPr>
          <w:p>
            <w:pPr>
              <w:spacing w:after="0"/>
              <w:rPr>
                <w:sz w:val="20"/>
                <w:szCs w:val="20"/>
                <w:color w:val="auto"/>
              </w:rPr>
            </w:pPr>
            <w:r>
              <w:rPr>
                <w:rFonts w:ascii="Arial" w:cs="Arial" w:eastAsia="Arial" w:hAnsi="Arial"/>
                <w:sz w:val="18"/>
                <w:szCs w:val="18"/>
                <w:b w:val="1"/>
                <w:bCs w:val="1"/>
                <w:color w:val="050A54"/>
              </w:rPr>
              <w:t>2022 Proxy Statement</w:t>
            </w:r>
          </w:p>
        </w:tc>
        <w:tc>
          <w:tcPr>
            <w:tcW w:w="520" w:type="dxa"/>
            <w:vAlign w:val="bottom"/>
          </w:tcPr>
          <w:p>
            <w:pPr>
              <w:jc w:val="right"/>
              <w:spacing w:after="0"/>
              <w:rPr>
                <w:sz w:val="20"/>
                <w:szCs w:val="20"/>
                <w:color w:val="auto"/>
              </w:rPr>
            </w:pPr>
            <w:r>
              <w:rPr>
                <w:rFonts w:ascii="Arial" w:cs="Arial" w:eastAsia="Arial" w:hAnsi="Arial"/>
                <w:sz w:val="18"/>
                <w:szCs w:val="18"/>
                <w:color w:val="050A54"/>
              </w:rPr>
              <w:t>13</w:t>
            </w:r>
          </w:p>
        </w:tc>
      </w:tr>
    </w:tbl>
    <w:p>
      <w:pPr>
        <w:sectPr>
          <w:pgSz w:w="11900" w:h="16838" w:orient="portrait"/>
          <w:cols w:equalWidth="0" w:num="1">
            <w:col w:w="11080"/>
          </w:cols>
          <w:pgMar w:left="320" w:top="454" w:right="49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80"/>
        <w:spacing w:after="0"/>
        <w:rPr>
          <w:sz w:val="20"/>
          <w:szCs w:val="20"/>
          <w:color w:val="auto"/>
        </w:rPr>
      </w:pPr>
      <w:r>
        <w:rPr>
          <w:rFonts w:ascii="Arial" w:cs="Arial" w:eastAsia="Arial" w:hAnsi="Arial"/>
          <w:sz w:val="20"/>
          <w:szCs w:val="20"/>
          <w:b w:val="1"/>
          <w:bCs w:val="1"/>
          <w:color w:val="050A54"/>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37788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29755" cy="3778885"/>
                    </a:xfrm>
                    <a:prstGeom prst="rect">
                      <a:avLst/>
                    </a:prstGeom>
                    <a:noFill/>
                  </pic:spPr>
                </pic:pic>
              </a:graphicData>
            </a:graphic>
          </wp:anchor>
        </w:drawing>
      </w:r>
    </w:p>
    <w:p>
      <w:pPr>
        <w:sectPr>
          <w:pgSz w:w="11900" w:h="16838" w:orient="portrait"/>
          <w:cols w:equalWidth="0" w:num="1">
            <w:col w:w="10940"/>
          </w:cols>
          <w:pgMar w:left="320" w:top="454" w:right="6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050A54"/>
        </w:rPr>
        <w:t>Allison H. Mnookin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Age 51</w:t>
      </w:r>
    </w:p>
    <w:p>
      <w:pPr>
        <w:spacing w:after="0" w:line="11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Director Since 2018</w:t>
      </w:r>
    </w:p>
    <w:p>
      <w:pPr>
        <w:spacing w:after="0" w:line="11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Independent</w:t>
      </w:r>
    </w:p>
    <w:p>
      <w:pPr>
        <w:spacing w:after="0" w:line="200" w:lineRule="exact"/>
        <w:rPr>
          <w:sz w:val="20"/>
          <w:szCs w:val="20"/>
          <w:color w:val="auto"/>
        </w:rPr>
      </w:pPr>
    </w:p>
    <w:p>
      <w:pPr>
        <w:spacing w:after="0" w:line="28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Committees:</w:t>
      </w:r>
    </w:p>
    <w:p>
      <w:pPr>
        <w:spacing w:after="0" w:line="114" w:lineRule="exact"/>
        <w:rPr>
          <w:sz w:val="20"/>
          <w:szCs w:val="20"/>
          <w:color w:val="auto"/>
        </w:rPr>
      </w:pPr>
    </w:p>
    <w:p>
      <w:pPr>
        <w:ind w:left="280"/>
        <w:spacing w:after="0"/>
        <w:rPr>
          <w:sz w:val="20"/>
          <w:szCs w:val="20"/>
          <w:color w:val="auto"/>
        </w:rPr>
      </w:pPr>
      <w:r>
        <w:rPr>
          <w:rFonts w:ascii="Arial" w:cs="Arial" w:eastAsia="Arial" w:hAnsi="Arial"/>
          <w:sz w:val="17"/>
          <w:szCs w:val="17"/>
          <w:color w:val="auto"/>
        </w:rPr>
        <w:t>Compensation Committee</w:t>
      </w:r>
    </w:p>
    <w:p>
      <w:pPr>
        <w:spacing w:after="0" w:line="1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Nominating and</w:t>
      </w:r>
    </w:p>
    <w:p>
      <w:pPr>
        <w:spacing w:after="0" w:line="1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Governance Committee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050A54"/>
        </w:rPr>
        <w:t>BACKGROUND</w:t>
      </w:r>
    </w:p>
    <w:p>
      <w:pPr>
        <w:spacing w:after="0" w:line="84" w:lineRule="exact"/>
        <w:rPr>
          <w:sz w:val="20"/>
          <w:szCs w:val="20"/>
          <w:color w:val="auto"/>
        </w:rPr>
      </w:pPr>
    </w:p>
    <w:p>
      <w:pPr>
        <w:jc w:val="both"/>
        <w:ind w:left="100"/>
        <w:spacing w:after="0" w:line="236" w:lineRule="auto"/>
        <w:rPr>
          <w:sz w:val="20"/>
          <w:szCs w:val="20"/>
          <w:color w:val="auto"/>
        </w:rPr>
      </w:pPr>
      <w:r>
        <w:rPr>
          <w:rFonts w:ascii="Arial" w:cs="Arial" w:eastAsia="Arial" w:hAnsi="Arial"/>
          <w:sz w:val="18"/>
          <w:szCs w:val="18"/>
          <w:color w:val="auto"/>
        </w:rPr>
        <w:t>Ms. Mnookin has served since July 2017 as a senior lecturer of business administration in the technology and operations management unit at the Harvard Business School. From April 2016 to November 2016, Ms. Mnookin served as the chief executive officer of QuickBase, Inc. (“QuickBase”), a provider of online application software which was spun-off by Intuit, Inc., a business and financial software company, in 2016. Ms. Mnookin was an employee of Intuit from 1998 to 2016 and held roles of increasing responsibility over time, including vice president and general manager of Intuit’s QuickBase business from July 2010 to March 2016. She previously served as a director of Quartz Holding Company, the holding company of QuickBase, from November 2016 until its sale in April 2019, and as a director of Fleetmatics Group PLC, a SaaS fleet management provider, from March 2014 until its sale in November 2016. Ms. Mnookin received her A.B. with honors from Harvard College and her M.B.A. from the Harvard Business School.</w:t>
      </w:r>
    </w:p>
    <w:p>
      <w:pPr>
        <w:spacing w:after="0" w:line="227"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050A54"/>
        </w:rPr>
        <w:t>QUALIFICATIONS</w:t>
      </w:r>
    </w:p>
    <w:p>
      <w:pPr>
        <w:spacing w:after="0" w:line="151" w:lineRule="exact"/>
        <w:rPr>
          <w:sz w:val="20"/>
          <w:szCs w:val="20"/>
          <w:color w:val="auto"/>
        </w:rPr>
      </w:pPr>
    </w:p>
    <w:p>
      <w:pPr>
        <w:jc w:val="both"/>
        <w:ind w:left="100"/>
        <w:spacing w:after="0" w:line="238" w:lineRule="auto"/>
        <w:rPr>
          <w:sz w:val="20"/>
          <w:szCs w:val="20"/>
          <w:color w:val="auto"/>
        </w:rPr>
      </w:pPr>
      <w:r>
        <w:rPr>
          <w:rFonts w:ascii="Arial" w:cs="Arial" w:eastAsia="Arial" w:hAnsi="Arial"/>
          <w:sz w:val="18"/>
          <w:szCs w:val="18"/>
          <w:color w:val="auto"/>
        </w:rPr>
        <w:t>Ms. Mnookin’s pertinent qualifications include her 20-year career in the technology industry, including executive leadership of high-growth cloud and business software companies, as well as service as a director of Bill.com Holdings, Inc., a public company that provides cloud-based software to simplify and automate back-office financial transactions for small- and mid-sized businesses. These experiences, including general management in Intuit’s small business division where she was responsible for leading a portfolio of Intuit’s business products, shaped her understanding of how businesses have transformed their technologies to increase strategic advantage.</w:t>
      </w:r>
    </w:p>
    <w:p>
      <w:pPr>
        <w:spacing w:after="0" w:line="227"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050A54"/>
        </w:rPr>
        <w:t>OTHER PUBLIC COMPANY BOARDS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Borders>
              <w:top w:val="single" w:sz="8" w:color="050A54"/>
            </w:tcBorders>
          </w:tcPr>
          <w:p>
            <w:pPr>
              <w:jc w:val="center"/>
              <w:ind w:left="31"/>
              <w:spacing w:after="0" w:line="195" w:lineRule="exact"/>
              <w:rPr>
                <w:sz w:val="20"/>
                <w:szCs w:val="20"/>
                <w:color w:val="auto"/>
              </w:rPr>
            </w:pPr>
            <w:r>
              <w:rPr>
                <w:rFonts w:ascii="Arial" w:cs="Arial" w:eastAsia="Arial" w:hAnsi="Arial"/>
                <w:sz w:val="18"/>
                <w:szCs w:val="18"/>
                <w:b w:val="1"/>
                <w:bCs w:val="1"/>
                <w:color w:val="auto"/>
                <w:w w:val="98"/>
              </w:rPr>
              <w:t>Current</w:t>
            </w:r>
          </w:p>
        </w:tc>
        <w:tc>
          <w:tcPr>
            <w:tcW w:w="4060" w:type="dxa"/>
            <w:vAlign w:val="bottom"/>
            <w:tcBorders>
              <w:top w:val="single" w:sz="8" w:color="050A54"/>
            </w:tcBorders>
          </w:tcPr>
          <w:p>
            <w:pPr>
              <w:jc w:val="center"/>
              <w:ind w:left="51"/>
              <w:spacing w:after="0" w:line="195" w:lineRule="exact"/>
              <w:rPr>
                <w:sz w:val="20"/>
                <w:szCs w:val="20"/>
                <w:color w:val="auto"/>
              </w:rPr>
            </w:pPr>
            <w:r>
              <w:rPr>
                <w:rFonts w:ascii="Arial" w:cs="Arial" w:eastAsia="Arial" w:hAnsi="Arial"/>
                <w:sz w:val="18"/>
                <w:szCs w:val="18"/>
                <w:b w:val="1"/>
                <w:bCs w:val="1"/>
                <w:color w:val="auto"/>
                <w:w w:val="97"/>
              </w:rPr>
              <w:t>Past 5 Years</w:t>
            </w:r>
          </w:p>
        </w:tc>
      </w:tr>
      <w:tr>
        <w:trPr>
          <w:trHeight w:val="235"/>
        </w:trPr>
        <w:tc>
          <w:tcPr>
            <w:tcW w:w="4240" w:type="dxa"/>
            <w:vAlign w:val="bottom"/>
          </w:tcPr>
          <w:p>
            <w:pPr>
              <w:jc w:val="center"/>
              <w:ind w:left="31"/>
              <w:spacing w:after="0"/>
              <w:rPr>
                <w:sz w:val="20"/>
                <w:szCs w:val="20"/>
                <w:color w:val="auto"/>
              </w:rPr>
            </w:pPr>
            <w:r>
              <w:rPr>
                <w:rFonts w:ascii="Arial" w:cs="Arial" w:eastAsia="Arial" w:hAnsi="Arial"/>
                <w:sz w:val="18"/>
                <w:szCs w:val="18"/>
                <w:color w:val="auto"/>
                <w:w w:val="99"/>
              </w:rPr>
              <w:t>Bill.com Holdings, Inc.</w:t>
            </w:r>
          </w:p>
        </w:tc>
        <w:tc>
          <w:tcPr>
            <w:tcW w:w="4060" w:type="dxa"/>
            <w:vAlign w:val="bottom"/>
          </w:tcPr>
          <w:p>
            <w:pPr>
              <w:jc w:val="center"/>
              <w:ind w:left="51"/>
              <w:spacing w:after="0"/>
              <w:rPr>
                <w:sz w:val="20"/>
                <w:szCs w:val="20"/>
                <w:color w:val="auto"/>
              </w:rPr>
            </w:pPr>
            <w:r>
              <w:rPr>
                <w:rFonts w:ascii="Arial" w:cs="Arial" w:eastAsia="Arial" w:hAnsi="Arial"/>
                <w:sz w:val="18"/>
                <w:szCs w:val="18"/>
                <w:color w:val="auto"/>
                <w:w w:val="98"/>
              </w:rPr>
              <w:t>Fleetmatics Group PLC</w:t>
            </w:r>
          </w:p>
        </w:tc>
      </w:tr>
    </w:tbl>
    <w:p>
      <w:pPr>
        <w:spacing w:after="0" w:line="200" w:lineRule="exact"/>
        <w:rPr>
          <w:sz w:val="20"/>
          <w:szCs w:val="20"/>
          <w:color w:val="auto"/>
        </w:rPr>
      </w:pPr>
    </w:p>
    <w:p>
      <w:pPr>
        <w:sectPr>
          <w:pgSz w:w="11900" w:h="16838" w:orient="portrait"/>
          <w:cols w:equalWidth="0" w:num="2">
            <w:col w:w="2340" w:space="120"/>
            <w:col w:w="8480"/>
          </w:cols>
          <w:pgMar w:left="320" w:top="454" w:right="639" w:bottom="1440" w:gutter="0" w:footer="0" w:header="0"/>
          <w:type w:val="continuous"/>
        </w:sectPr>
      </w:pPr>
    </w:p>
    <w:p>
      <w:pPr>
        <w:spacing w:after="0" w:line="287" w:lineRule="exact"/>
        <w:rPr>
          <w:sz w:val="20"/>
          <w:szCs w:val="20"/>
          <w:color w:val="auto"/>
        </w:rPr>
      </w:pPr>
    </w:p>
    <w:p>
      <w:pPr>
        <w:ind w:left="1000" w:hanging="690"/>
        <w:spacing w:after="0"/>
        <w:tabs>
          <w:tab w:leader="none" w:pos="1000" w:val="left"/>
        </w:tabs>
        <w:numPr>
          <w:ilvl w:val="0"/>
          <w:numId w:val="13"/>
        </w:numPr>
        <w:rPr>
          <w:rFonts w:ascii="Arial" w:cs="Arial" w:eastAsia="Arial" w:hAnsi="Arial"/>
          <w:sz w:val="17"/>
          <w:szCs w:val="17"/>
          <w:color w:val="050A54"/>
        </w:rPr>
      </w:pPr>
      <w:r>
        <w:rPr>
          <w:rFonts w:ascii="Arial" w:cs="Arial" w:eastAsia="Arial" w:hAnsi="Arial"/>
          <w:sz w:val="17"/>
          <w:szCs w:val="17"/>
          <w:b w:val="1"/>
          <w:bCs w:val="1"/>
          <w:color w:val="050A54"/>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-111760</wp:posOffset>
            </wp:positionV>
            <wp:extent cx="8255" cy="135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0940"/>
          </w:cols>
          <w:pgMar w:left="320" w:top="454" w:right="63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35242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29755" cy="352425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050A54"/>
        </w:rPr>
        <w:t>Anne M. Mulcahy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Age 69</w:t>
      </w:r>
    </w:p>
    <w:p>
      <w:pPr>
        <w:spacing w:after="0" w:line="114" w:lineRule="exact"/>
        <w:rPr>
          <w:sz w:val="20"/>
          <w:szCs w:val="20"/>
          <w:color w:val="auto"/>
        </w:rPr>
      </w:pPr>
    </w:p>
    <w:p>
      <w:pPr>
        <w:ind w:left="280"/>
        <w:spacing w:after="0"/>
        <w:rPr>
          <w:sz w:val="20"/>
          <w:szCs w:val="20"/>
          <w:color w:val="auto"/>
        </w:rPr>
      </w:pPr>
      <w:r>
        <w:rPr>
          <w:rFonts w:ascii="Arial" w:cs="Arial" w:eastAsia="Arial" w:hAnsi="Arial"/>
          <w:sz w:val="17"/>
          <w:szCs w:val="17"/>
          <w:color w:val="auto"/>
        </w:rPr>
        <w:t>Director Since 2013</w:t>
      </w:r>
    </w:p>
    <w:p>
      <w:pPr>
        <w:spacing w:after="0" w:line="1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Independent</w:t>
      </w:r>
    </w:p>
    <w:p>
      <w:pPr>
        <w:spacing w:after="0" w:line="200" w:lineRule="exact"/>
        <w:rPr>
          <w:sz w:val="20"/>
          <w:szCs w:val="20"/>
          <w:color w:val="auto"/>
        </w:rPr>
      </w:pPr>
    </w:p>
    <w:p>
      <w:pPr>
        <w:spacing w:after="0" w:line="28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Committees:</w:t>
      </w:r>
    </w:p>
    <w:p>
      <w:pPr>
        <w:spacing w:after="0" w:line="114" w:lineRule="exact"/>
        <w:rPr>
          <w:sz w:val="20"/>
          <w:szCs w:val="20"/>
          <w:color w:val="auto"/>
        </w:rPr>
      </w:pPr>
    </w:p>
    <w:p>
      <w:pPr>
        <w:ind w:left="280" w:right="100"/>
        <w:spacing w:after="0" w:line="295" w:lineRule="auto"/>
        <w:rPr>
          <w:sz w:val="20"/>
          <w:szCs w:val="20"/>
          <w:color w:val="auto"/>
        </w:rPr>
      </w:pPr>
      <w:r>
        <w:rPr>
          <w:rFonts w:ascii="Arial" w:cs="Arial" w:eastAsia="Arial" w:hAnsi="Arial"/>
          <w:sz w:val="17"/>
          <w:szCs w:val="17"/>
          <w:color w:val="auto"/>
        </w:rPr>
        <w:t>Compensation Committee (Chair)</w:t>
      </w:r>
    </w:p>
    <w:p>
      <w:pPr>
        <w:spacing w:after="0" w:line="41" w:lineRule="exact"/>
        <w:rPr>
          <w:sz w:val="20"/>
          <w:szCs w:val="20"/>
          <w:color w:val="auto"/>
        </w:rPr>
      </w:pPr>
    </w:p>
    <w:p>
      <w:pPr>
        <w:ind w:left="280" w:right="320"/>
        <w:spacing w:after="0" w:line="270" w:lineRule="auto"/>
        <w:rPr>
          <w:sz w:val="20"/>
          <w:szCs w:val="20"/>
          <w:color w:val="auto"/>
        </w:rPr>
      </w:pPr>
      <w:r>
        <w:rPr>
          <w:rFonts w:ascii="Arial" w:cs="Arial" w:eastAsia="Arial" w:hAnsi="Arial"/>
          <w:sz w:val="17"/>
          <w:szCs w:val="17"/>
          <w:color w:val="auto"/>
        </w:rPr>
        <w:t>Nominating and Governance Committee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050A54"/>
        </w:rPr>
        <w:t>BACKGROUND</w:t>
      </w:r>
    </w:p>
    <w:p>
      <w:pPr>
        <w:spacing w:after="0" w:line="84" w:lineRule="exact"/>
        <w:rPr>
          <w:sz w:val="20"/>
          <w:szCs w:val="20"/>
          <w:color w:val="auto"/>
        </w:rPr>
      </w:pPr>
    </w:p>
    <w:p>
      <w:pPr>
        <w:jc w:val="both"/>
        <w:ind w:left="100" w:right="140"/>
        <w:spacing w:after="0" w:line="237" w:lineRule="auto"/>
        <w:rPr>
          <w:sz w:val="20"/>
          <w:szCs w:val="20"/>
          <w:color w:val="auto"/>
        </w:rPr>
      </w:pPr>
      <w:r>
        <w:rPr>
          <w:rFonts w:ascii="Arial" w:cs="Arial" w:eastAsia="Arial" w:hAnsi="Arial"/>
          <w:sz w:val="18"/>
          <w:szCs w:val="18"/>
          <w:color w:val="auto"/>
        </w:rPr>
        <w:t>Ms. Mulcahy served as chair of the board of trustees of Save The Children Federation, Inc., a non-profit organization dedicated to creating lasting change in the lives of children throughout the world, from March 2010 to February 2017. She continues to serve as a trustee of Save The Children Federation, Inc. She previously served as chair of the board of Xerox Corporation (“Xerox”), a global business services and document technology provider, from January 2002 to May 2010, and chief executive officer of Xerox from August 2001 to July 2009. Prior to serving as a chief executive officer, Ms. Mulcahy was president and chief operating officer of Xerox. Ms. Mulcahy received a B.A. from Marymount College of Fordham University.</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050A54"/>
        </w:rPr>
        <w:t>QUALIFICATIONS</w:t>
      </w:r>
    </w:p>
    <w:p>
      <w:pPr>
        <w:spacing w:after="0" w:line="151" w:lineRule="exact"/>
        <w:rPr>
          <w:sz w:val="20"/>
          <w:szCs w:val="20"/>
          <w:color w:val="auto"/>
        </w:rPr>
      </w:pPr>
    </w:p>
    <w:p>
      <w:pPr>
        <w:jc w:val="both"/>
        <w:ind w:left="100" w:right="140"/>
        <w:spacing w:after="0" w:line="239" w:lineRule="auto"/>
        <w:rPr>
          <w:sz w:val="20"/>
          <w:szCs w:val="20"/>
          <w:color w:val="auto"/>
        </w:rPr>
      </w:pPr>
      <w:r>
        <w:rPr>
          <w:rFonts w:ascii="Arial" w:cs="Arial" w:eastAsia="Arial" w:hAnsi="Arial"/>
          <w:sz w:val="18"/>
          <w:szCs w:val="18"/>
          <w:color w:val="auto"/>
        </w:rPr>
        <w:t>Ms. Mulcahy’s pertinent qualifications include her extensive experience in all areas of business management and strategic execution as she led Xerox through a transformational turnaround; valuable insights into organizational and operational management issues, including business innovation, financial management and talent development; and leadership roles in other public companies, including as lead independent director of Johnson &amp; Johnson, which provide the Board with additional expertise in the area of organizational effectiveness.</w:t>
      </w:r>
    </w:p>
    <w:p>
      <w:pPr>
        <w:spacing w:after="0" w:line="226"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050A54"/>
        </w:rPr>
        <w:t>OTHER PUBLIC COMPANY BOARDS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40" w:type="dxa"/>
            <w:vAlign w:val="bottom"/>
            <w:tcBorders>
              <w:top w:val="single" w:sz="8" w:color="050A54"/>
            </w:tcBorders>
          </w:tcPr>
          <w:p>
            <w:pPr>
              <w:jc w:val="center"/>
              <w:spacing w:after="0" w:line="195" w:lineRule="exact"/>
              <w:rPr>
                <w:sz w:val="20"/>
                <w:szCs w:val="20"/>
                <w:color w:val="auto"/>
              </w:rPr>
            </w:pPr>
            <w:r>
              <w:rPr>
                <w:rFonts w:ascii="Arial" w:cs="Arial" w:eastAsia="Arial" w:hAnsi="Arial"/>
                <w:sz w:val="18"/>
                <w:szCs w:val="18"/>
                <w:b w:val="1"/>
                <w:bCs w:val="1"/>
                <w:color w:val="auto"/>
                <w:w w:val="98"/>
              </w:rPr>
              <w:t>Current</w:t>
            </w:r>
          </w:p>
        </w:tc>
        <w:tc>
          <w:tcPr>
            <w:tcW w:w="3860" w:type="dxa"/>
            <w:vAlign w:val="bottom"/>
            <w:tcBorders>
              <w:top w:val="single" w:sz="8" w:color="050A54"/>
            </w:tcBorders>
          </w:tcPr>
          <w:p>
            <w:pPr>
              <w:jc w:val="center"/>
              <w:spacing w:after="0" w:line="195" w:lineRule="exact"/>
              <w:rPr>
                <w:sz w:val="20"/>
                <w:szCs w:val="20"/>
                <w:color w:val="auto"/>
              </w:rPr>
            </w:pPr>
            <w:r>
              <w:rPr>
                <w:rFonts w:ascii="Arial" w:cs="Arial" w:eastAsia="Arial" w:hAnsi="Arial"/>
                <w:sz w:val="18"/>
                <w:szCs w:val="18"/>
                <w:b w:val="1"/>
                <w:bCs w:val="1"/>
                <w:color w:val="auto"/>
                <w:w w:val="97"/>
              </w:rPr>
              <w:t>Past 5 Years</w:t>
            </w:r>
          </w:p>
        </w:tc>
      </w:tr>
      <w:tr>
        <w:trPr>
          <w:trHeight w:val="201"/>
        </w:trPr>
        <w:tc>
          <w:tcPr>
            <w:tcW w:w="4440" w:type="dxa"/>
            <w:vAlign w:val="bottom"/>
          </w:tcPr>
          <w:p>
            <w:pPr>
              <w:jc w:val="center"/>
              <w:spacing w:after="0" w:line="201" w:lineRule="exact"/>
              <w:rPr>
                <w:sz w:val="20"/>
                <w:szCs w:val="20"/>
                <w:color w:val="auto"/>
              </w:rPr>
            </w:pPr>
            <w:r>
              <w:rPr>
                <w:rFonts w:ascii="Arial" w:cs="Arial" w:eastAsia="Arial" w:hAnsi="Arial"/>
                <w:sz w:val="18"/>
                <w:szCs w:val="18"/>
                <w:color w:val="auto"/>
                <w:w w:val="99"/>
              </w:rPr>
              <w:t>Graham Holdings Company</w:t>
            </w:r>
          </w:p>
        </w:tc>
        <w:tc>
          <w:tcPr>
            <w:tcW w:w="3860" w:type="dxa"/>
            <w:vAlign w:val="bottom"/>
          </w:tcPr>
          <w:p>
            <w:pPr>
              <w:jc w:val="center"/>
              <w:spacing w:after="0" w:line="201" w:lineRule="exact"/>
              <w:rPr>
                <w:sz w:val="20"/>
                <w:szCs w:val="20"/>
                <w:color w:val="auto"/>
              </w:rPr>
            </w:pPr>
            <w:r>
              <w:rPr>
                <w:rFonts w:ascii="Arial" w:cs="Arial" w:eastAsia="Arial" w:hAnsi="Arial"/>
                <w:sz w:val="18"/>
                <w:szCs w:val="18"/>
                <w:color w:val="auto"/>
                <w:w w:val="97"/>
              </w:rPr>
              <w:t>Target Corporation</w:t>
            </w:r>
          </w:p>
        </w:tc>
      </w:tr>
      <w:tr>
        <w:trPr>
          <w:trHeight w:val="201"/>
        </w:trPr>
        <w:tc>
          <w:tcPr>
            <w:tcW w:w="4440" w:type="dxa"/>
            <w:vAlign w:val="bottom"/>
          </w:tcPr>
          <w:p>
            <w:pPr>
              <w:jc w:val="center"/>
              <w:spacing w:after="0" w:line="201" w:lineRule="exact"/>
              <w:rPr>
                <w:sz w:val="20"/>
                <w:szCs w:val="20"/>
                <w:color w:val="auto"/>
              </w:rPr>
            </w:pPr>
            <w:r>
              <w:rPr>
                <w:rFonts w:ascii="Arial" w:cs="Arial" w:eastAsia="Arial" w:hAnsi="Arial"/>
                <w:sz w:val="18"/>
                <w:szCs w:val="18"/>
                <w:color w:val="auto"/>
                <w:w w:val="98"/>
              </w:rPr>
              <w:t>Johnson &amp; Johnson</w:t>
            </w:r>
          </w:p>
        </w:tc>
        <w:tc>
          <w:tcPr>
            <w:tcW w:w="3860" w:type="dxa"/>
            <w:vAlign w:val="bottom"/>
          </w:tcPr>
          <w:p>
            <w:pPr>
              <w:spacing w:after="0"/>
              <w:rPr>
                <w:sz w:val="17"/>
                <w:szCs w:val="17"/>
                <w:color w:val="auto"/>
              </w:rPr>
            </w:pPr>
          </w:p>
        </w:tc>
      </w:tr>
      <w:tr>
        <w:trPr>
          <w:trHeight w:val="235"/>
        </w:trPr>
        <w:tc>
          <w:tcPr>
            <w:tcW w:w="4440" w:type="dxa"/>
            <w:vAlign w:val="bottom"/>
          </w:tcPr>
          <w:p>
            <w:pPr>
              <w:jc w:val="center"/>
              <w:ind w:right="11"/>
              <w:spacing w:after="0"/>
              <w:rPr>
                <w:sz w:val="20"/>
                <w:szCs w:val="20"/>
                <w:color w:val="auto"/>
              </w:rPr>
            </w:pPr>
            <w:r>
              <w:rPr>
                <w:rFonts w:ascii="Arial" w:cs="Arial" w:eastAsia="Arial" w:hAnsi="Arial"/>
                <w:sz w:val="18"/>
                <w:szCs w:val="18"/>
                <w:color w:val="auto"/>
                <w:w w:val="99"/>
              </w:rPr>
              <w:t>Williams-Sonoma, Inc.</w:t>
            </w:r>
          </w:p>
        </w:tc>
        <w:tc>
          <w:tcPr>
            <w:tcW w:w="38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-1455420</wp:posOffset>
            </wp:positionH>
            <wp:positionV relativeFrom="paragraph">
              <wp:posOffset>227965</wp:posOffset>
            </wp:positionV>
            <wp:extent cx="6929755" cy="33883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29755" cy="33883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40" w:space="620"/>
            <w:col w:w="8620"/>
          </w:cols>
          <w:pgMar w:left="320" w:top="454" w:right="499" w:bottom="1440" w:gutter="0" w:footer="0" w:header="0"/>
          <w:type w:val="continuous"/>
        </w:sectPr>
      </w:pPr>
    </w:p>
    <w:p>
      <w:pPr>
        <w:spacing w:after="0" w:line="26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050A54"/>
        </w:rPr>
        <w:t>James S. Putnam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Age 67</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Director Since 2005</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Independent</w:t>
      </w:r>
    </w:p>
    <w:p>
      <w:pPr>
        <w:spacing w:after="0" w:line="32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Chair of the Board</w:t>
      </w:r>
    </w:p>
    <w:p>
      <w:pPr>
        <w:spacing w:after="0" w:line="38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Committee:</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Compensation</w:t>
      </w:r>
    </w:p>
    <w:p>
      <w:pPr>
        <w:spacing w:after="0" w:line="1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Committee</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050A54"/>
        </w:rPr>
        <w:t>BACKGROUND</w:t>
      </w:r>
    </w:p>
    <w:p>
      <w:pPr>
        <w:spacing w:after="0" w:line="338" w:lineRule="exact"/>
        <w:rPr>
          <w:sz w:val="20"/>
          <w:szCs w:val="20"/>
          <w:color w:val="auto"/>
        </w:rPr>
      </w:pPr>
    </w:p>
    <w:p>
      <w:pPr>
        <w:jc w:val="both"/>
        <w:ind w:left="100" w:right="140"/>
        <w:spacing w:after="0" w:line="236" w:lineRule="auto"/>
        <w:rPr>
          <w:sz w:val="20"/>
          <w:szCs w:val="20"/>
          <w:color w:val="auto"/>
        </w:rPr>
      </w:pPr>
      <w:r>
        <w:rPr>
          <w:rFonts w:ascii="Arial" w:cs="Arial" w:eastAsia="Arial" w:hAnsi="Arial"/>
          <w:sz w:val="18"/>
          <w:szCs w:val="18"/>
          <w:color w:val="auto"/>
        </w:rPr>
        <w:t>Mr. Putnam has served as chair of the Board of Directors since March 2017, and he served as our lead director from June 2016 until March 2017. He was employed by LPL Financial from 1983 to 2005 and served as its managing director of national sales from 1987 to 2005. In that role, he was responsible for the recruitment, retention and management of LPL Financial advisors, as well as branch development, marketing and all product sales. Mr. Putnam also previously served as the chief executive officer of Global Portfolio Advisors (“GPA”), formerly a global brokerage clearing services provider that sold substantially all of its operations in 2014. GPA was under common ownership with LPL Financial until 2005, and Mr. Putnam served as chief executive officer of GPA from 2004 until 2014. He began his securities career as a retail representative with Dean Witter Reynolds in 1979. Mr. Putnam received a B.A. from Western Illinois University.</w:t>
      </w:r>
    </w:p>
    <w:p>
      <w:pPr>
        <w:spacing w:after="0" w:line="257"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050A54"/>
        </w:rPr>
        <w:t>QUALIFICATIONS</w:t>
      </w:r>
    </w:p>
    <w:p>
      <w:pPr>
        <w:spacing w:after="0" w:line="204" w:lineRule="exact"/>
        <w:rPr>
          <w:sz w:val="20"/>
          <w:szCs w:val="20"/>
          <w:color w:val="auto"/>
        </w:rPr>
      </w:pPr>
    </w:p>
    <w:p>
      <w:pPr>
        <w:jc w:val="both"/>
        <w:ind w:left="100" w:right="140"/>
        <w:spacing w:after="0" w:line="243" w:lineRule="auto"/>
        <w:rPr>
          <w:sz w:val="20"/>
          <w:szCs w:val="20"/>
          <w:color w:val="auto"/>
        </w:rPr>
      </w:pPr>
      <w:r>
        <w:rPr>
          <w:rFonts w:ascii="Arial" w:cs="Arial" w:eastAsia="Arial" w:hAnsi="Arial"/>
          <w:sz w:val="18"/>
          <w:szCs w:val="18"/>
          <w:color w:val="auto"/>
        </w:rPr>
        <w:t>Mr. Putnam’s pertinent qualifications include his unique historical perspective and insights into our operations as our former managing director of national sales; operating, business and management experience as the chief executive officer at GPA; and expertise in the financial industry and deep familiarity with our advisors.</w:t>
      </w:r>
    </w:p>
    <w:p>
      <w:pPr>
        <w:spacing w:after="0" w:line="264"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050A54"/>
        </w:rPr>
        <w:t>OTHER PUBLIC COMPANY BOARDS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40" w:type="dxa"/>
            <w:vAlign w:val="bottom"/>
            <w:tcBorders>
              <w:top w:val="single" w:sz="8" w:color="050A54"/>
            </w:tcBorders>
          </w:tcPr>
          <w:p>
            <w:pPr>
              <w:jc w:val="center"/>
              <w:ind w:left="91"/>
              <w:spacing w:after="0" w:line="195" w:lineRule="exact"/>
              <w:rPr>
                <w:sz w:val="20"/>
                <w:szCs w:val="20"/>
                <w:color w:val="auto"/>
              </w:rPr>
            </w:pPr>
            <w:r>
              <w:rPr>
                <w:rFonts w:ascii="Arial" w:cs="Arial" w:eastAsia="Arial" w:hAnsi="Arial"/>
                <w:sz w:val="18"/>
                <w:szCs w:val="18"/>
                <w:b w:val="1"/>
                <w:bCs w:val="1"/>
                <w:color w:val="auto"/>
                <w:w w:val="98"/>
              </w:rPr>
              <w:t>Current</w:t>
            </w:r>
          </w:p>
        </w:tc>
        <w:tc>
          <w:tcPr>
            <w:tcW w:w="4120" w:type="dxa"/>
            <w:vAlign w:val="bottom"/>
            <w:tcBorders>
              <w:top w:val="single" w:sz="8" w:color="050A54"/>
            </w:tcBorders>
            <w:gridSpan w:val="3"/>
          </w:tcPr>
          <w:p>
            <w:pPr>
              <w:jc w:val="center"/>
              <w:ind w:left="111"/>
              <w:spacing w:after="0" w:line="195" w:lineRule="exact"/>
              <w:rPr>
                <w:sz w:val="20"/>
                <w:szCs w:val="20"/>
                <w:color w:val="auto"/>
              </w:rPr>
            </w:pPr>
            <w:r>
              <w:rPr>
                <w:rFonts w:ascii="Arial" w:cs="Arial" w:eastAsia="Arial" w:hAnsi="Arial"/>
                <w:sz w:val="18"/>
                <w:szCs w:val="18"/>
                <w:b w:val="1"/>
                <w:bCs w:val="1"/>
                <w:color w:val="auto"/>
                <w:w w:val="97"/>
              </w:rPr>
              <w:t>Past 5 Years</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140" w:type="dxa"/>
            <w:vAlign w:val="bottom"/>
          </w:tcPr>
          <w:p>
            <w:pPr>
              <w:jc w:val="center"/>
              <w:ind w:left="111"/>
              <w:spacing w:after="0"/>
              <w:rPr>
                <w:sz w:val="20"/>
                <w:szCs w:val="20"/>
                <w:color w:val="auto"/>
              </w:rPr>
            </w:pPr>
            <w:r>
              <w:rPr>
                <w:rFonts w:ascii="Arial" w:cs="Arial" w:eastAsia="Arial" w:hAnsi="Arial"/>
                <w:sz w:val="18"/>
                <w:szCs w:val="18"/>
                <w:color w:val="auto"/>
                <w:w w:val="97"/>
              </w:rPr>
              <w:t>None</w:t>
            </w:r>
          </w:p>
        </w:tc>
        <w:tc>
          <w:tcPr>
            <w:tcW w:w="4120" w:type="dxa"/>
            <w:vAlign w:val="bottom"/>
            <w:gridSpan w:val="3"/>
          </w:tcPr>
          <w:p>
            <w:pPr>
              <w:jc w:val="center"/>
              <w:ind w:left="111"/>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4140" w:type="dxa"/>
            <w:vAlign w:val="bottom"/>
          </w:tcPr>
          <w:p>
            <w:pPr>
              <w:spacing w:after="0"/>
              <w:rPr>
                <w:sz w:val="23"/>
                <w:szCs w:val="23"/>
                <w:color w:val="auto"/>
              </w:rPr>
            </w:pPr>
          </w:p>
        </w:tc>
        <w:tc>
          <w:tcPr>
            <w:tcW w:w="3900" w:type="dxa"/>
            <w:vAlign w:val="bottom"/>
            <w:vMerge w:val="restart"/>
          </w:tcPr>
          <w:p>
            <w:pPr>
              <w:ind w:left="1860"/>
              <w:spacing w:after="0"/>
              <w:rPr>
                <w:sz w:val="20"/>
                <w:szCs w:val="20"/>
                <w:color w:val="auto"/>
              </w:rPr>
            </w:pPr>
            <w:r>
              <w:rPr>
                <w:rFonts w:ascii="Arial" w:cs="Arial" w:eastAsia="Arial" w:hAnsi="Arial"/>
                <w:sz w:val="18"/>
                <w:szCs w:val="18"/>
                <w:b w:val="1"/>
                <w:bCs w:val="1"/>
                <w:color w:val="050A54"/>
              </w:rPr>
              <w:t>2022 Proxy Statement</w:t>
            </w:r>
          </w:p>
        </w:tc>
        <w:tc>
          <w:tcPr>
            <w:tcW w:w="20" w:type="dxa"/>
            <w:vAlign w:val="bottom"/>
          </w:tcPr>
          <w:p>
            <w:pPr>
              <w:spacing w:after="0"/>
              <w:rPr>
                <w:sz w:val="23"/>
                <w:szCs w:val="23"/>
                <w:color w:val="auto"/>
              </w:rPr>
            </w:pPr>
          </w:p>
        </w:tc>
        <w:tc>
          <w:tcPr>
            <w:tcW w:w="200" w:type="dxa"/>
            <w:vAlign w:val="bottom"/>
            <w:vMerge w:val="restart"/>
          </w:tcPr>
          <w:p>
            <w:pPr>
              <w:spacing w:after="0"/>
              <w:rPr>
                <w:sz w:val="23"/>
                <w:szCs w:val="23"/>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050A54"/>
              </w:rPr>
              <w:t>15</w:t>
            </w:r>
          </w:p>
        </w:tc>
        <w:tc>
          <w:tcPr>
            <w:tcW w:w="0" w:type="dxa"/>
            <w:vAlign w:val="bottom"/>
          </w:tcPr>
          <w:p>
            <w:pPr>
              <w:spacing w:after="0"/>
              <w:rPr>
                <w:sz w:val="1"/>
                <w:szCs w:val="1"/>
                <w:color w:val="auto"/>
              </w:rPr>
            </w:pPr>
          </w:p>
        </w:tc>
      </w:tr>
      <w:tr>
        <w:trPr>
          <w:trHeight w:val="214"/>
        </w:trPr>
        <w:tc>
          <w:tcPr>
            <w:tcW w:w="4140" w:type="dxa"/>
            <w:vAlign w:val="bottom"/>
          </w:tcPr>
          <w:p>
            <w:pPr>
              <w:spacing w:after="0"/>
              <w:rPr>
                <w:sz w:val="18"/>
                <w:szCs w:val="18"/>
                <w:color w:val="auto"/>
              </w:rPr>
            </w:pPr>
          </w:p>
        </w:tc>
        <w:tc>
          <w:tcPr>
            <w:tcW w:w="390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20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2">
            <w:col w:w="1880" w:space="620"/>
            <w:col w:w="8580"/>
          </w:cols>
          <w:pgMar w:left="320" w:top="454" w:right="49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33032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29755" cy="330327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050A54"/>
        </w:rPr>
        <w:t>Richard P. Schifter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Age 69</w:t>
      </w:r>
    </w:p>
    <w:p>
      <w:pPr>
        <w:spacing w:after="0" w:line="11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Director Since 2005</w:t>
      </w:r>
    </w:p>
    <w:p>
      <w:pPr>
        <w:spacing w:after="0" w:line="11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Independent</w:t>
      </w:r>
    </w:p>
    <w:p>
      <w:pPr>
        <w:spacing w:after="0" w:line="200" w:lineRule="exact"/>
        <w:rPr>
          <w:sz w:val="20"/>
          <w:szCs w:val="20"/>
          <w:color w:val="auto"/>
        </w:rPr>
      </w:pPr>
    </w:p>
    <w:p>
      <w:pPr>
        <w:spacing w:after="0" w:line="28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Committees:</w:t>
      </w:r>
    </w:p>
    <w:p>
      <w:pPr>
        <w:spacing w:after="0" w:line="11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Audit Committee</w:t>
      </w:r>
    </w:p>
    <w:p>
      <w:pPr>
        <w:spacing w:after="0" w:line="114" w:lineRule="exact"/>
        <w:rPr>
          <w:sz w:val="20"/>
          <w:szCs w:val="20"/>
          <w:color w:val="auto"/>
        </w:rPr>
      </w:pPr>
    </w:p>
    <w:p>
      <w:pPr>
        <w:ind w:left="280" w:right="180"/>
        <w:spacing w:after="0" w:line="270" w:lineRule="auto"/>
        <w:rPr>
          <w:sz w:val="20"/>
          <w:szCs w:val="20"/>
          <w:color w:val="auto"/>
        </w:rPr>
      </w:pPr>
      <w:r>
        <w:rPr>
          <w:rFonts w:ascii="Arial" w:cs="Arial" w:eastAsia="Arial" w:hAnsi="Arial"/>
          <w:sz w:val="17"/>
          <w:szCs w:val="17"/>
          <w:color w:val="auto"/>
        </w:rPr>
        <w:t>Nominating and Governance Committee (Chair)</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050A54"/>
        </w:rPr>
        <w:t>BACKGROUND</w:t>
      </w:r>
    </w:p>
    <w:p>
      <w:pPr>
        <w:spacing w:after="0" w:line="124" w:lineRule="exact"/>
        <w:rPr>
          <w:sz w:val="20"/>
          <w:szCs w:val="20"/>
          <w:color w:val="auto"/>
        </w:rPr>
      </w:pPr>
    </w:p>
    <w:p>
      <w:pPr>
        <w:jc w:val="both"/>
        <w:ind w:left="100" w:right="140"/>
        <w:spacing w:after="0" w:line="256" w:lineRule="auto"/>
        <w:rPr>
          <w:sz w:val="20"/>
          <w:szCs w:val="20"/>
          <w:color w:val="auto"/>
        </w:rPr>
      </w:pPr>
      <w:r>
        <w:rPr>
          <w:rFonts w:ascii="Arial" w:cs="Arial" w:eastAsia="Arial" w:hAnsi="Arial"/>
          <w:sz w:val="17"/>
          <w:szCs w:val="17"/>
          <w:color w:val="auto"/>
        </w:rPr>
        <w:t>Mr. Schifter is a senior advisor of TPG, a leading global private investment firm. He was a partner at TPG from 1994 through 2013. Prior to joining TPG, Mr. Schifter was a partner at the law firm of Arnold &amp; Porter in Washington, D.C. where he specialized in bankruptcy law and corporate restructuring. He joined Arnold &amp; Porter in 1979 and was a partner from 1986 through 1994. Mr. Schifter currently serves on the board of advisors of the University of Pennsylvania Law School. He received a B.A. with distinction from George Washington University and a J.D. cum laude from the University of Pennsylvania Law School.</w:t>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050A54"/>
        </w:rPr>
        <w:t>QUALIFICATIONS</w:t>
      </w:r>
    </w:p>
    <w:p>
      <w:pPr>
        <w:spacing w:after="0" w:line="111" w:lineRule="exact"/>
        <w:rPr>
          <w:sz w:val="20"/>
          <w:szCs w:val="20"/>
          <w:color w:val="auto"/>
        </w:rPr>
      </w:pPr>
    </w:p>
    <w:p>
      <w:pPr>
        <w:jc w:val="both"/>
        <w:ind w:left="100" w:right="140"/>
        <w:spacing w:after="0" w:line="249" w:lineRule="auto"/>
        <w:rPr>
          <w:sz w:val="20"/>
          <w:szCs w:val="20"/>
          <w:color w:val="auto"/>
        </w:rPr>
      </w:pPr>
      <w:r>
        <w:rPr>
          <w:rFonts w:ascii="Arial" w:cs="Arial" w:eastAsia="Arial" w:hAnsi="Arial"/>
          <w:sz w:val="18"/>
          <w:szCs w:val="18"/>
          <w:color w:val="auto"/>
        </w:rPr>
        <w:t>Mr. Schifter’s pertinent qualifications include his high level of financial literacy gained through his investment experience as a TPG partner; experience on other company boards and board committees; and nearly 15 years of experience as a corporate attorney with an internationally-recognized law firm.</w:t>
      </w:r>
    </w:p>
    <w:p>
      <w:pPr>
        <w:spacing w:after="0" w:line="230"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050A54"/>
        </w:rPr>
        <w:t>OTHER PUBLIC COMPANY BOARDS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20" w:type="dxa"/>
            <w:vAlign w:val="bottom"/>
            <w:tcBorders>
              <w:top w:val="single" w:sz="8" w:color="050A54"/>
            </w:tcBorders>
          </w:tcPr>
          <w:p>
            <w:pPr>
              <w:jc w:val="center"/>
              <w:ind w:left="551"/>
              <w:spacing w:after="0" w:line="195" w:lineRule="exact"/>
              <w:rPr>
                <w:sz w:val="20"/>
                <w:szCs w:val="20"/>
                <w:color w:val="auto"/>
              </w:rPr>
            </w:pPr>
            <w:r>
              <w:rPr>
                <w:rFonts w:ascii="Arial" w:cs="Arial" w:eastAsia="Arial" w:hAnsi="Arial"/>
                <w:sz w:val="18"/>
                <w:szCs w:val="18"/>
                <w:b w:val="1"/>
                <w:bCs w:val="1"/>
                <w:color w:val="auto"/>
                <w:w w:val="98"/>
              </w:rPr>
              <w:t>Current</w:t>
            </w:r>
          </w:p>
        </w:tc>
        <w:tc>
          <w:tcPr>
            <w:tcW w:w="4580" w:type="dxa"/>
            <w:vAlign w:val="bottom"/>
            <w:tcBorders>
              <w:top w:val="single" w:sz="8" w:color="050A54"/>
            </w:tcBorders>
          </w:tcPr>
          <w:p>
            <w:pPr>
              <w:jc w:val="center"/>
              <w:ind w:left="571"/>
              <w:spacing w:after="0" w:line="195" w:lineRule="exact"/>
              <w:rPr>
                <w:sz w:val="20"/>
                <w:szCs w:val="20"/>
                <w:color w:val="auto"/>
              </w:rPr>
            </w:pPr>
            <w:r>
              <w:rPr>
                <w:rFonts w:ascii="Arial" w:cs="Arial" w:eastAsia="Arial" w:hAnsi="Arial"/>
                <w:sz w:val="18"/>
                <w:szCs w:val="18"/>
                <w:b w:val="1"/>
                <w:bCs w:val="1"/>
                <w:color w:val="auto"/>
                <w:w w:val="97"/>
              </w:rPr>
              <w:t>Past 5 Years</w:t>
            </w:r>
          </w:p>
        </w:tc>
      </w:tr>
      <w:tr>
        <w:trPr>
          <w:trHeight w:val="201"/>
        </w:trPr>
        <w:tc>
          <w:tcPr>
            <w:tcW w:w="3720" w:type="dxa"/>
            <w:vAlign w:val="bottom"/>
          </w:tcPr>
          <w:p>
            <w:pPr>
              <w:jc w:val="center"/>
              <w:ind w:left="531"/>
              <w:spacing w:after="0" w:line="201" w:lineRule="exact"/>
              <w:rPr>
                <w:sz w:val="20"/>
                <w:szCs w:val="20"/>
                <w:color w:val="auto"/>
              </w:rPr>
            </w:pPr>
            <w:r>
              <w:rPr>
                <w:rFonts w:ascii="Arial" w:cs="Arial" w:eastAsia="Arial" w:hAnsi="Arial"/>
                <w:sz w:val="18"/>
                <w:szCs w:val="18"/>
                <w:color w:val="auto"/>
                <w:w w:val="97"/>
              </w:rPr>
              <w:t>None</w:t>
            </w:r>
          </w:p>
        </w:tc>
        <w:tc>
          <w:tcPr>
            <w:tcW w:w="4580" w:type="dxa"/>
            <w:vAlign w:val="bottom"/>
          </w:tcPr>
          <w:p>
            <w:pPr>
              <w:jc w:val="center"/>
              <w:ind w:left="571"/>
              <w:spacing w:after="0" w:line="201" w:lineRule="exact"/>
              <w:rPr>
                <w:sz w:val="20"/>
                <w:szCs w:val="20"/>
                <w:color w:val="auto"/>
              </w:rPr>
            </w:pPr>
            <w:r>
              <w:rPr>
                <w:rFonts w:ascii="Arial" w:cs="Arial" w:eastAsia="Arial" w:hAnsi="Arial"/>
                <w:sz w:val="18"/>
                <w:szCs w:val="18"/>
                <w:color w:val="auto"/>
                <w:w w:val="98"/>
              </w:rPr>
              <w:t>American Airlines Group</w:t>
            </w:r>
          </w:p>
        </w:tc>
      </w:tr>
      <w:tr>
        <w:trPr>
          <w:trHeight w:val="201"/>
        </w:trPr>
        <w:tc>
          <w:tcPr>
            <w:tcW w:w="3720" w:type="dxa"/>
            <w:vAlign w:val="bottom"/>
          </w:tcPr>
          <w:p>
            <w:pPr>
              <w:spacing w:after="0"/>
              <w:rPr>
                <w:sz w:val="17"/>
                <w:szCs w:val="17"/>
                <w:color w:val="auto"/>
              </w:rPr>
            </w:pPr>
          </w:p>
        </w:tc>
        <w:tc>
          <w:tcPr>
            <w:tcW w:w="4580" w:type="dxa"/>
            <w:vAlign w:val="bottom"/>
          </w:tcPr>
          <w:p>
            <w:pPr>
              <w:jc w:val="center"/>
              <w:ind w:left="571"/>
              <w:spacing w:after="0" w:line="201" w:lineRule="exact"/>
              <w:rPr>
                <w:sz w:val="20"/>
                <w:szCs w:val="20"/>
                <w:color w:val="auto"/>
              </w:rPr>
            </w:pPr>
            <w:r>
              <w:rPr>
                <w:rFonts w:ascii="Arial" w:cs="Arial" w:eastAsia="Arial" w:hAnsi="Arial"/>
                <w:sz w:val="18"/>
                <w:szCs w:val="18"/>
                <w:color w:val="auto"/>
                <w:w w:val="99"/>
              </w:rPr>
              <w:t>Avianca Holdings SA</w:t>
            </w:r>
          </w:p>
        </w:tc>
      </w:tr>
      <w:tr>
        <w:trPr>
          <w:trHeight w:val="201"/>
        </w:trPr>
        <w:tc>
          <w:tcPr>
            <w:tcW w:w="3720" w:type="dxa"/>
            <w:vAlign w:val="bottom"/>
          </w:tcPr>
          <w:p>
            <w:pPr>
              <w:spacing w:after="0"/>
              <w:rPr>
                <w:sz w:val="17"/>
                <w:szCs w:val="17"/>
                <w:color w:val="auto"/>
              </w:rPr>
            </w:pPr>
          </w:p>
        </w:tc>
        <w:tc>
          <w:tcPr>
            <w:tcW w:w="4580" w:type="dxa"/>
            <w:vAlign w:val="bottom"/>
          </w:tcPr>
          <w:p>
            <w:pPr>
              <w:jc w:val="center"/>
              <w:ind w:left="571"/>
              <w:spacing w:after="0" w:line="201" w:lineRule="exact"/>
              <w:rPr>
                <w:sz w:val="20"/>
                <w:szCs w:val="20"/>
                <w:color w:val="auto"/>
              </w:rPr>
            </w:pPr>
            <w:r>
              <w:rPr>
                <w:rFonts w:ascii="Arial" w:cs="Arial" w:eastAsia="Arial" w:hAnsi="Arial"/>
                <w:sz w:val="18"/>
                <w:szCs w:val="18"/>
                <w:color w:val="auto"/>
                <w:w w:val="98"/>
              </w:rPr>
              <w:t>Caesars Entertainment Corporation</w:t>
            </w:r>
          </w:p>
        </w:tc>
      </w:tr>
      <w:tr>
        <w:trPr>
          <w:trHeight w:val="201"/>
        </w:trPr>
        <w:tc>
          <w:tcPr>
            <w:tcW w:w="3720" w:type="dxa"/>
            <w:vAlign w:val="bottom"/>
          </w:tcPr>
          <w:p>
            <w:pPr>
              <w:spacing w:after="0"/>
              <w:rPr>
                <w:sz w:val="17"/>
                <w:szCs w:val="17"/>
                <w:color w:val="auto"/>
              </w:rPr>
            </w:pPr>
          </w:p>
        </w:tc>
        <w:tc>
          <w:tcPr>
            <w:tcW w:w="4580" w:type="dxa"/>
            <w:vAlign w:val="bottom"/>
          </w:tcPr>
          <w:p>
            <w:pPr>
              <w:jc w:val="center"/>
              <w:ind w:left="571"/>
              <w:spacing w:after="0" w:line="201" w:lineRule="exact"/>
              <w:rPr>
                <w:sz w:val="20"/>
                <w:szCs w:val="20"/>
                <w:color w:val="auto"/>
              </w:rPr>
            </w:pPr>
            <w:r>
              <w:rPr>
                <w:rFonts w:ascii="Arial" w:cs="Arial" w:eastAsia="Arial" w:hAnsi="Arial"/>
                <w:sz w:val="18"/>
                <w:szCs w:val="18"/>
                <w:color w:val="auto"/>
                <w:w w:val="98"/>
              </w:rPr>
              <w:t>EnLink Midstream, LLC</w:t>
            </w:r>
          </w:p>
        </w:tc>
      </w:tr>
      <w:tr>
        <w:trPr>
          <w:trHeight w:val="201"/>
        </w:trPr>
        <w:tc>
          <w:tcPr>
            <w:tcW w:w="3720" w:type="dxa"/>
            <w:vAlign w:val="bottom"/>
          </w:tcPr>
          <w:p>
            <w:pPr>
              <w:spacing w:after="0"/>
              <w:rPr>
                <w:sz w:val="17"/>
                <w:szCs w:val="17"/>
                <w:color w:val="auto"/>
              </w:rPr>
            </w:pPr>
          </w:p>
        </w:tc>
        <w:tc>
          <w:tcPr>
            <w:tcW w:w="4580" w:type="dxa"/>
            <w:vAlign w:val="bottom"/>
          </w:tcPr>
          <w:p>
            <w:pPr>
              <w:jc w:val="center"/>
              <w:ind w:left="571"/>
              <w:spacing w:after="0" w:line="201" w:lineRule="exact"/>
              <w:rPr>
                <w:sz w:val="20"/>
                <w:szCs w:val="20"/>
                <w:color w:val="auto"/>
              </w:rPr>
            </w:pPr>
            <w:r>
              <w:rPr>
                <w:rFonts w:ascii="Arial" w:cs="Arial" w:eastAsia="Arial" w:hAnsi="Arial"/>
                <w:sz w:val="18"/>
                <w:szCs w:val="18"/>
                <w:color w:val="auto"/>
                <w:w w:val="99"/>
              </w:rPr>
              <w:t>EverBank Financial Corporation</w:t>
            </w:r>
          </w:p>
        </w:tc>
      </w:tr>
      <w:tr>
        <w:trPr>
          <w:trHeight w:val="235"/>
        </w:trPr>
        <w:tc>
          <w:tcPr>
            <w:tcW w:w="3720" w:type="dxa"/>
            <w:vAlign w:val="bottom"/>
          </w:tcPr>
          <w:p>
            <w:pPr>
              <w:spacing w:after="0"/>
              <w:rPr>
                <w:sz w:val="20"/>
                <w:szCs w:val="20"/>
                <w:color w:val="auto"/>
              </w:rPr>
            </w:pPr>
          </w:p>
        </w:tc>
        <w:tc>
          <w:tcPr>
            <w:tcW w:w="4580" w:type="dxa"/>
            <w:vAlign w:val="bottom"/>
          </w:tcPr>
          <w:p>
            <w:pPr>
              <w:jc w:val="center"/>
              <w:ind w:left="571"/>
              <w:spacing w:after="0"/>
              <w:rPr>
                <w:sz w:val="20"/>
                <w:szCs w:val="20"/>
                <w:color w:val="auto"/>
              </w:rPr>
            </w:pPr>
            <w:r>
              <w:rPr>
                <w:rFonts w:ascii="Arial" w:cs="Arial" w:eastAsia="Arial" w:hAnsi="Arial"/>
                <w:sz w:val="18"/>
                <w:szCs w:val="18"/>
                <w:color w:val="auto"/>
                <w:w w:val="99"/>
              </w:rPr>
              <w:t>ProSight Global,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-1455420</wp:posOffset>
            </wp:positionH>
            <wp:positionV relativeFrom="paragraph">
              <wp:posOffset>253365</wp:posOffset>
            </wp:positionV>
            <wp:extent cx="6929755" cy="32613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29755" cy="3261360"/>
                    </a:xfrm>
                    <a:prstGeom prst="rect">
                      <a:avLst/>
                    </a:prstGeom>
                    <a:noFill/>
                  </pic:spPr>
                </pic:pic>
              </a:graphicData>
            </a:graphic>
          </wp:anchor>
        </w:drawing>
      </w:r>
    </w:p>
    <w:p>
      <w:pPr>
        <w:spacing w:after="0" w:line="263" w:lineRule="exact"/>
        <w:rPr>
          <w:sz w:val="20"/>
          <w:szCs w:val="20"/>
          <w:color w:val="auto"/>
        </w:rPr>
      </w:pPr>
    </w:p>
    <w:p>
      <w:pPr>
        <w:sectPr>
          <w:pgSz w:w="11900" w:h="16838" w:orient="portrait"/>
          <w:cols w:equalWidth="0" w:num="2">
            <w:col w:w="1920" w:space="540"/>
            <w:col w:w="8620"/>
          </w:cols>
          <w:pgMar w:left="320" w:top="454" w:right="499" w:bottom="1440" w:gutter="0" w:footer="0" w:header="0"/>
          <w:type w:val="continuous"/>
        </w:sectPr>
      </w:pPr>
    </w:p>
    <w:p>
      <w:pPr>
        <w:spacing w:after="0" w:line="244" w:lineRule="exact"/>
        <w:rPr>
          <w:sz w:val="20"/>
          <w:szCs w:val="20"/>
          <w:color w:val="auto"/>
        </w:rPr>
      </w:pPr>
    </w:p>
    <w:p>
      <w:pPr>
        <w:ind w:left="280"/>
        <w:spacing w:after="0"/>
        <w:rPr>
          <w:sz w:val="20"/>
          <w:szCs w:val="20"/>
          <w:color w:val="auto"/>
        </w:rPr>
      </w:pPr>
      <w:r>
        <w:rPr>
          <w:rFonts w:ascii="Arial" w:cs="Arial" w:eastAsia="Arial" w:hAnsi="Arial"/>
          <w:sz w:val="19"/>
          <w:szCs w:val="19"/>
          <w:b w:val="1"/>
          <w:bCs w:val="1"/>
          <w:i w:val="1"/>
          <w:iCs w:val="1"/>
          <w:color w:val="050A54"/>
        </w:rPr>
        <w:t>Corey E. Thomas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Age 45</w:t>
      </w:r>
    </w:p>
    <w:p>
      <w:pPr>
        <w:spacing w:after="0" w:line="114" w:lineRule="exact"/>
        <w:rPr>
          <w:sz w:val="20"/>
          <w:szCs w:val="20"/>
          <w:color w:val="auto"/>
        </w:rPr>
      </w:pPr>
    </w:p>
    <w:p>
      <w:pPr>
        <w:ind w:left="280"/>
        <w:spacing w:after="0"/>
        <w:rPr>
          <w:sz w:val="20"/>
          <w:szCs w:val="20"/>
          <w:color w:val="auto"/>
        </w:rPr>
      </w:pPr>
      <w:r>
        <w:rPr>
          <w:rFonts w:ascii="Arial" w:cs="Arial" w:eastAsia="Arial" w:hAnsi="Arial"/>
          <w:sz w:val="17"/>
          <w:szCs w:val="17"/>
          <w:color w:val="auto"/>
        </w:rPr>
        <w:t>Director Since 2019</w:t>
      </w:r>
    </w:p>
    <w:p>
      <w:pPr>
        <w:spacing w:after="0" w:line="1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Independent</w:t>
      </w:r>
    </w:p>
    <w:p>
      <w:pPr>
        <w:spacing w:after="0" w:line="200" w:lineRule="exact"/>
        <w:rPr>
          <w:sz w:val="20"/>
          <w:szCs w:val="20"/>
          <w:color w:val="auto"/>
        </w:rPr>
      </w:pPr>
    </w:p>
    <w:p>
      <w:pPr>
        <w:spacing w:after="0" w:line="28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Committees:</w:t>
      </w:r>
    </w:p>
    <w:p>
      <w:pPr>
        <w:spacing w:after="0" w:line="11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Audit Committee</w:t>
      </w:r>
    </w:p>
    <w:p>
      <w:pPr>
        <w:spacing w:after="0" w:line="11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Nominating and</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Governance</w:t>
      </w:r>
    </w:p>
    <w:p>
      <w:pPr>
        <w:ind w:left="280"/>
        <w:spacing w:after="0"/>
        <w:rPr>
          <w:sz w:val="20"/>
          <w:szCs w:val="20"/>
          <w:color w:val="auto"/>
        </w:rPr>
      </w:pPr>
      <w:r>
        <w:rPr>
          <w:rFonts w:ascii="Arial" w:cs="Arial" w:eastAsia="Arial" w:hAnsi="Arial"/>
          <w:sz w:val="18"/>
          <w:szCs w:val="18"/>
          <w:color w:val="auto"/>
        </w:rPr>
        <w:t>Committee</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050A54"/>
        </w:rPr>
        <w:t>BACKGROUND</w:t>
      </w:r>
    </w:p>
    <w:p>
      <w:pPr>
        <w:spacing w:after="0" w:line="97" w:lineRule="exact"/>
        <w:rPr>
          <w:sz w:val="20"/>
          <w:szCs w:val="20"/>
          <w:color w:val="auto"/>
        </w:rPr>
      </w:pPr>
    </w:p>
    <w:p>
      <w:pPr>
        <w:jc w:val="both"/>
        <w:ind w:left="100" w:right="140"/>
        <w:spacing w:after="0" w:line="237" w:lineRule="auto"/>
        <w:rPr>
          <w:sz w:val="20"/>
          <w:szCs w:val="20"/>
          <w:color w:val="auto"/>
        </w:rPr>
      </w:pPr>
      <w:r>
        <w:rPr>
          <w:rFonts w:ascii="Arial" w:cs="Arial" w:eastAsia="Arial" w:hAnsi="Arial"/>
          <w:sz w:val="18"/>
          <w:szCs w:val="18"/>
          <w:color w:val="auto"/>
        </w:rPr>
        <w:t>Mr. Thomas serves as the chair of the board and chief executive officer of Rapid7, Inc. (“Rapid7”), a public company that provides analytics for security and information technology operations. Mr. Thomas has been chief executive officer and a director since October 2012. From November 2008 to September 2012, Mr. Thomas held various other roles at Rapid7, including serving as chief operating officer. He also currently serves on the board of directors of Blue Cross Blue Shield of Massachusetts, a nonprofit private health insurance company, and the Federal Reserve Bank of Boston. Mr. Thomas received a B.E. in electrical engineering and computer science from Vanderbilt University and an M.B.A. from the Harvard Business School.</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050A54"/>
        </w:rPr>
        <w:t>QUALIFICATIONS</w:t>
      </w:r>
    </w:p>
    <w:p>
      <w:pPr>
        <w:spacing w:after="0" w:line="97" w:lineRule="exact"/>
        <w:rPr>
          <w:sz w:val="20"/>
          <w:szCs w:val="20"/>
          <w:color w:val="auto"/>
        </w:rPr>
      </w:pPr>
    </w:p>
    <w:p>
      <w:pPr>
        <w:jc w:val="both"/>
        <w:ind w:left="100" w:right="140"/>
        <w:spacing w:after="0" w:line="239" w:lineRule="auto"/>
        <w:rPr>
          <w:sz w:val="20"/>
          <w:szCs w:val="20"/>
          <w:color w:val="auto"/>
        </w:rPr>
      </w:pPr>
      <w:r>
        <w:rPr>
          <w:rFonts w:ascii="Arial" w:cs="Arial" w:eastAsia="Arial" w:hAnsi="Arial"/>
          <w:sz w:val="18"/>
          <w:szCs w:val="18"/>
          <w:color w:val="auto"/>
        </w:rPr>
        <w:t>Mr. Thomas’ pertinent qualifications include his general management experience, including his top-level perspective on strategy and organization management as the chief executive officer of a public company; strategic insights with regard to information technology, cybersecurity and global sales and marketing gained through his career in the technology industry; an entrepreneurial mindset focused on solving the needs of clients ranging widely in size and industry; and experience leading operations involving multiple product delivery models, including his past role as a chief operating officer.</w:t>
      </w:r>
    </w:p>
    <w:p>
      <w:pPr>
        <w:spacing w:after="0" w:line="226"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050A54"/>
        </w:rPr>
        <w:t>OTHER PUBLIC COMPANY BOARDS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80" w:type="dxa"/>
            <w:vAlign w:val="bottom"/>
            <w:tcBorders>
              <w:top w:val="single" w:sz="8" w:color="050A54"/>
            </w:tcBorders>
          </w:tcPr>
          <w:p>
            <w:pPr>
              <w:jc w:val="center"/>
              <w:ind w:right="231"/>
              <w:spacing w:after="0" w:line="195" w:lineRule="exact"/>
              <w:rPr>
                <w:sz w:val="20"/>
                <w:szCs w:val="20"/>
                <w:color w:val="auto"/>
              </w:rPr>
            </w:pPr>
            <w:r>
              <w:rPr>
                <w:rFonts w:ascii="Arial" w:cs="Arial" w:eastAsia="Arial" w:hAnsi="Arial"/>
                <w:sz w:val="18"/>
                <w:szCs w:val="18"/>
                <w:b w:val="1"/>
                <w:bCs w:val="1"/>
                <w:color w:val="auto"/>
                <w:w w:val="98"/>
              </w:rPr>
              <w:t>Current</w:t>
            </w:r>
          </w:p>
        </w:tc>
        <w:tc>
          <w:tcPr>
            <w:tcW w:w="3620" w:type="dxa"/>
            <w:vAlign w:val="bottom"/>
            <w:tcBorders>
              <w:top w:val="single" w:sz="8" w:color="050A54"/>
            </w:tcBorders>
          </w:tcPr>
          <w:p>
            <w:pPr>
              <w:jc w:val="center"/>
              <w:ind w:right="211"/>
              <w:spacing w:after="0" w:line="195" w:lineRule="exact"/>
              <w:rPr>
                <w:sz w:val="20"/>
                <w:szCs w:val="20"/>
                <w:color w:val="auto"/>
              </w:rPr>
            </w:pPr>
            <w:r>
              <w:rPr>
                <w:rFonts w:ascii="Arial" w:cs="Arial" w:eastAsia="Arial" w:hAnsi="Arial"/>
                <w:sz w:val="18"/>
                <w:szCs w:val="18"/>
                <w:b w:val="1"/>
                <w:bCs w:val="1"/>
                <w:color w:val="auto"/>
                <w:w w:val="97"/>
              </w:rPr>
              <w:t>Past 5 Years</w:t>
            </w:r>
          </w:p>
        </w:tc>
      </w:tr>
      <w:tr>
        <w:trPr>
          <w:trHeight w:val="201"/>
        </w:trPr>
        <w:tc>
          <w:tcPr>
            <w:tcW w:w="4680" w:type="dxa"/>
            <w:vAlign w:val="bottom"/>
          </w:tcPr>
          <w:p>
            <w:pPr>
              <w:jc w:val="center"/>
              <w:ind w:right="231"/>
              <w:spacing w:after="0" w:line="201" w:lineRule="exact"/>
              <w:rPr>
                <w:sz w:val="20"/>
                <w:szCs w:val="20"/>
                <w:color w:val="auto"/>
              </w:rPr>
            </w:pPr>
            <w:r>
              <w:rPr>
                <w:rFonts w:ascii="Arial" w:cs="Arial" w:eastAsia="Arial" w:hAnsi="Arial"/>
                <w:sz w:val="18"/>
                <w:szCs w:val="18"/>
                <w:color w:val="auto"/>
                <w:w w:val="98"/>
              </w:rPr>
              <w:t>Catalyst Partners Acquisition Corp.</w:t>
            </w:r>
          </w:p>
        </w:tc>
        <w:tc>
          <w:tcPr>
            <w:tcW w:w="3620" w:type="dxa"/>
            <w:vAlign w:val="bottom"/>
          </w:tcPr>
          <w:p>
            <w:pPr>
              <w:jc w:val="center"/>
              <w:ind w:right="211"/>
              <w:spacing w:after="0" w:line="201" w:lineRule="exact"/>
              <w:rPr>
                <w:sz w:val="20"/>
                <w:szCs w:val="20"/>
                <w:color w:val="auto"/>
              </w:rPr>
            </w:pPr>
            <w:r>
              <w:rPr>
                <w:rFonts w:ascii="Arial" w:cs="Arial" w:eastAsia="Arial" w:hAnsi="Arial"/>
                <w:sz w:val="18"/>
                <w:szCs w:val="18"/>
                <w:color w:val="auto"/>
              </w:rPr>
              <w:t>None</w:t>
            </w:r>
          </w:p>
        </w:tc>
      </w:tr>
      <w:tr>
        <w:trPr>
          <w:trHeight w:val="235"/>
        </w:trPr>
        <w:tc>
          <w:tcPr>
            <w:tcW w:w="4680" w:type="dxa"/>
            <w:vAlign w:val="bottom"/>
          </w:tcPr>
          <w:p>
            <w:pPr>
              <w:jc w:val="center"/>
              <w:ind w:right="231"/>
              <w:spacing w:after="0"/>
              <w:rPr>
                <w:sz w:val="20"/>
                <w:szCs w:val="20"/>
                <w:color w:val="auto"/>
              </w:rPr>
            </w:pPr>
            <w:r>
              <w:rPr>
                <w:rFonts w:ascii="Arial" w:cs="Arial" w:eastAsia="Arial" w:hAnsi="Arial"/>
                <w:sz w:val="18"/>
                <w:szCs w:val="18"/>
                <w:color w:val="auto"/>
                <w:w w:val="99"/>
              </w:rPr>
              <w:t>Rapid7, Inc.</w:t>
            </w:r>
          </w:p>
        </w:tc>
        <w:tc>
          <w:tcPr>
            <w:tcW w:w="3620" w:type="dxa"/>
            <w:vAlign w:val="bottom"/>
          </w:tcPr>
          <w:p>
            <w:pPr>
              <w:spacing w:after="0"/>
              <w:rPr>
                <w:sz w:val="20"/>
                <w:szCs w:val="20"/>
                <w:color w:val="auto"/>
              </w:rPr>
            </w:pPr>
          </w:p>
        </w:tc>
      </w:tr>
    </w:tbl>
    <w:p>
      <w:pPr>
        <w:spacing w:after="0" w:line="203" w:lineRule="exact"/>
        <w:rPr>
          <w:sz w:val="20"/>
          <w:szCs w:val="20"/>
          <w:color w:val="auto"/>
        </w:rPr>
      </w:pPr>
    </w:p>
    <w:p>
      <w:pPr>
        <w:sectPr>
          <w:pgSz w:w="11900" w:h="16838" w:orient="portrait"/>
          <w:cols w:equalWidth="0" w:num="2">
            <w:col w:w="1840" w:space="620"/>
            <w:col w:w="8620"/>
          </w:cols>
          <w:pgMar w:left="320" w:top="454" w:right="499" w:bottom="1440" w:gutter="0" w:footer="0" w:header="0"/>
          <w:type w:val="continuous"/>
        </w:sectPr>
      </w:pPr>
    </w:p>
    <w:p>
      <w:pPr>
        <w:spacing w:after="0" w:line="1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 the vote on the election of the director nominees, stockholders may:</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Vote </w:t>
      </w:r>
      <w:r>
        <w:rPr>
          <w:rFonts w:ascii="Arial" w:cs="Arial" w:eastAsia="Arial" w:hAnsi="Arial"/>
          <w:sz w:val="18"/>
          <w:szCs w:val="18"/>
          <w:b w:val="1"/>
          <w:bCs w:val="1"/>
          <w:color w:val="F25900"/>
        </w:rPr>
        <w:t>FOR</w:t>
      </w:r>
      <w:r>
        <w:rPr>
          <w:rFonts w:ascii="Arial" w:cs="Arial" w:eastAsia="Arial" w:hAnsi="Arial"/>
          <w:sz w:val="18"/>
          <w:szCs w:val="18"/>
          <w:color w:val="auto"/>
        </w:rPr>
        <w:t xml:space="preserve"> any of the nominees;</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Vote </w:t>
      </w:r>
      <w:r>
        <w:rPr>
          <w:rFonts w:ascii="Arial" w:cs="Arial" w:eastAsia="Arial" w:hAnsi="Arial"/>
          <w:sz w:val="18"/>
          <w:szCs w:val="18"/>
          <w:b w:val="1"/>
          <w:bCs w:val="1"/>
          <w:color w:val="F25900"/>
        </w:rPr>
        <w:t>AGAINST</w:t>
      </w:r>
      <w:r>
        <w:rPr>
          <w:rFonts w:ascii="Arial" w:cs="Arial" w:eastAsia="Arial" w:hAnsi="Arial"/>
          <w:sz w:val="18"/>
          <w:szCs w:val="18"/>
          <w:color w:val="auto"/>
        </w:rPr>
        <w:t xml:space="preserve"> any of the nominees; or</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25900"/>
        </w:rPr>
        <w:t xml:space="preserve">ABSTAIN </w:t>
      </w:r>
      <w:r>
        <w:rPr>
          <w:rFonts w:ascii="Arial" w:cs="Arial" w:eastAsia="Arial" w:hAnsi="Arial"/>
          <w:sz w:val="18"/>
          <w:szCs w:val="18"/>
          <w:color w:val="000000"/>
        </w:rPr>
        <w:t>from voting as to any of the nominees.</w:t>
      </w:r>
    </w:p>
    <w:p>
      <w:pPr>
        <w:spacing w:after="0" w:line="221" w:lineRule="exact"/>
        <w:rPr>
          <w:sz w:val="20"/>
          <w:szCs w:val="20"/>
          <w:color w:val="auto"/>
        </w:rPr>
      </w:pPr>
    </w:p>
    <w:p>
      <w:pPr>
        <w:jc w:val="center"/>
        <w:ind w:left="160"/>
        <w:spacing w:after="0" w:line="277" w:lineRule="auto"/>
        <w:rPr>
          <w:sz w:val="20"/>
          <w:szCs w:val="20"/>
          <w:color w:val="auto"/>
        </w:rPr>
      </w:pPr>
      <w:r>
        <w:rPr>
          <w:rFonts w:ascii="Arial" w:cs="Arial" w:eastAsia="Arial" w:hAnsi="Arial"/>
          <w:sz w:val="18"/>
          <w:szCs w:val="18"/>
          <w:b w:val="1"/>
          <w:bCs w:val="1"/>
          <w:color w:val="F25900"/>
        </w:rPr>
        <w:t>THE BOARD OF DIRECTORS RECOMMENDS A VOTE “FOR” THE ELECTION OF EACH OF THE ABOVE-NAMED NOMINEES AS A DIRECTOR.</w:t>
      </w:r>
    </w:p>
    <w:p>
      <w:pPr>
        <w:spacing w:after="0" w:line="71" w:lineRule="exact"/>
        <w:rPr>
          <w:sz w:val="20"/>
          <w:szCs w:val="20"/>
          <w:color w:val="auto"/>
        </w:rPr>
      </w:pPr>
    </w:p>
    <w:p>
      <w:pPr>
        <w:ind w:left="1000" w:hanging="690"/>
        <w:spacing w:after="0"/>
        <w:tabs>
          <w:tab w:leader="none" w:pos="1000" w:val="left"/>
        </w:tabs>
        <w:numPr>
          <w:ilvl w:val="0"/>
          <w:numId w:val="15"/>
        </w:numPr>
        <w:rPr>
          <w:rFonts w:ascii="Arial" w:cs="Arial" w:eastAsia="Arial" w:hAnsi="Arial"/>
          <w:sz w:val="18"/>
          <w:szCs w:val="18"/>
          <w:color w:val="050A54"/>
        </w:rPr>
      </w:pPr>
      <w:r>
        <w:rPr>
          <w:rFonts w:ascii="Arial" w:cs="Arial" w:eastAsia="Arial" w:hAnsi="Arial"/>
          <w:sz w:val="18"/>
          <w:szCs w:val="18"/>
          <w:b w:val="1"/>
          <w:bCs w:val="1"/>
          <w:color w:val="050A54"/>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-118745</wp:posOffset>
            </wp:positionV>
            <wp:extent cx="8255" cy="135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740"/>
        <w:spacing w:after="0"/>
        <w:rPr>
          <w:sz w:val="20"/>
          <w:szCs w:val="20"/>
          <w:color w:val="auto"/>
        </w:rPr>
      </w:pPr>
      <w:r>
        <w:rPr>
          <w:rFonts w:ascii="Arial" w:cs="Arial" w:eastAsia="Arial" w:hAnsi="Arial"/>
          <w:sz w:val="19"/>
          <w:szCs w:val="19"/>
          <w:b w:val="1"/>
          <w:bCs w:val="1"/>
          <w:color w:val="050A54"/>
        </w:rPr>
        <w:t>Information Regarding Board and Committee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80010</wp:posOffset>
            </wp:positionV>
            <wp:extent cx="69297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5" w:lineRule="exact"/>
        <w:rPr>
          <w:sz w:val="20"/>
          <w:szCs w:val="20"/>
          <w:color w:val="auto"/>
        </w:rPr>
      </w:pPr>
    </w:p>
    <w:p>
      <w:pPr>
        <w:jc w:val="center"/>
        <w:ind w:right="-179"/>
        <w:spacing w:after="0"/>
        <w:rPr>
          <w:sz w:val="20"/>
          <w:szCs w:val="20"/>
          <w:color w:val="auto"/>
        </w:rPr>
      </w:pPr>
      <w:r>
        <w:rPr>
          <w:rFonts w:ascii="Arial" w:cs="Arial" w:eastAsia="Arial" w:hAnsi="Arial"/>
          <w:sz w:val="21"/>
          <w:szCs w:val="21"/>
          <w:b w:val="1"/>
          <w:bCs w:val="1"/>
          <w:color w:val="050A54"/>
        </w:rPr>
        <w:t>Information Regarding Board and Committee Structure</w:t>
      </w:r>
    </w:p>
    <w:p>
      <w:pPr>
        <w:sectPr>
          <w:pgSz w:w="11900" w:h="16838" w:orient="portrait"/>
          <w:cols w:equalWidth="0" w:num="1">
            <w:col w:w="11080"/>
          </w:cols>
          <w:pgMar w:left="320" w:top="454" w:right="499" w:bottom="1440" w:gutter="0" w:footer="0" w:header="0"/>
        </w:sectPr>
      </w:pPr>
    </w:p>
    <w:p>
      <w:pPr>
        <w:spacing w:after="0" w:line="303"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color w:val="auto"/>
        </w:rPr>
        <w:t>During 2021, the Board of Directors held six meetings. Each of our directors attended at least 75% of the aggregate of:</w:t>
      </w:r>
    </w:p>
    <w:p>
      <w:pPr>
        <w:spacing w:after="0" w:line="185" w:lineRule="exact"/>
        <w:rPr>
          <w:sz w:val="20"/>
          <w:szCs w:val="20"/>
          <w:color w:val="auto"/>
        </w:rPr>
      </w:pPr>
    </w:p>
    <w:p>
      <w:pPr>
        <w:ind w:left="520" w:hanging="353"/>
        <w:spacing w:after="0" w:line="265"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total number of meetings of the Board of Directors during 2021; and</w:t>
      </w:r>
    </w:p>
    <w:p>
      <w:pPr>
        <w:spacing w:after="0" w:line="184" w:lineRule="exact"/>
        <w:rPr>
          <w:rFonts w:ascii="Arial" w:cs="Arial" w:eastAsia="Arial" w:hAnsi="Arial"/>
          <w:sz w:val="18"/>
          <w:szCs w:val="18"/>
          <w:color w:val="auto"/>
        </w:rPr>
      </w:pPr>
    </w:p>
    <w:p>
      <w:pPr>
        <w:ind w:left="520" w:hanging="353"/>
        <w:spacing w:after="0" w:line="265"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total number of meetings held by all committees of the Board on which the director served during 2021.</w:t>
      </w:r>
    </w:p>
    <w:p>
      <w:pPr>
        <w:spacing w:after="0" w:line="158"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Eight of our directors attended 100% of such aggregate number of meetings.</w:t>
      </w:r>
    </w:p>
    <w:p>
      <w:pPr>
        <w:spacing w:after="0" w:line="158"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Our Corporate Governance Guidelines provide that each director who is nominated for election is expected to attend the Annual Meeting. Each of the nine nominees for election at the 2021 annual meeting of stockholders attended such meeting, which was held virtually.</w:t>
      </w:r>
    </w:p>
    <w:p>
      <w:pPr>
        <w:spacing w:after="0" w:line="177" w:lineRule="exact"/>
        <w:rPr>
          <w:sz w:val="20"/>
          <w:szCs w:val="20"/>
          <w:color w:val="auto"/>
        </w:rPr>
      </w:pPr>
    </w:p>
    <w:p>
      <w:pPr>
        <w:ind w:left="160" w:right="60"/>
        <w:spacing w:after="0" w:line="264" w:lineRule="auto"/>
        <w:rPr>
          <w:sz w:val="20"/>
          <w:szCs w:val="20"/>
          <w:color w:val="auto"/>
        </w:rPr>
      </w:pPr>
      <w:r>
        <w:rPr>
          <w:rFonts w:ascii="Arial" w:cs="Arial" w:eastAsia="Arial" w:hAnsi="Arial"/>
          <w:sz w:val="20"/>
          <w:szCs w:val="20"/>
          <w:b w:val="1"/>
          <w:bCs w:val="1"/>
          <w:color w:val="050A54"/>
        </w:rPr>
        <w:t>Corporate Governance Guidelines, Committee Charters and Code of Conduct</w:t>
      </w:r>
    </w:p>
    <w:p>
      <w:pPr>
        <w:spacing w:after="0" w:line="141" w:lineRule="exact"/>
        <w:rPr>
          <w:sz w:val="20"/>
          <w:szCs w:val="20"/>
          <w:color w:val="auto"/>
        </w:rPr>
      </w:pPr>
    </w:p>
    <w:p>
      <w:pPr>
        <w:jc w:val="both"/>
        <w:ind w:left="160"/>
        <w:spacing w:after="0" w:line="295" w:lineRule="auto"/>
        <w:rPr>
          <w:sz w:val="20"/>
          <w:szCs w:val="20"/>
          <w:color w:val="auto"/>
        </w:rPr>
      </w:pPr>
      <w:r>
        <w:rPr>
          <w:rFonts w:ascii="Arial" w:cs="Arial" w:eastAsia="Arial" w:hAnsi="Arial"/>
          <w:sz w:val="17"/>
          <w:szCs w:val="17"/>
          <w:color w:val="auto"/>
        </w:rPr>
        <w:t>We believe that good corporate governance is important to ensure that we are managed for the long-term benefit of our stakeholders.</w:t>
      </w:r>
    </w:p>
    <w:p>
      <w:pPr>
        <w:spacing w:after="0" w:line="135"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Our Board of Directors has adopted our Corporate Governance Guidelines to set clear parameters for the operation of our Board. Our Board of Directors has also adopted charters for the Audit Committee,</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Nominating and Governance Committee, and Compensation Committee, as well as a code of conduct for our non-employee directors. We have also adopted a code of conduct that applies to, among others, our principal executive officer, principal financial officer and principal accounting officer or controller, or persons performing similar functions.</w:t>
      </w:r>
    </w:p>
    <w:p>
      <w:pPr>
        <w:spacing w:after="0" w:line="18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Copies of our Annual Report, committee charters, Corporate Governance Guidelines and codes of conduct are available, free of charge, by writing to us at the following address: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LPL Financial Holdings Inc.</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75 State Street, 22nd Floor</w:t>
      </w:r>
    </w:p>
    <w:p>
      <w:pPr>
        <w:spacing w:after="0" w:line="232" w:lineRule="auto"/>
        <w:rPr>
          <w:sz w:val="20"/>
          <w:szCs w:val="20"/>
          <w:color w:val="auto"/>
        </w:rPr>
      </w:pPr>
      <w:r>
        <w:rPr>
          <w:rFonts w:ascii="Arial" w:cs="Arial" w:eastAsia="Arial" w:hAnsi="Arial"/>
          <w:sz w:val="18"/>
          <w:szCs w:val="18"/>
          <w:color w:val="auto"/>
        </w:rPr>
        <w:t>Boston, MA 02109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Attn: Investor Relations</w:t>
      </w:r>
    </w:p>
    <w:p>
      <w:pPr>
        <w:spacing w:after="0" w:line="19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Annual Report, committee charters, Corporate Governance Guidelines and codes of conduct are also available on our website at www.lpl.com under the “Investor Relations” section. If we make substantive amendments to, or grant waivers from, the code of conduct for certain of our executive officers, we will disclose the nature of such amendment or waiver on our website or in a current report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2760" w:type="dxa"/>
        <w:tblCellMar>
          <w:top w:w="0" w:type="dxa"/>
          <w:left w:w="0" w:type="dxa"/>
          <w:bottom w:w="0" w:type="dxa"/>
          <w:right w:w="0" w:type="dxa"/>
        </w:tblCellMar>
      </w:tblPr>
      <w:tr>
        <w:trPr>
          <w:trHeight w:val="233"/>
        </w:trPr>
        <w:tc>
          <w:tcPr>
            <w:tcW w:w="2060" w:type="dxa"/>
            <w:vAlign w:val="bottom"/>
            <w:tcBorders>
              <w:right w:val="single" w:sz="8" w:color="050A54"/>
            </w:tcBorders>
          </w:tcPr>
          <w:p>
            <w:pPr>
              <w:spacing w:after="0"/>
              <w:rPr>
                <w:sz w:val="20"/>
                <w:szCs w:val="20"/>
                <w:color w:val="auto"/>
              </w:rPr>
            </w:pPr>
            <w:r>
              <w:rPr>
                <w:rFonts w:ascii="Arial" w:cs="Arial" w:eastAsia="Arial" w:hAnsi="Arial"/>
                <w:sz w:val="18"/>
                <w:szCs w:val="18"/>
                <w:b w:val="1"/>
                <w:bCs w:val="1"/>
                <w:color w:val="050A54"/>
              </w:rPr>
              <w:t>2022 Proxy Statement</w:t>
            </w:r>
          </w:p>
        </w:tc>
        <w:tc>
          <w:tcPr>
            <w:tcW w:w="520" w:type="dxa"/>
            <w:vAlign w:val="bottom"/>
          </w:tcPr>
          <w:p>
            <w:pPr>
              <w:jc w:val="right"/>
              <w:spacing w:after="0"/>
              <w:rPr>
                <w:sz w:val="20"/>
                <w:szCs w:val="20"/>
                <w:color w:val="auto"/>
              </w:rPr>
            </w:pPr>
            <w:r>
              <w:rPr>
                <w:rFonts w:ascii="Arial" w:cs="Arial" w:eastAsia="Arial" w:hAnsi="Arial"/>
                <w:sz w:val="18"/>
                <w:szCs w:val="18"/>
                <w:color w:val="050A54"/>
              </w:rPr>
              <w:t>17</w:t>
            </w:r>
          </w:p>
        </w:tc>
      </w:tr>
    </w:tbl>
    <w:p>
      <w:pPr>
        <w:sectPr>
          <w:pgSz w:w="11900" w:h="16838" w:orient="portrait"/>
          <w:cols w:equalWidth="0" w:num="2">
            <w:col w:w="5400" w:space="340"/>
            <w:col w:w="5340"/>
          </w:cols>
          <w:pgMar w:left="320" w:top="454" w:right="499" w:bottom="1440" w:gutter="0" w:footer="0" w:header="0"/>
          <w:type w:val="continuous"/>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740"/>
        <w:spacing w:after="0"/>
        <w:rPr>
          <w:sz w:val="20"/>
          <w:szCs w:val="20"/>
          <w:color w:val="auto"/>
        </w:rPr>
      </w:pPr>
      <w:r>
        <w:rPr>
          <w:rFonts w:ascii="Arial" w:cs="Arial" w:eastAsia="Arial" w:hAnsi="Arial"/>
          <w:sz w:val="20"/>
          <w:szCs w:val="20"/>
          <w:b w:val="1"/>
          <w:bCs w:val="1"/>
          <w:color w:val="050A54"/>
        </w:rPr>
        <w:t>Information Regarding Board and Committee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3"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050A54"/>
        </w:rPr>
        <w:t>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-134620</wp:posOffset>
            </wp:positionV>
            <wp:extent cx="6929755" cy="41783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29755" cy="4178300"/>
                    </a:xfrm>
                    <a:prstGeom prst="rect">
                      <a:avLst/>
                    </a:prstGeom>
                    <a:noFill/>
                  </pic:spPr>
                </pic:pic>
              </a:graphicData>
            </a:graphic>
          </wp:anchor>
        </w:drawing>
      </w:r>
    </w:p>
    <w:p>
      <w:pPr>
        <w:spacing w:after="0" w:line="4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have implemented several important measures that are designed to promote long-term stakeholder value:</w:t>
      </w:r>
    </w:p>
    <w:p>
      <w:pPr>
        <w:spacing w:after="0" w:line="47" w:lineRule="exact"/>
        <w:rPr>
          <w:sz w:val="20"/>
          <w:szCs w:val="20"/>
          <w:color w:val="auto"/>
        </w:rPr>
      </w:pPr>
    </w:p>
    <w:p>
      <w:pPr>
        <w:ind w:left="600" w:right="120" w:firstLine="111"/>
        <w:spacing w:after="0" w:line="256" w:lineRule="auto"/>
        <w:rPr>
          <w:sz w:val="20"/>
          <w:szCs w:val="20"/>
          <w:color w:val="auto"/>
        </w:rPr>
      </w:pPr>
      <w:r>
        <w:rPr>
          <w:rFonts w:ascii="Arial" w:cs="Arial" w:eastAsia="Arial" w:hAnsi="Arial"/>
          <w:sz w:val="18"/>
          <w:szCs w:val="18"/>
          <w:color w:val="auto"/>
        </w:rPr>
        <w:t>Our Board consists of a single class of directors elected on an annual basis who may be removed with or without cause. Accordingly, our stockholders are able to register their views on the performance of all directors on an annual basis, enhancing the accountability of our Board to our stockholders.</w:t>
      </w:r>
    </w:p>
    <w:p>
      <w:pPr>
        <w:spacing w:after="0" w:line="6" w:lineRule="exact"/>
        <w:rPr>
          <w:sz w:val="20"/>
          <w:szCs w:val="20"/>
          <w:color w:val="auto"/>
        </w:rPr>
      </w:pPr>
    </w:p>
    <w:p>
      <w:pPr>
        <w:ind w:left="600" w:right="120" w:firstLine="111"/>
        <w:spacing w:after="0" w:line="256" w:lineRule="auto"/>
        <w:rPr>
          <w:sz w:val="20"/>
          <w:szCs w:val="20"/>
          <w:color w:val="auto"/>
        </w:rPr>
      </w:pPr>
      <w:r>
        <w:rPr>
          <w:rFonts w:ascii="Arial" w:cs="Arial" w:eastAsia="Arial" w:hAnsi="Arial"/>
          <w:sz w:val="18"/>
          <w:szCs w:val="18"/>
          <w:color w:val="auto"/>
        </w:rPr>
        <w:t>We currently separate the offices of the chair of the Board and chief executive officer of the Company, although the Board maintains the flexibility to select the chair of the Board and its leadership structure based on the criteria that it deems to be in the best interests of the Company and its stakeholders.</w:t>
      </w:r>
    </w:p>
    <w:p>
      <w:pPr>
        <w:spacing w:after="0" w:line="6" w:lineRule="exact"/>
        <w:rPr>
          <w:sz w:val="20"/>
          <w:szCs w:val="20"/>
          <w:color w:val="auto"/>
        </w:rPr>
      </w:pPr>
    </w:p>
    <w:p>
      <w:pPr>
        <w:ind w:left="600" w:right="100" w:firstLine="85"/>
        <w:spacing w:after="0" w:line="248" w:lineRule="auto"/>
        <w:rPr>
          <w:sz w:val="20"/>
          <w:szCs w:val="20"/>
          <w:color w:val="auto"/>
        </w:rPr>
      </w:pPr>
      <w:r>
        <w:rPr>
          <w:rFonts w:ascii="Arial" w:cs="Arial" w:eastAsia="Arial" w:hAnsi="Arial"/>
          <w:sz w:val="18"/>
          <w:szCs w:val="18"/>
          <w:color w:val="auto"/>
        </w:rPr>
        <w:t>Our bylaws provide for a majority voting standard in uncontested director elections. We also have adopted a director resignation policy in our Corporate Governance Guidelines pursuant to which a director who does not receive support from holders of a majority of shares voted in an uncontested election must tender his or her resignation and, if our Board accepts the resignation, step down from our Board. This makes director elections more meaningful for our stockholders and promotes accountability.</w:t>
      </w:r>
    </w:p>
    <w:p>
      <w:pPr>
        <w:spacing w:after="0" w:line="13" w:lineRule="exact"/>
        <w:rPr>
          <w:sz w:val="20"/>
          <w:szCs w:val="20"/>
          <w:color w:val="auto"/>
        </w:rPr>
      </w:pPr>
    </w:p>
    <w:p>
      <w:pPr>
        <w:ind w:left="600" w:right="120" w:firstLine="98"/>
        <w:spacing w:after="0" w:line="248" w:lineRule="auto"/>
        <w:rPr>
          <w:sz w:val="20"/>
          <w:szCs w:val="20"/>
          <w:color w:val="auto"/>
        </w:rPr>
      </w:pPr>
      <w:r>
        <w:rPr>
          <w:rFonts w:ascii="Arial" w:cs="Arial" w:eastAsia="Arial" w:hAnsi="Arial"/>
          <w:sz w:val="18"/>
          <w:szCs w:val="18"/>
          <w:color w:val="auto"/>
        </w:rPr>
        <w:t>Our bylaws provide for proxy access by permitting a stockholder, or a group of up to 20 stockholders, that has owned at least three percent of our Common Stock continuously for three years to nominate and include in the Company’s annual meeting proxy materials the greater of two directors or 20 percent of the Board, provided that the stockholders and nominees satisfy the requirements specified in the bylaws.</w:t>
      </w:r>
    </w:p>
    <w:p>
      <w:pPr>
        <w:spacing w:after="0" w:line="13" w:lineRule="exact"/>
        <w:rPr>
          <w:sz w:val="20"/>
          <w:szCs w:val="20"/>
          <w:color w:val="auto"/>
        </w:rPr>
      </w:pPr>
    </w:p>
    <w:p>
      <w:pPr>
        <w:ind w:left="600" w:right="100" w:firstLine="81"/>
        <w:spacing w:after="0" w:line="256" w:lineRule="auto"/>
        <w:rPr>
          <w:sz w:val="20"/>
          <w:szCs w:val="20"/>
          <w:color w:val="auto"/>
        </w:rPr>
      </w:pPr>
      <w:r>
        <w:rPr>
          <w:rFonts w:ascii="Arial" w:cs="Arial" w:eastAsia="Arial" w:hAnsi="Arial"/>
          <w:sz w:val="18"/>
          <w:szCs w:val="18"/>
          <w:color w:val="auto"/>
        </w:rPr>
        <w:t>To facilitate Board refreshment, we have adopted a director retirement policy in our Corporate Governance Guidelines pursuant to which any director who reaches the age of 75 while serving as a director will retire from the Board effective as of the end of his or her then current term.</w:t>
      </w:r>
    </w:p>
    <w:p>
      <w:pPr>
        <w:spacing w:after="0" w:line="6" w:lineRule="exact"/>
        <w:rPr>
          <w:sz w:val="20"/>
          <w:szCs w:val="20"/>
          <w:color w:val="auto"/>
        </w:rPr>
      </w:pPr>
    </w:p>
    <w:p>
      <w:pPr>
        <w:ind w:left="600" w:right="120" w:firstLine="125"/>
        <w:spacing w:after="0" w:line="271" w:lineRule="auto"/>
        <w:rPr>
          <w:sz w:val="20"/>
          <w:szCs w:val="20"/>
          <w:color w:val="auto"/>
        </w:rPr>
      </w:pPr>
      <w:r>
        <w:rPr>
          <w:rFonts w:ascii="Arial" w:cs="Arial" w:eastAsia="Arial" w:hAnsi="Arial"/>
          <w:sz w:val="18"/>
          <w:szCs w:val="18"/>
          <w:color w:val="auto"/>
        </w:rPr>
        <w:t>We seek an advisory vote on the compensation of our named executive officers annually, which underscores the careful consideration we give to our stockholders’ views on our compensation practices.</w:t>
      </w:r>
    </w:p>
    <w:p>
      <w:pPr>
        <w:ind w:left="600" w:right="100" w:firstLine="138"/>
        <w:spacing w:after="0" w:line="271" w:lineRule="auto"/>
        <w:rPr>
          <w:sz w:val="20"/>
          <w:szCs w:val="20"/>
          <w:color w:val="auto"/>
        </w:rPr>
      </w:pPr>
      <w:r>
        <w:rPr>
          <w:rFonts w:ascii="Arial" w:cs="Arial" w:eastAsia="Arial" w:hAnsi="Arial"/>
          <w:sz w:val="18"/>
          <w:szCs w:val="18"/>
          <w:color w:val="auto"/>
        </w:rPr>
        <w:t>We have established a compensation clawback policy that enables the Company to recoup cash and equity incentive compensation from executive officers in the event of certain financial restatements.</w:t>
      </w:r>
    </w:p>
    <w:p>
      <w:pPr>
        <w:ind w:left="600" w:right="120" w:firstLine="85"/>
        <w:spacing w:after="0" w:line="271" w:lineRule="auto"/>
        <w:rPr>
          <w:sz w:val="20"/>
          <w:szCs w:val="20"/>
          <w:color w:val="auto"/>
        </w:rPr>
      </w:pPr>
      <w:r>
        <w:rPr>
          <w:rFonts w:ascii="Arial" w:cs="Arial" w:eastAsia="Arial" w:hAnsi="Arial"/>
          <w:sz w:val="18"/>
          <w:szCs w:val="18"/>
          <w:color w:val="auto"/>
        </w:rPr>
        <w:t>Our executive officers are subject to equity ownership guidelines that set minimum ownership requirements based on a multiple of annual base salary, which aligns the interests of senior management with the interests of our stockholders.</w:t>
      </w:r>
    </w:p>
    <w:p>
      <w:pPr>
        <w:ind w:left="600" w:right="120" w:firstLine="85"/>
        <w:spacing w:after="0" w:line="271" w:lineRule="auto"/>
        <w:rPr>
          <w:sz w:val="20"/>
          <w:szCs w:val="20"/>
          <w:color w:val="auto"/>
        </w:rPr>
      </w:pPr>
      <w:r>
        <w:rPr>
          <w:rFonts w:ascii="Arial" w:cs="Arial" w:eastAsia="Arial" w:hAnsi="Arial"/>
          <w:sz w:val="18"/>
          <w:szCs w:val="18"/>
          <w:color w:val="auto"/>
        </w:rPr>
        <w:t>We have also adopted equity ownership guidelines for directors, which set minimum ownership requirements based on a multiple of the cash portion of the annual base retainer then in effect.</w:t>
      </w:r>
    </w:p>
    <w:p>
      <w:pPr>
        <w:ind w:left="600" w:right="120" w:firstLine="85"/>
        <w:spacing w:after="0" w:line="280" w:lineRule="auto"/>
        <w:rPr>
          <w:sz w:val="20"/>
          <w:szCs w:val="20"/>
          <w:color w:val="auto"/>
        </w:rPr>
      </w:pPr>
      <w:r>
        <w:rPr>
          <w:rFonts w:ascii="Arial" w:cs="Arial" w:eastAsia="Arial" w:hAnsi="Arial"/>
          <w:sz w:val="18"/>
          <w:szCs w:val="18"/>
          <w:color w:val="auto"/>
        </w:rPr>
        <w:t>Our Insider Trading Policy prohibits our executives and directors from pledging and hedging our Common Stock, in order to further the alignment with stockholders that our equity awards are designed to create.</w:t>
      </w:r>
    </w:p>
    <w:p>
      <w:pPr>
        <w:sectPr>
          <w:pgSz w:w="11900" w:h="16838" w:orient="portrait"/>
          <w:cols w:equalWidth="0" w:num="1">
            <w:col w:w="11080"/>
          </w:cols>
          <w:pgMar w:left="320" w:top="454" w:right="499" w:bottom="1440" w:gutter="0" w:footer="0" w:header="0"/>
        </w:sectPr>
      </w:pPr>
    </w:p>
    <w:p>
      <w:pPr>
        <w:spacing w:after="0" w:line="22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Director Independence</w:t>
      </w:r>
    </w:p>
    <w:p>
      <w:pPr>
        <w:spacing w:after="0" w:line="203"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The listing standards of the Nasdaq Global Select Market (“Nasdaq”) require that, subject to specified exceptions, each member of a listed company’s audit, nominating and governance, and compensation committees be independent. Nasdaq listing rules further provide that a director will only qualify as an “independent director” if, in the opinion of that company’s board of directors, that person does not have a relationship that would interfere with the exercise of independent judgment in carrying out the responsibilities of a director. Audit Committee members must also satisfy the independence criteria set forth in Rule 10A-3 under the Securities Exchange Act of 1934, as amended (the “Exchange Act”), and compensation committee members are also subject to heightened independence criteria under Nasdaq rules.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After its evaluation of director independence, the Board of Directors has affirmatively determined that Messrs. Bernard, Glavin, Putnam, Schifter and Thomas, and Mses. Eberhart, Mnookin and Mulcahy are independent directors under applicable Nasdaq rules.</w:t>
      </w:r>
    </w:p>
    <w:p>
      <w:pPr>
        <w:spacing w:after="0" w:line="158" w:lineRule="exact"/>
        <w:rPr>
          <w:sz w:val="20"/>
          <w:szCs w:val="20"/>
          <w:color w:val="auto"/>
        </w:rPr>
      </w:pPr>
    </w:p>
    <w:p>
      <w:pPr>
        <w:ind w:right="520"/>
        <w:spacing w:after="0" w:line="264" w:lineRule="auto"/>
        <w:rPr>
          <w:sz w:val="20"/>
          <w:szCs w:val="20"/>
          <w:color w:val="auto"/>
        </w:rPr>
      </w:pPr>
      <w:r>
        <w:rPr>
          <w:rFonts w:ascii="Arial" w:cs="Arial" w:eastAsia="Arial" w:hAnsi="Arial"/>
          <w:sz w:val="20"/>
          <w:szCs w:val="20"/>
          <w:b w:val="1"/>
          <w:bCs w:val="1"/>
          <w:color w:val="050A54"/>
        </w:rPr>
        <w:t>Board Composition and Leadership Structure of the Board of Directors</w:t>
      </w:r>
    </w:p>
    <w:p>
      <w:pPr>
        <w:spacing w:after="0" w:line="14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business and affairs are managed under the direction of the Board of Directors. As of April 8, 2022, our Board of Directors was composed of nine directors. Under our Amended and Restated Certificate of Incorporation, the number of directors shall not be fewer than three or more than 15. The authorized number of directors may be changed only by resolution of the Board of Directors.</w:t>
      </w:r>
    </w:p>
    <w:p>
      <w:pPr>
        <w:spacing w:after="0" w:line="200" w:lineRule="exact"/>
        <w:rPr>
          <w:sz w:val="20"/>
          <w:szCs w:val="20"/>
          <w:color w:val="auto"/>
        </w:rPr>
      </w:pPr>
    </w:p>
    <w:p>
      <w:pPr>
        <w:sectPr>
          <w:pgSz w:w="11900" w:h="16838" w:orient="portrait"/>
          <w:cols w:equalWidth="0" w:num="2">
            <w:col w:w="5400" w:space="340"/>
            <w:col w:w="5340"/>
          </w:cols>
          <w:pgMar w:left="320" w:top="454" w:right="499" w:bottom="1440" w:gutter="0" w:footer="0" w:header="0"/>
          <w:type w:val="continuous"/>
        </w:sectPr>
      </w:pPr>
    </w:p>
    <w:p>
      <w:pPr>
        <w:spacing w:after="0" w:line="62" w:lineRule="exact"/>
        <w:rPr>
          <w:sz w:val="20"/>
          <w:szCs w:val="20"/>
          <w:color w:val="auto"/>
        </w:rPr>
      </w:pPr>
    </w:p>
    <w:p>
      <w:pPr>
        <w:ind w:left="1000" w:hanging="690"/>
        <w:spacing w:after="0"/>
        <w:tabs>
          <w:tab w:leader="none" w:pos="1000" w:val="left"/>
        </w:tabs>
        <w:numPr>
          <w:ilvl w:val="0"/>
          <w:numId w:val="18"/>
        </w:numPr>
        <w:rPr>
          <w:rFonts w:ascii="Arial" w:cs="Arial" w:eastAsia="Arial" w:hAnsi="Arial"/>
          <w:sz w:val="17"/>
          <w:szCs w:val="17"/>
          <w:color w:val="050A54"/>
        </w:rPr>
      </w:pPr>
      <w:r>
        <w:rPr>
          <w:rFonts w:ascii="Arial" w:cs="Arial" w:eastAsia="Arial" w:hAnsi="Arial"/>
          <w:sz w:val="17"/>
          <w:szCs w:val="17"/>
          <w:b w:val="1"/>
          <w:bCs w:val="1"/>
          <w:color w:val="050A54"/>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-111760</wp:posOffset>
            </wp:positionV>
            <wp:extent cx="8255" cy="135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Information Regarding Board and Committee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336"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The Board does not have a fixed policy regarding the separation of the offices of chair of the Board and chief executive officer of the Company. Rather, the Board believes that it should maintain the flexibility to select the chair of the Board and its Board leadership structure from time to time, based on the criteria that it deems to be in the best interests of the Company and its stakeholders.</w:t>
      </w:r>
    </w:p>
    <w:p>
      <w:pPr>
        <w:spacing w:after="0" w:line="181"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At this time, the Company believes that having a separate chief executive officer and chair allows Mr. Arnold to focus on his role as president and chief executive officer and increases the Board’s independence from management, promoting effective monitoring and oversight. As non-executive chair, Mr. Putnam serves as a key source of communication between the independent directors and our chief executive officer, coordinates the agenda for each meeting of the Board and establishes the agenda for and leads meetings of the independent directors.</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Board Oversight</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0A54"/>
        </w:rPr>
        <w:t>Strategic Planning</w:t>
      </w:r>
    </w:p>
    <w:p>
      <w:pPr>
        <w:spacing w:after="0" w:line="206" w:lineRule="exact"/>
        <w:rPr>
          <w:sz w:val="20"/>
          <w:szCs w:val="20"/>
          <w:color w:val="auto"/>
        </w:rPr>
      </w:pPr>
    </w:p>
    <w:p>
      <w:pPr>
        <w:jc w:val="both"/>
        <w:ind w:left="160"/>
        <w:spacing w:after="0" w:line="248" w:lineRule="auto"/>
        <w:rPr>
          <w:sz w:val="20"/>
          <w:szCs w:val="20"/>
          <w:color w:val="auto"/>
        </w:rPr>
      </w:pPr>
      <w:r>
        <w:rPr>
          <w:rFonts w:ascii="Arial" w:cs="Arial" w:eastAsia="Arial" w:hAnsi="Arial"/>
          <w:sz w:val="17"/>
          <w:szCs w:val="17"/>
          <w:color w:val="auto"/>
        </w:rPr>
        <w:t>Oversight of the Company’s business strategy and strategic planning is a key responsibility of our Board. At the beginning of the year, the chair of the Board and our chief executive officer prepare an annual Board work plan that is tied to our strategic execution framework. As a result, elements of our strategy and operating plans are embedded in the agenda for every quarterly meeting of the Board. In addition, we began in 2021 to include a strategic topic as a discrete agenda item in our quarterly meetings of the Board. All members of our management committee, as well as other senior leaders, regularly attend Board and committee meetings and discuss the Company’s strategy, plans and operating results with the Board and its committees. In addition to these quarterly discussions of strategy topics, the Board dedicates a multi-day session each year to focus on the refinement of the Company’s long-term strategy and related planning. This session, which is led by our Corporate Strategy team and includes senior management, enables a deep discussion between directors and management regarding the Company’s operating environment, near- and longer-term strategic opportunities, current and emerging risks, changing client needs and preferences, and financial outcomes associated with execution of the strategic plan.</w:t>
      </w:r>
    </w:p>
    <w:p>
      <w:pPr>
        <w:spacing w:after="0" w:line="185"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The Board also dedicates significant attention to reviewing our capital allocation strategy, which is</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focused on disciplined capital management to drive long-term stockholder value. Key elements of our current strategy are:</w:t>
      </w:r>
    </w:p>
    <w:p>
      <w:pPr>
        <w:spacing w:after="0" w:line="185" w:lineRule="exact"/>
        <w:rPr>
          <w:sz w:val="20"/>
          <w:szCs w:val="20"/>
          <w:color w:val="auto"/>
        </w:rPr>
      </w:pPr>
    </w:p>
    <w:p>
      <w:pPr>
        <w:ind w:left="680" w:hanging="366"/>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maintaining a strong and flexible balance sheet;</w:t>
      </w:r>
    </w:p>
    <w:p>
      <w:pPr>
        <w:spacing w:after="0" w:line="234" w:lineRule="exact"/>
        <w:rPr>
          <w:rFonts w:ascii="Arial" w:cs="Arial" w:eastAsia="Arial" w:hAnsi="Arial"/>
          <w:sz w:val="18"/>
          <w:szCs w:val="18"/>
          <w:color w:val="auto"/>
        </w:rPr>
      </w:pPr>
    </w:p>
    <w:p>
      <w:pPr>
        <w:ind w:left="680" w:hanging="366"/>
        <w:spacing w:after="0"/>
        <w:tabs>
          <w:tab w:leader="none" w:pos="6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prioritizing investments that drive organic business growth;</w:t>
      </w:r>
    </w:p>
    <w:p>
      <w:pPr>
        <w:spacing w:after="0" w:line="245" w:lineRule="exact"/>
        <w:rPr>
          <w:rFonts w:ascii="Arial" w:cs="Arial" w:eastAsia="Arial" w:hAnsi="Arial"/>
          <w:sz w:val="17"/>
          <w:szCs w:val="17"/>
          <w:color w:val="auto"/>
        </w:rPr>
      </w:pPr>
    </w:p>
    <w:p>
      <w:pPr>
        <w:ind w:left="680" w:right="20" w:hanging="366"/>
        <w:spacing w:after="0" w:line="265"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positioning the Company to take advantage of attractive merger and acquisition opportunities; and</w:t>
      </w:r>
    </w:p>
    <w:p>
      <w:pPr>
        <w:spacing w:after="0" w:line="184" w:lineRule="exact"/>
        <w:rPr>
          <w:rFonts w:ascii="Arial" w:cs="Arial" w:eastAsia="Arial" w:hAnsi="Arial"/>
          <w:sz w:val="18"/>
          <w:szCs w:val="18"/>
          <w:color w:val="auto"/>
        </w:rPr>
      </w:pPr>
    </w:p>
    <w:p>
      <w:pPr>
        <w:ind w:left="680" w:right="20" w:hanging="366"/>
        <w:spacing w:after="0" w:line="265"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appropriate, returning capital to stockholders through share repurchases and dividends.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50A54"/>
        </w:rPr>
        <w:t>Human Capital Management</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Effective human capital management is an important driver of the Company’s continued success. We believe our employees are key to creating long-term value for our stockholders, and that our corporate culture is a critical foundation to the success of our business strategy. We are committed to being a great place to work for our employees and fostering a culture that enables us to build and grow a diverse and inclusive team. We also recognize that attracting, retaining and developing employee talent helps deliver value to our clients and ensure the sustainability of our business.</w:t>
      </w:r>
    </w:p>
    <w:p>
      <w:pPr>
        <w:spacing w:after="0" w:line="17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Compensation Committee generally oversees our human capital management practices, which include our pay equity process, and our Board also provides oversight for certain strategies, programs and practices, including our diversity, equity and inclusion (“DEI”) and belonging programs for the Company’s employees. The Board also reviews progress with respect to increasing the diversity of the financial advisors we serve. The Compensation Committee and our Board engage with our leadership team on a regular basis on the following human capital management topics:</w:t>
      </w:r>
    </w:p>
    <w:p>
      <w:pPr>
        <w:spacing w:after="0" w:line="211" w:lineRule="exact"/>
        <w:rPr>
          <w:sz w:val="20"/>
          <w:szCs w:val="20"/>
          <w:color w:val="auto"/>
        </w:rPr>
      </w:pPr>
    </w:p>
    <w:p>
      <w:pPr>
        <w:jc w:val="both"/>
        <w:ind w:left="680" w:right="20" w:hanging="366"/>
        <w:spacing w:after="0" w:line="249" w:lineRule="auto"/>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employee compensation and benefits programs encompassing salary, equity awards and other programs that are competitive in the market;</w:t>
      </w:r>
    </w:p>
    <w:p>
      <w:pPr>
        <w:spacing w:after="0" w:line="198" w:lineRule="exact"/>
        <w:rPr>
          <w:rFonts w:ascii="Arial" w:cs="Arial" w:eastAsia="Arial" w:hAnsi="Arial"/>
          <w:sz w:val="18"/>
          <w:szCs w:val="18"/>
          <w:color w:val="auto"/>
        </w:rPr>
      </w:pPr>
    </w:p>
    <w:p>
      <w:pPr>
        <w:jc w:val="both"/>
        <w:ind w:left="680" w:right="20" w:hanging="366"/>
        <w:spacing w:after="0" w:line="249" w:lineRule="auto"/>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performance management and succession planning for our chief executive officer and each of our other executive officers;</w:t>
      </w:r>
    </w:p>
    <w:p>
      <w:pPr>
        <w:spacing w:after="0" w:line="614" w:lineRule="exact"/>
        <w:rPr>
          <w:sz w:val="20"/>
          <w:szCs w:val="20"/>
          <w:color w:val="auto"/>
        </w:rPr>
      </w:pPr>
    </w:p>
    <w:p>
      <w:pPr>
        <w:sectPr>
          <w:pgSz w:w="11900" w:h="16838" w:orient="portrait"/>
          <w:cols w:equalWidth="0" w:num="2">
            <w:col w:w="5400" w:space="340"/>
            <w:col w:w="5340"/>
          </w:cols>
          <w:pgMar w:left="320" w:top="454" w:right="499" w:bottom="1440" w:gutter="0" w:footer="0" w:header="0"/>
          <w:type w:val="continuous"/>
        </w:sectPr>
      </w:pPr>
    </w:p>
    <w:p>
      <w:pPr>
        <w:spacing w:after="0" w:line="38" w:lineRule="exact"/>
        <w:rPr>
          <w:sz w:val="20"/>
          <w:szCs w:val="20"/>
          <w:color w:val="auto"/>
        </w:rPr>
      </w:pPr>
    </w:p>
    <w:tbl>
      <w:tblPr>
        <w:tblLayout w:type="fixed"/>
        <w:tblInd w:w="8500" w:type="dxa"/>
        <w:tblCellMar>
          <w:top w:w="0" w:type="dxa"/>
          <w:left w:w="0" w:type="dxa"/>
          <w:bottom w:w="0" w:type="dxa"/>
          <w:right w:w="0" w:type="dxa"/>
        </w:tblCellMar>
      </w:tblPr>
      <w:tr>
        <w:trPr>
          <w:trHeight w:val="233"/>
        </w:trPr>
        <w:tc>
          <w:tcPr>
            <w:tcW w:w="2060" w:type="dxa"/>
            <w:vAlign w:val="bottom"/>
            <w:tcBorders>
              <w:right w:val="single" w:sz="8" w:color="050A54"/>
            </w:tcBorders>
          </w:tcPr>
          <w:p>
            <w:pPr>
              <w:spacing w:after="0"/>
              <w:rPr>
                <w:sz w:val="20"/>
                <w:szCs w:val="20"/>
                <w:color w:val="auto"/>
              </w:rPr>
            </w:pPr>
            <w:r>
              <w:rPr>
                <w:rFonts w:ascii="Arial" w:cs="Arial" w:eastAsia="Arial" w:hAnsi="Arial"/>
                <w:sz w:val="18"/>
                <w:szCs w:val="18"/>
                <w:b w:val="1"/>
                <w:bCs w:val="1"/>
                <w:color w:val="050A54"/>
              </w:rPr>
              <w:t>2022 Proxy Statement</w:t>
            </w:r>
          </w:p>
        </w:tc>
        <w:tc>
          <w:tcPr>
            <w:tcW w:w="520" w:type="dxa"/>
            <w:vAlign w:val="bottom"/>
          </w:tcPr>
          <w:p>
            <w:pPr>
              <w:jc w:val="right"/>
              <w:spacing w:after="0"/>
              <w:rPr>
                <w:sz w:val="20"/>
                <w:szCs w:val="20"/>
                <w:color w:val="auto"/>
              </w:rPr>
            </w:pPr>
            <w:r>
              <w:rPr>
                <w:rFonts w:ascii="Arial" w:cs="Arial" w:eastAsia="Arial" w:hAnsi="Arial"/>
                <w:sz w:val="18"/>
                <w:szCs w:val="18"/>
                <w:color w:val="050A54"/>
              </w:rPr>
              <w:t>19</w:t>
            </w:r>
          </w:p>
        </w:tc>
      </w:tr>
    </w:tbl>
    <w:p>
      <w:pPr>
        <w:sectPr>
          <w:pgSz w:w="11900" w:h="16838" w:orient="portrait"/>
          <w:cols w:equalWidth="0" w:num="1">
            <w:col w:w="11080"/>
          </w:cols>
          <w:pgMar w:left="320" w:top="454" w:right="499" w:bottom="1440" w:gutter="0" w:footer="0" w:header="0"/>
          <w:type w:val="continuous"/>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Information Regarding Board and Committee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336" w:lineRule="exact"/>
        <w:rPr>
          <w:sz w:val="20"/>
          <w:szCs w:val="20"/>
          <w:color w:val="auto"/>
        </w:rPr>
      </w:pPr>
    </w:p>
    <w:p>
      <w:pPr>
        <w:jc w:val="both"/>
        <w:ind w:left="860" w:right="20" w:hanging="372"/>
        <w:spacing w:after="0" w:line="249" w:lineRule="auto"/>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executive talent acquisition, including forward-looking talent assessments based on our evolving business and strategy;</w:t>
      </w:r>
    </w:p>
    <w:p>
      <w:pPr>
        <w:spacing w:after="0" w:line="198" w:lineRule="exact"/>
        <w:rPr>
          <w:rFonts w:ascii="Arial" w:cs="Arial" w:eastAsia="Arial" w:hAnsi="Arial"/>
          <w:sz w:val="18"/>
          <w:szCs w:val="18"/>
          <w:color w:val="auto"/>
        </w:rPr>
      </w:pPr>
    </w:p>
    <w:p>
      <w:pPr>
        <w:ind w:left="860" w:hanging="372"/>
        <w:spacing w:after="0" w:line="265" w:lineRule="auto"/>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employee engagement, including the results of our annual confidential company-wide surveys;</w:t>
      </w:r>
    </w:p>
    <w:p>
      <w:pPr>
        <w:spacing w:after="0" w:line="184" w:lineRule="exact"/>
        <w:rPr>
          <w:rFonts w:ascii="Arial" w:cs="Arial" w:eastAsia="Arial" w:hAnsi="Arial"/>
          <w:sz w:val="18"/>
          <w:szCs w:val="18"/>
          <w:color w:val="auto"/>
        </w:rPr>
      </w:pPr>
    </w:p>
    <w:p>
      <w:pPr>
        <w:ind w:left="860" w:hanging="372"/>
        <w:spacing w:after="0" w:line="265" w:lineRule="auto"/>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employee development and retention, including related key performance metrics;</w:t>
      </w:r>
    </w:p>
    <w:p>
      <w:pPr>
        <w:spacing w:after="0" w:line="184" w:lineRule="exact"/>
        <w:rPr>
          <w:rFonts w:ascii="Arial" w:cs="Arial" w:eastAsia="Arial" w:hAnsi="Arial"/>
          <w:sz w:val="18"/>
          <w:szCs w:val="18"/>
          <w:color w:val="auto"/>
        </w:rPr>
      </w:pPr>
    </w:p>
    <w:p>
      <w:pPr>
        <w:ind w:left="860" w:right="20" w:hanging="372"/>
        <w:spacing w:after="0" w:line="265" w:lineRule="auto"/>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employee health and well-being, including maintaining a respectful workplace; and</w:t>
      </w:r>
    </w:p>
    <w:p>
      <w:pPr>
        <w:spacing w:after="0" w:line="184" w:lineRule="exact"/>
        <w:rPr>
          <w:rFonts w:ascii="Arial" w:cs="Arial" w:eastAsia="Arial" w:hAnsi="Arial"/>
          <w:sz w:val="18"/>
          <w:szCs w:val="18"/>
          <w:color w:val="auto"/>
        </w:rPr>
      </w:pPr>
    </w:p>
    <w:p>
      <w:pPr>
        <w:ind w:left="860" w:hanging="372"/>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corporate culture.</w:t>
      </w:r>
    </w:p>
    <w:p>
      <w:pPr>
        <w:spacing w:after="0" w:line="208"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We are committed to fostering a respectful, rewarding workplace in which all of our employees are positioned for success to deliver on our mission of taking care of our advisors so they can take care of their clients. As part of that commitment, in 2021 our Board and the Compensation Committee focused in particular on:</w:t>
      </w:r>
    </w:p>
    <w:p>
      <w:pPr>
        <w:spacing w:after="0" w:line="209" w:lineRule="exact"/>
        <w:rPr>
          <w:sz w:val="20"/>
          <w:szCs w:val="20"/>
          <w:color w:val="auto"/>
        </w:rPr>
      </w:pPr>
    </w:p>
    <w:p>
      <w:pPr>
        <w:jc w:val="both"/>
        <w:ind w:left="860" w:right="20" w:hanging="372"/>
        <w:spacing w:after="0" w:line="243" w:lineRule="auto"/>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supporting our employees’ physical, emotional and financial wellness in the context of the uncertainties created by the ongoing COVID-19 pandemic and the continuation of remote work;</w:t>
      </w:r>
    </w:p>
    <w:p>
      <w:pPr>
        <w:spacing w:after="0" w:line="204" w:lineRule="exact"/>
        <w:rPr>
          <w:rFonts w:ascii="Arial" w:cs="Arial" w:eastAsia="Arial" w:hAnsi="Arial"/>
          <w:sz w:val="18"/>
          <w:szCs w:val="18"/>
          <w:color w:val="auto"/>
        </w:rPr>
      </w:pPr>
    </w:p>
    <w:p>
      <w:pPr>
        <w:jc w:val="both"/>
        <w:ind w:left="860" w:hanging="372"/>
        <w:spacing w:after="0" w:line="243" w:lineRule="auto"/>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focus, transparency and progress of our DEI and belonging initiatives, including action plans for increasing representation of women and people of color in our leadership ranks; and</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retention and growth of underrepresented advisor groups (including women, LGBTQ, and advisors of color); the attendance at our hosted events; and the results from our engagement and satisfaction surveys. Using these metrics, our Advisor Diversity &amp; Inclusion team, in coordination with the Advisor Inclusion Council, develops strategies to improve our program effectiveness. Such initiatives are subject to the oversight of the Compensation Committee.</w:t>
      </w:r>
    </w:p>
    <w:p>
      <w:pPr>
        <w:spacing w:after="0" w:line="18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chief human capital officer and our chief legal officer provide a report to the Board of Directors on an annual basis on the Company’s workplace and culture, including historical workplace conduct claims, investigations and trends.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50A54"/>
        </w:rPr>
        <w:t>Environmental, Social and Governance Program</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Our mission is to take care of our advisors so they can take care of their clients. We enable our advisors to provide personalized financial guidance to millions of American families as they work toward their life’s aspirations. Our advisors are a diverse community of entrepreneurial financial services professionals, and we are committed to supporting their vital work by operating responsibly and ethically, and strengthening trust with our mutual stakeholders. In short, our work makes a positive difference, and we believe that the Company’s sustainability depends not only on the business we conduct but also on </w:t>
      </w:r>
      <w:r>
        <w:rPr>
          <w:rFonts w:ascii="Arial" w:cs="Arial" w:eastAsia="Arial" w:hAnsi="Arial"/>
          <w:sz w:val="18"/>
          <w:szCs w:val="18"/>
          <w:i w:val="1"/>
          <w:iCs w:val="1"/>
          <w:color w:val="auto"/>
        </w:rPr>
        <w:t>how</w:t>
      </w:r>
      <w:r>
        <w:rPr>
          <w:rFonts w:ascii="Arial" w:cs="Arial" w:eastAsia="Arial" w:hAnsi="Arial"/>
          <w:sz w:val="18"/>
          <w:szCs w:val="18"/>
          <w:color w:val="auto"/>
        </w:rPr>
        <w:t xml:space="preserve"> we conduct it.</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Our Board supports the Company’s efforts to serve its stakeholders’ interests, including stockholders, employees, advisors and their clients, and local communities. The Nominating and Governance Committee oversees our environmental, social and governance (“ESG”) program, which is reflected in its committee charter.</w:t>
      </w:r>
    </w:p>
    <w:p>
      <w:pPr>
        <w:spacing w:after="0" w:line="1" w:lineRule="exact"/>
        <w:rPr>
          <w:sz w:val="20"/>
          <w:szCs w:val="20"/>
          <w:color w:val="auto"/>
        </w:rPr>
      </w:pPr>
    </w:p>
    <w:p>
      <w:pPr>
        <w:sectPr>
          <w:pgSz w:w="11900" w:h="16838" w:orient="portrait"/>
          <w:cols w:equalWidth="0" w:num="2">
            <w:col w:w="5400" w:space="340"/>
            <w:col w:w="5340"/>
          </w:cols>
          <w:pgMar w:left="320" w:top="454" w:right="499" w:bottom="1440" w:gutter="0" w:footer="0" w:header="0"/>
          <w:type w:val="continuous"/>
        </w:sectPr>
      </w:pPr>
    </w:p>
    <w:p>
      <w:pPr>
        <w:jc w:val="both"/>
        <w:ind w:left="860" w:right="20" w:hanging="372"/>
        <w:spacing w:after="0" w:line="249" w:lineRule="auto"/>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continued progress in the cultural transformation that the Company began in 2018 to instill a client-centric mindset and mission-driven alignment throughout the Company.</w:t>
      </w:r>
    </w:p>
    <w:p>
      <w:pPr>
        <w:spacing w:after="0" w:line="172"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These areas of focus, among others, are described in more detail in the Company’s 2022 sustainability report, which is available on our website at www.lpl.com.</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ESG program continues to be an area of significant focus for the Nominating and Governance Committee. As the program grew and matured in 2021, the Nominating and Governance Committee oversaw the implementation of our ESG program in the areas that are most significant to our business, our advisors, our regulators and our stakeholders. In particular, the Company made progress throughout 2021 by:</w:t>
      </w:r>
    </w:p>
    <w:p>
      <w:pPr>
        <w:spacing w:after="0" w:line="21" w:lineRule="exact"/>
        <w:rPr>
          <w:sz w:val="20"/>
          <w:szCs w:val="20"/>
          <w:color w:val="auto"/>
        </w:rPr>
      </w:pPr>
    </w:p>
    <w:p>
      <w:pPr>
        <w:sectPr>
          <w:pgSz w:w="11900" w:h="16838" w:orient="portrait"/>
          <w:cols w:equalWidth="0" w:num="2">
            <w:col w:w="5400" w:space="340"/>
            <w:col w:w="5340"/>
          </w:cols>
          <w:pgMar w:left="320" w:top="454" w:right="499" w:bottom="1440" w:gutter="0" w:footer="0" w:header="0"/>
          <w:type w:val="continuous"/>
        </w:sectPr>
      </w:pPr>
    </w:p>
    <w:p>
      <w:pPr>
        <w:jc w:val="both"/>
        <w:ind w:left="160"/>
        <w:spacing w:after="0" w:line="238" w:lineRule="auto"/>
        <w:rPr>
          <w:sz w:val="20"/>
          <w:szCs w:val="20"/>
          <w:color w:val="auto"/>
        </w:rPr>
      </w:pPr>
      <w:r>
        <w:rPr>
          <w:rFonts w:ascii="Arial" w:cs="Arial" w:eastAsia="Arial" w:hAnsi="Arial"/>
          <w:sz w:val="18"/>
          <w:szCs w:val="18"/>
          <w:color w:val="auto"/>
        </w:rPr>
        <w:t>We are also committed to promoting DEI issues among our advisor population. Our advisor initiatives are developed and implemented by our Advisor Diversity &amp; Inclusion team, along with strategic partnership and oversight from our management team and our Advisor Inclusion Council. The momentum of the Advisor Diversity &amp; Inclusion program is tracked through the annual recruitment,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both"/>
        <w:ind w:left="366" w:right="20" w:hanging="366"/>
        <w:spacing w:after="0" w:line="249" w:lineRule="auto"/>
        <w:tabs>
          <w:tab w:leader="none" w:pos="366"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ESG-related opportunities and risks with the Nominating and Governance Committee and senior management;</w:t>
      </w:r>
    </w:p>
    <w:p>
      <w:pPr>
        <w:spacing w:after="0" w:line="198" w:lineRule="exact"/>
        <w:rPr>
          <w:rFonts w:ascii="Arial" w:cs="Arial" w:eastAsia="Arial" w:hAnsi="Arial"/>
          <w:sz w:val="18"/>
          <w:szCs w:val="18"/>
          <w:color w:val="auto"/>
        </w:rPr>
      </w:pPr>
    </w:p>
    <w:p>
      <w:pPr>
        <w:ind w:left="366" w:right="20" w:hanging="366"/>
        <w:spacing w:after="0" w:line="265" w:lineRule="auto"/>
        <w:tabs>
          <w:tab w:leader="none" w:pos="366"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refining the integration of ESG considerations into the Company’s business strategies and practices;</w:t>
      </w:r>
    </w:p>
    <w:p>
      <w:pPr>
        <w:spacing w:after="0" w:line="200" w:lineRule="exact"/>
        <w:rPr>
          <w:sz w:val="20"/>
          <w:szCs w:val="20"/>
          <w:color w:val="auto"/>
        </w:rPr>
      </w:pPr>
    </w:p>
    <w:p>
      <w:pPr>
        <w:sectPr>
          <w:pgSz w:w="11900" w:h="16838" w:orient="portrait"/>
          <w:cols w:equalWidth="0" w:num="2">
            <w:col w:w="5400" w:space="654"/>
            <w:col w:w="5026"/>
          </w:cols>
          <w:pgMar w:left="320" w:top="454" w:right="499" w:bottom="1440" w:gutter="0" w:footer="0" w:header="0"/>
          <w:type w:val="continuous"/>
        </w:sectPr>
      </w:pPr>
    </w:p>
    <w:p>
      <w:pPr>
        <w:spacing w:after="0" w:line="38" w:lineRule="exact"/>
        <w:rPr>
          <w:sz w:val="20"/>
          <w:szCs w:val="20"/>
          <w:color w:val="auto"/>
        </w:rPr>
      </w:pPr>
    </w:p>
    <w:p>
      <w:pPr>
        <w:ind w:left="1000" w:hanging="690"/>
        <w:spacing w:after="0"/>
        <w:tabs>
          <w:tab w:leader="none" w:pos="1000" w:val="left"/>
        </w:tabs>
        <w:numPr>
          <w:ilvl w:val="0"/>
          <w:numId w:val="25"/>
        </w:numPr>
        <w:rPr>
          <w:rFonts w:ascii="Arial" w:cs="Arial" w:eastAsia="Arial" w:hAnsi="Arial"/>
          <w:sz w:val="17"/>
          <w:szCs w:val="17"/>
          <w:color w:val="050A54"/>
        </w:rPr>
      </w:pPr>
      <w:r>
        <w:rPr>
          <w:rFonts w:ascii="Arial" w:cs="Arial" w:eastAsia="Arial" w:hAnsi="Arial"/>
          <w:sz w:val="17"/>
          <w:szCs w:val="17"/>
          <w:b w:val="1"/>
          <w:bCs w:val="1"/>
          <w:color w:val="050A54"/>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-111760</wp:posOffset>
            </wp:positionV>
            <wp:extent cx="8255" cy="135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Information Regarding Board and Committee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336" w:lineRule="exact"/>
        <w:rPr>
          <w:sz w:val="20"/>
          <w:szCs w:val="20"/>
          <w:color w:val="auto"/>
        </w:rPr>
      </w:pPr>
    </w:p>
    <w:p>
      <w:pPr>
        <w:jc w:val="both"/>
        <w:ind w:left="860" w:right="20" w:hanging="372"/>
        <w:spacing w:after="0" w:line="243" w:lineRule="auto"/>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launching an ESG steering committee made up of senior leaders from across the company to strategize, implement and monitor ESG-related initiatives and policies throughout the Company;</w:t>
      </w:r>
    </w:p>
    <w:p>
      <w:pPr>
        <w:spacing w:after="0" w:line="204" w:lineRule="exact"/>
        <w:rPr>
          <w:rFonts w:ascii="Arial" w:cs="Arial" w:eastAsia="Arial" w:hAnsi="Arial"/>
          <w:sz w:val="18"/>
          <w:szCs w:val="18"/>
          <w:color w:val="auto"/>
        </w:rPr>
      </w:pPr>
    </w:p>
    <w:p>
      <w:pPr>
        <w:ind w:left="860" w:right="20" w:hanging="372"/>
        <w:spacing w:after="0" w:line="265" w:lineRule="auto"/>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focusing on sustainable investing by improving offerings, educational materials and advisor awareness;</w:t>
      </w:r>
    </w:p>
    <w:p>
      <w:pPr>
        <w:spacing w:after="0" w:line="184" w:lineRule="exact"/>
        <w:rPr>
          <w:rFonts w:ascii="Arial" w:cs="Arial" w:eastAsia="Arial" w:hAnsi="Arial"/>
          <w:sz w:val="18"/>
          <w:szCs w:val="18"/>
          <w:color w:val="auto"/>
        </w:rPr>
      </w:pPr>
    </w:p>
    <w:p>
      <w:pPr>
        <w:jc w:val="both"/>
        <w:ind w:left="860" w:hanging="372"/>
        <w:spacing w:after="0"/>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expanding on disclosures related to DEI, pay equity and supply chain diversity, including the disclosure of workforce composition data for 2021 in the categories prescribed by the U.S. Equal Employment Opportunity Commission for purposes of the federal EEO-1 report;</w:t>
      </w:r>
    </w:p>
    <w:p>
      <w:pPr>
        <w:spacing w:after="0" w:line="208" w:lineRule="exact"/>
        <w:rPr>
          <w:rFonts w:ascii="Arial" w:cs="Arial" w:eastAsia="Arial" w:hAnsi="Arial"/>
          <w:sz w:val="18"/>
          <w:szCs w:val="18"/>
          <w:color w:val="auto"/>
        </w:rPr>
      </w:pPr>
    </w:p>
    <w:p>
      <w:pPr>
        <w:jc w:val="both"/>
        <w:ind w:left="860" w:right="20" w:hanging="372"/>
        <w:spacing w:after="0" w:line="243" w:lineRule="auto"/>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refocusing the efforts of the LPL Charitable Foundation, our Company’s tax-exempt charitable organization, to support advancing the economic well-being of underserved populations; and</w:t>
      </w:r>
    </w:p>
    <w:p>
      <w:pPr>
        <w:spacing w:after="0" w:line="204" w:lineRule="exact"/>
        <w:rPr>
          <w:rFonts w:ascii="Arial" w:cs="Arial" w:eastAsia="Arial" w:hAnsi="Arial"/>
          <w:sz w:val="18"/>
          <w:szCs w:val="18"/>
          <w:color w:val="auto"/>
        </w:rPr>
      </w:pPr>
    </w:p>
    <w:p>
      <w:pPr>
        <w:jc w:val="both"/>
        <w:ind w:left="860" w:hanging="372"/>
        <w:spacing w:after="0" w:line="249" w:lineRule="auto"/>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improving the scope, quality and comparability of the Company’s ESG disclosures, including through engagement with third party rating agencies.</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implementation of various components of our ESG strategy</w:t>
      </w:r>
    </w:p>
    <w:p>
      <w:pPr>
        <w:spacing w:after="0" w:line="12" w:lineRule="exact"/>
        <w:rPr>
          <w:sz w:val="20"/>
          <w:szCs w:val="20"/>
          <w:color w:val="auto"/>
        </w:rPr>
      </w:pPr>
    </w:p>
    <w:p>
      <w:pPr>
        <w:jc w:val="both"/>
        <w:ind w:left="160"/>
        <w:spacing w:after="0" w:line="253" w:lineRule="auto"/>
        <w:rPr>
          <w:sz w:val="20"/>
          <w:szCs w:val="20"/>
          <w:color w:val="auto"/>
        </w:rPr>
      </w:pPr>
      <w:r>
        <w:rPr>
          <w:rFonts w:ascii="Arial" w:cs="Arial" w:eastAsia="Arial" w:hAnsi="Arial"/>
          <w:sz w:val="17"/>
          <w:szCs w:val="17"/>
          <w:color w:val="auto"/>
        </w:rPr>
        <w:t>— from diversity, equity and inclusion, to energy efficiency — sit within the relevant functional and program leaders, who, in turn, report key performance indicators and initiatives to the ESG Steering Committee. The Nominating and Governance Committee is updated regularly on our progress and future roadmap.</w:t>
      </w:r>
    </w:p>
    <w:p>
      <w:pPr>
        <w:spacing w:after="0" w:line="169"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The Company’s goal is a sustainability strategy that drives long-term value through strong alignment with the Company’s strategy and culture. Our material ESG topics are keyed to a framework that focuses on three strategic focus areas: our operations, our culture and our business. Within these focus areas, we pursue a variety of programs and initiatives designed to create value for our stakeholders.</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To learn more, please see the “Social Responsibility” section of our website at www.lpl.com. Our 2022 sustainability report describes in more detail our ESG progress and milestones over the last year, and is also available on our website.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50A54"/>
        </w:rPr>
        <w:t>Cybersecurity</w:t>
      </w:r>
    </w:p>
    <w:p>
      <w:pPr>
        <w:spacing w:after="0" w:line="206"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Audit Committee and the Board are each involved in overseeing the Company’s management of cybersecurity risk. We believe that cybersecurity protection is critical to maintaining our proprietary information and the trust of our advisors and their clients, particularly in the context of a remote work environment, market volatility and the accelerating pace of technological change and digital innovation. In 2021, management provided regular updates to the Audit Committee and the Board on cybersecurity matters, including the threat landscape, third-party risks, projects to strengthen controls and defenses, the Company’s incident response plans and cybersecurity insurance coverage. At the management level, our chief information security officer leads all information security activities, including establishing and overseeing separate teams for distinct cybersecurity functions and risks, and our chief privacy officer leads all data privacy activities, including privacy incident handling, compliance and counseling. The chief privacy officer manages a dedicated privacy team that is aligned with our information security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2760" w:type="dxa"/>
        <w:tblCellMar>
          <w:top w:w="0" w:type="dxa"/>
          <w:left w:w="0" w:type="dxa"/>
          <w:bottom w:w="0" w:type="dxa"/>
          <w:right w:w="0" w:type="dxa"/>
        </w:tblCellMar>
      </w:tblPr>
      <w:tr>
        <w:trPr>
          <w:trHeight w:val="233"/>
        </w:trPr>
        <w:tc>
          <w:tcPr>
            <w:tcW w:w="2060" w:type="dxa"/>
            <w:vAlign w:val="bottom"/>
            <w:tcBorders>
              <w:right w:val="single" w:sz="8" w:color="050A54"/>
            </w:tcBorders>
          </w:tcPr>
          <w:p>
            <w:pPr>
              <w:spacing w:after="0"/>
              <w:rPr>
                <w:sz w:val="20"/>
                <w:szCs w:val="20"/>
                <w:color w:val="auto"/>
              </w:rPr>
            </w:pPr>
            <w:r>
              <w:rPr>
                <w:rFonts w:ascii="Arial" w:cs="Arial" w:eastAsia="Arial" w:hAnsi="Arial"/>
                <w:sz w:val="18"/>
                <w:szCs w:val="18"/>
                <w:b w:val="1"/>
                <w:bCs w:val="1"/>
                <w:color w:val="050A54"/>
              </w:rPr>
              <w:t>2022 Proxy Statement</w:t>
            </w:r>
          </w:p>
        </w:tc>
        <w:tc>
          <w:tcPr>
            <w:tcW w:w="520" w:type="dxa"/>
            <w:vAlign w:val="bottom"/>
          </w:tcPr>
          <w:p>
            <w:pPr>
              <w:jc w:val="right"/>
              <w:spacing w:after="0"/>
              <w:rPr>
                <w:sz w:val="20"/>
                <w:szCs w:val="20"/>
                <w:color w:val="auto"/>
              </w:rPr>
            </w:pPr>
            <w:r>
              <w:rPr>
                <w:rFonts w:ascii="Arial" w:cs="Arial" w:eastAsia="Arial" w:hAnsi="Arial"/>
                <w:sz w:val="18"/>
                <w:szCs w:val="18"/>
                <w:color w:val="050A54"/>
              </w:rPr>
              <w:t>21</w:t>
            </w:r>
          </w:p>
        </w:tc>
      </w:tr>
    </w:tbl>
    <w:p>
      <w:pPr>
        <w:sectPr>
          <w:pgSz w:w="11900" w:h="16838" w:orient="portrait"/>
          <w:cols w:equalWidth="0" w:num="2">
            <w:col w:w="5400" w:space="340"/>
            <w:col w:w="5340"/>
          </w:cols>
          <w:pgMar w:left="320" w:top="454" w:right="499" w:bottom="1440" w:gutter="0" w:footer="0" w:header="0"/>
          <w:type w:val="continuous"/>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740"/>
        <w:spacing w:after="0"/>
        <w:rPr>
          <w:sz w:val="20"/>
          <w:szCs w:val="20"/>
          <w:color w:val="auto"/>
        </w:rPr>
      </w:pPr>
      <w:r>
        <w:rPr>
          <w:rFonts w:ascii="Arial" w:cs="Arial" w:eastAsia="Arial" w:hAnsi="Arial"/>
          <w:sz w:val="20"/>
          <w:szCs w:val="20"/>
          <w:b w:val="1"/>
          <w:bCs w:val="1"/>
          <w:color w:val="050A54"/>
        </w:rPr>
        <w:t>Information Regarding Board and Committee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Our ESG Focus</w:t>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Below are the ESG topics that we believe are significant to our stakeholders and to our ability to create long-term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160655</wp:posOffset>
            </wp:positionV>
            <wp:extent cx="6929755" cy="45942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29755" cy="4594225"/>
                    </a:xfrm>
                    <a:prstGeom prst="rect">
                      <a:avLst/>
                    </a:prstGeom>
                    <a:noFill/>
                  </pic:spPr>
                </pic:pic>
              </a:graphicData>
            </a:graphic>
          </wp:anchor>
        </w:drawing>
      </w:r>
    </w:p>
    <w:p>
      <w:pPr>
        <w:spacing w:after="0" w:line="233" w:lineRule="exact"/>
        <w:rPr>
          <w:sz w:val="20"/>
          <w:szCs w:val="20"/>
          <w:color w:val="auto"/>
        </w:rPr>
      </w:pPr>
    </w:p>
    <w:tbl>
      <w:tblPr>
        <w:tblLayout w:type="fixed"/>
        <w:tblInd w:w="160" w:type="dxa"/>
        <w:tblCellMar>
          <w:top w:w="0" w:type="dxa"/>
          <w:left w:w="0" w:type="dxa"/>
          <w:bottom w:w="0" w:type="dxa"/>
          <w:right w:w="0" w:type="dxa"/>
        </w:tblCellMar>
      </w:tblPr>
      <w:tr>
        <w:trPr>
          <w:trHeight w:val="347"/>
        </w:trPr>
        <w:tc>
          <w:tcPr>
            <w:tcW w:w="1960" w:type="dxa"/>
            <w:vAlign w:val="bottom"/>
          </w:tcPr>
          <w:p>
            <w:pPr>
              <w:spacing w:after="0"/>
              <w:rPr>
                <w:sz w:val="24"/>
                <w:szCs w:val="24"/>
                <w:color w:val="auto"/>
              </w:rPr>
            </w:pPr>
          </w:p>
        </w:tc>
        <w:tc>
          <w:tcPr>
            <w:tcW w:w="220" w:type="dxa"/>
            <w:vAlign w:val="bottom"/>
            <w:shd w:val="clear" w:color="auto" w:fill="050A54"/>
          </w:tcPr>
          <w:p>
            <w:pPr>
              <w:spacing w:after="0"/>
              <w:rPr>
                <w:sz w:val="24"/>
                <w:szCs w:val="24"/>
                <w:color w:val="auto"/>
              </w:rPr>
            </w:pPr>
          </w:p>
        </w:tc>
        <w:tc>
          <w:tcPr>
            <w:tcW w:w="2420" w:type="dxa"/>
            <w:vAlign w:val="bottom"/>
            <w:shd w:val="clear" w:color="auto" w:fill="050A54"/>
          </w:tcPr>
          <w:p>
            <w:pPr>
              <w:ind w:left="520"/>
              <w:spacing w:after="0"/>
              <w:rPr>
                <w:sz w:val="20"/>
                <w:szCs w:val="20"/>
                <w:color w:val="auto"/>
              </w:rPr>
            </w:pPr>
            <w:r>
              <w:rPr>
                <w:rFonts w:ascii="Arial" w:cs="Arial" w:eastAsia="Arial" w:hAnsi="Arial"/>
                <w:sz w:val="18"/>
                <w:szCs w:val="18"/>
                <w:b w:val="1"/>
                <w:bCs w:val="1"/>
                <w:i w:val="1"/>
                <w:iCs w:val="1"/>
                <w:color w:val="FFFFFF"/>
              </w:rPr>
              <w:t>Important to LPL</w:t>
            </w:r>
          </w:p>
        </w:tc>
        <w:tc>
          <w:tcPr>
            <w:tcW w:w="420" w:type="dxa"/>
            <w:vAlign w:val="bottom"/>
            <w:shd w:val="clear" w:color="auto" w:fill="050A54"/>
          </w:tcPr>
          <w:p>
            <w:pPr>
              <w:spacing w:after="0"/>
              <w:rPr>
                <w:sz w:val="24"/>
                <w:szCs w:val="24"/>
                <w:color w:val="auto"/>
              </w:rPr>
            </w:pPr>
          </w:p>
        </w:tc>
        <w:tc>
          <w:tcPr>
            <w:tcW w:w="2620" w:type="dxa"/>
            <w:vAlign w:val="bottom"/>
            <w:shd w:val="clear" w:color="auto" w:fill="050A54"/>
          </w:tcPr>
          <w:p>
            <w:pPr>
              <w:ind w:left="420"/>
              <w:spacing w:after="0"/>
              <w:rPr>
                <w:sz w:val="20"/>
                <w:szCs w:val="20"/>
                <w:color w:val="auto"/>
              </w:rPr>
            </w:pPr>
            <w:r>
              <w:rPr>
                <w:rFonts w:ascii="Arial" w:cs="Arial" w:eastAsia="Arial" w:hAnsi="Arial"/>
                <w:sz w:val="18"/>
                <w:szCs w:val="18"/>
                <w:b w:val="1"/>
                <w:bCs w:val="1"/>
                <w:i w:val="1"/>
                <w:iCs w:val="1"/>
                <w:color w:val="FFFFFF"/>
              </w:rPr>
              <w:t>Very important to LPL</w:t>
            </w:r>
          </w:p>
        </w:tc>
        <w:tc>
          <w:tcPr>
            <w:tcW w:w="440" w:type="dxa"/>
            <w:vAlign w:val="bottom"/>
            <w:shd w:val="clear" w:color="auto" w:fill="050A54"/>
          </w:tcPr>
          <w:p>
            <w:pPr>
              <w:spacing w:after="0"/>
              <w:rPr>
                <w:sz w:val="24"/>
                <w:szCs w:val="24"/>
                <w:color w:val="auto"/>
              </w:rPr>
            </w:pPr>
          </w:p>
        </w:tc>
        <w:tc>
          <w:tcPr>
            <w:tcW w:w="2840" w:type="dxa"/>
            <w:vAlign w:val="bottom"/>
            <w:shd w:val="clear" w:color="auto" w:fill="050A54"/>
          </w:tcPr>
          <w:p>
            <w:pPr>
              <w:ind w:left="420"/>
              <w:spacing w:after="0"/>
              <w:rPr>
                <w:sz w:val="20"/>
                <w:szCs w:val="20"/>
                <w:color w:val="auto"/>
              </w:rPr>
            </w:pPr>
            <w:r>
              <w:rPr>
                <w:rFonts w:ascii="Arial" w:cs="Arial" w:eastAsia="Arial" w:hAnsi="Arial"/>
                <w:sz w:val="18"/>
                <w:szCs w:val="18"/>
                <w:b w:val="1"/>
                <w:bCs w:val="1"/>
                <w:i w:val="1"/>
                <w:iCs w:val="1"/>
                <w:color w:val="FFFFFF"/>
              </w:rPr>
              <w:t>Most important to LPL</w:t>
            </w: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220" w:type="dxa"/>
            <w:vAlign w:val="bottom"/>
            <w:shd w:val="clear" w:color="auto" w:fill="050A54"/>
          </w:tcPr>
          <w:p>
            <w:pPr>
              <w:spacing w:after="0"/>
              <w:rPr>
                <w:sz w:val="11"/>
                <w:szCs w:val="11"/>
                <w:color w:val="auto"/>
              </w:rPr>
            </w:pPr>
          </w:p>
        </w:tc>
        <w:tc>
          <w:tcPr>
            <w:tcW w:w="2420" w:type="dxa"/>
            <w:vAlign w:val="bottom"/>
            <w:shd w:val="clear" w:color="auto" w:fill="050A54"/>
          </w:tcPr>
          <w:p>
            <w:pPr>
              <w:spacing w:after="0"/>
              <w:rPr>
                <w:sz w:val="11"/>
                <w:szCs w:val="11"/>
                <w:color w:val="auto"/>
              </w:rPr>
            </w:pPr>
          </w:p>
        </w:tc>
        <w:tc>
          <w:tcPr>
            <w:tcW w:w="420" w:type="dxa"/>
            <w:vAlign w:val="bottom"/>
            <w:shd w:val="clear" w:color="auto" w:fill="050A54"/>
          </w:tcPr>
          <w:p>
            <w:pPr>
              <w:spacing w:after="0"/>
              <w:rPr>
                <w:sz w:val="11"/>
                <w:szCs w:val="11"/>
                <w:color w:val="auto"/>
              </w:rPr>
            </w:pPr>
          </w:p>
        </w:tc>
        <w:tc>
          <w:tcPr>
            <w:tcW w:w="2620" w:type="dxa"/>
            <w:vAlign w:val="bottom"/>
            <w:shd w:val="clear" w:color="auto" w:fill="050A54"/>
          </w:tcPr>
          <w:p>
            <w:pPr>
              <w:spacing w:after="0"/>
              <w:rPr>
                <w:sz w:val="11"/>
                <w:szCs w:val="11"/>
                <w:color w:val="auto"/>
              </w:rPr>
            </w:pPr>
          </w:p>
        </w:tc>
        <w:tc>
          <w:tcPr>
            <w:tcW w:w="440" w:type="dxa"/>
            <w:vAlign w:val="bottom"/>
            <w:shd w:val="clear" w:color="auto" w:fill="050A54"/>
          </w:tcPr>
          <w:p>
            <w:pPr>
              <w:spacing w:after="0"/>
              <w:rPr>
                <w:sz w:val="11"/>
                <w:szCs w:val="11"/>
                <w:color w:val="auto"/>
              </w:rPr>
            </w:pPr>
          </w:p>
        </w:tc>
        <w:tc>
          <w:tcPr>
            <w:tcW w:w="2840" w:type="dxa"/>
            <w:vAlign w:val="bottom"/>
            <w:shd w:val="clear" w:color="auto" w:fill="050A54"/>
          </w:tcPr>
          <w:p>
            <w:pPr>
              <w:spacing w:after="0"/>
              <w:rPr>
                <w:sz w:val="11"/>
                <w:szCs w:val="11"/>
                <w:color w:val="auto"/>
              </w:rPr>
            </w:pPr>
          </w:p>
        </w:tc>
        <w:tc>
          <w:tcPr>
            <w:tcW w:w="0" w:type="dxa"/>
            <w:vAlign w:val="bottom"/>
          </w:tcPr>
          <w:p>
            <w:pPr>
              <w:spacing w:after="0"/>
              <w:rPr>
                <w:sz w:val="1"/>
                <w:szCs w:val="1"/>
                <w:color w:val="auto"/>
              </w:rPr>
            </w:pPr>
          </w:p>
        </w:tc>
      </w:tr>
      <w:tr>
        <w:trPr>
          <w:trHeight w:val="337"/>
        </w:trPr>
        <w:tc>
          <w:tcPr>
            <w:tcW w:w="1960" w:type="dxa"/>
            <w:vAlign w:val="bottom"/>
            <w:shd w:val="clear" w:color="auto" w:fill="050A54"/>
          </w:tcPr>
          <w:p>
            <w:pPr>
              <w:spacing w:after="0"/>
              <w:rPr>
                <w:sz w:val="24"/>
                <w:szCs w:val="24"/>
                <w:color w:val="auto"/>
              </w:rPr>
            </w:pPr>
          </w:p>
        </w:tc>
        <w:tc>
          <w:tcPr>
            <w:tcW w:w="220" w:type="dxa"/>
            <w:vAlign w:val="bottom"/>
            <w:shd w:val="clear" w:color="auto" w:fill="F2F2F2"/>
          </w:tcPr>
          <w:p>
            <w:pPr>
              <w:ind w:left="100"/>
              <w:spacing w:after="0"/>
              <w:rPr>
                <w:sz w:val="20"/>
                <w:szCs w:val="20"/>
                <w:color w:val="auto"/>
              </w:rPr>
            </w:pPr>
            <w:r>
              <w:rPr>
                <w:rFonts w:ascii="Arial" w:cs="Arial" w:eastAsia="Arial" w:hAnsi="Arial"/>
                <w:sz w:val="18"/>
                <w:szCs w:val="18"/>
                <w:color w:val="auto"/>
              </w:rPr>
              <w:t>•</w:t>
            </w:r>
          </w:p>
        </w:tc>
        <w:tc>
          <w:tcPr>
            <w:tcW w:w="2420" w:type="dxa"/>
            <w:vAlign w:val="bottom"/>
            <w:shd w:val="clear" w:color="auto" w:fill="F2F2F2"/>
          </w:tcPr>
          <w:p>
            <w:pPr>
              <w:ind w:left="40"/>
              <w:spacing w:after="0"/>
              <w:rPr>
                <w:sz w:val="20"/>
                <w:szCs w:val="20"/>
                <w:color w:val="auto"/>
              </w:rPr>
            </w:pPr>
            <w:r>
              <w:rPr>
                <w:rFonts w:ascii="Arial" w:cs="Arial" w:eastAsia="Arial" w:hAnsi="Arial"/>
                <w:sz w:val="18"/>
                <w:szCs w:val="18"/>
                <w:color w:val="auto"/>
              </w:rPr>
              <w:t>Energy Efficiency</w:t>
            </w:r>
          </w:p>
        </w:tc>
        <w:tc>
          <w:tcPr>
            <w:tcW w:w="420" w:type="dxa"/>
            <w:vAlign w:val="bottom"/>
            <w:shd w:val="clear" w:color="auto" w:fill="F2F2F2"/>
          </w:tcPr>
          <w:p>
            <w:pPr>
              <w:ind w:left="320"/>
              <w:spacing w:after="0"/>
              <w:rPr>
                <w:sz w:val="20"/>
                <w:szCs w:val="20"/>
                <w:color w:val="auto"/>
              </w:rPr>
            </w:pPr>
            <w:r>
              <w:rPr>
                <w:rFonts w:ascii="Arial" w:cs="Arial" w:eastAsia="Arial" w:hAnsi="Arial"/>
                <w:sz w:val="18"/>
                <w:szCs w:val="18"/>
                <w:color w:val="auto"/>
              </w:rPr>
              <w:t>•</w:t>
            </w:r>
          </w:p>
        </w:tc>
        <w:tc>
          <w:tcPr>
            <w:tcW w:w="2620" w:type="dxa"/>
            <w:vAlign w:val="bottom"/>
            <w:shd w:val="clear" w:color="auto" w:fill="F2F2F2"/>
          </w:tcPr>
          <w:p>
            <w:pPr>
              <w:ind w:left="60"/>
              <w:spacing w:after="0"/>
              <w:rPr>
                <w:sz w:val="20"/>
                <w:szCs w:val="20"/>
                <w:color w:val="auto"/>
              </w:rPr>
            </w:pPr>
            <w:r>
              <w:rPr>
                <w:rFonts w:ascii="Arial" w:cs="Arial" w:eastAsia="Arial" w:hAnsi="Arial"/>
                <w:sz w:val="18"/>
                <w:szCs w:val="18"/>
                <w:color w:val="auto"/>
              </w:rPr>
              <w:t>Climate Risk</w:t>
            </w:r>
          </w:p>
        </w:tc>
        <w:tc>
          <w:tcPr>
            <w:tcW w:w="440" w:type="dxa"/>
            <w:vAlign w:val="bottom"/>
            <w:shd w:val="clear" w:color="auto" w:fill="F2F2F2"/>
          </w:tcPr>
          <w:p>
            <w:pPr>
              <w:ind w:left="340"/>
              <w:spacing w:after="0"/>
              <w:rPr>
                <w:sz w:val="20"/>
                <w:szCs w:val="20"/>
                <w:color w:val="auto"/>
              </w:rPr>
            </w:pPr>
            <w:r>
              <w:rPr>
                <w:rFonts w:ascii="Arial" w:cs="Arial" w:eastAsia="Arial" w:hAnsi="Arial"/>
                <w:sz w:val="18"/>
                <w:szCs w:val="18"/>
                <w:color w:val="auto"/>
              </w:rPr>
              <w:t>•</w:t>
            </w:r>
          </w:p>
        </w:tc>
        <w:tc>
          <w:tcPr>
            <w:tcW w:w="2840" w:type="dxa"/>
            <w:vAlign w:val="bottom"/>
            <w:shd w:val="clear" w:color="auto" w:fill="F2F2F2"/>
          </w:tcPr>
          <w:p>
            <w:pPr>
              <w:ind w:left="60"/>
              <w:spacing w:after="0"/>
              <w:rPr>
                <w:sz w:val="20"/>
                <w:szCs w:val="20"/>
                <w:color w:val="auto"/>
              </w:rPr>
            </w:pPr>
            <w:r>
              <w:rPr>
                <w:rFonts w:ascii="Arial" w:cs="Arial" w:eastAsia="Arial" w:hAnsi="Arial"/>
                <w:sz w:val="18"/>
                <w:szCs w:val="18"/>
                <w:color w:val="auto"/>
              </w:rPr>
              <w:t>Paper Reduction</w:t>
            </w:r>
          </w:p>
        </w:tc>
        <w:tc>
          <w:tcPr>
            <w:tcW w:w="0" w:type="dxa"/>
            <w:vAlign w:val="bottom"/>
          </w:tcPr>
          <w:p>
            <w:pPr>
              <w:spacing w:after="0"/>
              <w:rPr>
                <w:sz w:val="1"/>
                <w:szCs w:val="1"/>
                <w:color w:val="auto"/>
              </w:rPr>
            </w:pPr>
          </w:p>
        </w:tc>
      </w:tr>
      <w:tr>
        <w:trPr>
          <w:trHeight w:val="206"/>
        </w:trPr>
        <w:tc>
          <w:tcPr>
            <w:tcW w:w="1960" w:type="dxa"/>
            <w:vAlign w:val="bottom"/>
            <w:shd w:val="clear" w:color="auto" w:fill="050A54"/>
          </w:tcPr>
          <w:p>
            <w:pPr>
              <w:spacing w:after="0"/>
              <w:rPr>
                <w:sz w:val="17"/>
                <w:szCs w:val="17"/>
                <w:color w:val="auto"/>
              </w:rPr>
            </w:pPr>
          </w:p>
        </w:tc>
        <w:tc>
          <w:tcPr>
            <w:tcW w:w="2640" w:type="dxa"/>
            <w:vAlign w:val="bottom"/>
            <w:gridSpan w:val="2"/>
            <w:shd w:val="clear" w:color="auto" w:fill="F2F2F2"/>
          </w:tcPr>
          <w:p>
            <w:pPr>
              <w:ind w:left="100"/>
              <w:spacing w:after="0"/>
              <w:rPr>
                <w:sz w:val="20"/>
                <w:szCs w:val="20"/>
                <w:color w:val="auto"/>
              </w:rPr>
            </w:pPr>
            <w:r>
              <w:rPr>
                <w:rFonts w:ascii="Arial" w:cs="Arial" w:eastAsia="Arial" w:hAnsi="Arial"/>
                <w:sz w:val="18"/>
                <w:szCs w:val="18"/>
                <w:color w:val="auto"/>
              </w:rPr>
              <w:t>• Greenhouse Gas</w:t>
            </w:r>
          </w:p>
        </w:tc>
        <w:tc>
          <w:tcPr>
            <w:tcW w:w="420" w:type="dxa"/>
            <w:vAlign w:val="bottom"/>
            <w:shd w:val="clear" w:color="auto" w:fill="F2F2F2"/>
          </w:tcPr>
          <w:p>
            <w:pPr>
              <w:spacing w:after="0"/>
              <w:rPr>
                <w:sz w:val="17"/>
                <w:szCs w:val="17"/>
                <w:color w:val="auto"/>
              </w:rPr>
            </w:pPr>
          </w:p>
        </w:tc>
        <w:tc>
          <w:tcPr>
            <w:tcW w:w="2620" w:type="dxa"/>
            <w:vAlign w:val="bottom"/>
            <w:shd w:val="clear" w:color="auto" w:fill="F2F2F2"/>
          </w:tcPr>
          <w:p>
            <w:pPr>
              <w:spacing w:after="0"/>
              <w:rPr>
                <w:sz w:val="17"/>
                <w:szCs w:val="17"/>
                <w:color w:val="auto"/>
              </w:rPr>
            </w:pPr>
          </w:p>
        </w:tc>
        <w:tc>
          <w:tcPr>
            <w:tcW w:w="440" w:type="dxa"/>
            <w:vAlign w:val="bottom"/>
            <w:shd w:val="clear" w:color="auto" w:fill="F2F2F2"/>
          </w:tcPr>
          <w:p>
            <w:pPr>
              <w:spacing w:after="0"/>
              <w:rPr>
                <w:sz w:val="17"/>
                <w:szCs w:val="17"/>
                <w:color w:val="auto"/>
              </w:rPr>
            </w:pPr>
          </w:p>
        </w:tc>
        <w:tc>
          <w:tcPr>
            <w:tcW w:w="2840" w:type="dxa"/>
            <w:vAlign w:val="bottom"/>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960" w:type="dxa"/>
            <w:vAlign w:val="bottom"/>
            <w:vMerge w:val="restart"/>
            <w:shd w:val="clear" w:color="auto" w:fill="050A54"/>
          </w:tcPr>
          <w:p>
            <w:pPr>
              <w:jc w:val="center"/>
              <w:ind w:left="31"/>
              <w:spacing w:after="0"/>
              <w:rPr>
                <w:sz w:val="20"/>
                <w:szCs w:val="20"/>
                <w:color w:val="auto"/>
              </w:rPr>
            </w:pPr>
            <w:r>
              <w:rPr>
                <w:rFonts w:ascii="Arial" w:cs="Arial" w:eastAsia="Arial" w:hAnsi="Arial"/>
                <w:sz w:val="18"/>
                <w:szCs w:val="18"/>
                <w:b w:val="1"/>
                <w:bCs w:val="1"/>
                <w:color w:val="FFFFFF"/>
                <w:w w:val="98"/>
              </w:rPr>
              <w:t>Environment</w:t>
            </w:r>
          </w:p>
        </w:tc>
        <w:tc>
          <w:tcPr>
            <w:tcW w:w="220" w:type="dxa"/>
            <w:vAlign w:val="bottom"/>
            <w:shd w:val="clear" w:color="auto" w:fill="F2F2F2"/>
          </w:tcPr>
          <w:p>
            <w:pPr>
              <w:spacing w:after="0"/>
              <w:rPr>
                <w:sz w:val="20"/>
                <w:szCs w:val="20"/>
                <w:color w:val="auto"/>
              </w:rPr>
            </w:pPr>
          </w:p>
        </w:tc>
        <w:tc>
          <w:tcPr>
            <w:tcW w:w="2420" w:type="dxa"/>
            <w:vAlign w:val="bottom"/>
            <w:shd w:val="clear" w:color="auto" w:fill="F2F2F2"/>
          </w:tcPr>
          <w:p>
            <w:pPr>
              <w:ind w:left="40"/>
              <w:spacing w:after="0"/>
              <w:rPr>
                <w:sz w:val="20"/>
                <w:szCs w:val="20"/>
                <w:color w:val="auto"/>
              </w:rPr>
            </w:pPr>
            <w:r>
              <w:rPr>
                <w:rFonts w:ascii="Arial" w:cs="Arial" w:eastAsia="Arial" w:hAnsi="Arial"/>
                <w:sz w:val="18"/>
                <w:szCs w:val="18"/>
                <w:color w:val="auto"/>
              </w:rPr>
              <w:t>Emissions</w:t>
            </w:r>
          </w:p>
        </w:tc>
        <w:tc>
          <w:tcPr>
            <w:tcW w:w="420" w:type="dxa"/>
            <w:vAlign w:val="bottom"/>
            <w:shd w:val="clear" w:color="auto" w:fill="F2F2F2"/>
          </w:tcPr>
          <w:p>
            <w:pPr>
              <w:spacing w:after="0"/>
              <w:rPr>
                <w:sz w:val="20"/>
                <w:szCs w:val="20"/>
                <w:color w:val="auto"/>
              </w:rPr>
            </w:pPr>
          </w:p>
        </w:tc>
        <w:tc>
          <w:tcPr>
            <w:tcW w:w="2620" w:type="dxa"/>
            <w:vAlign w:val="bottom"/>
            <w:shd w:val="clear" w:color="auto" w:fill="F2F2F2"/>
          </w:tcPr>
          <w:p>
            <w:pPr>
              <w:spacing w:after="0"/>
              <w:rPr>
                <w:sz w:val="20"/>
                <w:szCs w:val="20"/>
                <w:color w:val="auto"/>
              </w:rPr>
            </w:pPr>
          </w:p>
        </w:tc>
        <w:tc>
          <w:tcPr>
            <w:tcW w:w="440" w:type="dxa"/>
            <w:vAlign w:val="bottom"/>
            <w:shd w:val="clear" w:color="auto" w:fill="F2F2F2"/>
          </w:tcPr>
          <w:p>
            <w:pPr>
              <w:spacing w:after="0"/>
              <w:rPr>
                <w:sz w:val="20"/>
                <w:szCs w:val="20"/>
                <w:color w:val="auto"/>
              </w:rPr>
            </w:pPr>
          </w:p>
        </w:tc>
        <w:tc>
          <w:tcPr>
            <w:tcW w:w="284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1960" w:type="dxa"/>
            <w:vAlign w:val="bottom"/>
            <w:vMerge w:val="continue"/>
            <w:shd w:val="clear" w:color="auto" w:fill="050A54"/>
          </w:tcPr>
          <w:p>
            <w:pPr>
              <w:spacing w:after="0"/>
              <w:rPr>
                <w:sz w:val="10"/>
                <w:szCs w:val="10"/>
                <w:color w:val="auto"/>
              </w:rPr>
            </w:pPr>
          </w:p>
        </w:tc>
        <w:tc>
          <w:tcPr>
            <w:tcW w:w="2640" w:type="dxa"/>
            <w:vAlign w:val="bottom"/>
            <w:gridSpan w:val="2"/>
            <w:vMerge w:val="restart"/>
            <w:shd w:val="clear" w:color="auto" w:fill="F2F2F2"/>
          </w:tcPr>
          <w:p>
            <w:pPr>
              <w:ind w:left="100"/>
              <w:spacing w:after="0"/>
              <w:rPr>
                <w:sz w:val="20"/>
                <w:szCs w:val="20"/>
                <w:color w:val="auto"/>
              </w:rPr>
            </w:pPr>
            <w:r>
              <w:rPr>
                <w:rFonts w:ascii="Arial" w:cs="Arial" w:eastAsia="Arial" w:hAnsi="Arial"/>
                <w:sz w:val="18"/>
                <w:szCs w:val="18"/>
                <w:color w:val="auto"/>
              </w:rPr>
              <w:t>• Renewable Energy</w:t>
            </w:r>
          </w:p>
        </w:tc>
        <w:tc>
          <w:tcPr>
            <w:tcW w:w="420" w:type="dxa"/>
            <w:vAlign w:val="bottom"/>
            <w:shd w:val="clear" w:color="auto" w:fill="F2F2F2"/>
          </w:tcPr>
          <w:p>
            <w:pPr>
              <w:spacing w:after="0"/>
              <w:rPr>
                <w:sz w:val="10"/>
                <w:szCs w:val="10"/>
                <w:color w:val="auto"/>
              </w:rPr>
            </w:pPr>
          </w:p>
        </w:tc>
        <w:tc>
          <w:tcPr>
            <w:tcW w:w="2620" w:type="dxa"/>
            <w:vAlign w:val="bottom"/>
            <w:shd w:val="clear" w:color="auto" w:fill="F2F2F2"/>
          </w:tcPr>
          <w:p>
            <w:pPr>
              <w:spacing w:after="0"/>
              <w:rPr>
                <w:sz w:val="10"/>
                <w:szCs w:val="10"/>
                <w:color w:val="auto"/>
              </w:rPr>
            </w:pPr>
          </w:p>
        </w:tc>
        <w:tc>
          <w:tcPr>
            <w:tcW w:w="440" w:type="dxa"/>
            <w:vAlign w:val="bottom"/>
            <w:shd w:val="clear" w:color="auto" w:fill="F2F2F2"/>
          </w:tcPr>
          <w:p>
            <w:pPr>
              <w:spacing w:after="0"/>
              <w:rPr>
                <w:sz w:val="10"/>
                <w:szCs w:val="10"/>
                <w:color w:val="auto"/>
              </w:rPr>
            </w:pPr>
          </w:p>
        </w:tc>
        <w:tc>
          <w:tcPr>
            <w:tcW w:w="2840" w:type="dxa"/>
            <w:vAlign w:val="bottom"/>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960" w:type="dxa"/>
            <w:vAlign w:val="bottom"/>
            <w:shd w:val="clear" w:color="auto" w:fill="050A54"/>
          </w:tcPr>
          <w:p>
            <w:pPr>
              <w:spacing w:after="0"/>
              <w:rPr>
                <w:sz w:val="10"/>
                <w:szCs w:val="10"/>
                <w:color w:val="auto"/>
              </w:rPr>
            </w:pPr>
          </w:p>
        </w:tc>
        <w:tc>
          <w:tcPr>
            <w:tcW w:w="2640" w:type="dxa"/>
            <w:vAlign w:val="bottom"/>
            <w:gridSpan w:val="2"/>
            <w:vMerge w:val="continue"/>
            <w:shd w:val="clear" w:color="auto" w:fill="F2F2F2"/>
          </w:tcPr>
          <w:p>
            <w:pPr>
              <w:spacing w:after="0"/>
              <w:rPr>
                <w:sz w:val="10"/>
                <w:szCs w:val="10"/>
                <w:color w:val="auto"/>
              </w:rPr>
            </w:pPr>
          </w:p>
        </w:tc>
        <w:tc>
          <w:tcPr>
            <w:tcW w:w="420" w:type="dxa"/>
            <w:vAlign w:val="bottom"/>
            <w:shd w:val="clear" w:color="auto" w:fill="F2F2F2"/>
          </w:tcPr>
          <w:p>
            <w:pPr>
              <w:spacing w:after="0"/>
              <w:rPr>
                <w:sz w:val="10"/>
                <w:szCs w:val="10"/>
                <w:color w:val="auto"/>
              </w:rPr>
            </w:pPr>
          </w:p>
        </w:tc>
        <w:tc>
          <w:tcPr>
            <w:tcW w:w="2620" w:type="dxa"/>
            <w:vAlign w:val="bottom"/>
            <w:shd w:val="clear" w:color="auto" w:fill="F2F2F2"/>
          </w:tcPr>
          <w:p>
            <w:pPr>
              <w:spacing w:after="0"/>
              <w:rPr>
                <w:sz w:val="10"/>
                <w:szCs w:val="10"/>
                <w:color w:val="auto"/>
              </w:rPr>
            </w:pPr>
          </w:p>
        </w:tc>
        <w:tc>
          <w:tcPr>
            <w:tcW w:w="440" w:type="dxa"/>
            <w:vAlign w:val="bottom"/>
            <w:shd w:val="clear" w:color="auto" w:fill="F2F2F2"/>
          </w:tcPr>
          <w:p>
            <w:pPr>
              <w:spacing w:after="0"/>
              <w:rPr>
                <w:sz w:val="10"/>
                <w:szCs w:val="10"/>
                <w:color w:val="auto"/>
              </w:rPr>
            </w:pPr>
          </w:p>
        </w:tc>
        <w:tc>
          <w:tcPr>
            <w:tcW w:w="2840" w:type="dxa"/>
            <w:vAlign w:val="bottom"/>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1960" w:type="dxa"/>
            <w:vAlign w:val="bottom"/>
            <w:shd w:val="clear" w:color="auto" w:fill="050A54"/>
          </w:tcPr>
          <w:p>
            <w:pPr>
              <w:spacing w:after="0"/>
              <w:rPr>
                <w:sz w:val="17"/>
                <w:szCs w:val="17"/>
                <w:color w:val="auto"/>
              </w:rPr>
            </w:pPr>
          </w:p>
        </w:tc>
        <w:tc>
          <w:tcPr>
            <w:tcW w:w="2640" w:type="dxa"/>
            <w:vAlign w:val="bottom"/>
            <w:gridSpan w:val="2"/>
            <w:shd w:val="clear" w:color="auto" w:fill="F2F2F2"/>
          </w:tcPr>
          <w:p>
            <w:pPr>
              <w:ind w:left="100"/>
              <w:spacing w:after="0"/>
              <w:rPr>
                <w:sz w:val="20"/>
                <w:szCs w:val="20"/>
                <w:color w:val="auto"/>
              </w:rPr>
            </w:pPr>
            <w:r>
              <w:rPr>
                <w:rFonts w:ascii="Arial" w:cs="Arial" w:eastAsia="Arial" w:hAnsi="Arial"/>
                <w:sz w:val="18"/>
                <w:szCs w:val="18"/>
                <w:color w:val="auto"/>
              </w:rPr>
              <w:t>• Waste and Water</w:t>
            </w:r>
          </w:p>
        </w:tc>
        <w:tc>
          <w:tcPr>
            <w:tcW w:w="420" w:type="dxa"/>
            <w:vAlign w:val="bottom"/>
            <w:shd w:val="clear" w:color="auto" w:fill="F2F2F2"/>
          </w:tcPr>
          <w:p>
            <w:pPr>
              <w:spacing w:after="0"/>
              <w:rPr>
                <w:sz w:val="17"/>
                <w:szCs w:val="17"/>
                <w:color w:val="auto"/>
              </w:rPr>
            </w:pPr>
          </w:p>
        </w:tc>
        <w:tc>
          <w:tcPr>
            <w:tcW w:w="2620" w:type="dxa"/>
            <w:vAlign w:val="bottom"/>
            <w:shd w:val="clear" w:color="auto" w:fill="F2F2F2"/>
          </w:tcPr>
          <w:p>
            <w:pPr>
              <w:spacing w:after="0"/>
              <w:rPr>
                <w:sz w:val="17"/>
                <w:szCs w:val="17"/>
                <w:color w:val="auto"/>
              </w:rPr>
            </w:pPr>
          </w:p>
        </w:tc>
        <w:tc>
          <w:tcPr>
            <w:tcW w:w="440" w:type="dxa"/>
            <w:vAlign w:val="bottom"/>
            <w:shd w:val="clear" w:color="auto" w:fill="F2F2F2"/>
          </w:tcPr>
          <w:p>
            <w:pPr>
              <w:spacing w:after="0"/>
              <w:rPr>
                <w:sz w:val="17"/>
                <w:szCs w:val="17"/>
                <w:color w:val="auto"/>
              </w:rPr>
            </w:pPr>
          </w:p>
        </w:tc>
        <w:tc>
          <w:tcPr>
            <w:tcW w:w="2840" w:type="dxa"/>
            <w:vAlign w:val="bottom"/>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960" w:type="dxa"/>
            <w:vAlign w:val="bottom"/>
            <w:shd w:val="clear" w:color="auto" w:fill="050A54"/>
          </w:tcPr>
          <w:p>
            <w:pPr>
              <w:spacing w:after="0"/>
              <w:rPr>
                <w:sz w:val="20"/>
                <w:szCs w:val="20"/>
                <w:color w:val="auto"/>
              </w:rPr>
            </w:pPr>
          </w:p>
        </w:tc>
        <w:tc>
          <w:tcPr>
            <w:tcW w:w="220" w:type="dxa"/>
            <w:vAlign w:val="bottom"/>
            <w:shd w:val="clear" w:color="auto" w:fill="F2F2F2"/>
          </w:tcPr>
          <w:p>
            <w:pPr>
              <w:spacing w:after="0"/>
              <w:rPr>
                <w:sz w:val="20"/>
                <w:szCs w:val="20"/>
                <w:color w:val="auto"/>
              </w:rPr>
            </w:pPr>
          </w:p>
        </w:tc>
        <w:tc>
          <w:tcPr>
            <w:tcW w:w="2420" w:type="dxa"/>
            <w:vAlign w:val="bottom"/>
            <w:shd w:val="clear" w:color="auto" w:fill="F2F2F2"/>
          </w:tcPr>
          <w:p>
            <w:pPr>
              <w:ind w:left="40"/>
              <w:spacing w:after="0"/>
              <w:rPr>
                <w:sz w:val="20"/>
                <w:szCs w:val="20"/>
                <w:color w:val="auto"/>
              </w:rPr>
            </w:pPr>
            <w:r>
              <w:rPr>
                <w:rFonts w:ascii="Arial" w:cs="Arial" w:eastAsia="Arial" w:hAnsi="Arial"/>
                <w:sz w:val="18"/>
                <w:szCs w:val="18"/>
                <w:color w:val="auto"/>
              </w:rPr>
              <w:t>Management</w:t>
            </w:r>
          </w:p>
        </w:tc>
        <w:tc>
          <w:tcPr>
            <w:tcW w:w="420" w:type="dxa"/>
            <w:vAlign w:val="bottom"/>
            <w:shd w:val="clear" w:color="auto" w:fill="F2F2F2"/>
          </w:tcPr>
          <w:p>
            <w:pPr>
              <w:spacing w:after="0"/>
              <w:rPr>
                <w:sz w:val="20"/>
                <w:szCs w:val="20"/>
                <w:color w:val="auto"/>
              </w:rPr>
            </w:pPr>
          </w:p>
        </w:tc>
        <w:tc>
          <w:tcPr>
            <w:tcW w:w="2620" w:type="dxa"/>
            <w:vAlign w:val="bottom"/>
            <w:shd w:val="clear" w:color="auto" w:fill="F2F2F2"/>
          </w:tcPr>
          <w:p>
            <w:pPr>
              <w:spacing w:after="0"/>
              <w:rPr>
                <w:sz w:val="20"/>
                <w:szCs w:val="20"/>
                <w:color w:val="auto"/>
              </w:rPr>
            </w:pPr>
          </w:p>
        </w:tc>
        <w:tc>
          <w:tcPr>
            <w:tcW w:w="440" w:type="dxa"/>
            <w:vAlign w:val="bottom"/>
            <w:shd w:val="clear" w:color="auto" w:fill="F2F2F2"/>
          </w:tcPr>
          <w:p>
            <w:pPr>
              <w:spacing w:after="0"/>
              <w:rPr>
                <w:sz w:val="20"/>
                <w:szCs w:val="20"/>
                <w:color w:val="auto"/>
              </w:rPr>
            </w:pPr>
          </w:p>
        </w:tc>
        <w:tc>
          <w:tcPr>
            <w:tcW w:w="284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1960" w:type="dxa"/>
            <w:vAlign w:val="bottom"/>
            <w:shd w:val="clear" w:color="auto" w:fill="050A54"/>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2420" w:type="dxa"/>
            <w:vAlign w:val="bottom"/>
            <w:shd w:val="clear" w:color="auto" w:fill="F2F2F2"/>
          </w:tcPr>
          <w:p>
            <w:pPr>
              <w:spacing w:after="0"/>
              <w:rPr>
                <w:sz w:val="14"/>
                <w:szCs w:val="14"/>
                <w:color w:val="auto"/>
              </w:rPr>
            </w:pPr>
          </w:p>
        </w:tc>
        <w:tc>
          <w:tcPr>
            <w:tcW w:w="420" w:type="dxa"/>
            <w:vAlign w:val="bottom"/>
            <w:shd w:val="clear" w:color="auto" w:fill="F2F2F2"/>
          </w:tcPr>
          <w:p>
            <w:pPr>
              <w:spacing w:after="0"/>
              <w:rPr>
                <w:sz w:val="14"/>
                <w:szCs w:val="14"/>
                <w:color w:val="auto"/>
              </w:rPr>
            </w:pPr>
          </w:p>
        </w:tc>
        <w:tc>
          <w:tcPr>
            <w:tcW w:w="2620" w:type="dxa"/>
            <w:vAlign w:val="bottom"/>
            <w:shd w:val="clear" w:color="auto" w:fill="F2F2F2"/>
          </w:tcPr>
          <w:p>
            <w:pPr>
              <w:spacing w:after="0"/>
              <w:rPr>
                <w:sz w:val="14"/>
                <w:szCs w:val="14"/>
                <w:color w:val="auto"/>
              </w:rPr>
            </w:pPr>
          </w:p>
        </w:tc>
        <w:tc>
          <w:tcPr>
            <w:tcW w:w="3280" w:type="dxa"/>
            <w:vAlign w:val="bottom"/>
            <w:gridSpan w:val="2"/>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1960" w:type="dxa"/>
            <w:vAlign w:val="bottom"/>
            <w:shd w:val="clear" w:color="auto" w:fill="050A54"/>
          </w:tcPr>
          <w:p>
            <w:pPr>
              <w:spacing w:after="0"/>
              <w:rPr>
                <w:sz w:val="24"/>
                <w:szCs w:val="24"/>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420" w:type="dxa"/>
            <w:vAlign w:val="bottom"/>
          </w:tcPr>
          <w:p>
            <w:pPr>
              <w:ind w:left="40"/>
              <w:spacing w:after="0"/>
              <w:rPr>
                <w:sz w:val="20"/>
                <w:szCs w:val="20"/>
                <w:color w:val="auto"/>
              </w:rPr>
            </w:pPr>
            <w:r>
              <w:rPr>
                <w:rFonts w:ascii="Arial" w:cs="Arial" w:eastAsia="Arial" w:hAnsi="Arial"/>
                <w:sz w:val="18"/>
                <w:szCs w:val="18"/>
                <w:color w:val="auto"/>
              </w:rPr>
              <w:t>Local Employment</w:t>
            </w:r>
          </w:p>
        </w:tc>
        <w:tc>
          <w:tcPr>
            <w:tcW w:w="420" w:type="dxa"/>
            <w:vAlign w:val="bottom"/>
          </w:tcPr>
          <w:p>
            <w:pPr>
              <w:ind w:left="320"/>
              <w:spacing w:after="0"/>
              <w:rPr>
                <w:sz w:val="20"/>
                <w:szCs w:val="20"/>
                <w:color w:val="auto"/>
              </w:rPr>
            </w:pPr>
            <w:r>
              <w:rPr>
                <w:rFonts w:ascii="Arial" w:cs="Arial" w:eastAsia="Arial" w:hAnsi="Arial"/>
                <w:sz w:val="18"/>
                <w:szCs w:val="18"/>
                <w:color w:val="auto"/>
              </w:rPr>
              <w:t>•</w:t>
            </w:r>
          </w:p>
        </w:tc>
        <w:tc>
          <w:tcPr>
            <w:tcW w:w="2620" w:type="dxa"/>
            <w:vAlign w:val="bottom"/>
          </w:tcPr>
          <w:p>
            <w:pPr>
              <w:ind w:left="60"/>
              <w:spacing w:after="0"/>
              <w:rPr>
                <w:sz w:val="20"/>
                <w:szCs w:val="20"/>
                <w:color w:val="auto"/>
              </w:rPr>
            </w:pPr>
            <w:r>
              <w:rPr>
                <w:rFonts w:ascii="Arial" w:cs="Arial" w:eastAsia="Arial" w:hAnsi="Arial"/>
                <w:sz w:val="18"/>
                <w:szCs w:val="18"/>
                <w:color w:val="auto"/>
              </w:rPr>
              <w:t>Financial Literacy</w:t>
            </w:r>
          </w:p>
        </w:tc>
        <w:tc>
          <w:tcPr>
            <w:tcW w:w="3280" w:type="dxa"/>
            <w:vAlign w:val="bottom"/>
            <w:gridSpan w:val="2"/>
          </w:tcPr>
          <w:p>
            <w:pPr>
              <w:ind w:left="340"/>
              <w:spacing w:after="0"/>
              <w:rPr>
                <w:sz w:val="20"/>
                <w:szCs w:val="20"/>
                <w:color w:val="auto"/>
              </w:rPr>
            </w:pPr>
            <w:r>
              <w:rPr>
                <w:rFonts w:ascii="Arial" w:cs="Arial" w:eastAsia="Arial" w:hAnsi="Arial"/>
                <w:sz w:val="18"/>
                <w:szCs w:val="18"/>
                <w:color w:val="auto"/>
              </w:rPr>
              <w:t>• Attracting and Retaining</w:t>
            </w:r>
          </w:p>
        </w:tc>
        <w:tc>
          <w:tcPr>
            <w:tcW w:w="0" w:type="dxa"/>
            <w:vAlign w:val="bottom"/>
          </w:tcPr>
          <w:p>
            <w:pPr>
              <w:spacing w:after="0"/>
              <w:rPr>
                <w:sz w:val="1"/>
                <w:szCs w:val="1"/>
                <w:color w:val="auto"/>
              </w:rPr>
            </w:pPr>
          </w:p>
        </w:tc>
      </w:tr>
      <w:tr>
        <w:trPr>
          <w:trHeight w:val="241"/>
        </w:trPr>
        <w:tc>
          <w:tcPr>
            <w:tcW w:w="1960" w:type="dxa"/>
            <w:vAlign w:val="bottom"/>
            <w:shd w:val="clear" w:color="auto" w:fill="050A54"/>
          </w:tcPr>
          <w:p>
            <w:pPr>
              <w:spacing w:after="0"/>
              <w:rPr>
                <w:sz w:val="20"/>
                <w:szCs w:val="20"/>
                <w:color w:val="auto"/>
              </w:rPr>
            </w:pP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rPr>
              <w:t>• Human Rights and Supply</w:t>
            </w:r>
          </w:p>
        </w:tc>
        <w:tc>
          <w:tcPr>
            <w:tcW w:w="3040" w:type="dxa"/>
            <w:vAlign w:val="bottom"/>
            <w:gridSpan w:val="2"/>
          </w:tcPr>
          <w:p>
            <w:pPr>
              <w:ind w:left="320"/>
              <w:spacing w:after="0"/>
              <w:rPr>
                <w:sz w:val="20"/>
                <w:szCs w:val="20"/>
                <w:color w:val="auto"/>
              </w:rPr>
            </w:pPr>
            <w:r>
              <w:rPr>
                <w:rFonts w:ascii="Arial" w:cs="Arial" w:eastAsia="Arial" w:hAnsi="Arial"/>
                <w:sz w:val="18"/>
                <w:szCs w:val="18"/>
                <w:color w:val="auto"/>
              </w:rPr>
              <w:t>• Employee Compensation</w:t>
            </w:r>
          </w:p>
        </w:tc>
        <w:tc>
          <w:tcPr>
            <w:tcW w:w="440" w:type="dxa"/>
            <w:vAlign w:val="bottom"/>
          </w:tcPr>
          <w:p>
            <w:pPr>
              <w:spacing w:after="0"/>
              <w:rPr>
                <w:sz w:val="20"/>
                <w:szCs w:val="20"/>
                <w:color w:val="auto"/>
              </w:rPr>
            </w:pPr>
          </w:p>
        </w:tc>
        <w:tc>
          <w:tcPr>
            <w:tcW w:w="2840" w:type="dxa"/>
            <w:vAlign w:val="bottom"/>
          </w:tcPr>
          <w:p>
            <w:pPr>
              <w:ind w:left="40"/>
              <w:spacing w:after="0"/>
              <w:rPr>
                <w:sz w:val="20"/>
                <w:szCs w:val="20"/>
                <w:color w:val="auto"/>
              </w:rPr>
            </w:pPr>
            <w:r>
              <w:rPr>
                <w:rFonts w:ascii="Arial" w:cs="Arial" w:eastAsia="Arial" w:hAnsi="Arial"/>
                <w:sz w:val="18"/>
                <w:szCs w:val="18"/>
                <w:color w:val="auto"/>
              </w:rPr>
              <w:t>Talent</w:t>
            </w:r>
          </w:p>
        </w:tc>
        <w:tc>
          <w:tcPr>
            <w:tcW w:w="0" w:type="dxa"/>
            <w:vAlign w:val="bottom"/>
          </w:tcPr>
          <w:p>
            <w:pPr>
              <w:spacing w:after="0"/>
              <w:rPr>
                <w:sz w:val="1"/>
                <w:szCs w:val="1"/>
                <w:color w:val="auto"/>
              </w:rPr>
            </w:pPr>
          </w:p>
        </w:tc>
      </w:tr>
      <w:tr>
        <w:trPr>
          <w:trHeight w:val="219"/>
        </w:trPr>
        <w:tc>
          <w:tcPr>
            <w:tcW w:w="1960" w:type="dxa"/>
            <w:vAlign w:val="bottom"/>
            <w:shd w:val="clear" w:color="auto" w:fill="050A54"/>
          </w:tcPr>
          <w:p>
            <w:pPr>
              <w:spacing w:after="0"/>
              <w:rPr>
                <w:sz w:val="19"/>
                <w:szCs w:val="19"/>
                <w:color w:val="auto"/>
              </w:rPr>
            </w:pPr>
          </w:p>
        </w:tc>
        <w:tc>
          <w:tcPr>
            <w:tcW w:w="220" w:type="dxa"/>
            <w:vAlign w:val="bottom"/>
          </w:tcPr>
          <w:p>
            <w:pPr>
              <w:spacing w:after="0"/>
              <w:rPr>
                <w:sz w:val="19"/>
                <w:szCs w:val="19"/>
                <w:color w:val="auto"/>
              </w:rPr>
            </w:pPr>
          </w:p>
        </w:tc>
        <w:tc>
          <w:tcPr>
            <w:tcW w:w="2420" w:type="dxa"/>
            <w:vAlign w:val="bottom"/>
          </w:tcPr>
          <w:p>
            <w:pPr>
              <w:ind w:left="40"/>
              <w:spacing w:after="0"/>
              <w:rPr>
                <w:sz w:val="20"/>
                <w:szCs w:val="20"/>
                <w:color w:val="auto"/>
              </w:rPr>
            </w:pPr>
            <w:r>
              <w:rPr>
                <w:rFonts w:ascii="Arial" w:cs="Arial" w:eastAsia="Arial" w:hAnsi="Arial"/>
                <w:sz w:val="18"/>
                <w:szCs w:val="18"/>
                <w:color w:val="auto"/>
              </w:rPr>
              <w:t>Chain Management</w:t>
            </w:r>
          </w:p>
        </w:tc>
        <w:tc>
          <w:tcPr>
            <w:tcW w:w="420" w:type="dxa"/>
            <w:vAlign w:val="bottom"/>
          </w:tcPr>
          <w:p>
            <w:pPr>
              <w:ind w:left="320"/>
              <w:spacing w:after="0"/>
              <w:rPr>
                <w:sz w:val="20"/>
                <w:szCs w:val="20"/>
                <w:color w:val="auto"/>
              </w:rPr>
            </w:pPr>
            <w:r>
              <w:rPr>
                <w:rFonts w:ascii="Arial" w:cs="Arial" w:eastAsia="Arial" w:hAnsi="Arial"/>
                <w:sz w:val="18"/>
                <w:szCs w:val="18"/>
                <w:color w:val="auto"/>
              </w:rPr>
              <w:t>•</w:t>
            </w:r>
          </w:p>
        </w:tc>
        <w:tc>
          <w:tcPr>
            <w:tcW w:w="2620" w:type="dxa"/>
            <w:vAlign w:val="bottom"/>
          </w:tcPr>
          <w:p>
            <w:pPr>
              <w:ind w:left="60"/>
              <w:spacing w:after="0"/>
              <w:rPr>
                <w:sz w:val="20"/>
                <w:szCs w:val="20"/>
                <w:color w:val="auto"/>
              </w:rPr>
            </w:pPr>
            <w:r>
              <w:rPr>
                <w:rFonts w:ascii="Arial" w:cs="Arial" w:eastAsia="Arial" w:hAnsi="Arial"/>
                <w:sz w:val="18"/>
                <w:szCs w:val="18"/>
                <w:color w:val="auto"/>
              </w:rPr>
              <w:t>Employee Well-being</w:t>
            </w:r>
          </w:p>
        </w:tc>
        <w:tc>
          <w:tcPr>
            <w:tcW w:w="3280" w:type="dxa"/>
            <w:vAlign w:val="bottom"/>
            <w:gridSpan w:val="2"/>
          </w:tcPr>
          <w:p>
            <w:pPr>
              <w:ind w:left="340"/>
              <w:spacing w:after="0"/>
              <w:rPr>
                <w:sz w:val="20"/>
                <w:szCs w:val="20"/>
                <w:color w:val="auto"/>
              </w:rPr>
            </w:pPr>
            <w:r>
              <w:rPr>
                <w:rFonts w:ascii="Arial" w:cs="Arial" w:eastAsia="Arial" w:hAnsi="Arial"/>
                <w:sz w:val="18"/>
                <w:szCs w:val="18"/>
                <w:color w:val="auto"/>
              </w:rPr>
              <w:t>• Advisor Diversity and</w:t>
            </w:r>
          </w:p>
        </w:tc>
        <w:tc>
          <w:tcPr>
            <w:tcW w:w="0" w:type="dxa"/>
            <w:vAlign w:val="bottom"/>
          </w:tcPr>
          <w:p>
            <w:pPr>
              <w:spacing w:after="0"/>
              <w:rPr>
                <w:sz w:val="1"/>
                <w:szCs w:val="1"/>
                <w:color w:val="auto"/>
              </w:rPr>
            </w:pPr>
          </w:p>
        </w:tc>
      </w:tr>
      <w:tr>
        <w:trPr>
          <w:trHeight w:val="222"/>
        </w:trPr>
        <w:tc>
          <w:tcPr>
            <w:tcW w:w="1960" w:type="dxa"/>
            <w:vAlign w:val="bottom"/>
            <w:vMerge w:val="restart"/>
            <w:shd w:val="clear" w:color="auto" w:fill="050A54"/>
          </w:tcPr>
          <w:p>
            <w:pPr>
              <w:jc w:val="center"/>
              <w:ind w:left="31"/>
              <w:spacing w:after="0"/>
              <w:rPr>
                <w:sz w:val="20"/>
                <w:szCs w:val="20"/>
                <w:color w:val="auto"/>
              </w:rPr>
            </w:pPr>
            <w:r>
              <w:rPr>
                <w:rFonts w:ascii="Arial" w:cs="Arial" w:eastAsia="Arial" w:hAnsi="Arial"/>
                <w:sz w:val="18"/>
                <w:szCs w:val="18"/>
                <w:b w:val="1"/>
                <w:bCs w:val="1"/>
                <w:color w:val="FFFFFF"/>
                <w:w w:val="97"/>
              </w:rPr>
              <w:t>Social</w:t>
            </w:r>
          </w:p>
        </w:tc>
        <w:tc>
          <w:tcPr>
            <w:tcW w:w="2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20" w:type="dxa"/>
            <w:vAlign w:val="bottom"/>
            <w:vMerge w:val="restart"/>
          </w:tcPr>
          <w:p>
            <w:pPr>
              <w:ind w:left="320"/>
              <w:spacing w:after="0"/>
              <w:rPr>
                <w:sz w:val="20"/>
                <w:szCs w:val="20"/>
                <w:color w:val="auto"/>
              </w:rPr>
            </w:pPr>
            <w:r>
              <w:rPr>
                <w:rFonts w:ascii="Arial" w:cs="Arial" w:eastAsia="Arial" w:hAnsi="Arial"/>
                <w:sz w:val="18"/>
                <w:szCs w:val="18"/>
                <w:color w:val="auto"/>
              </w:rPr>
              <w:t>•</w:t>
            </w:r>
          </w:p>
        </w:tc>
        <w:tc>
          <w:tcPr>
            <w:tcW w:w="2620" w:type="dxa"/>
            <w:vAlign w:val="bottom"/>
            <w:vMerge w:val="restart"/>
          </w:tcPr>
          <w:p>
            <w:pPr>
              <w:ind w:left="60"/>
              <w:spacing w:after="0"/>
              <w:rPr>
                <w:sz w:val="20"/>
                <w:szCs w:val="20"/>
                <w:color w:val="auto"/>
              </w:rPr>
            </w:pPr>
            <w:r>
              <w:rPr>
                <w:rFonts w:ascii="Arial" w:cs="Arial" w:eastAsia="Arial" w:hAnsi="Arial"/>
                <w:sz w:val="18"/>
                <w:szCs w:val="18"/>
                <w:color w:val="auto"/>
              </w:rPr>
              <w:t>Training and Professional</w:t>
            </w:r>
          </w:p>
        </w:tc>
        <w:tc>
          <w:tcPr>
            <w:tcW w:w="440" w:type="dxa"/>
            <w:vAlign w:val="bottom"/>
          </w:tcPr>
          <w:p>
            <w:pPr>
              <w:spacing w:after="0"/>
              <w:rPr>
                <w:sz w:val="19"/>
                <w:szCs w:val="19"/>
                <w:color w:val="auto"/>
              </w:rPr>
            </w:pPr>
          </w:p>
        </w:tc>
        <w:tc>
          <w:tcPr>
            <w:tcW w:w="2840" w:type="dxa"/>
            <w:vAlign w:val="bottom"/>
          </w:tcPr>
          <w:p>
            <w:pPr>
              <w:ind w:left="40"/>
              <w:spacing w:after="0"/>
              <w:rPr>
                <w:sz w:val="20"/>
                <w:szCs w:val="20"/>
                <w:color w:val="auto"/>
              </w:rPr>
            </w:pPr>
            <w:r>
              <w:rPr>
                <w:rFonts w:ascii="Arial" w:cs="Arial" w:eastAsia="Arial" w:hAnsi="Arial"/>
                <w:sz w:val="18"/>
                <w:szCs w:val="18"/>
                <w:color w:val="auto"/>
              </w:rPr>
              <w:t>Inclusion</w:t>
            </w:r>
          </w:p>
        </w:tc>
        <w:tc>
          <w:tcPr>
            <w:tcW w:w="0" w:type="dxa"/>
            <w:vAlign w:val="bottom"/>
          </w:tcPr>
          <w:p>
            <w:pPr>
              <w:spacing w:after="0"/>
              <w:rPr>
                <w:sz w:val="1"/>
                <w:szCs w:val="1"/>
                <w:color w:val="auto"/>
              </w:rPr>
            </w:pPr>
          </w:p>
        </w:tc>
      </w:tr>
      <w:tr>
        <w:trPr>
          <w:trHeight w:val="40"/>
        </w:trPr>
        <w:tc>
          <w:tcPr>
            <w:tcW w:w="1960" w:type="dxa"/>
            <w:vAlign w:val="bottom"/>
            <w:vMerge w:val="continue"/>
            <w:shd w:val="clear" w:color="auto" w:fill="050A54"/>
          </w:tcPr>
          <w:p>
            <w:pPr>
              <w:spacing w:after="0"/>
              <w:rPr>
                <w:sz w:val="3"/>
                <w:szCs w:val="3"/>
                <w:color w:val="auto"/>
              </w:rPr>
            </w:pPr>
          </w:p>
        </w:tc>
        <w:tc>
          <w:tcPr>
            <w:tcW w:w="2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2620" w:type="dxa"/>
            <w:vAlign w:val="bottom"/>
            <w:vMerge w:val="continue"/>
          </w:tcPr>
          <w:p>
            <w:pPr>
              <w:spacing w:after="0"/>
              <w:rPr>
                <w:sz w:val="3"/>
                <w:szCs w:val="3"/>
                <w:color w:val="auto"/>
              </w:rPr>
            </w:pPr>
          </w:p>
        </w:tc>
        <w:tc>
          <w:tcPr>
            <w:tcW w:w="440" w:type="dxa"/>
            <w:vAlign w:val="bottom"/>
            <w:vMerge w:val="restart"/>
          </w:tcPr>
          <w:p>
            <w:pPr>
              <w:ind w:left="340"/>
              <w:spacing w:after="0"/>
              <w:rPr>
                <w:sz w:val="20"/>
                <w:szCs w:val="20"/>
                <w:color w:val="auto"/>
              </w:rPr>
            </w:pPr>
            <w:r>
              <w:rPr>
                <w:rFonts w:ascii="Arial" w:cs="Arial" w:eastAsia="Arial" w:hAnsi="Arial"/>
                <w:sz w:val="18"/>
                <w:szCs w:val="18"/>
                <w:color w:val="auto"/>
              </w:rPr>
              <w:t>•</w:t>
            </w:r>
          </w:p>
        </w:tc>
        <w:tc>
          <w:tcPr>
            <w:tcW w:w="2840" w:type="dxa"/>
            <w:vAlign w:val="bottom"/>
            <w:vMerge w:val="restart"/>
          </w:tcPr>
          <w:p>
            <w:pPr>
              <w:ind w:left="60"/>
              <w:spacing w:after="0"/>
              <w:rPr>
                <w:sz w:val="20"/>
                <w:szCs w:val="20"/>
                <w:color w:val="auto"/>
              </w:rPr>
            </w:pPr>
            <w:r>
              <w:rPr>
                <w:rFonts w:ascii="Arial" w:cs="Arial" w:eastAsia="Arial" w:hAnsi="Arial"/>
                <w:sz w:val="18"/>
                <w:szCs w:val="18"/>
                <w:color w:val="auto"/>
              </w:rPr>
              <w:t>Employee Diversity, Equity</w:t>
            </w:r>
          </w:p>
        </w:tc>
        <w:tc>
          <w:tcPr>
            <w:tcW w:w="0" w:type="dxa"/>
            <w:vAlign w:val="bottom"/>
          </w:tcPr>
          <w:p>
            <w:pPr>
              <w:spacing w:after="0"/>
              <w:rPr>
                <w:sz w:val="1"/>
                <w:szCs w:val="1"/>
                <w:color w:val="auto"/>
              </w:rPr>
            </w:pPr>
          </w:p>
        </w:tc>
      </w:tr>
      <w:tr>
        <w:trPr>
          <w:trHeight w:val="125"/>
        </w:trPr>
        <w:tc>
          <w:tcPr>
            <w:tcW w:w="1960" w:type="dxa"/>
            <w:vAlign w:val="bottom"/>
            <w:vMerge w:val="continue"/>
            <w:shd w:val="clear" w:color="auto" w:fill="050A54"/>
          </w:tcPr>
          <w:p>
            <w:pPr>
              <w:spacing w:after="0"/>
              <w:rPr>
                <w:sz w:val="10"/>
                <w:szCs w:val="10"/>
                <w:color w:val="auto"/>
              </w:rPr>
            </w:pPr>
          </w:p>
        </w:tc>
        <w:tc>
          <w:tcPr>
            <w:tcW w:w="2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20" w:type="dxa"/>
            <w:vAlign w:val="bottom"/>
            <w:vMerge w:val="restart"/>
          </w:tcPr>
          <w:p>
            <w:pPr>
              <w:ind w:left="40"/>
              <w:spacing w:after="0" w:line="179" w:lineRule="exact"/>
              <w:rPr>
                <w:sz w:val="20"/>
                <w:szCs w:val="20"/>
                <w:color w:val="auto"/>
              </w:rPr>
            </w:pPr>
            <w:r>
              <w:rPr>
                <w:rFonts w:ascii="Arial" w:cs="Arial" w:eastAsia="Arial" w:hAnsi="Arial"/>
                <w:sz w:val="18"/>
                <w:szCs w:val="18"/>
                <w:color w:val="auto"/>
              </w:rPr>
              <w:t>Development</w:t>
            </w:r>
          </w:p>
        </w:tc>
        <w:tc>
          <w:tcPr>
            <w:tcW w:w="440" w:type="dxa"/>
            <w:vAlign w:val="bottom"/>
            <w:vMerge w:val="continue"/>
          </w:tcPr>
          <w:p>
            <w:pPr>
              <w:spacing w:after="0"/>
              <w:rPr>
                <w:sz w:val="10"/>
                <w:szCs w:val="10"/>
                <w:color w:val="auto"/>
              </w:rPr>
            </w:pPr>
          </w:p>
        </w:tc>
        <w:tc>
          <w:tcPr>
            <w:tcW w:w="2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960" w:type="dxa"/>
            <w:vAlign w:val="bottom"/>
            <w:shd w:val="clear" w:color="auto" w:fill="050A54"/>
          </w:tcPr>
          <w:p>
            <w:pPr>
              <w:spacing w:after="0"/>
              <w:rPr>
                <w:sz w:val="4"/>
                <w:szCs w:val="4"/>
                <w:color w:val="auto"/>
              </w:rPr>
            </w:pPr>
          </w:p>
        </w:tc>
        <w:tc>
          <w:tcPr>
            <w:tcW w:w="2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2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2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1960" w:type="dxa"/>
            <w:vAlign w:val="bottom"/>
            <w:shd w:val="clear" w:color="auto" w:fill="050A54"/>
          </w:tcPr>
          <w:p>
            <w:pPr>
              <w:spacing w:after="0"/>
              <w:rPr>
                <w:sz w:val="19"/>
                <w:szCs w:val="19"/>
                <w:color w:val="auto"/>
              </w:rPr>
            </w:pPr>
          </w:p>
        </w:tc>
        <w:tc>
          <w:tcPr>
            <w:tcW w:w="2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20" w:type="dxa"/>
            <w:vAlign w:val="bottom"/>
            <w:vMerge w:val="restart"/>
          </w:tcPr>
          <w:p>
            <w:pPr>
              <w:ind w:left="320"/>
              <w:spacing w:after="0"/>
              <w:rPr>
                <w:sz w:val="20"/>
                <w:szCs w:val="20"/>
                <w:color w:val="auto"/>
              </w:rPr>
            </w:pPr>
            <w:r>
              <w:rPr>
                <w:rFonts w:ascii="Arial" w:cs="Arial" w:eastAsia="Arial" w:hAnsi="Arial"/>
                <w:sz w:val="18"/>
                <w:szCs w:val="18"/>
                <w:color w:val="auto"/>
              </w:rPr>
              <w:t>•</w:t>
            </w:r>
          </w:p>
        </w:tc>
        <w:tc>
          <w:tcPr>
            <w:tcW w:w="2620" w:type="dxa"/>
            <w:vAlign w:val="bottom"/>
            <w:vMerge w:val="restart"/>
          </w:tcPr>
          <w:p>
            <w:pPr>
              <w:ind w:left="60"/>
              <w:spacing w:after="0"/>
              <w:rPr>
                <w:sz w:val="20"/>
                <w:szCs w:val="20"/>
                <w:color w:val="auto"/>
              </w:rPr>
            </w:pPr>
            <w:r>
              <w:rPr>
                <w:rFonts w:ascii="Arial" w:cs="Arial" w:eastAsia="Arial" w:hAnsi="Arial"/>
                <w:sz w:val="18"/>
                <w:szCs w:val="18"/>
                <w:color w:val="auto"/>
              </w:rPr>
              <w:t>Employee Volunteering</w:t>
            </w:r>
          </w:p>
        </w:tc>
        <w:tc>
          <w:tcPr>
            <w:tcW w:w="440" w:type="dxa"/>
            <w:vAlign w:val="bottom"/>
          </w:tcPr>
          <w:p>
            <w:pPr>
              <w:spacing w:after="0"/>
              <w:rPr>
                <w:sz w:val="19"/>
                <w:szCs w:val="19"/>
                <w:color w:val="auto"/>
              </w:rPr>
            </w:pPr>
          </w:p>
        </w:tc>
        <w:tc>
          <w:tcPr>
            <w:tcW w:w="2840" w:type="dxa"/>
            <w:vAlign w:val="bottom"/>
          </w:tcPr>
          <w:p>
            <w:pPr>
              <w:ind w:left="40"/>
              <w:spacing w:after="0"/>
              <w:rPr>
                <w:sz w:val="20"/>
                <w:szCs w:val="20"/>
                <w:color w:val="auto"/>
              </w:rPr>
            </w:pPr>
            <w:r>
              <w:rPr>
                <w:rFonts w:ascii="Arial" w:cs="Arial" w:eastAsia="Arial" w:hAnsi="Arial"/>
                <w:sz w:val="18"/>
                <w:szCs w:val="18"/>
                <w:color w:val="auto"/>
              </w:rPr>
              <w:t>and Inclusion</w:t>
            </w:r>
          </w:p>
        </w:tc>
        <w:tc>
          <w:tcPr>
            <w:tcW w:w="0" w:type="dxa"/>
            <w:vAlign w:val="bottom"/>
          </w:tcPr>
          <w:p>
            <w:pPr>
              <w:spacing w:after="0"/>
              <w:rPr>
                <w:sz w:val="1"/>
                <w:szCs w:val="1"/>
                <w:color w:val="auto"/>
              </w:rPr>
            </w:pPr>
          </w:p>
        </w:tc>
      </w:tr>
      <w:tr>
        <w:trPr>
          <w:trHeight w:val="75"/>
        </w:trPr>
        <w:tc>
          <w:tcPr>
            <w:tcW w:w="1960" w:type="dxa"/>
            <w:vAlign w:val="bottom"/>
            <w:shd w:val="clear" w:color="auto" w:fill="050A54"/>
          </w:tcPr>
          <w:p>
            <w:pPr>
              <w:spacing w:after="0"/>
              <w:rPr>
                <w:sz w:val="6"/>
                <w:szCs w:val="6"/>
                <w:color w:val="auto"/>
              </w:rPr>
            </w:pPr>
          </w:p>
        </w:tc>
        <w:tc>
          <w:tcPr>
            <w:tcW w:w="2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2620" w:type="dxa"/>
            <w:vAlign w:val="bottom"/>
            <w:vMerge w:val="continue"/>
          </w:tcPr>
          <w:p>
            <w:pPr>
              <w:spacing w:after="0"/>
              <w:rPr>
                <w:sz w:val="6"/>
                <w:szCs w:val="6"/>
                <w:color w:val="auto"/>
              </w:rPr>
            </w:pPr>
          </w:p>
        </w:tc>
        <w:tc>
          <w:tcPr>
            <w:tcW w:w="3280" w:type="dxa"/>
            <w:vAlign w:val="bottom"/>
            <w:gridSpan w:val="2"/>
            <w:vMerge w:val="restart"/>
          </w:tcPr>
          <w:p>
            <w:pPr>
              <w:ind w:left="340"/>
              <w:spacing w:after="0"/>
              <w:rPr>
                <w:sz w:val="20"/>
                <w:szCs w:val="20"/>
                <w:color w:val="auto"/>
              </w:rPr>
            </w:pPr>
            <w:r>
              <w:rPr>
                <w:rFonts w:ascii="Arial" w:cs="Arial" w:eastAsia="Arial" w:hAnsi="Arial"/>
                <w:sz w:val="18"/>
                <w:szCs w:val="18"/>
                <w:color w:val="auto"/>
              </w:rPr>
              <w:t>• Employee Engagement</w:t>
            </w:r>
          </w:p>
        </w:tc>
        <w:tc>
          <w:tcPr>
            <w:tcW w:w="0" w:type="dxa"/>
            <w:vAlign w:val="bottom"/>
          </w:tcPr>
          <w:p>
            <w:pPr>
              <w:spacing w:after="0"/>
              <w:rPr>
                <w:sz w:val="1"/>
                <w:szCs w:val="1"/>
                <w:color w:val="auto"/>
              </w:rPr>
            </w:pPr>
          </w:p>
        </w:tc>
      </w:tr>
      <w:tr>
        <w:trPr>
          <w:trHeight w:val="160"/>
        </w:trPr>
        <w:tc>
          <w:tcPr>
            <w:tcW w:w="1960" w:type="dxa"/>
            <w:vAlign w:val="bottom"/>
            <w:shd w:val="clear" w:color="auto" w:fill="050A54"/>
          </w:tcPr>
          <w:p>
            <w:pPr>
              <w:spacing w:after="0"/>
              <w:rPr>
                <w:sz w:val="13"/>
                <w:szCs w:val="13"/>
                <w:color w:val="auto"/>
              </w:rPr>
            </w:pPr>
          </w:p>
        </w:tc>
        <w:tc>
          <w:tcPr>
            <w:tcW w:w="2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420" w:type="dxa"/>
            <w:vAlign w:val="bottom"/>
            <w:vMerge w:val="restart"/>
          </w:tcPr>
          <w:p>
            <w:pPr>
              <w:ind w:left="320"/>
              <w:spacing w:after="0"/>
              <w:rPr>
                <w:sz w:val="20"/>
                <w:szCs w:val="20"/>
                <w:color w:val="auto"/>
              </w:rPr>
            </w:pPr>
            <w:r>
              <w:rPr>
                <w:rFonts w:ascii="Arial" w:cs="Arial" w:eastAsia="Arial" w:hAnsi="Arial"/>
                <w:sz w:val="18"/>
                <w:szCs w:val="18"/>
                <w:color w:val="auto"/>
              </w:rPr>
              <w:t>•</w:t>
            </w:r>
          </w:p>
        </w:tc>
        <w:tc>
          <w:tcPr>
            <w:tcW w:w="2620" w:type="dxa"/>
            <w:vAlign w:val="bottom"/>
            <w:vMerge w:val="restart"/>
          </w:tcPr>
          <w:p>
            <w:pPr>
              <w:ind w:left="60"/>
              <w:spacing w:after="0"/>
              <w:rPr>
                <w:sz w:val="20"/>
                <w:szCs w:val="20"/>
                <w:color w:val="auto"/>
              </w:rPr>
            </w:pPr>
            <w:r>
              <w:rPr>
                <w:rFonts w:ascii="Arial" w:cs="Arial" w:eastAsia="Arial" w:hAnsi="Arial"/>
                <w:sz w:val="18"/>
                <w:szCs w:val="18"/>
                <w:color w:val="auto"/>
              </w:rPr>
              <w:t>Corporate Giving</w:t>
            </w:r>
          </w:p>
        </w:tc>
        <w:tc>
          <w:tcPr>
            <w:tcW w:w="32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960" w:type="dxa"/>
            <w:vAlign w:val="bottom"/>
            <w:shd w:val="clear" w:color="auto" w:fill="050A54"/>
          </w:tcPr>
          <w:p>
            <w:pPr>
              <w:spacing w:after="0"/>
              <w:rPr>
                <w:sz w:val="6"/>
                <w:szCs w:val="6"/>
                <w:color w:val="auto"/>
              </w:rPr>
            </w:pPr>
          </w:p>
        </w:tc>
        <w:tc>
          <w:tcPr>
            <w:tcW w:w="2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262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2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1960" w:type="dxa"/>
            <w:vAlign w:val="bottom"/>
            <w:shd w:val="clear" w:color="auto" w:fill="050A54"/>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20" w:type="dxa"/>
            <w:vAlign w:val="bottom"/>
          </w:tcPr>
          <w:p>
            <w:pPr>
              <w:ind w:left="320"/>
              <w:spacing w:after="0"/>
              <w:rPr>
                <w:sz w:val="20"/>
                <w:szCs w:val="20"/>
                <w:color w:val="auto"/>
              </w:rPr>
            </w:pPr>
            <w:r>
              <w:rPr>
                <w:rFonts w:ascii="Arial" w:cs="Arial" w:eastAsia="Arial" w:hAnsi="Arial"/>
                <w:sz w:val="18"/>
                <w:szCs w:val="18"/>
                <w:color w:val="auto"/>
              </w:rPr>
              <w:t>•</w:t>
            </w:r>
          </w:p>
        </w:tc>
        <w:tc>
          <w:tcPr>
            <w:tcW w:w="2620" w:type="dxa"/>
            <w:vAlign w:val="bottom"/>
          </w:tcPr>
          <w:p>
            <w:pPr>
              <w:ind w:left="60"/>
              <w:spacing w:after="0"/>
              <w:rPr>
                <w:sz w:val="20"/>
                <w:szCs w:val="20"/>
                <w:color w:val="auto"/>
              </w:rPr>
            </w:pPr>
            <w:r>
              <w:rPr>
                <w:rFonts w:ascii="Arial" w:cs="Arial" w:eastAsia="Arial" w:hAnsi="Arial"/>
                <w:sz w:val="18"/>
                <w:szCs w:val="18"/>
                <w:color w:val="auto"/>
              </w:rPr>
              <w:t>Service Affordability</w:t>
            </w:r>
          </w:p>
        </w:tc>
        <w:tc>
          <w:tcPr>
            <w:tcW w:w="4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1960" w:type="dxa"/>
            <w:vAlign w:val="bottom"/>
            <w:shd w:val="clear" w:color="auto" w:fill="050A54"/>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1960" w:type="dxa"/>
            <w:vAlign w:val="bottom"/>
            <w:shd w:val="clear" w:color="auto" w:fill="050A54"/>
          </w:tcPr>
          <w:p>
            <w:pPr>
              <w:spacing w:after="0"/>
              <w:rPr>
                <w:sz w:val="24"/>
                <w:szCs w:val="24"/>
                <w:color w:val="auto"/>
              </w:rPr>
            </w:pPr>
          </w:p>
        </w:tc>
        <w:tc>
          <w:tcPr>
            <w:tcW w:w="220" w:type="dxa"/>
            <w:vAlign w:val="bottom"/>
            <w:shd w:val="clear" w:color="auto" w:fill="F2F2F2"/>
          </w:tcPr>
          <w:p>
            <w:pPr>
              <w:spacing w:after="0"/>
              <w:rPr>
                <w:sz w:val="24"/>
                <w:szCs w:val="24"/>
                <w:color w:val="auto"/>
              </w:rPr>
            </w:pPr>
          </w:p>
        </w:tc>
        <w:tc>
          <w:tcPr>
            <w:tcW w:w="2420" w:type="dxa"/>
            <w:vAlign w:val="bottom"/>
            <w:shd w:val="clear" w:color="auto" w:fill="F2F2F2"/>
          </w:tcPr>
          <w:p>
            <w:pPr>
              <w:spacing w:after="0"/>
              <w:rPr>
                <w:sz w:val="24"/>
                <w:szCs w:val="24"/>
                <w:color w:val="auto"/>
              </w:rPr>
            </w:pPr>
          </w:p>
        </w:tc>
        <w:tc>
          <w:tcPr>
            <w:tcW w:w="420" w:type="dxa"/>
            <w:vAlign w:val="bottom"/>
            <w:shd w:val="clear" w:color="auto" w:fill="F2F2F2"/>
          </w:tcPr>
          <w:p>
            <w:pPr>
              <w:ind w:left="320"/>
              <w:spacing w:after="0"/>
              <w:rPr>
                <w:sz w:val="20"/>
                <w:szCs w:val="20"/>
                <w:color w:val="auto"/>
              </w:rPr>
            </w:pPr>
            <w:r>
              <w:rPr>
                <w:rFonts w:ascii="Arial" w:cs="Arial" w:eastAsia="Arial" w:hAnsi="Arial"/>
                <w:sz w:val="18"/>
                <w:szCs w:val="18"/>
                <w:color w:val="auto"/>
              </w:rPr>
              <w:t>•</w:t>
            </w:r>
          </w:p>
        </w:tc>
        <w:tc>
          <w:tcPr>
            <w:tcW w:w="2620" w:type="dxa"/>
            <w:vAlign w:val="bottom"/>
            <w:shd w:val="clear" w:color="auto" w:fill="F2F2F2"/>
          </w:tcPr>
          <w:p>
            <w:pPr>
              <w:ind w:left="40"/>
              <w:spacing w:after="0"/>
              <w:rPr>
                <w:sz w:val="20"/>
                <w:szCs w:val="20"/>
                <w:color w:val="auto"/>
              </w:rPr>
            </w:pPr>
            <w:r>
              <w:rPr>
                <w:rFonts w:ascii="Arial" w:cs="Arial" w:eastAsia="Arial" w:hAnsi="Arial"/>
                <w:sz w:val="18"/>
                <w:szCs w:val="18"/>
                <w:color w:val="auto"/>
              </w:rPr>
              <w:t>Anti-Competitive Practice</w:t>
            </w:r>
          </w:p>
        </w:tc>
        <w:tc>
          <w:tcPr>
            <w:tcW w:w="440" w:type="dxa"/>
            <w:vAlign w:val="bottom"/>
            <w:shd w:val="clear" w:color="auto" w:fill="F2F2F2"/>
          </w:tcPr>
          <w:p>
            <w:pPr>
              <w:ind w:left="340"/>
              <w:spacing w:after="0"/>
              <w:rPr>
                <w:sz w:val="20"/>
                <w:szCs w:val="20"/>
                <w:color w:val="auto"/>
              </w:rPr>
            </w:pPr>
            <w:r>
              <w:rPr>
                <w:rFonts w:ascii="Arial" w:cs="Arial" w:eastAsia="Arial" w:hAnsi="Arial"/>
                <w:sz w:val="18"/>
                <w:szCs w:val="18"/>
                <w:color w:val="auto"/>
              </w:rPr>
              <w:t>•</w:t>
            </w:r>
          </w:p>
        </w:tc>
        <w:tc>
          <w:tcPr>
            <w:tcW w:w="2840" w:type="dxa"/>
            <w:vAlign w:val="bottom"/>
            <w:shd w:val="clear" w:color="auto" w:fill="F2F2F2"/>
          </w:tcPr>
          <w:p>
            <w:pPr>
              <w:ind w:left="60"/>
              <w:spacing w:after="0"/>
              <w:rPr>
                <w:sz w:val="20"/>
                <w:szCs w:val="20"/>
                <w:color w:val="auto"/>
              </w:rPr>
            </w:pPr>
            <w:r>
              <w:rPr>
                <w:rFonts w:ascii="Arial" w:cs="Arial" w:eastAsia="Arial" w:hAnsi="Arial"/>
                <w:sz w:val="18"/>
                <w:szCs w:val="18"/>
                <w:color w:val="auto"/>
              </w:rPr>
              <w:t>Sustainable Investing</w:t>
            </w:r>
          </w:p>
        </w:tc>
        <w:tc>
          <w:tcPr>
            <w:tcW w:w="0" w:type="dxa"/>
            <w:vAlign w:val="bottom"/>
          </w:tcPr>
          <w:p>
            <w:pPr>
              <w:spacing w:after="0"/>
              <w:rPr>
                <w:sz w:val="1"/>
                <w:szCs w:val="1"/>
                <w:color w:val="auto"/>
              </w:rPr>
            </w:pPr>
          </w:p>
        </w:tc>
      </w:tr>
      <w:tr>
        <w:trPr>
          <w:trHeight w:val="241"/>
        </w:trPr>
        <w:tc>
          <w:tcPr>
            <w:tcW w:w="1960" w:type="dxa"/>
            <w:vAlign w:val="bottom"/>
            <w:shd w:val="clear" w:color="auto" w:fill="050A54"/>
          </w:tcPr>
          <w:p>
            <w:pPr>
              <w:spacing w:after="0"/>
              <w:rPr>
                <w:sz w:val="20"/>
                <w:szCs w:val="20"/>
                <w:color w:val="auto"/>
              </w:rPr>
            </w:pPr>
          </w:p>
        </w:tc>
        <w:tc>
          <w:tcPr>
            <w:tcW w:w="220" w:type="dxa"/>
            <w:vAlign w:val="bottom"/>
            <w:shd w:val="clear" w:color="auto" w:fill="F2F2F2"/>
          </w:tcPr>
          <w:p>
            <w:pPr>
              <w:spacing w:after="0"/>
              <w:rPr>
                <w:sz w:val="20"/>
                <w:szCs w:val="20"/>
                <w:color w:val="auto"/>
              </w:rPr>
            </w:pPr>
          </w:p>
        </w:tc>
        <w:tc>
          <w:tcPr>
            <w:tcW w:w="2420" w:type="dxa"/>
            <w:vAlign w:val="bottom"/>
            <w:shd w:val="clear" w:color="auto" w:fill="F2F2F2"/>
          </w:tcPr>
          <w:p>
            <w:pPr>
              <w:spacing w:after="0"/>
              <w:rPr>
                <w:sz w:val="20"/>
                <w:szCs w:val="20"/>
                <w:color w:val="auto"/>
              </w:rPr>
            </w:pPr>
          </w:p>
        </w:tc>
        <w:tc>
          <w:tcPr>
            <w:tcW w:w="420" w:type="dxa"/>
            <w:vAlign w:val="bottom"/>
            <w:shd w:val="clear" w:color="auto" w:fill="F2F2F2"/>
          </w:tcPr>
          <w:p>
            <w:pPr>
              <w:spacing w:after="0"/>
              <w:rPr>
                <w:sz w:val="20"/>
                <w:szCs w:val="20"/>
                <w:color w:val="auto"/>
              </w:rPr>
            </w:pPr>
          </w:p>
        </w:tc>
        <w:tc>
          <w:tcPr>
            <w:tcW w:w="2620" w:type="dxa"/>
            <w:vAlign w:val="bottom"/>
            <w:shd w:val="clear" w:color="auto" w:fill="F2F2F2"/>
          </w:tcPr>
          <w:p>
            <w:pPr>
              <w:ind w:left="40"/>
              <w:spacing w:after="0"/>
              <w:rPr>
                <w:sz w:val="20"/>
                <w:szCs w:val="20"/>
                <w:color w:val="auto"/>
              </w:rPr>
            </w:pPr>
            <w:r>
              <w:rPr>
                <w:rFonts w:ascii="Arial" w:cs="Arial" w:eastAsia="Arial" w:hAnsi="Arial"/>
                <w:sz w:val="18"/>
                <w:szCs w:val="18"/>
                <w:color w:val="auto"/>
              </w:rPr>
              <w:t>Prevention</w:t>
            </w:r>
          </w:p>
        </w:tc>
        <w:tc>
          <w:tcPr>
            <w:tcW w:w="440" w:type="dxa"/>
            <w:vAlign w:val="bottom"/>
            <w:shd w:val="clear" w:color="auto" w:fill="F2F2F2"/>
          </w:tcPr>
          <w:p>
            <w:pPr>
              <w:ind w:left="340"/>
              <w:spacing w:after="0"/>
              <w:rPr>
                <w:sz w:val="20"/>
                <w:szCs w:val="20"/>
                <w:color w:val="auto"/>
              </w:rPr>
            </w:pPr>
            <w:r>
              <w:rPr>
                <w:rFonts w:ascii="Arial" w:cs="Arial" w:eastAsia="Arial" w:hAnsi="Arial"/>
                <w:sz w:val="18"/>
                <w:szCs w:val="18"/>
                <w:color w:val="auto"/>
              </w:rPr>
              <w:t>•</w:t>
            </w:r>
          </w:p>
        </w:tc>
        <w:tc>
          <w:tcPr>
            <w:tcW w:w="2840" w:type="dxa"/>
            <w:vAlign w:val="bottom"/>
            <w:shd w:val="clear" w:color="auto" w:fill="F2F2F2"/>
          </w:tcPr>
          <w:p>
            <w:pPr>
              <w:ind w:left="60"/>
              <w:spacing w:after="0"/>
              <w:rPr>
                <w:sz w:val="20"/>
                <w:szCs w:val="20"/>
                <w:color w:val="auto"/>
              </w:rPr>
            </w:pPr>
            <w:r>
              <w:rPr>
                <w:rFonts w:ascii="Arial" w:cs="Arial" w:eastAsia="Arial" w:hAnsi="Arial"/>
                <w:sz w:val="18"/>
                <w:szCs w:val="18"/>
                <w:color w:val="auto"/>
              </w:rPr>
              <w:t>Board Diversity</w:t>
            </w:r>
          </w:p>
        </w:tc>
        <w:tc>
          <w:tcPr>
            <w:tcW w:w="0" w:type="dxa"/>
            <w:vAlign w:val="bottom"/>
          </w:tcPr>
          <w:p>
            <w:pPr>
              <w:spacing w:after="0"/>
              <w:rPr>
                <w:sz w:val="1"/>
                <w:szCs w:val="1"/>
                <w:color w:val="auto"/>
              </w:rPr>
            </w:pPr>
          </w:p>
        </w:tc>
      </w:tr>
      <w:tr>
        <w:trPr>
          <w:trHeight w:val="241"/>
        </w:trPr>
        <w:tc>
          <w:tcPr>
            <w:tcW w:w="1960" w:type="dxa"/>
            <w:vAlign w:val="bottom"/>
            <w:shd w:val="clear" w:color="auto" w:fill="050A54"/>
          </w:tcPr>
          <w:p>
            <w:pPr>
              <w:spacing w:after="0"/>
              <w:rPr>
                <w:sz w:val="20"/>
                <w:szCs w:val="20"/>
                <w:color w:val="auto"/>
              </w:rPr>
            </w:pPr>
          </w:p>
        </w:tc>
        <w:tc>
          <w:tcPr>
            <w:tcW w:w="220" w:type="dxa"/>
            <w:vAlign w:val="bottom"/>
            <w:shd w:val="clear" w:color="auto" w:fill="F2F2F2"/>
          </w:tcPr>
          <w:p>
            <w:pPr>
              <w:spacing w:after="0"/>
              <w:rPr>
                <w:sz w:val="20"/>
                <w:szCs w:val="20"/>
                <w:color w:val="auto"/>
              </w:rPr>
            </w:pPr>
          </w:p>
        </w:tc>
        <w:tc>
          <w:tcPr>
            <w:tcW w:w="2420" w:type="dxa"/>
            <w:vAlign w:val="bottom"/>
            <w:shd w:val="clear" w:color="auto" w:fill="F2F2F2"/>
          </w:tcPr>
          <w:p>
            <w:pPr>
              <w:spacing w:after="0"/>
              <w:rPr>
                <w:sz w:val="20"/>
                <w:szCs w:val="20"/>
                <w:color w:val="auto"/>
              </w:rPr>
            </w:pPr>
          </w:p>
        </w:tc>
        <w:tc>
          <w:tcPr>
            <w:tcW w:w="420" w:type="dxa"/>
            <w:vAlign w:val="bottom"/>
            <w:shd w:val="clear" w:color="auto" w:fill="F2F2F2"/>
          </w:tcPr>
          <w:p>
            <w:pPr>
              <w:ind w:left="320"/>
              <w:spacing w:after="0"/>
              <w:rPr>
                <w:sz w:val="20"/>
                <w:szCs w:val="20"/>
                <w:color w:val="auto"/>
              </w:rPr>
            </w:pPr>
            <w:r>
              <w:rPr>
                <w:rFonts w:ascii="Arial" w:cs="Arial" w:eastAsia="Arial" w:hAnsi="Arial"/>
                <w:sz w:val="18"/>
                <w:szCs w:val="18"/>
                <w:color w:val="auto"/>
              </w:rPr>
              <w:t>•</w:t>
            </w:r>
          </w:p>
        </w:tc>
        <w:tc>
          <w:tcPr>
            <w:tcW w:w="2620" w:type="dxa"/>
            <w:vAlign w:val="bottom"/>
            <w:shd w:val="clear" w:color="auto" w:fill="F2F2F2"/>
          </w:tcPr>
          <w:p>
            <w:pPr>
              <w:ind w:left="60"/>
              <w:spacing w:after="0"/>
              <w:rPr>
                <w:sz w:val="20"/>
                <w:szCs w:val="20"/>
                <w:color w:val="auto"/>
              </w:rPr>
            </w:pPr>
            <w:r>
              <w:rPr>
                <w:rFonts w:ascii="Arial" w:cs="Arial" w:eastAsia="Arial" w:hAnsi="Arial"/>
                <w:sz w:val="18"/>
                <w:szCs w:val="18"/>
                <w:color w:val="auto"/>
              </w:rPr>
              <w:t>Executive Compensation</w:t>
            </w:r>
          </w:p>
        </w:tc>
        <w:tc>
          <w:tcPr>
            <w:tcW w:w="440" w:type="dxa"/>
            <w:vAlign w:val="bottom"/>
            <w:shd w:val="clear" w:color="auto" w:fill="F2F2F2"/>
          </w:tcPr>
          <w:p>
            <w:pPr>
              <w:ind w:left="340"/>
              <w:spacing w:after="0"/>
              <w:rPr>
                <w:sz w:val="20"/>
                <w:szCs w:val="20"/>
                <w:color w:val="auto"/>
              </w:rPr>
            </w:pPr>
            <w:r>
              <w:rPr>
                <w:rFonts w:ascii="Arial" w:cs="Arial" w:eastAsia="Arial" w:hAnsi="Arial"/>
                <w:sz w:val="18"/>
                <w:szCs w:val="18"/>
                <w:color w:val="auto"/>
              </w:rPr>
              <w:t>•</w:t>
            </w:r>
          </w:p>
        </w:tc>
        <w:tc>
          <w:tcPr>
            <w:tcW w:w="2840" w:type="dxa"/>
            <w:vAlign w:val="bottom"/>
            <w:shd w:val="clear" w:color="auto" w:fill="F2F2F2"/>
          </w:tcPr>
          <w:p>
            <w:pPr>
              <w:ind w:left="60"/>
              <w:spacing w:after="0"/>
              <w:rPr>
                <w:sz w:val="20"/>
                <w:szCs w:val="20"/>
                <w:color w:val="auto"/>
              </w:rPr>
            </w:pPr>
            <w:r>
              <w:rPr>
                <w:rFonts w:ascii="Arial" w:cs="Arial" w:eastAsia="Arial" w:hAnsi="Arial"/>
                <w:sz w:val="18"/>
                <w:szCs w:val="18"/>
                <w:color w:val="auto"/>
              </w:rPr>
              <w:t>Legal and Regulatory</w:t>
            </w:r>
          </w:p>
        </w:tc>
        <w:tc>
          <w:tcPr>
            <w:tcW w:w="0" w:type="dxa"/>
            <w:vAlign w:val="bottom"/>
          </w:tcPr>
          <w:p>
            <w:pPr>
              <w:spacing w:after="0"/>
              <w:rPr>
                <w:sz w:val="1"/>
                <w:szCs w:val="1"/>
                <w:color w:val="auto"/>
              </w:rPr>
            </w:pPr>
          </w:p>
        </w:tc>
      </w:tr>
      <w:tr>
        <w:trPr>
          <w:trHeight w:val="235"/>
        </w:trPr>
        <w:tc>
          <w:tcPr>
            <w:tcW w:w="1960" w:type="dxa"/>
            <w:vAlign w:val="bottom"/>
            <w:shd w:val="clear" w:color="auto" w:fill="050A54"/>
          </w:tcPr>
          <w:p>
            <w:pPr>
              <w:spacing w:after="0"/>
              <w:rPr>
                <w:sz w:val="20"/>
                <w:szCs w:val="20"/>
                <w:color w:val="auto"/>
              </w:rPr>
            </w:pPr>
          </w:p>
        </w:tc>
        <w:tc>
          <w:tcPr>
            <w:tcW w:w="220" w:type="dxa"/>
            <w:vAlign w:val="bottom"/>
            <w:shd w:val="clear" w:color="auto" w:fill="F2F2F2"/>
          </w:tcPr>
          <w:p>
            <w:pPr>
              <w:spacing w:after="0"/>
              <w:rPr>
                <w:sz w:val="20"/>
                <w:szCs w:val="20"/>
                <w:color w:val="auto"/>
              </w:rPr>
            </w:pPr>
          </w:p>
        </w:tc>
        <w:tc>
          <w:tcPr>
            <w:tcW w:w="2420" w:type="dxa"/>
            <w:vAlign w:val="bottom"/>
            <w:shd w:val="clear" w:color="auto" w:fill="F2F2F2"/>
          </w:tcPr>
          <w:p>
            <w:pPr>
              <w:spacing w:after="0"/>
              <w:rPr>
                <w:sz w:val="20"/>
                <w:szCs w:val="20"/>
                <w:color w:val="auto"/>
              </w:rPr>
            </w:pPr>
          </w:p>
        </w:tc>
        <w:tc>
          <w:tcPr>
            <w:tcW w:w="420" w:type="dxa"/>
            <w:vAlign w:val="bottom"/>
            <w:shd w:val="clear" w:color="auto" w:fill="F2F2F2"/>
          </w:tcPr>
          <w:p>
            <w:pPr>
              <w:spacing w:after="0"/>
              <w:rPr>
                <w:sz w:val="20"/>
                <w:szCs w:val="20"/>
                <w:color w:val="auto"/>
              </w:rPr>
            </w:pPr>
          </w:p>
        </w:tc>
        <w:tc>
          <w:tcPr>
            <w:tcW w:w="2620" w:type="dxa"/>
            <w:vAlign w:val="bottom"/>
            <w:shd w:val="clear" w:color="auto" w:fill="F2F2F2"/>
          </w:tcPr>
          <w:p>
            <w:pPr>
              <w:spacing w:after="0"/>
              <w:rPr>
                <w:sz w:val="20"/>
                <w:szCs w:val="20"/>
                <w:color w:val="auto"/>
              </w:rPr>
            </w:pPr>
          </w:p>
        </w:tc>
        <w:tc>
          <w:tcPr>
            <w:tcW w:w="440" w:type="dxa"/>
            <w:vAlign w:val="bottom"/>
            <w:shd w:val="clear" w:color="auto" w:fill="F2F2F2"/>
          </w:tcPr>
          <w:p>
            <w:pPr>
              <w:spacing w:after="0"/>
              <w:rPr>
                <w:sz w:val="20"/>
                <w:szCs w:val="20"/>
                <w:color w:val="auto"/>
              </w:rPr>
            </w:pPr>
          </w:p>
        </w:tc>
        <w:tc>
          <w:tcPr>
            <w:tcW w:w="2840" w:type="dxa"/>
            <w:vAlign w:val="bottom"/>
            <w:shd w:val="clear" w:color="auto" w:fill="F2F2F2"/>
          </w:tcPr>
          <w:p>
            <w:pPr>
              <w:ind w:left="40"/>
              <w:spacing w:after="0"/>
              <w:rPr>
                <w:sz w:val="20"/>
                <w:szCs w:val="20"/>
                <w:color w:val="auto"/>
              </w:rPr>
            </w:pPr>
            <w:r>
              <w:rPr>
                <w:rFonts w:ascii="Arial" w:cs="Arial" w:eastAsia="Arial" w:hAnsi="Arial"/>
                <w:sz w:val="18"/>
                <w:szCs w:val="18"/>
                <w:color w:val="auto"/>
              </w:rPr>
              <w:t>Compliance</w:t>
            </w:r>
          </w:p>
        </w:tc>
        <w:tc>
          <w:tcPr>
            <w:tcW w:w="0" w:type="dxa"/>
            <w:vAlign w:val="bottom"/>
          </w:tcPr>
          <w:p>
            <w:pPr>
              <w:spacing w:after="0"/>
              <w:rPr>
                <w:sz w:val="1"/>
                <w:szCs w:val="1"/>
                <w:color w:val="auto"/>
              </w:rPr>
            </w:pPr>
          </w:p>
        </w:tc>
      </w:tr>
      <w:tr>
        <w:trPr>
          <w:trHeight w:val="206"/>
        </w:trPr>
        <w:tc>
          <w:tcPr>
            <w:tcW w:w="1960" w:type="dxa"/>
            <w:vAlign w:val="bottom"/>
            <w:shd w:val="clear" w:color="auto" w:fill="050A54"/>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2420" w:type="dxa"/>
            <w:vAlign w:val="bottom"/>
            <w:shd w:val="clear" w:color="auto" w:fill="F2F2F2"/>
          </w:tcPr>
          <w:p>
            <w:pPr>
              <w:spacing w:after="0"/>
              <w:rPr>
                <w:sz w:val="17"/>
                <w:szCs w:val="17"/>
                <w:color w:val="auto"/>
              </w:rPr>
            </w:pPr>
          </w:p>
        </w:tc>
        <w:tc>
          <w:tcPr>
            <w:tcW w:w="420" w:type="dxa"/>
            <w:vAlign w:val="bottom"/>
            <w:shd w:val="clear" w:color="auto" w:fill="F2F2F2"/>
          </w:tcPr>
          <w:p>
            <w:pPr>
              <w:spacing w:after="0"/>
              <w:rPr>
                <w:sz w:val="17"/>
                <w:szCs w:val="17"/>
                <w:color w:val="auto"/>
              </w:rPr>
            </w:pPr>
          </w:p>
        </w:tc>
        <w:tc>
          <w:tcPr>
            <w:tcW w:w="2620" w:type="dxa"/>
            <w:vAlign w:val="bottom"/>
            <w:shd w:val="clear" w:color="auto" w:fill="F2F2F2"/>
          </w:tcPr>
          <w:p>
            <w:pPr>
              <w:spacing w:after="0"/>
              <w:rPr>
                <w:sz w:val="17"/>
                <w:szCs w:val="17"/>
                <w:color w:val="auto"/>
              </w:rPr>
            </w:pPr>
          </w:p>
        </w:tc>
        <w:tc>
          <w:tcPr>
            <w:tcW w:w="3280" w:type="dxa"/>
            <w:vAlign w:val="bottom"/>
            <w:gridSpan w:val="2"/>
            <w:shd w:val="clear" w:color="auto" w:fill="F2F2F2"/>
          </w:tcPr>
          <w:p>
            <w:pPr>
              <w:ind w:left="340"/>
              <w:spacing w:after="0"/>
              <w:rPr>
                <w:sz w:val="20"/>
                <w:szCs w:val="20"/>
                <w:color w:val="auto"/>
              </w:rPr>
            </w:pPr>
            <w:r>
              <w:rPr>
                <w:rFonts w:ascii="Arial" w:cs="Arial" w:eastAsia="Arial" w:hAnsi="Arial"/>
                <w:sz w:val="18"/>
                <w:szCs w:val="18"/>
                <w:color w:val="auto"/>
              </w:rPr>
              <w:t>• Corporate Governance and</w:t>
            </w:r>
          </w:p>
        </w:tc>
        <w:tc>
          <w:tcPr>
            <w:tcW w:w="0" w:type="dxa"/>
            <w:vAlign w:val="bottom"/>
          </w:tcPr>
          <w:p>
            <w:pPr>
              <w:spacing w:after="0"/>
              <w:rPr>
                <w:sz w:val="1"/>
                <w:szCs w:val="1"/>
                <w:color w:val="auto"/>
              </w:rPr>
            </w:pPr>
          </w:p>
        </w:tc>
      </w:tr>
      <w:tr>
        <w:trPr>
          <w:trHeight w:val="235"/>
        </w:trPr>
        <w:tc>
          <w:tcPr>
            <w:tcW w:w="1960" w:type="dxa"/>
            <w:vAlign w:val="bottom"/>
            <w:vMerge w:val="restart"/>
            <w:shd w:val="clear" w:color="auto" w:fill="050A54"/>
          </w:tcPr>
          <w:p>
            <w:pPr>
              <w:jc w:val="center"/>
              <w:ind w:left="31"/>
              <w:spacing w:after="0"/>
              <w:rPr>
                <w:sz w:val="20"/>
                <w:szCs w:val="20"/>
                <w:color w:val="auto"/>
              </w:rPr>
            </w:pPr>
            <w:r>
              <w:rPr>
                <w:rFonts w:ascii="Arial" w:cs="Arial" w:eastAsia="Arial" w:hAnsi="Arial"/>
                <w:sz w:val="18"/>
                <w:szCs w:val="18"/>
                <w:b w:val="1"/>
                <w:bCs w:val="1"/>
                <w:color w:val="FFFFFF"/>
                <w:w w:val="99"/>
              </w:rPr>
              <w:t>Governance</w:t>
            </w:r>
          </w:p>
        </w:tc>
        <w:tc>
          <w:tcPr>
            <w:tcW w:w="220" w:type="dxa"/>
            <w:vAlign w:val="bottom"/>
            <w:shd w:val="clear" w:color="auto" w:fill="F2F2F2"/>
          </w:tcPr>
          <w:p>
            <w:pPr>
              <w:spacing w:after="0"/>
              <w:rPr>
                <w:sz w:val="20"/>
                <w:szCs w:val="20"/>
                <w:color w:val="auto"/>
              </w:rPr>
            </w:pPr>
          </w:p>
        </w:tc>
        <w:tc>
          <w:tcPr>
            <w:tcW w:w="2420" w:type="dxa"/>
            <w:vAlign w:val="bottom"/>
            <w:shd w:val="clear" w:color="auto" w:fill="F2F2F2"/>
          </w:tcPr>
          <w:p>
            <w:pPr>
              <w:spacing w:after="0"/>
              <w:rPr>
                <w:sz w:val="20"/>
                <w:szCs w:val="20"/>
                <w:color w:val="auto"/>
              </w:rPr>
            </w:pPr>
          </w:p>
        </w:tc>
        <w:tc>
          <w:tcPr>
            <w:tcW w:w="420" w:type="dxa"/>
            <w:vAlign w:val="bottom"/>
            <w:shd w:val="clear" w:color="auto" w:fill="F2F2F2"/>
          </w:tcPr>
          <w:p>
            <w:pPr>
              <w:spacing w:after="0"/>
              <w:rPr>
                <w:sz w:val="20"/>
                <w:szCs w:val="20"/>
                <w:color w:val="auto"/>
              </w:rPr>
            </w:pPr>
          </w:p>
        </w:tc>
        <w:tc>
          <w:tcPr>
            <w:tcW w:w="2620" w:type="dxa"/>
            <w:vAlign w:val="bottom"/>
            <w:shd w:val="clear" w:color="auto" w:fill="F2F2F2"/>
          </w:tcPr>
          <w:p>
            <w:pPr>
              <w:spacing w:after="0"/>
              <w:rPr>
                <w:sz w:val="20"/>
                <w:szCs w:val="20"/>
                <w:color w:val="auto"/>
              </w:rPr>
            </w:pPr>
          </w:p>
        </w:tc>
        <w:tc>
          <w:tcPr>
            <w:tcW w:w="440" w:type="dxa"/>
            <w:vAlign w:val="bottom"/>
            <w:shd w:val="clear" w:color="auto" w:fill="F2F2F2"/>
          </w:tcPr>
          <w:p>
            <w:pPr>
              <w:spacing w:after="0"/>
              <w:rPr>
                <w:sz w:val="20"/>
                <w:szCs w:val="20"/>
                <w:color w:val="auto"/>
              </w:rPr>
            </w:pPr>
          </w:p>
        </w:tc>
        <w:tc>
          <w:tcPr>
            <w:tcW w:w="2840" w:type="dxa"/>
            <w:vAlign w:val="bottom"/>
            <w:shd w:val="clear" w:color="auto" w:fill="F2F2F2"/>
          </w:tcPr>
          <w:p>
            <w:pPr>
              <w:ind w:left="40"/>
              <w:spacing w:after="0"/>
              <w:rPr>
                <w:sz w:val="20"/>
                <w:szCs w:val="20"/>
                <w:color w:val="auto"/>
              </w:rPr>
            </w:pPr>
            <w:r>
              <w:rPr>
                <w:rFonts w:ascii="Arial" w:cs="Arial" w:eastAsia="Arial" w:hAnsi="Arial"/>
                <w:sz w:val="18"/>
                <w:szCs w:val="18"/>
                <w:color w:val="auto"/>
              </w:rPr>
              <w:t>Risk Management</w:t>
            </w:r>
          </w:p>
        </w:tc>
        <w:tc>
          <w:tcPr>
            <w:tcW w:w="0" w:type="dxa"/>
            <w:vAlign w:val="bottom"/>
          </w:tcPr>
          <w:p>
            <w:pPr>
              <w:spacing w:after="0"/>
              <w:rPr>
                <w:sz w:val="1"/>
                <w:szCs w:val="1"/>
                <w:color w:val="auto"/>
              </w:rPr>
            </w:pPr>
          </w:p>
        </w:tc>
      </w:tr>
      <w:tr>
        <w:trPr>
          <w:trHeight w:val="117"/>
        </w:trPr>
        <w:tc>
          <w:tcPr>
            <w:tcW w:w="1960" w:type="dxa"/>
            <w:vAlign w:val="bottom"/>
            <w:vMerge w:val="continue"/>
            <w:shd w:val="clear" w:color="auto" w:fill="050A54"/>
          </w:tcPr>
          <w:p>
            <w:pPr>
              <w:spacing w:after="0"/>
              <w:rPr>
                <w:sz w:val="10"/>
                <w:szCs w:val="10"/>
                <w:color w:val="auto"/>
              </w:rPr>
            </w:pPr>
          </w:p>
        </w:tc>
        <w:tc>
          <w:tcPr>
            <w:tcW w:w="220" w:type="dxa"/>
            <w:vAlign w:val="bottom"/>
            <w:shd w:val="clear" w:color="auto" w:fill="F2F2F2"/>
          </w:tcPr>
          <w:p>
            <w:pPr>
              <w:spacing w:after="0"/>
              <w:rPr>
                <w:sz w:val="10"/>
                <w:szCs w:val="10"/>
                <w:color w:val="auto"/>
              </w:rPr>
            </w:pPr>
          </w:p>
        </w:tc>
        <w:tc>
          <w:tcPr>
            <w:tcW w:w="2420" w:type="dxa"/>
            <w:vAlign w:val="bottom"/>
            <w:shd w:val="clear" w:color="auto" w:fill="F2F2F2"/>
          </w:tcPr>
          <w:p>
            <w:pPr>
              <w:spacing w:after="0"/>
              <w:rPr>
                <w:sz w:val="10"/>
                <w:szCs w:val="10"/>
                <w:color w:val="auto"/>
              </w:rPr>
            </w:pPr>
          </w:p>
        </w:tc>
        <w:tc>
          <w:tcPr>
            <w:tcW w:w="420" w:type="dxa"/>
            <w:vAlign w:val="bottom"/>
            <w:shd w:val="clear" w:color="auto" w:fill="F2F2F2"/>
          </w:tcPr>
          <w:p>
            <w:pPr>
              <w:spacing w:after="0"/>
              <w:rPr>
                <w:sz w:val="10"/>
                <w:szCs w:val="10"/>
                <w:color w:val="auto"/>
              </w:rPr>
            </w:pPr>
          </w:p>
        </w:tc>
        <w:tc>
          <w:tcPr>
            <w:tcW w:w="2620" w:type="dxa"/>
            <w:vAlign w:val="bottom"/>
            <w:shd w:val="clear" w:color="auto" w:fill="F2F2F2"/>
          </w:tcPr>
          <w:p>
            <w:pPr>
              <w:spacing w:after="0"/>
              <w:rPr>
                <w:sz w:val="10"/>
                <w:szCs w:val="10"/>
                <w:color w:val="auto"/>
              </w:rPr>
            </w:pPr>
          </w:p>
        </w:tc>
        <w:tc>
          <w:tcPr>
            <w:tcW w:w="440" w:type="dxa"/>
            <w:vAlign w:val="bottom"/>
            <w:vMerge w:val="restart"/>
            <w:shd w:val="clear" w:color="auto" w:fill="F2F2F2"/>
          </w:tcPr>
          <w:p>
            <w:pPr>
              <w:ind w:left="340"/>
              <w:spacing w:after="0"/>
              <w:rPr>
                <w:sz w:val="20"/>
                <w:szCs w:val="20"/>
                <w:color w:val="auto"/>
              </w:rPr>
            </w:pPr>
            <w:r>
              <w:rPr>
                <w:rFonts w:ascii="Arial" w:cs="Arial" w:eastAsia="Arial" w:hAnsi="Arial"/>
                <w:sz w:val="18"/>
                <w:szCs w:val="18"/>
                <w:color w:val="auto"/>
              </w:rPr>
              <w:t>•</w:t>
            </w:r>
          </w:p>
        </w:tc>
        <w:tc>
          <w:tcPr>
            <w:tcW w:w="2840" w:type="dxa"/>
            <w:vAlign w:val="bottom"/>
            <w:vMerge w:val="restart"/>
            <w:shd w:val="clear" w:color="auto" w:fill="F2F2F2"/>
          </w:tcPr>
          <w:p>
            <w:pPr>
              <w:ind w:left="60"/>
              <w:spacing w:after="0"/>
              <w:rPr>
                <w:sz w:val="20"/>
                <w:szCs w:val="20"/>
                <w:color w:val="auto"/>
              </w:rPr>
            </w:pPr>
            <w:r>
              <w:rPr>
                <w:rFonts w:ascii="Arial" w:cs="Arial" w:eastAsia="Arial" w:hAnsi="Arial"/>
                <w:sz w:val="18"/>
                <w:szCs w:val="18"/>
                <w:color w:val="auto"/>
              </w:rPr>
              <w:t>Business Ethics</w:t>
            </w:r>
          </w:p>
        </w:tc>
        <w:tc>
          <w:tcPr>
            <w:tcW w:w="0" w:type="dxa"/>
            <w:vAlign w:val="bottom"/>
          </w:tcPr>
          <w:p>
            <w:pPr>
              <w:spacing w:after="0"/>
              <w:rPr>
                <w:sz w:val="1"/>
                <w:szCs w:val="1"/>
                <w:color w:val="auto"/>
              </w:rPr>
            </w:pPr>
          </w:p>
        </w:tc>
      </w:tr>
      <w:tr>
        <w:trPr>
          <w:trHeight w:val="124"/>
        </w:trPr>
        <w:tc>
          <w:tcPr>
            <w:tcW w:w="1960" w:type="dxa"/>
            <w:vAlign w:val="bottom"/>
            <w:shd w:val="clear" w:color="auto" w:fill="050A54"/>
          </w:tcPr>
          <w:p>
            <w:pPr>
              <w:spacing w:after="0"/>
              <w:rPr>
                <w:sz w:val="10"/>
                <w:szCs w:val="10"/>
                <w:color w:val="auto"/>
              </w:rPr>
            </w:pPr>
          </w:p>
        </w:tc>
        <w:tc>
          <w:tcPr>
            <w:tcW w:w="220" w:type="dxa"/>
            <w:vAlign w:val="bottom"/>
            <w:shd w:val="clear" w:color="auto" w:fill="F2F2F2"/>
          </w:tcPr>
          <w:p>
            <w:pPr>
              <w:spacing w:after="0"/>
              <w:rPr>
                <w:sz w:val="10"/>
                <w:szCs w:val="10"/>
                <w:color w:val="auto"/>
              </w:rPr>
            </w:pPr>
          </w:p>
        </w:tc>
        <w:tc>
          <w:tcPr>
            <w:tcW w:w="2420" w:type="dxa"/>
            <w:vAlign w:val="bottom"/>
            <w:shd w:val="clear" w:color="auto" w:fill="F2F2F2"/>
          </w:tcPr>
          <w:p>
            <w:pPr>
              <w:spacing w:after="0"/>
              <w:rPr>
                <w:sz w:val="10"/>
                <w:szCs w:val="10"/>
                <w:color w:val="auto"/>
              </w:rPr>
            </w:pPr>
          </w:p>
        </w:tc>
        <w:tc>
          <w:tcPr>
            <w:tcW w:w="420" w:type="dxa"/>
            <w:vAlign w:val="bottom"/>
            <w:shd w:val="clear" w:color="auto" w:fill="F2F2F2"/>
          </w:tcPr>
          <w:p>
            <w:pPr>
              <w:spacing w:after="0"/>
              <w:rPr>
                <w:sz w:val="10"/>
                <w:szCs w:val="10"/>
                <w:color w:val="auto"/>
              </w:rPr>
            </w:pPr>
          </w:p>
        </w:tc>
        <w:tc>
          <w:tcPr>
            <w:tcW w:w="2620" w:type="dxa"/>
            <w:vAlign w:val="bottom"/>
            <w:shd w:val="clear" w:color="auto" w:fill="F2F2F2"/>
          </w:tcPr>
          <w:p>
            <w:pPr>
              <w:spacing w:after="0"/>
              <w:rPr>
                <w:sz w:val="10"/>
                <w:szCs w:val="10"/>
                <w:color w:val="auto"/>
              </w:rPr>
            </w:pPr>
          </w:p>
        </w:tc>
        <w:tc>
          <w:tcPr>
            <w:tcW w:w="440" w:type="dxa"/>
            <w:vAlign w:val="bottom"/>
            <w:vMerge w:val="continue"/>
            <w:shd w:val="clear" w:color="auto" w:fill="F2F2F2"/>
          </w:tcPr>
          <w:p>
            <w:pPr>
              <w:spacing w:after="0"/>
              <w:rPr>
                <w:sz w:val="10"/>
                <w:szCs w:val="10"/>
                <w:color w:val="auto"/>
              </w:rPr>
            </w:pPr>
          </w:p>
        </w:tc>
        <w:tc>
          <w:tcPr>
            <w:tcW w:w="2840" w:type="dxa"/>
            <w:vAlign w:val="bottom"/>
            <w:vMerge w:val="continue"/>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1960" w:type="dxa"/>
            <w:vAlign w:val="bottom"/>
            <w:shd w:val="clear" w:color="auto" w:fill="050A54"/>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2420" w:type="dxa"/>
            <w:vAlign w:val="bottom"/>
            <w:shd w:val="clear" w:color="auto" w:fill="F2F2F2"/>
          </w:tcPr>
          <w:p>
            <w:pPr>
              <w:spacing w:after="0"/>
              <w:rPr>
                <w:sz w:val="17"/>
                <w:szCs w:val="17"/>
                <w:color w:val="auto"/>
              </w:rPr>
            </w:pPr>
          </w:p>
        </w:tc>
        <w:tc>
          <w:tcPr>
            <w:tcW w:w="420" w:type="dxa"/>
            <w:vAlign w:val="bottom"/>
            <w:shd w:val="clear" w:color="auto" w:fill="F2F2F2"/>
          </w:tcPr>
          <w:p>
            <w:pPr>
              <w:spacing w:after="0"/>
              <w:rPr>
                <w:sz w:val="17"/>
                <w:szCs w:val="17"/>
                <w:color w:val="auto"/>
              </w:rPr>
            </w:pPr>
          </w:p>
        </w:tc>
        <w:tc>
          <w:tcPr>
            <w:tcW w:w="2620" w:type="dxa"/>
            <w:vAlign w:val="bottom"/>
            <w:shd w:val="clear" w:color="auto" w:fill="F2F2F2"/>
          </w:tcPr>
          <w:p>
            <w:pPr>
              <w:spacing w:after="0"/>
              <w:rPr>
                <w:sz w:val="17"/>
                <w:szCs w:val="17"/>
                <w:color w:val="auto"/>
              </w:rPr>
            </w:pPr>
          </w:p>
        </w:tc>
        <w:tc>
          <w:tcPr>
            <w:tcW w:w="3280" w:type="dxa"/>
            <w:vAlign w:val="bottom"/>
            <w:gridSpan w:val="2"/>
            <w:shd w:val="clear" w:color="auto" w:fill="F2F2F2"/>
          </w:tcPr>
          <w:p>
            <w:pPr>
              <w:ind w:left="340"/>
              <w:spacing w:after="0"/>
              <w:rPr>
                <w:sz w:val="20"/>
                <w:szCs w:val="20"/>
                <w:color w:val="auto"/>
              </w:rPr>
            </w:pPr>
            <w:r>
              <w:rPr>
                <w:rFonts w:ascii="Arial" w:cs="Arial" w:eastAsia="Arial" w:hAnsi="Arial"/>
                <w:sz w:val="18"/>
                <w:szCs w:val="18"/>
                <w:color w:val="auto"/>
              </w:rPr>
              <w:t>• Consumer and Advisor</w:t>
            </w:r>
          </w:p>
        </w:tc>
        <w:tc>
          <w:tcPr>
            <w:tcW w:w="0" w:type="dxa"/>
            <w:vAlign w:val="bottom"/>
          </w:tcPr>
          <w:p>
            <w:pPr>
              <w:spacing w:after="0"/>
              <w:rPr>
                <w:sz w:val="1"/>
                <w:szCs w:val="1"/>
                <w:color w:val="auto"/>
              </w:rPr>
            </w:pPr>
          </w:p>
        </w:tc>
      </w:tr>
      <w:tr>
        <w:trPr>
          <w:trHeight w:val="235"/>
        </w:trPr>
        <w:tc>
          <w:tcPr>
            <w:tcW w:w="1960" w:type="dxa"/>
            <w:vAlign w:val="bottom"/>
            <w:shd w:val="clear" w:color="auto" w:fill="050A54"/>
          </w:tcPr>
          <w:p>
            <w:pPr>
              <w:spacing w:after="0"/>
              <w:rPr>
                <w:sz w:val="20"/>
                <w:szCs w:val="20"/>
                <w:color w:val="auto"/>
              </w:rPr>
            </w:pPr>
          </w:p>
        </w:tc>
        <w:tc>
          <w:tcPr>
            <w:tcW w:w="220" w:type="dxa"/>
            <w:vAlign w:val="bottom"/>
            <w:shd w:val="clear" w:color="auto" w:fill="F2F2F2"/>
          </w:tcPr>
          <w:p>
            <w:pPr>
              <w:spacing w:after="0"/>
              <w:rPr>
                <w:sz w:val="20"/>
                <w:szCs w:val="20"/>
                <w:color w:val="auto"/>
              </w:rPr>
            </w:pPr>
          </w:p>
        </w:tc>
        <w:tc>
          <w:tcPr>
            <w:tcW w:w="2420" w:type="dxa"/>
            <w:vAlign w:val="bottom"/>
            <w:shd w:val="clear" w:color="auto" w:fill="F2F2F2"/>
          </w:tcPr>
          <w:p>
            <w:pPr>
              <w:spacing w:after="0"/>
              <w:rPr>
                <w:sz w:val="20"/>
                <w:szCs w:val="20"/>
                <w:color w:val="auto"/>
              </w:rPr>
            </w:pPr>
          </w:p>
        </w:tc>
        <w:tc>
          <w:tcPr>
            <w:tcW w:w="420" w:type="dxa"/>
            <w:vAlign w:val="bottom"/>
            <w:shd w:val="clear" w:color="auto" w:fill="F2F2F2"/>
          </w:tcPr>
          <w:p>
            <w:pPr>
              <w:spacing w:after="0"/>
              <w:rPr>
                <w:sz w:val="20"/>
                <w:szCs w:val="20"/>
                <w:color w:val="auto"/>
              </w:rPr>
            </w:pPr>
          </w:p>
        </w:tc>
        <w:tc>
          <w:tcPr>
            <w:tcW w:w="2620" w:type="dxa"/>
            <w:vAlign w:val="bottom"/>
            <w:shd w:val="clear" w:color="auto" w:fill="F2F2F2"/>
          </w:tcPr>
          <w:p>
            <w:pPr>
              <w:spacing w:after="0"/>
              <w:rPr>
                <w:sz w:val="20"/>
                <w:szCs w:val="20"/>
                <w:color w:val="auto"/>
              </w:rPr>
            </w:pPr>
          </w:p>
        </w:tc>
        <w:tc>
          <w:tcPr>
            <w:tcW w:w="440" w:type="dxa"/>
            <w:vAlign w:val="bottom"/>
            <w:shd w:val="clear" w:color="auto" w:fill="F2F2F2"/>
          </w:tcPr>
          <w:p>
            <w:pPr>
              <w:spacing w:after="0"/>
              <w:rPr>
                <w:sz w:val="20"/>
                <w:szCs w:val="20"/>
                <w:color w:val="auto"/>
              </w:rPr>
            </w:pPr>
          </w:p>
        </w:tc>
        <w:tc>
          <w:tcPr>
            <w:tcW w:w="2840" w:type="dxa"/>
            <w:vAlign w:val="bottom"/>
            <w:shd w:val="clear" w:color="auto" w:fill="F2F2F2"/>
          </w:tcPr>
          <w:p>
            <w:pPr>
              <w:ind w:left="40"/>
              <w:spacing w:after="0"/>
              <w:rPr>
                <w:sz w:val="20"/>
                <w:szCs w:val="20"/>
                <w:color w:val="auto"/>
              </w:rPr>
            </w:pPr>
            <w:r>
              <w:rPr>
                <w:rFonts w:ascii="Arial" w:cs="Arial" w:eastAsia="Arial" w:hAnsi="Arial"/>
                <w:sz w:val="18"/>
                <w:szCs w:val="18"/>
                <w:color w:val="auto"/>
              </w:rPr>
              <w:t>Protection</w:t>
            </w:r>
          </w:p>
        </w:tc>
        <w:tc>
          <w:tcPr>
            <w:tcW w:w="0" w:type="dxa"/>
            <w:vAlign w:val="bottom"/>
          </w:tcPr>
          <w:p>
            <w:pPr>
              <w:spacing w:after="0"/>
              <w:rPr>
                <w:sz w:val="1"/>
                <w:szCs w:val="1"/>
                <w:color w:val="auto"/>
              </w:rPr>
            </w:pPr>
          </w:p>
        </w:tc>
      </w:tr>
      <w:tr>
        <w:trPr>
          <w:trHeight w:val="241"/>
        </w:trPr>
        <w:tc>
          <w:tcPr>
            <w:tcW w:w="1960" w:type="dxa"/>
            <w:vAlign w:val="bottom"/>
            <w:shd w:val="clear" w:color="auto" w:fill="050A54"/>
          </w:tcPr>
          <w:p>
            <w:pPr>
              <w:spacing w:after="0"/>
              <w:rPr>
                <w:sz w:val="20"/>
                <w:szCs w:val="20"/>
                <w:color w:val="auto"/>
              </w:rPr>
            </w:pPr>
          </w:p>
        </w:tc>
        <w:tc>
          <w:tcPr>
            <w:tcW w:w="220" w:type="dxa"/>
            <w:vAlign w:val="bottom"/>
            <w:shd w:val="clear" w:color="auto" w:fill="F2F2F2"/>
          </w:tcPr>
          <w:p>
            <w:pPr>
              <w:spacing w:after="0"/>
              <w:rPr>
                <w:sz w:val="20"/>
                <w:szCs w:val="20"/>
                <w:color w:val="auto"/>
              </w:rPr>
            </w:pPr>
          </w:p>
        </w:tc>
        <w:tc>
          <w:tcPr>
            <w:tcW w:w="2420" w:type="dxa"/>
            <w:vAlign w:val="bottom"/>
            <w:shd w:val="clear" w:color="auto" w:fill="F2F2F2"/>
          </w:tcPr>
          <w:p>
            <w:pPr>
              <w:spacing w:after="0"/>
              <w:rPr>
                <w:sz w:val="20"/>
                <w:szCs w:val="20"/>
                <w:color w:val="auto"/>
              </w:rPr>
            </w:pPr>
          </w:p>
        </w:tc>
        <w:tc>
          <w:tcPr>
            <w:tcW w:w="420" w:type="dxa"/>
            <w:vAlign w:val="bottom"/>
            <w:shd w:val="clear" w:color="auto" w:fill="F2F2F2"/>
          </w:tcPr>
          <w:p>
            <w:pPr>
              <w:spacing w:after="0"/>
              <w:rPr>
                <w:sz w:val="20"/>
                <w:szCs w:val="20"/>
                <w:color w:val="auto"/>
              </w:rPr>
            </w:pPr>
          </w:p>
        </w:tc>
        <w:tc>
          <w:tcPr>
            <w:tcW w:w="2620" w:type="dxa"/>
            <w:vAlign w:val="bottom"/>
            <w:shd w:val="clear" w:color="auto" w:fill="F2F2F2"/>
          </w:tcPr>
          <w:p>
            <w:pPr>
              <w:spacing w:after="0"/>
              <w:rPr>
                <w:sz w:val="20"/>
                <w:szCs w:val="20"/>
                <w:color w:val="auto"/>
              </w:rPr>
            </w:pPr>
          </w:p>
        </w:tc>
        <w:tc>
          <w:tcPr>
            <w:tcW w:w="440" w:type="dxa"/>
            <w:vAlign w:val="bottom"/>
            <w:shd w:val="clear" w:color="auto" w:fill="F2F2F2"/>
          </w:tcPr>
          <w:p>
            <w:pPr>
              <w:ind w:left="340"/>
              <w:spacing w:after="0"/>
              <w:rPr>
                <w:sz w:val="20"/>
                <w:szCs w:val="20"/>
                <w:color w:val="auto"/>
              </w:rPr>
            </w:pPr>
            <w:r>
              <w:rPr>
                <w:rFonts w:ascii="Arial" w:cs="Arial" w:eastAsia="Arial" w:hAnsi="Arial"/>
                <w:sz w:val="18"/>
                <w:szCs w:val="18"/>
                <w:color w:val="auto"/>
              </w:rPr>
              <w:t>•</w:t>
            </w:r>
          </w:p>
        </w:tc>
        <w:tc>
          <w:tcPr>
            <w:tcW w:w="2840" w:type="dxa"/>
            <w:vAlign w:val="bottom"/>
            <w:shd w:val="clear" w:color="auto" w:fill="F2F2F2"/>
          </w:tcPr>
          <w:p>
            <w:pPr>
              <w:ind w:left="60"/>
              <w:spacing w:after="0"/>
              <w:rPr>
                <w:sz w:val="20"/>
                <w:szCs w:val="20"/>
                <w:color w:val="auto"/>
              </w:rPr>
            </w:pPr>
            <w:r>
              <w:rPr>
                <w:rFonts w:ascii="Arial" w:cs="Arial" w:eastAsia="Arial" w:hAnsi="Arial"/>
                <w:sz w:val="18"/>
                <w:szCs w:val="18"/>
                <w:color w:val="auto"/>
              </w:rPr>
              <w:t>Cybersecurity</w:t>
            </w:r>
          </w:p>
        </w:tc>
        <w:tc>
          <w:tcPr>
            <w:tcW w:w="0" w:type="dxa"/>
            <w:vAlign w:val="bottom"/>
          </w:tcPr>
          <w:p>
            <w:pPr>
              <w:spacing w:after="0"/>
              <w:rPr>
                <w:sz w:val="1"/>
                <w:szCs w:val="1"/>
                <w:color w:val="auto"/>
              </w:rPr>
            </w:pPr>
          </w:p>
        </w:tc>
      </w:tr>
      <w:tr>
        <w:trPr>
          <w:trHeight w:val="206"/>
        </w:trPr>
        <w:tc>
          <w:tcPr>
            <w:tcW w:w="1960" w:type="dxa"/>
            <w:vAlign w:val="bottom"/>
            <w:shd w:val="clear" w:color="auto" w:fill="050A54"/>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2420" w:type="dxa"/>
            <w:vAlign w:val="bottom"/>
            <w:shd w:val="clear" w:color="auto" w:fill="F2F2F2"/>
          </w:tcPr>
          <w:p>
            <w:pPr>
              <w:spacing w:after="0"/>
              <w:rPr>
                <w:sz w:val="17"/>
                <w:szCs w:val="17"/>
                <w:color w:val="auto"/>
              </w:rPr>
            </w:pPr>
          </w:p>
        </w:tc>
        <w:tc>
          <w:tcPr>
            <w:tcW w:w="420" w:type="dxa"/>
            <w:vAlign w:val="bottom"/>
            <w:shd w:val="clear" w:color="auto" w:fill="F2F2F2"/>
          </w:tcPr>
          <w:p>
            <w:pPr>
              <w:spacing w:after="0"/>
              <w:rPr>
                <w:sz w:val="17"/>
                <w:szCs w:val="17"/>
                <w:color w:val="auto"/>
              </w:rPr>
            </w:pPr>
          </w:p>
        </w:tc>
        <w:tc>
          <w:tcPr>
            <w:tcW w:w="2620" w:type="dxa"/>
            <w:vAlign w:val="bottom"/>
            <w:shd w:val="clear" w:color="auto" w:fill="F2F2F2"/>
          </w:tcPr>
          <w:p>
            <w:pPr>
              <w:spacing w:after="0"/>
              <w:rPr>
                <w:sz w:val="17"/>
                <w:szCs w:val="17"/>
                <w:color w:val="auto"/>
              </w:rPr>
            </w:pPr>
          </w:p>
        </w:tc>
        <w:tc>
          <w:tcPr>
            <w:tcW w:w="440" w:type="dxa"/>
            <w:vAlign w:val="bottom"/>
            <w:shd w:val="clear" w:color="auto" w:fill="F2F2F2"/>
          </w:tcPr>
          <w:p>
            <w:pPr>
              <w:ind w:left="340"/>
              <w:spacing w:after="0"/>
              <w:rPr>
                <w:sz w:val="20"/>
                <w:szCs w:val="20"/>
                <w:color w:val="auto"/>
              </w:rPr>
            </w:pPr>
            <w:r>
              <w:rPr>
                <w:rFonts w:ascii="Arial" w:cs="Arial" w:eastAsia="Arial" w:hAnsi="Arial"/>
                <w:sz w:val="18"/>
                <w:szCs w:val="18"/>
                <w:color w:val="auto"/>
              </w:rPr>
              <w:t>•</w:t>
            </w:r>
          </w:p>
        </w:tc>
        <w:tc>
          <w:tcPr>
            <w:tcW w:w="2840" w:type="dxa"/>
            <w:vAlign w:val="bottom"/>
            <w:shd w:val="clear" w:color="auto" w:fill="F2F2F2"/>
          </w:tcPr>
          <w:p>
            <w:pPr>
              <w:ind w:left="60"/>
              <w:spacing w:after="0"/>
              <w:rPr>
                <w:sz w:val="20"/>
                <w:szCs w:val="20"/>
                <w:color w:val="auto"/>
              </w:rPr>
            </w:pPr>
            <w:r>
              <w:rPr>
                <w:rFonts w:ascii="Arial" w:cs="Arial" w:eastAsia="Arial" w:hAnsi="Arial"/>
                <w:sz w:val="18"/>
                <w:szCs w:val="18"/>
                <w:color w:val="auto"/>
              </w:rPr>
              <w:t>Data Privacy and</w:t>
            </w:r>
          </w:p>
        </w:tc>
        <w:tc>
          <w:tcPr>
            <w:tcW w:w="0" w:type="dxa"/>
            <w:vAlign w:val="bottom"/>
          </w:tcPr>
          <w:p>
            <w:pPr>
              <w:spacing w:after="0"/>
              <w:rPr>
                <w:sz w:val="1"/>
                <w:szCs w:val="1"/>
                <w:color w:val="auto"/>
              </w:rPr>
            </w:pPr>
          </w:p>
        </w:tc>
      </w:tr>
      <w:tr>
        <w:trPr>
          <w:trHeight w:val="235"/>
        </w:trPr>
        <w:tc>
          <w:tcPr>
            <w:tcW w:w="1960" w:type="dxa"/>
            <w:vAlign w:val="bottom"/>
            <w:shd w:val="clear" w:color="auto" w:fill="050A54"/>
          </w:tcPr>
          <w:p>
            <w:pPr>
              <w:spacing w:after="0"/>
              <w:rPr>
                <w:sz w:val="20"/>
                <w:szCs w:val="20"/>
                <w:color w:val="auto"/>
              </w:rPr>
            </w:pPr>
          </w:p>
        </w:tc>
        <w:tc>
          <w:tcPr>
            <w:tcW w:w="220" w:type="dxa"/>
            <w:vAlign w:val="bottom"/>
            <w:shd w:val="clear" w:color="auto" w:fill="F2F2F2"/>
          </w:tcPr>
          <w:p>
            <w:pPr>
              <w:spacing w:after="0"/>
              <w:rPr>
                <w:sz w:val="20"/>
                <w:szCs w:val="20"/>
                <w:color w:val="auto"/>
              </w:rPr>
            </w:pPr>
          </w:p>
        </w:tc>
        <w:tc>
          <w:tcPr>
            <w:tcW w:w="2420" w:type="dxa"/>
            <w:vAlign w:val="bottom"/>
            <w:shd w:val="clear" w:color="auto" w:fill="F2F2F2"/>
          </w:tcPr>
          <w:p>
            <w:pPr>
              <w:spacing w:after="0"/>
              <w:rPr>
                <w:sz w:val="20"/>
                <w:szCs w:val="20"/>
                <w:color w:val="auto"/>
              </w:rPr>
            </w:pPr>
          </w:p>
        </w:tc>
        <w:tc>
          <w:tcPr>
            <w:tcW w:w="420" w:type="dxa"/>
            <w:vAlign w:val="bottom"/>
            <w:shd w:val="clear" w:color="auto" w:fill="F2F2F2"/>
          </w:tcPr>
          <w:p>
            <w:pPr>
              <w:spacing w:after="0"/>
              <w:rPr>
                <w:sz w:val="20"/>
                <w:szCs w:val="20"/>
                <w:color w:val="auto"/>
              </w:rPr>
            </w:pPr>
          </w:p>
        </w:tc>
        <w:tc>
          <w:tcPr>
            <w:tcW w:w="2620" w:type="dxa"/>
            <w:vAlign w:val="bottom"/>
            <w:shd w:val="clear" w:color="auto" w:fill="F2F2F2"/>
          </w:tcPr>
          <w:p>
            <w:pPr>
              <w:spacing w:after="0"/>
              <w:rPr>
                <w:sz w:val="20"/>
                <w:szCs w:val="20"/>
                <w:color w:val="auto"/>
              </w:rPr>
            </w:pPr>
          </w:p>
        </w:tc>
        <w:tc>
          <w:tcPr>
            <w:tcW w:w="440" w:type="dxa"/>
            <w:vAlign w:val="bottom"/>
            <w:shd w:val="clear" w:color="auto" w:fill="F2F2F2"/>
          </w:tcPr>
          <w:p>
            <w:pPr>
              <w:spacing w:after="0"/>
              <w:rPr>
                <w:sz w:val="20"/>
                <w:szCs w:val="20"/>
                <w:color w:val="auto"/>
              </w:rPr>
            </w:pPr>
          </w:p>
        </w:tc>
        <w:tc>
          <w:tcPr>
            <w:tcW w:w="2840" w:type="dxa"/>
            <w:vAlign w:val="bottom"/>
            <w:shd w:val="clear" w:color="auto" w:fill="F2F2F2"/>
          </w:tcPr>
          <w:p>
            <w:pPr>
              <w:ind w:left="40"/>
              <w:spacing w:after="0"/>
              <w:rPr>
                <w:sz w:val="20"/>
                <w:szCs w:val="20"/>
                <w:color w:val="auto"/>
              </w:rPr>
            </w:pPr>
            <w:r>
              <w:rPr>
                <w:rFonts w:ascii="Arial" w:cs="Arial" w:eastAsia="Arial" w:hAnsi="Arial"/>
                <w:sz w:val="18"/>
                <w:szCs w:val="18"/>
                <w:color w:val="auto"/>
              </w:rPr>
              <w:t>Protection</w:t>
            </w:r>
          </w:p>
        </w:tc>
        <w:tc>
          <w:tcPr>
            <w:tcW w:w="0" w:type="dxa"/>
            <w:vAlign w:val="bottom"/>
          </w:tcPr>
          <w:p>
            <w:pPr>
              <w:spacing w:after="0"/>
              <w:rPr>
                <w:sz w:val="1"/>
                <w:szCs w:val="1"/>
                <w:color w:val="auto"/>
              </w:rPr>
            </w:pPr>
          </w:p>
        </w:tc>
      </w:tr>
      <w:tr>
        <w:trPr>
          <w:trHeight w:val="145"/>
        </w:trPr>
        <w:tc>
          <w:tcPr>
            <w:tcW w:w="1960" w:type="dxa"/>
            <w:vAlign w:val="bottom"/>
            <w:shd w:val="clear" w:color="auto" w:fill="050A54"/>
          </w:tcPr>
          <w:p>
            <w:pPr>
              <w:spacing w:after="0"/>
              <w:rPr>
                <w:sz w:val="12"/>
                <w:szCs w:val="12"/>
                <w:color w:val="auto"/>
              </w:rPr>
            </w:pPr>
          </w:p>
        </w:tc>
        <w:tc>
          <w:tcPr>
            <w:tcW w:w="220" w:type="dxa"/>
            <w:vAlign w:val="bottom"/>
            <w:shd w:val="clear" w:color="auto" w:fill="F2F2F2"/>
          </w:tcPr>
          <w:p>
            <w:pPr>
              <w:spacing w:after="0"/>
              <w:rPr>
                <w:sz w:val="12"/>
                <w:szCs w:val="12"/>
                <w:color w:val="auto"/>
              </w:rPr>
            </w:pPr>
          </w:p>
        </w:tc>
        <w:tc>
          <w:tcPr>
            <w:tcW w:w="2420" w:type="dxa"/>
            <w:vAlign w:val="bottom"/>
            <w:shd w:val="clear" w:color="auto" w:fill="F2F2F2"/>
          </w:tcPr>
          <w:p>
            <w:pPr>
              <w:spacing w:after="0"/>
              <w:rPr>
                <w:sz w:val="12"/>
                <w:szCs w:val="12"/>
                <w:color w:val="auto"/>
              </w:rPr>
            </w:pPr>
          </w:p>
        </w:tc>
        <w:tc>
          <w:tcPr>
            <w:tcW w:w="420" w:type="dxa"/>
            <w:vAlign w:val="bottom"/>
            <w:shd w:val="clear" w:color="auto" w:fill="F2F2F2"/>
          </w:tcPr>
          <w:p>
            <w:pPr>
              <w:spacing w:after="0"/>
              <w:rPr>
                <w:sz w:val="12"/>
                <w:szCs w:val="12"/>
                <w:color w:val="auto"/>
              </w:rPr>
            </w:pPr>
          </w:p>
        </w:tc>
        <w:tc>
          <w:tcPr>
            <w:tcW w:w="2620" w:type="dxa"/>
            <w:vAlign w:val="bottom"/>
            <w:shd w:val="clear" w:color="auto" w:fill="F2F2F2"/>
          </w:tcPr>
          <w:p>
            <w:pPr>
              <w:spacing w:after="0"/>
              <w:rPr>
                <w:sz w:val="12"/>
                <w:szCs w:val="12"/>
                <w:color w:val="auto"/>
              </w:rPr>
            </w:pPr>
          </w:p>
        </w:tc>
        <w:tc>
          <w:tcPr>
            <w:tcW w:w="440" w:type="dxa"/>
            <w:vAlign w:val="bottom"/>
            <w:shd w:val="clear" w:color="auto" w:fill="F2F2F2"/>
          </w:tcPr>
          <w:p>
            <w:pPr>
              <w:spacing w:after="0"/>
              <w:rPr>
                <w:sz w:val="12"/>
                <w:szCs w:val="12"/>
                <w:color w:val="auto"/>
              </w:rPr>
            </w:pPr>
          </w:p>
        </w:tc>
        <w:tc>
          <w:tcPr>
            <w:tcW w:w="2840" w:type="dxa"/>
            <w:vAlign w:val="bottom"/>
            <w:shd w:val="clear" w:color="auto" w:fill="F2F2F2"/>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80"/>
          </w:cols>
          <w:pgMar w:left="320" w:top="454" w:right="499" w:bottom="1440" w:gutter="0" w:footer="0" w:header="0"/>
        </w:sectPr>
      </w:pPr>
    </w:p>
    <w:p>
      <w:pPr>
        <w:spacing w:after="0" w:line="7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Stakeholder Engagement</w:t>
      </w:r>
    </w:p>
    <w:p>
      <w:pPr>
        <w:spacing w:after="0" w:line="203"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We interact with our stockholders in a variety of ways and value the input that we receive from them. We provide our Board with regular updates on our investor relations program, including engagements with stockholders and analysts, and related sentiment and feedback themes. In addition, we have a structured, proactive engagement program that enables our directors to hear directly from stockholders outside the presence of senior management. Our goal is to ensure that our Board understands stockholders’ observations and topics of interest, including with regard to the Company’s performance, strategy, corporate governance and ESG initiatives.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directors also engage directly with our financial advisor clients. In addition to engagement opportunities through our advisor conferences, our directors meet annually with clients in order to hear first-hand feedback on areas of importance to them. These sessions are structured to present directors with a diverse range of client practices, programs and experiences, and are intended to ensure that our Board understands our clients’ current and future needs, particularly in the context of an evolving competitive environment, and that our company is delivering what advisors need in order to deliver sustained value to their clients.</w:t>
      </w:r>
    </w:p>
    <w:p>
      <w:pPr>
        <w:spacing w:after="0" w:line="831" w:lineRule="exact"/>
        <w:rPr>
          <w:sz w:val="20"/>
          <w:szCs w:val="20"/>
          <w:color w:val="auto"/>
        </w:rPr>
      </w:pPr>
    </w:p>
    <w:p>
      <w:pPr>
        <w:sectPr>
          <w:pgSz w:w="11900" w:h="16838" w:orient="portrait"/>
          <w:cols w:equalWidth="0" w:num="2">
            <w:col w:w="5400" w:space="340"/>
            <w:col w:w="5340"/>
          </w:cols>
          <w:pgMar w:left="320" w:top="454" w:right="499" w:bottom="1440" w:gutter="0" w:footer="0" w:header="0"/>
          <w:type w:val="continuous"/>
        </w:sectPr>
      </w:pPr>
    </w:p>
    <w:p>
      <w:pPr>
        <w:spacing w:after="0" w:line="62" w:lineRule="exact"/>
        <w:rPr>
          <w:sz w:val="20"/>
          <w:szCs w:val="20"/>
          <w:color w:val="auto"/>
        </w:rPr>
      </w:pPr>
    </w:p>
    <w:p>
      <w:pPr>
        <w:ind w:left="1000" w:hanging="690"/>
        <w:spacing w:after="0"/>
        <w:tabs>
          <w:tab w:leader="none" w:pos="1000" w:val="left"/>
        </w:tabs>
        <w:numPr>
          <w:ilvl w:val="0"/>
          <w:numId w:val="28"/>
        </w:numPr>
        <w:rPr>
          <w:rFonts w:ascii="Arial" w:cs="Arial" w:eastAsia="Arial" w:hAnsi="Arial"/>
          <w:sz w:val="17"/>
          <w:szCs w:val="17"/>
          <w:color w:val="050A54"/>
        </w:rPr>
      </w:pPr>
      <w:r>
        <w:rPr>
          <w:rFonts w:ascii="Arial" w:cs="Arial" w:eastAsia="Arial" w:hAnsi="Arial"/>
          <w:sz w:val="17"/>
          <w:szCs w:val="17"/>
          <w:b w:val="1"/>
          <w:bCs w:val="1"/>
          <w:color w:val="050A54"/>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-111760</wp:posOffset>
            </wp:positionV>
            <wp:extent cx="8255" cy="135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Information Regarding Board and Committee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33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Annual Board Evaluation</w:t>
      </w:r>
    </w:p>
    <w:p>
      <w:pPr>
        <w:spacing w:after="0" w:line="203"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Our Board recognizes that a robust and constructive self-evaluation process is an important aspect of good corporate governance and board effectiveness. The Nominating and Governance Committee conducts an annual evaluation of our Board, each of its standing committees and individual directors following the end of each year. The goal is to provide a meaningful assessment of whether the Board’s performance, operations, size and composition are effective for the Company, both in the short-and longer-term.</w:t>
      </w:r>
    </w:p>
    <w:p>
      <w:pPr>
        <w:spacing w:after="0" w:line="180"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Following discussion by the Nominating and Governance Committee, the 2022 annual evaluation included the following elements:</w:t>
      </w:r>
    </w:p>
    <w:p>
      <w:pPr>
        <w:spacing w:after="0" w:line="198" w:lineRule="exact"/>
        <w:rPr>
          <w:sz w:val="20"/>
          <w:szCs w:val="20"/>
          <w:color w:val="auto"/>
        </w:rPr>
      </w:pPr>
    </w:p>
    <w:p>
      <w:pPr>
        <w:ind w:left="860" w:hanging="372"/>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written questionnaire completed by each director;</w:t>
      </w:r>
    </w:p>
    <w:p>
      <w:pPr>
        <w:spacing w:after="0" w:line="234" w:lineRule="exact"/>
        <w:rPr>
          <w:rFonts w:ascii="Arial" w:cs="Arial" w:eastAsia="Arial" w:hAnsi="Arial"/>
          <w:sz w:val="18"/>
          <w:szCs w:val="18"/>
          <w:color w:val="auto"/>
        </w:rPr>
      </w:pPr>
    </w:p>
    <w:p>
      <w:pPr>
        <w:ind w:left="860" w:right="20" w:hanging="372"/>
        <w:spacing w:after="0" w:line="265" w:lineRule="auto"/>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written questionnaire for each Board committee completed by each committee member;</w:t>
      </w:r>
    </w:p>
    <w:p>
      <w:pPr>
        <w:spacing w:after="0" w:line="184" w:lineRule="exact"/>
        <w:rPr>
          <w:rFonts w:ascii="Arial" w:cs="Arial" w:eastAsia="Arial" w:hAnsi="Arial"/>
          <w:sz w:val="18"/>
          <w:szCs w:val="18"/>
          <w:color w:val="auto"/>
        </w:rPr>
      </w:pPr>
    </w:p>
    <w:p>
      <w:pPr>
        <w:jc w:val="both"/>
        <w:ind w:left="860" w:hanging="372"/>
        <w:spacing w:after="0" w:line="243" w:lineRule="auto"/>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individual director interviews conducted by the chair of the Board and our chief legal officer (who elicited confidential feedback about the chair from directors outside the presence of the chair); and</w:t>
      </w:r>
    </w:p>
    <w:p>
      <w:pPr>
        <w:spacing w:after="0" w:line="204" w:lineRule="exact"/>
        <w:rPr>
          <w:rFonts w:ascii="Arial" w:cs="Arial" w:eastAsia="Arial" w:hAnsi="Arial"/>
          <w:sz w:val="18"/>
          <w:szCs w:val="18"/>
          <w:color w:val="auto"/>
        </w:rPr>
      </w:pPr>
    </w:p>
    <w:p>
      <w:pPr>
        <w:ind w:left="860" w:hanging="372"/>
        <w:spacing w:after="0" w:line="265" w:lineRule="auto"/>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written questionnaires completed by our executive officers.</w:t>
      </w:r>
    </w:p>
    <w:p>
      <w:pPr>
        <w:spacing w:after="0" w:line="158"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The director and executive officer questionnaires provided feedback on an unattributed basis and informed the individual director interviews, which provided further opportunity for candid discussion.</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primary topics of the 2022 annual evaluation were:</w:t>
      </w:r>
    </w:p>
    <w:p>
      <w:pPr>
        <w:spacing w:after="0" w:line="234" w:lineRule="exact"/>
        <w:rPr>
          <w:sz w:val="20"/>
          <w:szCs w:val="20"/>
          <w:color w:val="auto"/>
        </w:rPr>
      </w:pPr>
    </w:p>
    <w:p>
      <w:pPr>
        <w:ind w:left="860" w:right="20" w:hanging="372"/>
        <w:spacing w:after="0" w:line="265" w:lineRule="auto"/>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Board composition, diversity and size, including desired director skills and attributes;</w:t>
      </w:r>
    </w:p>
    <w:p>
      <w:pPr>
        <w:spacing w:after="0" w:line="184" w:lineRule="exact"/>
        <w:rPr>
          <w:rFonts w:ascii="Arial" w:cs="Arial" w:eastAsia="Arial" w:hAnsi="Arial"/>
          <w:sz w:val="18"/>
          <w:szCs w:val="18"/>
          <w:color w:val="auto"/>
        </w:rPr>
      </w:pPr>
    </w:p>
    <w:p>
      <w:pPr>
        <w:ind w:left="860" w:hanging="372"/>
        <w:spacing w:after="0" w:line="265" w:lineRule="auto"/>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quality of materials and information provided to the Board;</w:t>
      </w:r>
    </w:p>
    <w:p>
      <w:pPr>
        <w:spacing w:after="0" w:line="184" w:lineRule="exact"/>
        <w:rPr>
          <w:rFonts w:ascii="Arial" w:cs="Arial" w:eastAsia="Arial" w:hAnsi="Arial"/>
          <w:sz w:val="18"/>
          <w:szCs w:val="18"/>
          <w:color w:val="auto"/>
        </w:rPr>
      </w:pPr>
    </w:p>
    <w:p>
      <w:pPr>
        <w:ind w:left="860" w:right="20" w:hanging="372"/>
        <w:spacing w:after="0" w:line="265" w:lineRule="auto"/>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structure and conduct of Board meetings, including the effectiveness of virtual meetings;</w:t>
      </w:r>
    </w:p>
    <w:p>
      <w:pPr>
        <w:spacing w:after="0" w:line="184" w:lineRule="exact"/>
        <w:rPr>
          <w:rFonts w:ascii="Arial" w:cs="Arial" w:eastAsia="Arial" w:hAnsi="Arial"/>
          <w:sz w:val="18"/>
          <w:szCs w:val="18"/>
          <w:color w:val="auto"/>
        </w:rPr>
      </w:pPr>
    </w:p>
    <w:p>
      <w:pPr>
        <w:ind w:left="860" w:hanging="372"/>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Board leadership and decision-making processes;</w:t>
      </w:r>
    </w:p>
    <w:p>
      <w:pPr>
        <w:spacing w:after="0" w:line="234" w:lineRule="exact"/>
        <w:rPr>
          <w:rFonts w:ascii="Arial" w:cs="Arial" w:eastAsia="Arial" w:hAnsi="Arial"/>
          <w:sz w:val="18"/>
          <w:szCs w:val="18"/>
          <w:color w:val="auto"/>
        </w:rPr>
      </w:pPr>
    </w:p>
    <w:p>
      <w:pPr>
        <w:ind w:left="860" w:hanging="372"/>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Board committee structure and performance;</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left="680" w:hanging="366"/>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Board culture and dynamics;</w:t>
      </w:r>
    </w:p>
    <w:p>
      <w:pPr>
        <w:spacing w:after="0" w:line="234" w:lineRule="exact"/>
        <w:rPr>
          <w:rFonts w:ascii="Arial" w:cs="Arial" w:eastAsia="Arial" w:hAnsi="Arial"/>
          <w:sz w:val="18"/>
          <w:szCs w:val="18"/>
          <w:color w:val="auto"/>
        </w:rPr>
      </w:pPr>
    </w:p>
    <w:p>
      <w:pPr>
        <w:ind w:left="680" w:hanging="366"/>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Board and director interactions with management;</w:t>
      </w:r>
    </w:p>
    <w:p>
      <w:pPr>
        <w:spacing w:after="0" w:line="234" w:lineRule="exact"/>
        <w:rPr>
          <w:rFonts w:ascii="Arial" w:cs="Arial" w:eastAsia="Arial" w:hAnsi="Arial"/>
          <w:sz w:val="18"/>
          <w:szCs w:val="18"/>
          <w:color w:val="auto"/>
        </w:rPr>
      </w:pPr>
    </w:p>
    <w:p>
      <w:pPr>
        <w:ind w:left="680" w:right="20" w:hanging="366"/>
        <w:spacing w:after="0" w:line="265" w:lineRule="auto"/>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management’s assessment of the value the Board provides;</w:t>
      </w:r>
    </w:p>
    <w:p>
      <w:pPr>
        <w:spacing w:after="0" w:line="184" w:lineRule="exact"/>
        <w:rPr>
          <w:rFonts w:ascii="Arial" w:cs="Arial" w:eastAsia="Arial" w:hAnsi="Arial"/>
          <w:sz w:val="18"/>
          <w:szCs w:val="18"/>
          <w:color w:val="auto"/>
        </w:rPr>
      </w:pPr>
    </w:p>
    <w:p>
      <w:pPr>
        <w:ind w:left="680" w:hanging="366"/>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efficacy of the annual evaluation process; and</w:t>
      </w:r>
    </w:p>
    <w:p>
      <w:pPr>
        <w:spacing w:after="0" w:line="234" w:lineRule="exact"/>
        <w:rPr>
          <w:rFonts w:ascii="Arial" w:cs="Arial" w:eastAsia="Arial" w:hAnsi="Arial"/>
          <w:sz w:val="18"/>
          <w:szCs w:val="18"/>
          <w:color w:val="auto"/>
        </w:rPr>
      </w:pPr>
    </w:p>
    <w:p>
      <w:pPr>
        <w:jc w:val="both"/>
        <w:ind w:left="680" w:right="20" w:hanging="366"/>
        <w:spacing w:after="0" w:line="249" w:lineRule="auto"/>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effectiveness of Board oversight, including attention to issues and opportunities that affect long-term stockholder value.</w:t>
      </w:r>
    </w:p>
    <w:p>
      <w:pPr>
        <w:spacing w:after="0" w:line="17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As part of the 2022 annual evaluation, directors and management had the opportunity to provide feedback on individual directors, in order to help improve performance or contributions to the Board.</w:t>
      </w:r>
    </w:p>
    <w:p>
      <w:pPr>
        <w:spacing w:after="0" w:line="17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Board discussed the results of the 2022 annual evaluation in a closed session led by the chair of the Nominating and Governance Committee.</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050A54"/>
        </w:rPr>
        <w:t>Board Committees</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Board of Directors has established three standing committees: the Audit Committee, the Nominating and Governance Committee, and the Compensation Committee, each with the composition and responsibilities described below. The members of each committee were appointed by the Board of Directors and will serve until their successors are elected and qualified, unless they are removed earlier or resign. In addition, from time to time, special committees may be established under the direction of the Board of Directors when necessary to address specific issues. Each of the standing committees of our Board is composed solely of independent directors.</w:t>
      </w:r>
    </w:p>
    <w:p>
      <w:pPr>
        <w:spacing w:after="0" w:line="3183" w:lineRule="exact"/>
        <w:rPr>
          <w:sz w:val="20"/>
          <w:szCs w:val="20"/>
          <w:color w:val="auto"/>
        </w:rPr>
      </w:pPr>
    </w:p>
    <w:p>
      <w:pPr>
        <w:sectPr>
          <w:pgSz w:w="11900" w:h="16838" w:orient="portrait"/>
          <w:cols w:equalWidth="0" w:num="2">
            <w:col w:w="5400" w:space="340"/>
            <w:col w:w="5340"/>
          </w:cols>
          <w:pgMar w:left="320" w:top="454" w:right="499" w:bottom="1440" w:gutter="0" w:footer="0" w:header="0"/>
          <w:type w:val="continuous"/>
        </w:sectPr>
      </w:pPr>
    </w:p>
    <w:p>
      <w:pPr>
        <w:spacing w:after="0" w:line="88" w:lineRule="exact"/>
        <w:rPr>
          <w:sz w:val="20"/>
          <w:szCs w:val="20"/>
          <w:color w:val="auto"/>
        </w:rPr>
      </w:pPr>
    </w:p>
    <w:tbl>
      <w:tblPr>
        <w:tblLayout w:type="fixed"/>
        <w:tblInd w:w="8500" w:type="dxa"/>
        <w:tblCellMar>
          <w:top w:w="0" w:type="dxa"/>
          <w:left w:w="0" w:type="dxa"/>
          <w:bottom w:w="0" w:type="dxa"/>
          <w:right w:w="0" w:type="dxa"/>
        </w:tblCellMar>
      </w:tblPr>
      <w:tr>
        <w:trPr>
          <w:trHeight w:val="233"/>
        </w:trPr>
        <w:tc>
          <w:tcPr>
            <w:tcW w:w="2060" w:type="dxa"/>
            <w:vAlign w:val="bottom"/>
            <w:tcBorders>
              <w:right w:val="single" w:sz="8" w:color="050A54"/>
            </w:tcBorders>
          </w:tcPr>
          <w:p>
            <w:pPr>
              <w:spacing w:after="0"/>
              <w:rPr>
                <w:sz w:val="20"/>
                <w:szCs w:val="20"/>
                <w:color w:val="auto"/>
              </w:rPr>
            </w:pPr>
            <w:r>
              <w:rPr>
                <w:rFonts w:ascii="Arial" w:cs="Arial" w:eastAsia="Arial" w:hAnsi="Arial"/>
                <w:sz w:val="18"/>
                <w:szCs w:val="18"/>
                <w:b w:val="1"/>
                <w:bCs w:val="1"/>
                <w:color w:val="050A54"/>
              </w:rPr>
              <w:t>2022 Proxy Statement</w:t>
            </w:r>
          </w:p>
        </w:tc>
        <w:tc>
          <w:tcPr>
            <w:tcW w:w="520" w:type="dxa"/>
            <w:vAlign w:val="bottom"/>
          </w:tcPr>
          <w:p>
            <w:pPr>
              <w:jc w:val="right"/>
              <w:spacing w:after="0"/>
              <w:rPr>
                <w:sz w:val="20"/>
                <w:szCs w:val="20"/>
                <w:color w:val="auto"/>
              </w:rPr>
            </w:pPr>
            <w:r>
              <w:rPr>
                <w:rFonts w:ascii="Arial" w:cs="Arial" w:eastAsia="Arial" w:hAnsi="Arial"/>
                <w:sz w:val="18"/>
                <w:szCs w:val="18"/>
                <w:color w:val="050A54"/>
              </w:rPr>
              <w:t>23</w:t>
            </w:r>
          </w:p>
        </w:tc>
      </w:tr>
    </w:tbl>
    <w:p>
      <w:pPr>
        <w:sectPr>
          <w:pgSz w:w="11900" w:h="16838" w:orient="portrait"/>
          <w:cols w:equalWidth="0" w:num="1">
            <w:col w:w="11080"/>
          </w:cols>
          <w:pgMar w:left="320" w:top="454" w:right="499" w:bottom="1440" w:gutter="0" w:footer="0" w:header="0"/>
          <w:type w:val="continuous"/>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Information Regarding Board and Committee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table below reflects the composition of the Board’s three standing committees as of April 8, 2022:</w:t>
      </w:r>
    </w:p>
    <w:p>
      <w:pPr>
        <w:spacing w:after="0" w:line="252" w:lineRule="exact"/>
        <w:rPr>
          <w:sz w:val="20"/>
          <w:szCs w:val="20"/>
          <w:color w:val="auto"/>
        </w:rPr>
      </w:pPr>
    </w:p>
    <w:tbl>
      <w:tblPr>
        <w:tblLayout w:type="fixed"/>
        <w:tblInd w:w="3500" w:type="dxa"/>
        <w:tblCellMar>
          <w:top w:w="0" w:type="dxa"/>
          <w:left w:w="0" w:type="dxa"/>
          <w:bottom w:w="0" w:type="dxa"/>
          <w:right w:w="0" w:type="dxa"/>
        </w:tblCellMar>
      </w:tblPr>
      <w:tr>
        <w:trPr>
          <w:trHeight w:val="211"/>
        </w:trPr>
        <w:tc>
          <w:tcPr>
            <w:tcW w:w="1660" w:type="dxa"/>
            <w:vAlign w:val="bottom"/>
          </w:tcPr>
          <w:p>
            <w:pPr>
              <w:spacing w:after="0"/>
              <w:rPr>
                <w:sz w:val="20"/>
                <w:szCs w:val="20"/>
                <w:color w:val="auto"/>
              </w:rPr>
            </w:pPr>
            <w:r>
              <w:rPr>
                <w:rFonts w:ascii="Arial" w:cs="Arial" w:eastAsia="Arial" w:hAnsi="Arial"/>
                <w:sz w:val="16"/>
                <w:szCs w:val="16"/>
                <w:color w:val="auto"/>
              </w:rPr>
              <w:t>Audit Committee</w:t>
            </w:r>
          </w:p>
        </w:tc>
        <w:tc>
          <w:tcPr>
            <w:tcW w:w="3600" w:type="dxa"/>
            <w:vAlign w:val="bottom"/>
          </w:tcPr>
          <w:p>
            <w:pPr>
              <w:ind w:left="480"/>
              <w:spacing w:after="0"/>
              <w:rPr>
                <w:sz w:val="20"/>
                <w:szCs w:val="20"/>
                <w:color w:val="auto"/>
              </w:rPr>
            </w:pPr>
            <w:r>
              <w:rPr>
                <w:rFonts w:ascii="Arial" w:cs="Arial" w:eastAsia="Arial" w:hAnsi="Arial"/>
                <w:sz w:val="16"/>
                <w:szCs w:val="16"/>
                <w:color w:val="auto"/>
              </w:rPr>
              <w:t>Nominating and Governance Committee</w:t>
            </w:r>
          </w:p>
        </w:tc>
        <w:tc>
          <w:tcPr>
            <w:tcW w:w="2100" w:type="dxa"/>
            <w:vAlign w:val="bottom"/>
          </w:tcPr>
          <w:p>
            <w:pPr>
              <w:ind w:left="240"/>
              <w:spacing w:after="0"/>
              <w:rPr>
                <w:sz w:val="20"/>
                <w:szCs w:val="20"/>
                <w:color w:val="auto"/>
              </w:rPr>
            </w:pPr>
            <w:r>
              <w:rPr>
                <w:rFonts w:ascii="Arial" w:cs="Arial" w:eastAsia="Arial" w:hAnsi="Arial"/>
                <w:sz w:val="16"/>
                <w:szCs w:val="16"/>
                <w:color w:val="auto"/>
                <w:w w:val="99"/>
              </w:rPr>
              <w:t>Compensation Committee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-132715</wp:posOffset>
            </wp:positionV>
            <wp:extent cx="6861810" cy="17748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61810" cy="1774825"/>
                    </a:xfrm>
                    <a:prstGeom prst="rect">
                      <a:avLst/>
                    </a:prstGeom>
                    <a:noFill/>
                  </pic:spPr>
                </pic:pic>
              </a:graphicData>
            </a:graphic>
          </wp:anchor>
        </w:drawing>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Edward Bernard</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4"/>
          <w:szCs w:val="14"/>
          <w:color w:val="auto"/>
        </w:rPr>
        <w:t>H. Paulett Eberhart</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William F. Glavin, Jr.</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4"/>
          <w:szCs w:val="14"/>
          <w:color w:val="auto"/>
        </w:rPr>
        <w:t>Allison H. Mnookin</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4"/>
          <w:szCs w:val="14"/>
          <w:color w:val="auto"/>
        </w:rPr>
        <w:t>Anne M. Mulcahy</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4"/>
          <w:szCs w:val="14"/>
          <w:color w:val="auto"/>
        </w:rPr>
        <w:t>James S. Putnam</w:t>
      </w:r>
    </w:p>
    <w:p>
      <w:pPr>
        <w:spacing w:after="0" w:line="26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Richard P. Schifter</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4"/>
          <w:szCs w:val="14"/>
          <w:color w:val="auto"/>
        </w:rPr>
        <w:t>Corey E. Thomas</w:t>
      </w:r>
    </w:p>
    <w:p>
      <w:pPr>
        <w:spacing w:after="0" w:line="200" w:lineRule="exact"/>
        <w:rPr>
          <w:sz w:val="20"/>
          <w:szCs w:val="20"/>
          <w:color w:val="auto"/>
        </w:rPr>
      </w:pPr>
    </w:p>
    <w:p>
      <w:pPr>
        <w:spacing w:after="0" w:line="263" w:lineRule="exact"/>
        <w:rPr>
          <w:sz w:val="20"/>
          <w:szCs w:val="20"/>
          <w:color w:val="auto"/>
        </w:rPr>
      </w:pPr>
    </w:p>
    <w:p>
      <w:pPr>
        <w:ind w:left="400"/>
        <w:spacing w:after="0"/>
        <w:tabs>
          <w:tab w:leader="none" w:pos="2461" w:val="left"/>
        </w:tabs>
        <w:rPr>
          <w:sz w:val="20"/>
          <w:szCs w:val="20"/>
          <w:color w:val="auto"/>
        </w:rPr>
      </w:pPr>
      <w:r>
        <w:rPr>
          <w:rFonts w:ascii="Arial" w:cs="Arial" w:eastAsia="Arial" w:hAnsi="Arial"/>
          <w:sz w:val="16"/>
          <w:szCs w:val="16"/>
          <w:color w:val="auto"/>
        </w:rPr>
        <w:t>Member</w:t>
      </w:r>
      <w:r>
        <w:rPr>
          <w:sz w:val="20"/>
          <w:szCs w:val="20"/>
          <w:color w:val="auto"/>
        </w:rPr>
        <w:tab/>
      </w:r>
      <w:r>
        <w:rPr>
          <w:sz w:val="1"/>
          <w:szCs w:val="1"/>
          <w:color w:val="auto"/>
        </w:rPr>
        <w:drawing>
          <wp:inline distT="0" distB="0" distL="0" distR="0">
            <wp:extent cx="67945" cy="67945"/>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945" cy="67945"/>
                    </a:xfrm>
                    <a:prstGeom prst="rect">
                      <a:avLst/>
                    </a:prstGeom>
                    <a:noFill/>
                    <a:ln>
                      <a:noFill/>
                    </a:ln>
                  </pic:spPr>
                </pic:pic>
              </a:graphicData>
            </a:graphic>
          </wp:inline>
        </w:drawing>
      </w:r>
      <w:r>
        <w:rPr>
          <w:rFonts w:ascii="Arial" w:cs="Arial" w:eastAsia="Arial" w:hAnsi="Arial"/>
          <w:sz w:val="16"/>
          <w:szCs w:val="16"/>
          <w:color w:val="auto"/>
        </w:rPr>
        <w:t xml:space="preserve"> Chair                 </w:t>
      </w:r>
      <w:r>
        <w:rPr>
          <w:sz w:val="1"/>
          <w:szCs w:val="1"/>
          <w:color w:val="auto"/>
        </w:rPr>
        <w:drawing>
          <wp:inline distT="0" distB="0" distL="0" distR="0">
            <wp:extent cx="59690" cy="8509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90" cy="85090"/>
                    </a:xfrm>
                    <a:prstGeom prst="rect">
                      <a:avLst/>
                    </a:prstGeom>
                    <a:noFill/>
                    <a:ln>
                      <a:noFill/>
                    </a:ln>
                  </pic:spPr>
                </pic:pic>
              </a:graphicData>
            </a:graphic>
          </wp:inline>
        </w:drawing>
      </w:r>
      <w:r>
        <w:rPr>
          <w:rFonts w:ascii="Arial" w:cs="Arial" w:eastAsia="Arial" w:hAnsi="Arial"/>
          <w:sz w:val="16"/>
          <w:szCs w:val="16"/>
          <w:color w:val="auto"/>
        </w:rPr>
        <w:t xml:space="preserve"> Chair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-39370</wp:posOffset>
            </wp:positionV>
            <wp:extent cx="42545" cy="508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2545" cy="508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293"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Our Nominating and Governance Committee will reassess the composition and leadership of the standing committees of the Board following the election of directors at the Annual Meeting. Following its assessment after the 2021 annual evaluation, the Nominating and Governance Committee recommended the appointment of Mr. Bernard to the Compensation Committee, Mr. Schifter to the Audit Committee and Mr. Thomas to the Nominating and Governance Committee, and otherwise recommended to maintain the composition and leadership of the Board’s committees.</w:t>
      </w:r>
    </w:p>
    <w:p>
      <w:pPr>
        <w:spacing w:after="0" w:line="8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0A54"/>
        </w:rPr>
        <w:t>Audit Committee</w:t>
      </w:r>
    </w:p>
    <w:p>
      <w:pPr>
        <w:spacing w:after="0" w:line="99"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Our Audit Committee is composed of the following members: Edward C. Bernard, H. Paulett Eberhart, William F. Glavin, Jr., Richard P. Schifter and Corey E. Thomas. Ms. Eberhart serves as the chair of the Audit Committee.</w:t>
      </w:r>
    </w:p>
    <w:p>
      <w:pPr>
        <w:spacing w:after="0" w:line="178"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Each of the Audit Committee members is independent under the listing standards of Nasdaq, including under Rule 10A-3 of the Exchange Act. None of the Audit Committee members is an employee of ours or any of our subsidiaries, nor simultaneously serves on the audit committees of more than three public companies, including ours. All of the Audit Committee members meet the requirements for financial literacy and are able to read and understand fundamental financial statements, including the Company’s balance sheet, income statement and cash flow statement. Our Board has affirmatively determined that each of Ms. Eberhart and Mr. Bernard qualifies as an audit committee financial expert under the applicable rules and regulations of the SEC.</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jc w:val="both"/>
        <w:ind w:left="80" w:right="140"/>
        <w:spacing w:after="0"/>
        <w:rPr>
          <w:sz w:val="20"/>
          <w:szCs w:val="20"/>
          <w:color w:val="auto"/>
        </w:rPr>
      </w:pPr>
      <w:r>
        <w:rPr>
          <w:rFonts w:ascii="Arial" w:cs="Arial" w:eastAsia="Arial" w:hAnsi="Arial"/>
          <w:sz w:val="18"/>
          <w:szCs w:val="18"/>
          <w:color w:val="FFFFFF"/>
        </w:rPr>
        <w:t>Our Audit Committee is responsible for, among other things, the appointment, compensation, oversight and replacement, if necessary, of the Company’s independent auditor or any other registered public accounting firm, and assisting the Board in overseeing and monitoring: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-687070</wp:posOffset>
            </wp:positionV>
            <wp:extent cx="3388360" cy="2819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88360" cy="2819400"/>
                    </a:xfrm>
                    <a:prstGeom prst="rect">
                      <a:avLst/>
                    </a:prstGeom>
                    <a:noFill/>
                  </pic:spPr>
                </pic:pic>
              </a:graphicData>
            </a:graphic>
          </wp:anchor>
        </w:drawing>
      </w:r>
    </w:p>
    <w:p>
      <w:pPr>
        <w:spacing w:after="0" w:line="28" w:lineRule="exact"/>
        <w:rPr>
          <w:sz w:val="20"/>
          <w:szCs w:val="20"/>
          <w:color w:val="auto"/>
        </w:rPr>
      </w:pPr>
    </w:p>
    <w:p>
      <w:pPr>
        <w:jc w:val="both"/>
        <w:ind w:left="400" w:right="140" w:hanging="321"/>
        <w:spacing w:after="0" w:line="256" w:lineRule="auto"/>
        <w:tabs>
          <w:tab w:leader="none" w:pos="418" w:val="left"/>
        </w:tabs>
        <w:numPr>
          <w:ilvl w:val="0"/>
          <w:numId w:val="32"/>
        </w:numPr>
        <w:rPr>
          <w:rFonts w:ascii="Times New Roman" w:cs="Times New Roman" w:eastAsia="Times New Roman" w:hAnsi="Times New Roman"/>
          <w:sz w:val="18"/>
          <w:szCs w:val="18"/>
          <w:color w:val="FCFCFC"/>
        </w:rPr>
      </w:pPr>
      <w:r>
        <w:rPr>
          <w:rFonts w:ascii="Arial" w:cs="Arial" w:eastAsia="Arial" w:hAnsi="Arial"/>
          <w:sz w:val="18"/>
          <w:szCs w:val="18"/>
          <w:color w:val="FFFFFF"/>
        </w:rPr>
        <w:t>the integrity of the Company’s financial statements and other financial information provided by the Company to its stockholders;</w:t>
      </w:r>
    </w:p>
    <w:p>
      <w:pPr>
        <w:spacing w:after="0" w:line="18" w:lineRule="exact"/>
        <w:rPr>
          <w:rFonts w:ascii="Times New Roman" w:cs="Times New Roman" w:eastAsia="Times New Roman" w:hAnsi="Times New Roman"/>
          <w:sz w:val="18"/>
          <w:szCs w:val="18"/>
          <w:color w:val="FCFCFC"/>
        </w:rPr>
      </w:pPr>
    </w:p>
    <w:p>
      <w:pPr>
        <w:jc w:val="both"/>
        <w:ind w:left="400" w:right="140" w:hanging="321"/>
        <w:spacing w:after="0" w:line="256" w:lineRule="auto"/>
        <w:tabs>
          <w:tab w:leader="none" w:pos="418" w:val="left"/>
        </w:tabs>
        <w:numPr>
          <w:ilvl w:val="0"/>
          <w:numId w:val="32"/>
        </w:numPr>
        <w:rPr>
          <w:rFonts w:ascii="Times New Roman" w:cs="Times New Roman" w:eastAsia="Times New Roman" w:hAnsi="Times New Roman"/>
          <w:sz w:val="18"/>
          <w:szCs w:val="18"/>
          <w:color w:val="FCFCFC"/>
        </w:rPr>
      </w:pPr>
      <w:r>
        <w:rPr>
          <w:rFonts w:ascii="Arial" w:cs="Arial" w:eastAsia="Arial" w:hAnsi="Arial"/>
          <w:sz w:val="18"/>
          <w:szCs w:val="18"/>
          <w:color w:val="FFFFFF"/>
        </w:rPr>
        <w:t>the integrity of the accounting and financial reporting processes of the Company, and the audit of the Company’s financial statements;</w:t>
      </w:r>
    </w:p>
    <w:p>
      <w:pPr>
        <w:spacing w:after="0" w:line="18" w:lineRule="exact"/>
        <w:rPr>
          <w:rFonts w:ascii="Times New Roman" w:cs="Times New Roman" w:eastAsia="Times New Roman" w:hAnsi="Times New Roman"/>
          <w:sz w:val="18"/>
          <w:szCs w:val="18"/>
          <w:color w:val="FCFCFC"/>
        </w:rPr>
      </w:pPr>
    </w:p>
    <w:p>
      <w:pPr>
        <w:ind w:left="400" w:right="140" w:hanging="321"/>
        <w:spacing w:after="0" w:line="278" w:lineRule="auto"/>
        <w:tabs>
          <w:tab w:leader="none" w:pos="418" w:val="left"/>
        </w:tabs>
        <w:numPr>
          <w:ilvl w:val="0"/>
          <w:numId w:val="32"/>
        </w:numPr>
        <w:rPr>
          <w:rFonts w:ascii="Times New Roman" w:cs="Times New Roman" w:eastAsia="Times New Roman" w:hAnsi="Times New Roman"/>
          <w:sz w:val="18"/>
          <w:szCs w:val="18"/>
          <w:color w:val="FCFCFC"/>
        </w:rPr>
      </w:pPr>
      <w:r>
        <w:rPr>
          <w:rFonts w:ascii="Arial" w:cs="Arial" w:eastAsia="Arial" w:hAnsi="Arial"/>
          <w:sz w:val="18"/>
          <w:szCs w:val="18"/>
          <w:color w:val="FFFFFF"/>
        </w:rPr>
        <w:t>the Company’s compliance with legal, regulatory and public disclosure requirements;</w:t>
      </w:r>
    </w:p>
    <w:p>
      <w:pPr>
        <w:spacing w:after="0" w:line="1" w:lineRule="exact"/>
        <w:rPr>
          <w:rFonts w:ascii="Times New Roman" w:cs="Times New Roman" w:eastAsia="Times New Roman" w:hAnsi="Times New Roman"/>
          <w:sz w:val="18"/>
          <w:szCs w:val="18"/>
          <w:color w:val="FCFCFC"/>
        </w:rPr>
      </w:pPr>
    </w:p>
    <w:p>
      <w:pPr>
        <w:jc w:val="both"/>
        <w:ind w:left="400" w:right="140" w:hanging="321"/>
        <w:spacing w:after="0" w:line="256" w:lineRule="auto"/>
        <w:tabs>
          <w:tab w:leader="none" w:pos="418" w:val="left"/>
        </w:tabs>
        <w:numPr>
          <w:ilvl w:val="0"/>
          <w:numId w:val="32"/>
        </w:numPr>
        <w:rPr>
          <w:rFonts w:ascii="Times New Roman" w:cs="Times New Roman" w:eastAsia="Times New Roman" w:hAnsi="Times New Roman"/>
          <w:sz w:val="18"/>
          <w:szCs w:val="18"/>
          <w:color w:val="FCFCFC"/>
        </w:rPr>
      </w:pPr>
      <w:r>
        <w:rPr>
          <w:rFonts w:ascii="Arial" w:cs="Arial" w:eastAsia="Arial" w:hAnsi="Arial"/>
          <w:sz w:val="18"/>
          <w:szCs w:val="18"/>
          <w:color w:val="FFFFFF"/>
        </w:rPr>
        <w:t>enterprise risk management, privacy and data security (except for risks assigned to other committees or retained by the Board);</w:t>
      </w:r>
    </w:p>
    <w:p>
      <w:pPr>
        <w:spacing w:after="0" w:line="18" w:lineRule="exact"/>
        <w:rPr>
          <w:rFonts w:ascii="Times New Roman" w:cs="Times New Roman" w:eastAsia="Times New Roman" w:hAnsi="Times New Roman"/>
          <w:sz w:val="18"/>
          <w:szCs w:val="18"/>
          <w:color w:val="FCFCFC"/>
        </w:rPr>
      </w:pPr>
    </w:p>
    <w:p>
      <w:pPr>
        <w:ind w:left="400" w:right="140" w:hanging="321"/>
        <w:spacing w:after="0" w:line="278" w:lineRule="auto"/>
        <w:tabs>
          <w:tab w:leader="none" w:pos="418" w:val="left"/>
        </w:tabs>
        <w:numPr>
          <w:ilvl w:val="0"/>
          <w:numId w:val="32"/>
        </w:numPr>
        <w:rPr>
          <w:rFonts w:ascii="Times New Roman" w:cs="Times New Roman" w:eastAsia="Times New Roman" w:hAnsi="Times New Roman"/>
          <w:sz w:val="18"/>
          <w:szCs w:val="18"/>
          <w:color w:val="FCFCFC"/>
        </w:rPr>
      </w:pPr>
      <w:r>
        <w:rPr>
          <w:rFonts w:ascii="Arial" w:cs="Arial" w:eastAsia="Arial" w:hAnsi="Arial"/>
          <w:sz w:val="18"/>
          <w:szCs w:val="18"/>
          <w:color w:val="FFFFFF"/>
        </w:rPr>
        <w:t>the Company’s independent auditor, including its qualifications, performance and independence; and</w:t>
      </w:r>
    </w:p>
    <w:p>
      <w:pPr>
        <w:spacing w:after="0" w:line="1" w:lineRule="exact"/>
        <w:rPr>
          <w:rFonts w:ascii="Times New Roman" w:cs="Times New Roman" w:eastAsia="Times New Roman" w:hAnsi="Times New Roman"/>
          <w:sz w:val="18"/>
          <w:szCs w:val="18"/>
          <w:color w:val="FCFCFC"/>
        </w:rPr>
      </w:pPr>
    </w:p>
    <w:p>
      <w:pPr>
        <w:ind w:left="420" w:hanging="341"/>
        <w:spacing w:after="0"/>
        <w:tabs>
          <w:tab w:leader="none" w:pos="420" w:val="left"/>
        </w:tabs>
        <w:numPr>
          <w:ilvl w:val="0"/>
          <w:numId w:val="32"/>
        </w:numPr>
        <w:rPr>
          <w:rFonts w:ascii="Times New Roman" w:cs="Times New Roman" w:eastAsia="Times New Roman" w:hAnsi="Times New Roman"/>
          <w:sz w:val="18"/>
          <w:szCs w:val="18"/>
          <w:color w:val="FCFCFC"/>
        </w:rPr>
      </w:pPr>
      <w:r>
        <w:rPr>
          <w:rFonts w:ascii="Arial" w:cs="Arial" w:eastAsia="Arial" w:hAnsi="Arial"/>
          <w:sz w:val="18"/>
          <w:szCs w:val="18"/>
          <w:color w:val="FFFFFF"/>
        </w:rPr>
        <w:t>the performance of the Company’s internal audit function.</w:t>
      </w:r>
    </w:p>
    <w:p>
      <w:pPr>
        <w:spacing w:after="0" w:line="28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Audit Committee reviews and discusses our annual and quarterly financial statements, our disclosures in the “</w:t>
      </w:r>
      <w:r>
        <w:rPr>
          <w:rFonts w:ascii="Arial" w:cs="Arial" w:eastAsia="Arial" w:hAnsi="Arial"/>
          <w:sz w:val="18"/>
          <w:szCs w:val="18"/>
          <w:i w:val="1"/>
          <w:iCs w:val="1"/>
          <w:color w:val="auto"/>
        </w:rPr>
        <w:t>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Results of Operations</w:t>
      </w:r>
      <w:r>
        <w:rPr>
          <w:rFonts w:ascii="Arial" w:cs="Arial" w:eastAsia="Arial" w:hAnsi="Arial"/>
          <w:sz w:val="18"/>
          <w:szCs w:val="18"/>
          <w:color w:val="auto"/>
        </w:rPr>
        <w:t>” in our annual and quarterly reports filed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SEC, and our earnings announcements prior to their release. The Audit Committee also reviews matters related to the Company’s related party transaction policy, the operations of the Company’s Technology department and the Company’s whistle-blower and integrity program. For additional information on the Audit Committee’s role in our enterprise risk management framework, please see “</w:t>
      </w:r>
      <w:r>
        <w:rPr>
          <w:rFonts w:ascii="Arial" w:cs="Arial" w:eastAsia="Arial" w:hAnsi="Arial"/>
          <w:sz w:val="18"/>
          <w:szCs w:val="18"/>
          <w:i w:val="1"/>
          <w:iCs w:val="1"/>
          <w:color w:val="auto"/>
        </w:rPr>
        <w:t>Risk Management and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 and Practices</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5400" w:space="340"/>
            <w:col w:w="5340"/>
          </w:cols>
          <w:pgMar w:left="320" w:top="454" w:right="499" w:bottom="1440" w:gutter="0" w:footer="0" w:header="0"/>
          <w:type w:val="continuous"/>
        </w:sectPr>
      </w:pPr>
    </w:p>
    <w:p>
      <w:pPr>
        <w:spacing w:after="0" w:line="69" w:lineRule="exact"/>
        <w:rPr>
          <w:sz w:val="20"/>
          <w:szCs w:val="20"/>
          <w:color w:val="auto"/>
        </w:rPr>
      </w:pPr>
    </w:p>
    <w:p>
      <w:pPr>
        <w:ind w:left="1000" w:hanging="690"/>
        <w:spacing w:after="0"/>
        <w:tabs>
          <w:tab w:leader="none" w:pos="1000" w:val="left"/>
        </w:tabs>
        <w:numPr>
          <w:ilvl w:val="0"/>
          <w:numId w:val="33"/>
        </w:numPr>
        <w:rPr>
          <w:rFonts w:ascii="Arial" w:cs="Arial" w:eastAsia="Arial" w:hAnsi="Arial"/>
          <w:sz w:val="17"/>
          <w:szCs w:val="17"/>
          <w:color w:val="050A54"/>
        </w:rPr>
      </w:pPr>
      <w:r>
        <w:rPr>
          <w:rFonts w:ascii="Arial" w:cs="Arial" w:eastAsia="Arial" w:hAnsi="Arial"/>
          <w:sz w:val="17"/>
          <w:szCs w:val="17"/>
          <w:b w:val="1"/>
          <w:bCs w:val="1"/>
          <w:color w:val="050A54"/>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-111760</wp:posOffset>
            </wp:positionV>
            <wp:extent cx="8255" cy="135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Information Regarding Board and Committee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336" w:lineRule="exact"/>
        <w:rPr>
          <w:sz w:val="20"/>
          <w:szCs w:val="20"/>
          <w:color w:val="auto"/>
        </w:rPr>
      </w:pPr>
    </w:p>
    <w:p>
      <w:pPr>
        <w:jc w:val="both"/>
        <w:ind w:left="160"/>
        <w:spacing w:after="0" w:line="270" w:lineRule="auto"/>
        <w:rPr>
          <w:sz w:val="20"/>
          <w:szCs w:val="20"/>
          <w:color w:val="auto"/>
        </w:rPr>
      </w:pPr>
      <w:r>
        <w:rPr>
          <w:rFonts w:ascii="Arial" w:cs="Arial" w:eastAsia="Arial" w:hAnsi="Arial"/>
          <w:sz w:val="17"/>
          <w:szCs w:val="17"/>
          <w:color w:val="auto"/>
        </w:rPr>
        <w:t>In addition, the Audit Committee is responsible for overseeing the fee negotiations associated with our retention of Deloitte &amp; Touche LLP, our independent registered public accounting firm (“Deloitte”).</w:t>
      </w:r>
    </w:p>
    <w:p>
      <w:pPr>
        <w:spacing w:after="0" w:line="156"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The Audit Committee has authority under its charter to obtain advice and assistance from outside legal counsel, accounting or other outside advisors as deemed appropriate to perform its duties and responsibilities.</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Audit Committee met eight times during 2021.</w:t>
      </w:r>
    </w:p>
    <w:p>
      <w:pPr>
        <w:spacing w:after="0" w:line="21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0A54"/>
        </w:rPr>
        <w:t>Nominating and Governance Committee</w:t>
      </w:r>
    </w:p>
    <w:p>
      <w:pPr>
        <w:spacing w:after="0" w:line="206"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Our Nominating and Governance Committee is composed of the following members: William F. Glavin, Jr., Allison H. Mnookin, Anne M. Mulcahy, Richard P. Schifter and Corey E. Thomas. Mr. Schifter serves as the chair of the Nominating and Governance Committee.</w:t>
      </w:r>
    </w:p>
    <w:p>
      <w:pPr>
        <w:spacing w:after="0" w:line="182"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Each member of the Nominating and Governance Committee is independent under the listing standards of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112395</wp:posOffset>
            </wp:positionV>
            <wp:extent cx="3320415" cy="26244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20415" cy="2624455"/>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The Nominating and Governance Committee is responsible for:</w:t>
      </w:r>
    </w:p>
    <w:p>
      <w:pPr>
        <w:spacing w:after="0" w:line="114" w:lineRule="exact"/>
        <w:rPr>
          <w:sz w:val="20"/>
          <w:szCs w:val="20"/>
          <w:color w:val="auto"/>
        </w:rPr>
      </w:pPr>
    </w:p>
    <w:p>
      <w:pPr>
        <w:jc w:val="both"/>
        <w:ind w:left="580" w:right="140" w:hanging="328"/>
        <w:spacing w:after="0" w:line="248" w:lineRule="auto"/>
        <w:tabs>
          <w:tab w:leader="none" w:pos="598" w:val="left"/>
        </w:tabs>
        <w:numPr>
          <w:ilvl w:val="0"/>
          <w:numId w:val="34"/>
        </w:numPr>
        <w:rPr>
          <w:rFonts w:ascii="Times New Roman" w:cs="Times New Roman" w:eastAsia="Times New Roman" w:hAnsi="Times New Roman"/>
          <w:sz w:val="18"/>
          <w:szCs w:val="18"/>
          <w:color w:val="FCFCFC"/>
        </w:rPr>
      </w:pPr>
      <w:r>
        <w:rPr>
          <w:rFonts w:ascii="Arial" w:cs="Arial" w:eastAsia="Arial" w:hAnsi="Arial"/>
          <w:sz w:val="18"/>
          <w:szCs w:val="18"/>
          <w:color w:val="FFFFFF"/>
        </w:rPr>
        <w:t>developing a profile of attributes that a potential director should possess in order to contribute effectively to the Board, taking into account the overall diversity and composition of the Board;</w:t>
      </w:r>
    </w:p>
    <w:p>
      <w:pPr>
        <w:spacing w:after="0" w:line="26" w:lineRule="exact"/>
        <w:rPr>
          <w:rFonts w:ascii="Times New Roman" w:cs="Times New Roman" w:eastAsia="Times New Roman" w:hAnsi="Times New Roman"/>
          <w:sz w:val="18"/>
          <w:szCs w:val="18"/>
          <w:color w:val="FCFCFC"/>
        </w:rPr>
      </w:pPr>
    </w:p>
    <w:p>
      <w:pPr>
        <w:ind w:left="580" w:right="140" w:hanging="328"/>
        <w:spacing w:after="0" w:line="278" w:lineRule="auto"/>
        <w:tabs>
          <w:tab w:leader="none" w:pos="598" w:val="left"/>
        </w:tabs>
        <w:numPr>
          <w:ilvl w:val="0"/>
          <w:numId w:val="34"/>
        </w:numPr>
        <w:rPr>
          <w:rFonts w:ascii="Times New Roman" w:cs="Times New Roman" w:eastAsia="Times New Roman" w:hAnsi="Times New Roman"/>
          <w:sz w:val="18"/>
          <w:szCs w:val="18"/>
          <w:color w:val="FCFCFC"/>
        </w:rPr>
      </w:pPr>
      <w:r>
        <w:rPr>
          <w:rFonts w:ascii="Arial" w:cs="Arial" w:eastAsia="Arial" w:hAnsi="Arial"/>
          <w:sz w:val="18"/>
          <w:szCs w:val="18"/>
          <w:color w:val="FFFFFF"/>
        </w:rPr>
        <w:t>identifying, evaluating and recruiting qualified persons to serve on our Board of Directors;</w:t>
      </w:r>
    </w:p>
    <w:p>
      <w:pPr>
        <w:spacing w:after="0" w:line="1" w:lineRule="exact"/>
        <w:rPr>
          <w:rFonts w:ascii="Times New Roman" w:cs="Times New Roman" w:eastAsia="Times New Roman" w:hAnsi="Times New Roman"/>
          <w:sz w:val="18"/>
          <w:szCs w:val="18"/>
          <w:color w:val="FCFCFC"/>
        </w:rPr>
      </w:pPr>
    </w:p>
    <w:p>
      <w:pPr>
        <w:ind w:left="580" w:right="140" w:hanging="328"/>
        <w:spacing w:after="0" w:line="278" w:lineRule="auto"/>
        <w:tabs>
          <w:tab w:leader="none" w:pos="598" w:val="left"/>
        </w:tabs>
        <w:numPr>
          <w:ilvl w:val="0"/>
          <w:numId w:val="34"/>
        </w:numPr>
        <w:rPr>
          <w:rFonts w:ascii="Times New Roman" w:cs="Times New Roman" w:eastAsia="Times New Roman" w:hAnsi="Times New Roman"/>
          <w:sz w:val="18"/>
          <w:szCs w:val="18"/>
          <w:color w:val="FCFCFC"/>
        </w:rPr>
      </w:pPr>
      <w:r>
        <w:rPr>
          <w:rFonts w:ascii="Arial" w:cs="Arial" w:eastAsia="Arial" w:hAnsi="Arial"/>
          <w:sz w:val="18"/>
          <w:szCs w:val="18"/>
          <w:color w:val="FFFFFF"/>
        </w:rPr>
        <w:t>selecting, or recommending to the Board for selection, nominees for election as directors;</w:t>
      </w:r>
    </w:p>
    <w:p>
      <w:pPr>
        <w:spacing w:after="0" w:line="1" w:lineRule="exact"/>
        <w:rPr>
          <w:rFonts w:ascii="Times New Roman" w:cs="Times New Roman" w:eastAsia="Times New Roman" w:hAnsi="Times New Roman"/>
          <w:sz w:val="18"/>
          <w:szCs w:val="18"/>
          <w:color w:val="FCFCFC"/>
        </w:rPr>
      </w:pPr>
    </w:p>
    <w:p>
      <w:pPr>
        <w:ind w:left="580" w:right="140" w:hanging="328"/>
        <w:spacing w:after="0" w:line="278" w:lineRule="auto"/>
        <w:tabs>
          <w:tab w:leader="none" w:pos="598" w:val="left"/>
        </w:tabs>
        <w:numPr>
          <w:ilvl w:val="0"/>
          <w:numId w:val="34"/>
        </w:numPr>
        <w:rPr>
          <w:rFonts w:ascii="Times New Roman" w:cs="Times New Roman" w:eastAsia="Times New Roman" w:hAnsi="Times New Roman"/>
          <w:sz w:val="18"/>
          <w:szCs w:val="18"/>
          <w:color w:val="FCFCFC"/>
        </w:rPr>
      </w:pPr>
      <w:r>
        <w:rPr>
          <w:rFonts w:ascii="Arial" w:cs="Arial" w:eastAsia="Arial" w:hAnsi="Arial"/>
          <w:sz w:val="18"/>
          <w:szCs w:val="18"/>
          <w:color w:val="FFFFFF"/>
        </w:rPr>
        <w:t>reviewing and recommending the composition of the Board’s standing committees;</w:t>
      </w:r>
    </w:p>
    <w:p>
      <w:pPr>
        <w:spacing w:after="0" w:line="1" w:lineRule="exact"/>
        <w:rPr>
          <w:rFonts w:ascii="Times New Roman" w:cs="Times New Roman" w:eastAsia="Times New Roman" w:hAnsi="Times New Roman"/>
          <w:sz w:val="18"/>
          <w:szCs w:val="18"/>
          <w:color w:val="FCFCFC"/>
        </w:rPr>
      </w:pPr>
    </w:p>
    <w:p>
      <w:pPr>
        <w:ind w:left="580" w:right="140" w:hanging="328"/>
        <w:spacing w:after="0" w:line="278" w:lineRule="auto"/>
        <w:tabs>
          <w:tab w:leader="none" w:pos="598" w:val="left"/>
        </w:tabs>
        <w:numPr>
          <w:ilvl w:val="0"/>
          <w:numId w:val="34"/>
        </w:numPr>
        <w:rPr>
          <w:rFonts w:ascii="Times New Roman" w:cs="Times New Roman" w:eastAsia="Times New Roman" w:hAnsi="Times New Roman"/>
          <w:sz w:val="18"/>
          <w:szCs w:val="18"/>
          <w:color w:val="FCFCFC"/>
        </w:rPr>
      </w:pPr>
      <w:r>
        <w:rPr>
          <w:rFonts w:ascii="Arial" w:cs="Arial" w:eastAsia="Arial" w:hAnsi="Arial"/>
          <w:sz w:val="18"/>
          <w:szCs w:val="18"/>
          <w:color w:val="FFFFFF"/>
        </w:rPr>
        <w:t>reviewing and assessing the Company’s corporate governance guidelines;</w:t>
      </w:r>
    </w:p>
    <w:p>
      <w:pPr>
        <w:spacing w:after="0" w:line="1" w:lineRule="exact"/>
        <w:rPr>
          <w:rFonts w:ascii="Times New Roman" w:cs="Times New Roman" w:eastAsia="Times New Roman" w:hAnsi="Times New Roman"/>
          <w:sz w:val="18"/>
          <w:szCs w:val="18"/>
          <w:color w:val="FCFCFC"/>
        </w:rPr>
      </w:pPr>
    </w:p>
    <w:p>
      <w:pPr>
        <w:ind w:left="600" w:hanging="348"/>
        <w:spacing w:after="0"/>
        <w:tabs>
          <w:tab w:leader="none" w:pos="600" w:val="left"/>
        </w:tabs>
        <w:numPr>
          <w:ilvl w:val="0"/>
          <w:numId w:val="34"/>
        </w:numPr>
        <w:rPr>
          <w:rFonts w:ascii="Times New Roman" w:cs="Times New Roman" w:eastAsia="Times New Roman" w:hAnsi="Times New Roman"/>
          <w:sz w:val="18"/>
          <w:szCs w:val="18"/>
          <w:color w:val="FCFCFC"/>
        </w:rPr>
      </w:pPr>
      <w:r>
        <w:rPr>
          <w:rFonts w:ascii="Arial" w:cs="Arial" w:eastAsia="Arial" w:hAnsi="Arial"/>
          <w:sz w:val="18"/>
          <w:szCs w:val="18"/>
          <w:color w:val="FFFFFF"/>
        </w:rPr>
        <w:t>overseeing our ESG program; and</w:t>
      </w:r>
    </w:p>
    <w:p>
      <w:pPr>
        <w:spacing w:after="0" w:line="139" w:lineRule="exact"/>
        <w:rPr>
          <w:rFonts w:ascii="Times New Roman" w:cs="Times New Roman" w:eastAsia="Times New Roman" w:hAnsi="Times New Roman"/>
          <w:sz w:val="18"/>
          <w:szCs w:val="18"/>
          <w:color w:val="FCFCFC"/>
        </w:rPr>
      </w:pPr>
    </w:p>
    <w:p>
      <w:pPr>
        <w:ind w:left="580" w:right="140" w:hanging="328"/>
        <w:spacing w:after="0" w:line="280" w:lineRule="auto"/>
        <w:tabs>
          <w:tab w:leader="none" w:pos="598" w:val="left"/>
        </w:tabs>
        <w:numPr>
          <w:ilvl w:val="0"/>
          <w:numId w:val="34"/>
        </w:numPr>
        <w:rPr>
          <w:rFonts w:ascii="Times New Roman" w:cs="Times New Roman" w:eastAsia="Times New Roman" w:hAnsi="Times New Roman"/>
          <w:sz w:val="18"/>
          <w:szCs w:val="18"/>
          <w:color w:val="FCFCFC"/>
        </w:rPr>
      </w:pPr>
      <w:r>
        <w:rPr>
          <w:rFonts w:ascii="Arial" w:cs="Arial" w:eastAsia="Arial" w:hAnsi="Arial"/>
          <w:sz w:val="18"/>
          <w:szCs w:val="18"/>
          <w:color w:val="FFFFFF"/>
        </w:rPr>
        <w:t>annually evaluating the performance, operations, size and composition of our Board of Directors.</w:t>
      </w:r>
    </w:p>
    <w:p>
      <w:pPr>
        <w:spacing w:after="0" w:line="212"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As described under “</w:t>
      </w:r>
      <w:r>
        <w:rPr>
          <w:rFonts w:ascii="Arial" w:cs="Arial" w:eastAsia="Arial" w:hAnsi="Arial"/>
          <w:sz w:val="18"/>
          <w:szCs w:val="18"/>
          <w:i w:val="1"/>
          <w:iCs w:val="1"/>
          <w:color w:val="auto"/>
        </w:rPr>
        <w:t>Board Oversight — Environmental, Social</w:t>
      </w:r>
      <w:r>
        <w:rPr>
          <w:rFonts w:ascii="Arial" w:cs="Arial" w:eastAsia="Arial" w:hAnsi="Arial"/>
          <w:sz w:val="18"/>
          <w:szCs w:val="18"/>
          <w:color w:val="auto"/>
        </w:rPr>
        <w:t xml:space="preserve"> </w:t>
      </w:r>
      <w:r>
        <w:rPr>
          <w:rFonts w:ascii="Arial" w:cs="Arial" w:eastAsia="Arial" w:hAnsi="Arial"/>
          <w:sz w:val="18"/>
          <w:szCs w:val="18"/>
          <w:i w:val="1"/>
          <w:iCs w:val="1"/>
          <w:color w:val="auto"/>
        </w:rPr>
        <w:t>and Governance Program</w:t>
      </w:r>
      <w:r>
        <w:rPr>
          <w:rFonts w:ascii="Arial" w:cs="Arial" w:eastAsia="Arial" w:hAnsi="Arial"/>
          <w:sz w:val="18"/>
          <w:szCs w:val="18"/>
          <w:color w:val="auto"/>
        </w:rPr>
        <w:t>,” the Nominating and Governance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was particularly focused in 2021 on overseeing the progress of our ESG program, including assessing ESG-related risks and opportunities and overseeing the integration of ESG considerations into the Company’s business strategies and practices. In addition, the Nominating and Governance Committee actively monitored corporate governance trends and</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best practices, and recommended the amendment and restatement of the Company’s bylaws to implement proxy access.</w:t>
      </w:r>
    </w:p>
    <w:p>
      <w:pPr>
        <w:spacing w:after="0" w:line="5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Nominating and Governance Committee met four times during 2021.</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50A54"/>
        </w:rPr>
        <w:t>Compensation and Human Resources Committee</w:t>
      </w:r>
    </w:p>
    <w:p>
      <w:pPr>
        <w:spacing w:after="0" w:line="9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Compensation Committee is composed of the following members: Edward C. Bernard, H. Paulett Eberhart, Allison H. Mnookin, Anne M. Mulcahy and James S. Putnam. Ms. Mulcahy serves as the chair of the Compensation Committee.</w:t>
      </w:r>
    </w:p>
    <w:p>
      <w:pPr>
        <w:spacing w:after="0" w:line="17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Each member of the Compensation Committee is independent under the listing standards of Nasdaq, including the heightened standards that apply to compensation committee members. The Compensation Committee is composed entirely of “non-employee directors” within the meaning of Rule 16b-3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143510</wp:posOffset>
            </wp:positionV>
            <wp:extent cx="3388360" cy="43738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88360" cy="4373880"/>
                    </a:xfrm>
                    <a:prstGeom prst="rect">
                      <a:avLst/>
                    </a:prstGeom>
                    <a:noFill/>
                  </pic:spPr>
                </pic:pic>
              </a:graphicData>
            </a:graphic>
          </wp:anchor>
        </w:drawing>
      </w:r>
    </w:p>
    <w:p>
      <w:pPr>
        <w:spacing w:after="0" w:line="255" w:lineRule="exact"/>
        <w:rPr>
          <w:sz w:val="20"/>
          <w:szCs w:val="20"/>
          <w:color w:val="auto"/>
        </w:rPr>
      </w:pPr>
    </w:p>
    <w:p>
      <w:pPr>
        <w:ind w:left="80"/>
        <w:spacing w:after="0"/>
        <w:rPr>
          <w:sz w:val="20"/>
          <w:szCs w:val="20"/>
          <w:color w:val="auto"/>
        </w:rPr>
      </w:pPr>
      <w:r>
        <w:rPr>
          <w:rFonts w:ascii="Arial" w:cs="Arial" w:eastAsia="Arial" w:hAnsi="Arial"/>
          <w:sz w:val="18"/>
          <w:szCs w:val="18"/>
          <w:color w:val="FFFFFF"/>
        </w:rPr>
        <w:t>The Compensation Committee is responsible for:</w:t>
      </w:r>
    </w:p>
    <w:p>
      <w:pPr>
        <w:spacing w:after="0" w:line="114" w:lineRule="exact"/>
        <w:rPr>
          <w:sz w:val="20"/>
          <w:szCs w:val="20"/>
          <w:color w:val="auto"/>
        </w:rPr>
      </w:pPr>
    </w:p>
    <w:p>
      <w:pPr>
        <w:jc w:val="both"/>
        <w:ind w:left="400" w:right="140" w:hanging="321"/>
        <w:spacing w:after="0" w:line="248" w:lineRule="auto"/>
        <w:tabs>
          <w:tab w:leader="none" w:pos="418" w:val="left"/>
        </w:tabs>
        <w:numPr>
          <w:ilvl w:val="0"/>
          <w:numId w:val="35"/>
        </w:numPr>
        <w:rPr>
          <w:rFonts w:ascii="Times New Roman" w:cs="Times New Roman" w:eastAsia="Times New Roman" w:hAnsi="Times New Roman"/>
          <w:sz w:val="18"/>
          <w:szCs w:val="18"/>
          <w:color w:val="FCFCFC"/>
        </w:rPr>
      </w:pPr>
      <w:r>
        <w:rPr>
          <w:rFonts w:ascii="Arial" w:cs="Arial" w:eastAsia="Arial" w:hAnsi="Arial"/>
          <w:sz w:val="18"/>
          <w:szCs w:val="18"/>
          <w:color w:val="FFFFFF"/>
        </w:rPr>
        <w:t>reviewing and approving goals and objectives relevant to executive officer compensation and evaluating the performance of executive officers in light of those goals and objectives;</w:t>
      </w:r>
    </w:p>
    <w:p>
      <w:pPr>
        <w:spacing w:after="0" w:line="26" w:lineRule="exact"/>
        <w:rPr>
          <w:rFonts w:ascii="Times New Roman" w:cs="Times New Roman" w:eastAsia="Times New Roman" w:hAnsi="Times New Roman"/>
          <w:sz w:val="18"/>
          <w:szCs w:val="18"/>
          <w:color w:val="FCFCFC"/>
        </w:rPr>
      </w:pPr>
    </w:p>
    <w:p>
      <w:pPr>
        <w:jc w:val="both"/>
        <w:ind w:left="400" w:right="140" w:hanging="321"/>
        <w:spacing w:after="0" w:line="256" w:lineRule="auto"/>
        <w:tabs>
          <w:tab w:leader="none" w:pos="418" w:val="left"/>
        </w:tabs>
        <w:numPr>
          <w:ilvl w:val="0"/>
          <w:numId w:val="35"/>
        </w:numPr>
        <w:rPr>
          <w:rFonts w:ascii="Times New Roman" w:cs="Times New Roman" w:eastAsia="Times New Roman" w:hAnsi="Times New Roman"/>
          <w:sz w:val="18"/>
          <w:szCs w:val="18"/>
          <w:color w:val="FCFCFC"/>
        </w:rPr>
      </w:pPr>
      <w:r>
        <w:rPr>
          <w:rFonts w:ascii="Arial" w:cs="Arial" w:eastAsia="Arial" w:hAnsi="Arial"/>
          <w:sz w:val="18"/>
          <w:szCs w:val="18"/>
          <w:color w:val="FFFFFF"/>
        </w:rPr>
        <w:t>reviewing and approving the chief executive officer’s compensation based upon the Compensation Committee’s evaluation of the chief executive officer’s performance;</w:t>
      </w:r>
    </w:p>
    <w:p>
      <w:pPr>
        <w:spacing w:after="0" w:line="18" w:lineRule="exact"/>
        <w:rPr>
          <w:rFonts w:ascii="Times New Roman" w:cs="Times New Roman" w:eastAsia="Times New Roman" w:hAnsi="Times New Roman"/>
          <w:sz w:val="18"/>
          <w:szCs w:val="18"/>
          <w:color w:val="FCFCFC"/>
        </w:rPr>
      </w:pPr>
    </w:p>
    <w:p>
      <w:pPr>
        <w:ind w:left="420" w:hanging="341"/>
        <w:spacing w:after="0"/>
        <w:tabs>
          <w:tab w:leader="none" w:pos="420" w:val="left"/>
        </w:tabs>
        <w:numPr>
          <w:ilvl w:val="0"/>
          <w:numId w:val="35"/>
        </w:numPr>
        <w:rPr>
          <w:rFonts w:ascii="Times New Roman" w:cs="Times New Roman" w:eastAsia="Times New Roman" w:hAnsi="Times New Roman"/>
          <w:sz w:val="18"/>
          <w:szCs w:val="18"/>
          <w:color w:val="FCFCFC"/>
        </w:rPr>
      </w:pPr>
      <w:r>
        <w:rPr>
          <w:rFonts w:ascii="Arial" w:cs="Arial" w:eastAsia="Arial" w:hAnsi="Arial"/>
          <w:sz w:val="18"/>
          <w:szCs w:val="18"/>
          <w:color w:val="FFFFFF"/>
        </w:rPr>
        <w:t>reviewing and approving executive officer compensation;</w:t>
      </w:r>
    </w:p>
    <w:p>
      <w:pPr>
        <w:spacing w:after="0" w:line="73" w:lineRule="exact"/>
        <w:rPr>
          <w:rFonts w:ascii="Times New Roman" w:cs="Times New Roman" w:eastAsia="Times New Roman" w:hAnsi="Times New Roman"/>
          <w:sz w:val="18"/>
          <w:szCs w:val="18"/>
          <w:color w:val="FCFCFC"/>
        </w:rPr>
      </w:pPr>
    </w:p>
    <w:p>
      <w:pPr>
        <w:jc w:val="both"/>
        <w:ind w:left="400" w:right="140" w:hanging="321"/>
        <w:spacing w:after="0" w:line="256" w:lineRule="auto"/>
        <w:tabs>
          <w:tab w:leader="none" w:pos="418" w:val="left"/>
        </w:tabs>
        <w:numPr>
          <w:ilvl w:val="0"/>
          <w:numId w:val="35"/>
        </w:numPr>
        <w:rPr>
          <w:rFonts w:ascii="Times New Roman" w:cs="Times New Roman" w:eastAsia="Times New Roman" w:hAnsi="Times New Roman"/>
          <w:sz w:val="18"/>
          <w:szCs w:val="18"/>
          <w:color w:val="FCFCFC"/>
        </w:rPr>
      </w:pPr>
      <w:r>
        <w:rPr>
          <w:rFonts w:ascii="Arial" w:cs="Arial" w:eastAsia="Arial" w:hAnsi="Arial"/>
          <w:sz w:val="18"/>
          <w:szCs w:val="18"/>
          <w:color w:val="FFFFFF"/>
        </w:rPr>
        <w:t>reviewing the performance, development and leadership capabilities of senior management and succession planning strategies for such senior management;</w:t>
      </w:r>
    </w:p>
    <w:p>
      <w:pPr>
        <w:spacing w:after="0" w:line="18" w:lineRule="exact"/>
        <w:rPr>
          <w:rFonts w:ascii="Times New Roman" w:cs="Times New Roman" w:eastAsia="Times New Roman" w:hAnsi="Times New Roman"/>
          <w:sz w:val="18"/>
          <w:szCs w:val="18"/>
          <w:color w:val="FCFCFC"/>
        </w:rPr>
      </w:pPr>
    </w:p>
    <w:p>
      <w:pPr>
        <w:jc w:val="both"/>
        <w:ind w:left="400" w:right="140" w:hanging="321"/>
        <w:spacing w:after="0" w:line="248" w:lineRule="auto"/>
        <w:tabs>
          <w:tab w:leader="none" w:pos="418" w:val="left"/>
        </w:tabs>
        <w:numPr>
          <w:ilvl w:val="0"/>
          <w:numId w:val="35"/>
        </w:numPr>
        <w:rPr>
          <w:rFonts w:ascii="Times New Roman" w:cs="Times New Roman" w:eastAsia="Times New Roman" w:hAnsi="Times New Roman"/>
          <w:sz w:val="18"/>
          <w:szCs w:val="18"/>
          <w:color w:val="FCFCFC"/>
        </w:rPr>
      </w:pPr>
      <w:r>
        <w:rPr>
          <w:rFonts w:ascii="Arial" w:cs="Arial" w:eastAsia="Arial" w:hAnsi="Arial"/>
          <w:sz w:val="18"/>
          <w:szCs w:val="18"/>
          <w:color w:val="FFFFFF"/>
        </w:rPr>
        <w:t>making recommendations to the Board regarding the adoption of new incentive compensation and equity-based plans, and administering our existing incentive compensation and equity-based plans;</w:t>
      </w:r>
    </w:p>
    <w:p>
      <w:pPr>
        <w:spacing w:after="0" w:line="26" w:lineRule="exact"/>
        <w:rPr>
          <w:rFonts w:ascii="Times New Roman" w:cs="Times New Roman" w:eastAsia="Times New Roman" w:hAnsi="Times New Roman"/>
          <w:sz w:val="18"/>
          <w:szCs w:val="18"/>
          <w:color w:val="FCFCFC"/>
        </w:rPr>
      </w:pPr>
    </w:p>
    <w:p>
      <w:pPr>
        <w:jc w:val="both"/>
        <w:ind w:left="400" w:right="140" w:hanging="321"/>
        <w:spacing w:after="0" w:line="256" w:lineRule="auto"/>
        <w:tabs>
          <w:tab w:leader="none" w:pos="418" w:val="left"/>
        </w:tabs>
        <w:numPr>
          <w:ilvl w:val="0"/>
          <w:numId w:val="35"/>
        </w:numPr>
        <w:rPr>
          <w:rFonts w:ascii="Times New Roman" w:cs="Times New Roman" w:eastAsia="Times New Roman" w:hAnsi="Times New Roman"/>
          <w:sz w:val="18"/>
          <w:szCs w:val="18"/>
          <w:color w:val="FCFCFC"/>
        </w:rPr>
      </w:pPr>
      <w:r>
        <w:rPr>
          <w:rFonts w:ascii="Arial" w:cs="Arial" w:eastAsia="Arial" w:hAnsi="Arial"/>
          <w:sz w:val="18"/>
          <w:szCs w:val="18"/>
          <w:color w:val="FFFFFF"/>
        </w:rPr>
        <w:t>making recommendations to the Board regarding compensation of our directors and applicable stock ownership and holding guidelines;</w:t>
      </w:r>
    </w:p>
    <w:p>
      <w:pPr>
        <w:spacing w:after="0" w:line="18" w:lineRule="exact"/>
        <w:rPr>
          <w:rFonts w:ascii="Times New Roman" w:cs="Times New Roman" w:eastAsia="Times New Roman" w:hAnsi="Times New Roman"/>
          <w:sz w:val="18"/>
          <w:szCs w:val="18"/>
          <w:color w:val="FCFCFC"/>
        </w:rPr>
      </w:pPr>
    </w:p>
    <w:p>
      <w:pPr>
        <w:jc w:val="both"/>
        <w:ind w:left="400" w:right="140" w:hanging="321"/>
        <w:spacing w:after="0" w:line="256" w:lineRule="auto"/>
        <w:tabs>
          <w:tab w:leader="none" w:pos="418" w:val="left"/>
        </w:tabs>
        <w:numPr>
          <w:ilvl w:val="0"/>
          <w:numId w:val="35"/>
        </w:numPr>
        <w:rPr>
          <w:rFonts w:ascii="Times New Roman" w:cs="Times New Roman" w:eastAsia="Times New Roman" w:hAnsi="Times New Roman"/>
          <w:sz w:val="18"/>
          <w:szCs w:val="18"/>
          <w:color w:val="FCFCFC"/>
        </w:rPr>
      </w:pPr>
      <w:r>
        <w:rPr>
          <w:rFonts w:ascii="Arial" w:cs="Arial" w:eastAsia="Arial" w:hAnsi="Arial"/>
          <w:sz w:val="18"/>
          <w:szCs w:val="18"/>
          <w:color w:val="FFFFFF"/>
        </w:rPr>
        <w:t>reviewing and approving the general design and terms of any significant non-executive compensation and benefits plans;</w:t>
      </w:r>
    </w:p>
    <w:p>
      <w:pPr>
        <w:spacing w:after="0" w:line="18" w:lineRule="exact"/>
        <w:rPr>
          <w:rFonts w:ascii="Times New Roman" w:cs="Times New Roman" w:eastAsia="Times New Roman" w:hAnsi="Times New Roman"/>
          <w:sz w:val="18"/>
          <w:szCs w:val="18"/>
          <w:color w:val="FCFCFC"/>
        </w:rPr>
      </w:pPr>
    </w:p>
    <w:p>
      <w:pPr>
        <w:ind w:left="420" w:hanging="341"/>
        <w:spacing w:after="0"/>
        <w:tabs>
          <w:tab w:leader="none" w:pos="420" w:val="left"/>
        </w:tabs>
        <w:numPr>
          <w:ilvl w:val="0"/>
          <w:numId w:val="35"/>
        </w:numPr>
        <w:rPr>
          <w:rFonts w:ascii="Times New Roman" w:cs="Times New Roman" w:eastAsia="Times New Roman" w:hAnsi="Times New Roman"/>
          <w:sz w:val="18"/>
          <w:szCs w:val="18"/>
          <w:color w:val="FCFCFC"/>
        </w:rPr>
      </w:pPr>
      <w:r>
        <w:rPr>
          <w:rFonts w:ascii="Arial" w:cs="Arial" w:eastAsia="Arial" w:hAnsi="Arial"/>
          <w:sz w:val="18"/>
          <w:szCs w:val="18"/>
          <w:color w:val="FFFFFF"/>
        </w:rPr>
        <w:t>reviewing our DEI policies, programs and initiatives;</w:t>
      </w:r>
    </w:p>
    <w:p>
      <w:pPr>
        <w:spacing w:after="0" w:line="73" w:lineRule="exact"/>
        <w:rPr>
          <w:rFonts w:ascii="Times New Roman" w:cs="Times New Roman" w:eastAsia="Times New Roman" w:hAnsi="Times New Roman"/>
          <w:sz w:val="18"/>
          <w:szCs w:val="18"/>
          <w:color w:val="FCFCFC"/>
        </w:rPr>
      </w:pPr>
    </w:p>
    <w:p>
      <w:pPr>
        <w:ind w:left="400" w:right="140" w:hanging="321"/>
        <w:spacing w:after="0" w:line="278" w:lineRule="auto"/>
        <w:tabs>
          <w:tab w:leader="none" w:pos="418" w:val="left"/>
        </w:tabs>
        <w:numPr>
          <w:ilvl w:val="0"/>
          <w:numId w:val="35"/>
        </w:numPr>
        <w:rPr>
          <w:rFonts w:ascii="Times New Roman" w:cs="Times New Roman" w:eastAsia="Times New Roman" w:hAnsi="Times New Roman"/>
          <w:sz w:val="18"/>
          <w:szCs w:val="18"/>
          <w:color w:val="FCFCFC"/>
        </w:rPr>
      </w:pPr>
      <w:r>
        <w:rPr>
          <w:rFonts w:ascii="Arial" w:cs="Arial" w:eastAsia="Arial" w:hAnsi="Arial"/>
          <w:sz w:val="18"/>
          <w:szCs w:val="18"/>
          <w:color w:val="FFFFFF"/>
        </w:rPr>
        <w:t>reviewing our significant policies, practices and procedures concerning human resource-related matters;</w:t>
      </w:r>
    </w:p>
    <w:p>
      <w:pPr>
        <w:spacing w:after="0" w:line="1" w:lineRule="exact"/>
        <w:rPr>
          <w:rFonts w:ascii="Times New Roman" w:cs="Times New Roman" w:eastAsia="Times New Roman" w:hAnsi="Times New Roman"/>
          <w:sz w:val="18"/>
          <w:szCs w:val="18"/>
          <w:color w:val="FCFCFC"/>
        </w:rPr>
      </w:pPr>
    </w:p>
    <w:p>
      <w:pPr>
        <w:jc w:val="both"/>
        <w:ind w:left="400" w:right="140" w:hanging="321"/>
        <w:spacing w:after="0" w:line="256" w:lineRule="auto"/>
        <w:tabs>
          <w:tab w:leader="none" w:pos="418" w:val="left"/>
        </w:tabs>
        <w:numPr>
          <w:ilvl w:val="0"/>
          <w:numId w:val="35"/>
        </w:numPr>
        <w:rPr>
          <w:rFonts w:ascii="Times New Roman" w:cs="Times New Roman" w:eastAsia="Times New Roman" w:hAnsi="Times New Roman"/>
          <w:sz w:val="18"/>
          <w:szCs w:val="18"/>
          <w:color w:val="FCFCFC"/>
        </w:rPr>
      </w:pPr>
      <w:r>
        <w:rPr>
          <w:rFonts w:ascii="Arial" w:cs="Arial" w:eastAsia="Arial" w:hAnsi="Arial"/>
          <w:sz w:val="18"/>
          <w:szCs w:val="18"/>
          <w:color w:val="FFFFFF"/>
        </w:rPr>
        <w:t>establishing and monitoring compliance with stock ownership and holding guidelines applicable to executive officers; and</w:t>
      </w:r>
    </w:p>
    <w:p>
      <w:pPr>
        <w:spacing w:after="0" w:line="18" w:lineRule="exact"/>
        <w:rPr>
          <w:rFonts w:ascii="Times New Roman" w:cs="Times New Roman" w:eastAsia="Times New Roman" w:hAnsi="Times New Roman"/>
          <w:sz w:val="18"/>
          <w:szCs w:val="18"/>
          <w:color w:val="FCFCFC"/>
        </w:rPr>
      </w:pPr>
    </w:p>
    <w:p>
      <w:pPr>
        <w:ind w:left="420" w:hanging="341"/>
        <w:spacing w:after="0"/>
        <w:tabs>
          <w:tab w:leader="none" w:pos="420" w:val="left"/>
        </w:tabs>
        <w:numPr>
          <w:ilvl w:val="0"/>
          <w:numId w:val="35"/>
        </w:numPr>
        <w:rPr>
          <w:rFonts w:ascii="Times New Roman" w:cs="Times New Roman" w:eastAsia="Times New Roman" w:hAnsi="Times New Roman"/>
          <w:sz w:val="18"/>
          <w:szCs w:val="18"/>
          <w:color w:val="FCFCFC"/>
        </w:rPr>
      </w:pPr>
      <w:r>
        <w:rPr>
          <w:rFonts w:ascii="Arial" w:cs="Arial" w:eastAsia="Arial" w:hAnsi="Arial"/>
          <w:sz w:val="18"/>
          <w:szCs w:val="18"/>
          <w:color w:val="FFFFFF"/>
        </w:rPr>
        <w:t>reviewing an annual compensation risk assessment.</w:t>
      </w:r>
    </w:p>
    <w:p>
      <w:pPr>
        <w:spacing w:after="0" w:line="200" w:lineRule="exact"/>
        <w:rPr>
          <w:sz w:val="20"/>
          <w:szCs w:val="20"/>
          <w:color w:val="auto"/>
        </w:rPr>
      </w:pPr>
    </w:p>
    <w:p>
      <w:pPr>
        <w:sectPr>
          <w:pgSz w:w="11900" w:h="16838" w:orient="portrait"/>
          <w:cols w:equalWidth="0" w:num="2">
            <w:col w:w="5400" w:space="340"/>
            <w:col w:w="5340"/>
          </w:cols>
          <w:pgMar w:left="320" w:top="454" w:right="499" w:bottom="1440" w:gutter="0" w:footer="0" w:header="0"/>
          <w:type w:val="continuous"/>
        </w:sectPr>
      </w:pPr>
    </w:p>
    <w:p>
      <w:pPr>
        <w:spacing w:after="0" w:line="167" w:lineRule="exact"/>
        <w:rPr>
          <w:sz w:val="20"/>
          <w:szCs w:val="20"/>
          <w:color w:val="auto"/>
        </w:rPr>
      </w:pPr>
    </w:p>
    <w:tbl>
      <w:tblPr>
        <w:tblLayout w:type="fixed"/>
        <w:tblInd w:w="8500" w:type="dxa"/>
        <w:tblCellMar>
          <w:top w:w="0" w:type="dxa"/>
          <w:left w:w="0" w:type="dxa"/>
          <w:bottom w:w="0" w:type="dxa"/>
          <w:right w:w="0" w:type="dxa"/>
        </w:tblCellMar>
      </w:tblPr>
      <w:tr>
        <w:trPr>
          <w:trHeight w:val="233"/>
        </w:trPr>
        <w:tc>
          <w:tcPr>
            <w:tcW w:w="2060" w:type="dxa"/>
            <w:vAlign w:val="bottom"/>
            <w:tcBorders>
              <w:right w:val="single" w:sz="8" w:color="050A54"/>
            </w:tcBorders>
          </w:tcPr>
          <w:p>
            <w:pPr>
              <w:spacing w:after="0"/>
              <w:rPr>
                <w:sz w:val="20"/>
                <w:szCs w:val="20"/>
                <w:color w:val="auto"/>
              </w:rPr>
            </w:pPr>
            <w:r>
              <w:rPr>
                <w:rFonts w:ascii="Arial" w:cs="Arial" w:eastAsia="Arial" w:hAnsi="Arial"/>
                <w:sz w:val="18"/>
                <w:szCs w:val="18"/>
                <w:b w:val="1"/>
                <w:bCs w:val="1"/>
                <w:color w:val="050A54"/>
              </w:rPr>
              <w:t>2022 Proxy Statement</w:t>
            </w:r>
          </w:p>
        </w:tc>
        <w:tc>
          <w:tcPr>
            <w:tcW w:w="520" w:type="dxa"/>
            <w:vAlign w:val="bottom"/>
          </w:tcPr>
          <w:p>
            <w:pPr>
              <w:jc w:val="right"/>
              <w:spacing w:after="0"/>
              <w:rPr>
                <w:sz w:val="20"/>
                <w:szCs w:val="20"/>
                <w:color w:val="auto"/>
              </w:rPr>
            </w:pPr>
            <w:r>
              <w:rPr>
                <w:rFonts w:ascii="Arial" w:cs="Arial" w:eastAsia="Arial" w:hAnsi="Arial"/>
                <w:sz w:val="18"/>
                <w:szCs w:val="18"/>
                <w:color w:val="050A54"/>
              </w:rPr>
              <w:t>25</w:t>
            </w:r>
          </w:p>
        </w:tc>
      </w:tr>
    </w:tbl>
    <w:p>
      <w:pPr>
        <w:sectPr>
          <w:pgSz w:w="11900" w:h="16838" w:orient="portrait"/>
          <w:cols w:equalWidth="0" w:num="1">
            <w:col w:w="11080"/>
          </w:cols>
          <w:pgMar w:left="320" w:top="454" w:right="499" w:bottom="1440" w:gutter="0" w:footer="0" w:header="0"/>
          <w:type w:val="continuous"/>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Information Regarding Board and Committee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336"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As described under “</w:t>
      </w:r>
      <w:r>
        <w:rPr>
          <w:rFonts w:ascii="Arial" w:cs="Arial" w:eastAsia="Arial" w:hAnsi="Arial"/>
          <w:sz w:val="18"/>
          <w:szCs w:val="18"/>
          <w:i w:val="1"/>
          <w:iCs w:val="1"/>
          <w:color w:val="auto"/>
        </w:rPr>
        <w:t>Board Oversight — Human Capital</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w:t>
      </w:r>
      <w:r>
        <w:rPr>
          <w:rFonts w:ascii="Arial" w:cs="Arial" w:eastAsia="Arial" w:hAnsi="Arial"/>
          <w:sz w:val="18"/>
          <w:szCs w:val="18"/>
          <w:color w:val="auto"/>
        </w:rPr>
        <w:t>,” in 2021, the Compensation Committee devoted</w:t>
      </w:r>
      <w:r>
        <w:rPr>
          <w:rFonts w:ascii="Arial" w:cs="Arial" w:eastAsia="Arial" w:hAnsi="Arial"/>
          <w:sz w:val="18"/>
          <w:szCs w:val="18"/>
          <w:i w:val="1"/>
          <w:iCs w:val="1"/>
          <w:color w:val="auto"/>
        </w:rPr>
        <w:t xml:space="preserve"> </w:t>
      </w:r>
      <w:r>
        <w:rPr>
          <w:rFonts w:ascii="Arial" w:cs="Arial" w:eastAsia="Arial" w:hAnsi="Arial"/>
          <w:sz w:val="18"/>
          <w:szCs w:val="18"/>
          <w:color w:val="auto"/>
        </w:rPr>
        <w:t>particular attention to human capital management matters, including the priorities, transparency and progress of our employee and advisor DEI programs, and non-executive compensation, including pay equity.</w:t>
      </w:r>
    </w:p>
    <w:p>
      <w:pPr>
        <w:spacing w:after="0" w:line="181"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In addition, the Compensation Committee continued to focus on robust performance management, and ongoing development and coaching for future leadership positions, through:</w:t>
      </w:r>
    </w:p>
    <w:p>
      <w:pPr>
        <w:spacing w:after="0" w:line="198" w:lineRule="exact"/>
        <w:rPr>
          <w:sz w:val="20"/>
          <w:szCs w:val="20"/>
          <w:color w:val="auto"/>
        </w:rPr>
      </w:pPr>
    </w:p>
    <w:p>
      <w:pPr>
        <w:jc w:val="both"/>
        <w:ind w:left="860" w:right="20" w:hanging="372"/>
        <w:spacing w:after="0" w:line="249" w:lineRule="auto"/>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annual succession planning for all managing director roles to ensure we are identifying and investing in key talent for critical positions; and</w:t>
      </w:r>
    </w:p>
    <w:p>
      <w:pPr>
        <w:spacing w:after="0" w:line="198" w:lineRule="exact"/>
        <w:rPr>
          <w:rFonts w:ascii="Arial" w:cs="Arial" w:eastAsia="Arial" w:hAnsi="Arial"/>
          <w:sz w:val="18"/>
          <w:szCs w:val="18"/>
          <w:color w:val="auto"/>
        </w:rPr>
      </w:pPr>
    </w:p>
    <w:p>
      <w:pPr>
        <w:jc w:val="both"/>
        <w:ind w:left="860" w:hanging="372"/>
        <w:spacing w:after="0" w:line="262" w:lineRule="auto"/>
        <w:tabs>
          <w:tab w:leader="none" w:pos="8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talent reviews of individual leaders at quarterly committee meetings to provide the Compensation Committee with insight into our talent pipeline, as well as the opportunity to provide development feedback to those leaders.</w:t>
      </w:r>
    </w:p>
    <w:p>
      <w:pPr>
        <w:spacing w:after="0" w:line="163"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The Compensation Committee has authority under its charter to access such internal and external resources, including retaining legal, financial or other advisors, as the Compensation Committee deems necessary or appropriate to fulfill its responsibilities. The Compensation Committee engaged Frederic W. Cook &amp; Co., Inc. as an independent compensation consultant (the “Compensation Consultant”) to advise in 2021 on compensation matters and provide experiential guidance on what is considered fair and competitive practice in our industry, primarily with respect to the compensation of our executive officers, and also with regard to director compensation. In addition, the Compensation Committee received advice from Meridian Compensation Partners, LLC (“Meridian”) in connection with the adoption in 2021 of our 2021 Omnibus Equity Incentive Plan (the “2021 Plan”) and our 2021 Employee Stock Purchase Plan, as well as the preparation of benchmarking data for compensation for our executives in 2021. Meridian did not otherwise have any role in determining or recommending the amount or form of executive or director compensation in 2021.</w:t>
      </w:r>
    </w:p>
    <w:p>
      <w:pPr>
        <w:spacing w:after="0" w:line="191"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The Compensation Committee has the authority to delegate to subcommittees of the Compensation Committee any responsibilities of the full committee. The Compensation Committee may also delegate to a committee of one or more directors, or one or more of our executive officers, subject to certain restrictions, the power to grant restricted stock units, performance stock units or other equity awards, and amend the terms of such awards, pursuant to our equity plans. References to the Compensation Committee in this proxy statement also refer to its subcommittees and its delegates, where applicable.</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met five times during 2021.</w:t>
      </w:r>
    </w:p>
    <w:p>
      <w:pPr>
        <w:spacing w:after="0" w:line="310" w:lineRule="exact"/>
        <w:rPr>
          <w:sz w:val="20"/>
          <w:szCs w:val="20"/>
          <w:color w:val="auto"/>
        </w:rPr>
      </w:pPr>
    </w:p>
    <w:p>
      <w:pPr>
        <w:ind w:right="840"/>
        <w:spacing w:after="0" w:line="264" w:lineRule="auto"/>
        <w:rPr>
          <w:sz w:val="20"/>
          <w:szCs w:val="20"/>
          <w:color w:val="auto"/>
        </w:rPr>
      </w:pPr>
      <w:r>
        <w:rPr>
          <w:rFonts w:ascii="Arial" w:cs="Arial" w:eastAsia="Arial" w:hAnsi="Arial"/>
          <w:sz w:val="20"/>
          <w:szCs w:val="20"/>
          <w:b w:val="1"/>
          <w:bCs w:val="1"/>
          <w:color w:val="050A54"/>
        </w:rPr>
        <w:t>Compensation Committee Interlocks and Insider Participation</w:t>
      </w:r>
    </w:p>
    <w:p>
      <w:pPr>
        <w:spacing w:after="0" w:line="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No member of the Compensation Committee is or was during 2021 an officer or employee of ours or any of our subsidiaries. Mr. Putnam, a member of the Compensation Committee, served as an officer of LPL Financial prior to 2006. None of our executive officers serves or has served as a member of the board of directors, compensation committee or other board committee performing equivalent functions of any entity that has one or more executive officers serving as one of our directors or on our Compensation Committee.</w:t>
      </w:r>
    </w:p>
    <w:p>
      <w:pPr>
        <w:spacing w:after="0" w:line="148" w:lineRule="exact"/>
        <w:rPr>
          <w:sz w:val="20"/>
          <w:szCs w:val="20"/>
          <w:color w:val="auto"/>
        </w:rPr>
      </w:pPr>
    </w:p>
    <w:p>
      <w:pPr>
        <w:ind w:right="660"/>
        <w:spacing w:after="0" w:line="264" w:lineRule="auto"/>
        <w:rPr>
          <w:sz w:val="20"/>
          <w:szCs w:val="20"/>
          <w:color w:val="auto"/>
        </w:rPr>
      </w:pPr>
      <w:r>
        <w:rPr>
          <w:rFonts w:ascii="Arial" w:cs="Arial" w:eastAsia="Arial" w:hAnsi="Arial"/>
          <w:sz w:val="20"/>
          <w:szCs w:val="20"/>
          <w:b w:val="1"/>
          <w:bCs w:val="1"/>
          <w:color w:val="050A54"/>
        </w:rPr>
        <w:t>Risk Management and Compensation Policies and Practices</w:t>
      </w:r>
    </w:p>
    <w:p>
      <w:pPr>
        <w:spacing w:after="0" w:line="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employ an enterprise risk management (“ERM”) framework that is intended to address key risks and responsibilities, enable us to execute our business strategy and protect our Company and its franchise. Our framework is designed to promote clear lines of risk management accountability and a structured escalation process for key risk information and events. In addition to the ERM framework, we have written policies and procedures that govern the conduct of business by our employees and independent financial advisors, and the terms and conditions of our relationships with financial product sponsors.</w:t>
      </w:r>
    </w:p>
    <w:p>
      <w:pPr>
        <w:spacing w:after="0" w:line="18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risk management governance approach is discussed in our Annual Report under “</w:t>
      </w:r>
      <w:r>
        <w:rPr>
          <w:rFonts w:ascii="Arial" w:cs="Arial" w:eastAsia="Arial" w:hAnsi="Arial"/>
          <w:sz w:val="18"/>
          <w:szCs w:val="18"/>
          <w:i w:val="1"/>
          <w:iCs w:val="1"/>
          <w:color w:val="auto"/>
        </w:rPr>
        <w:t>Item 7A. Quantitative and Qualitative</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 About Market Risk — Risk Management.</w:t>
      </w:r>
      <w:r>
        <w:rPr>
          <w:rFonts w:ascii="Arial" w:cs="Arial" w:eastAsia="Arial" w:hAnsi="Arial"/>
          <w:sz w:val="18"/>
          <w:szCs w:val="18"/>
          <w:color w:val="auto"/>
        </w:rPr>
        <w:t>” This</w:t>
      </w:r>
      <w:r>
        <w:rPr>
          <w:rFonts w:ascii="Arial" w:cs="Arial" w:eastAsia="Arial" w:hAnsi="Arial"/>
          <w:sz w:val="18"/>
          <w:szCs w:val="18"/>
          <w:i w:val="1"/>
          <w:iCs w:val="1"/>
          <w:color w:val="auto"/>
        </w:rPr>
        <w:t xml:space="preserve"> </w:t>
      </w:r>
      <w:r>
        <w:rPr>
          <w:rFonts w:ascii="Arial" w:cs="Arial" w:eastAsia="Arial" w:hAnsi="Arial"/>
          <w:sz w:val="18"/>
          <w:szCs w:val="18"/>
          <w:color w:val="auto"/>
        </w:rPr>
        <w:t>approach includes the Board of Directors, the Audit Committee and the Compensation Committee, as well as the Company’s Risk Oversight Committee (the “ROC”) and its subcommittees, the Company’s Internal Audit department, the Company’s Compliance, Legal and Risk department, and business line management.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50A54"/>
        </w:rPr>
        <w:t>Role of the Audit Committee</w:t>
      </w:r>
    </w:p>
    <w:p>
      <w:pPr>
        <w:spacing w:after="0" w:line="9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to its other responsibilities, the Audit Committee reviews our policies with respect to risk assessment and risk management, as well as our major regulatory, litigation and financial risk exposures and the steps management has undertaken to monitor and control them. The Audit Committee generally provides reports to the Board at each of the Board’s regularly scheduled quarterly meetings.</w:t>
      </w:r>
    </w:p>
    <w:p>
      <w:pPr>
        <w:spacing w:after="0" w:line="18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Audit Committee has mandated that the ROC oversee our risk management activities, including those of our subsidiaries. The Company’s chief legal officer provides updates on pertinent ROC</w:t>
      </w:r>
    </w:p>
    <w:p>
      <w:pPr>
        <w:spacing w:after="0" w:line="293" w:lineRule="exact"/>
        <w:rPr>
          <w:sz w:val="20"/>
          <w:szCs w:val="20"/>
          <w:color w:val="auto"/>
        </w:rPr>
      </w:pPr>
    </w:p>
    <w:p>
      <w:pPr>
        <w:sectPr>
          <w:pgSz w:w="11900" w:h="16838" w:orient="portrait"/>
          <w:cols w:equalWidth="0" w:num="2">
            <w:col w:w="5400" w:space="340"/>
            <w:col w:w="5340"/>
          </w:cols>
          <w:pgMar w:left="320" w:top="454" w:right="499" w:bottom="1440" w:gutter="0" w:footer="0" w:header="0"/>
          <w:type w:val="continuous"/>
        </w:sectPr>
      </w:pPr>
    </w:p>
    <w:p>
      <w:pPr>
        <w:spacing w:after="0" w:line="65" w:lineRule="exact"/>
        <w:rPr>
          <w:sz w:val="20"/>
          <w:szCs w:val="20"/>
          <w:color w:val="auto"/>
        </w:rPr>
      </w:pPr>
    </w:p>
    <w:p>
      <w:pPr>
        <w:ind w:left="1000" w:hanging="690"/>
        <w:spacing w:after="0"/>
        <w:tabs>
          <w:tab w:leader="none" w:pos="1000" w:val="left"/>
        </w:tabs>
        <w:numPr>
          <w:ilvl w:val="0"/>
          <w:numId w:val="37"/>
        </w:numPr>
        <w:rPr>
          <w:rFonts w:ascii="Arial" w:cs="Arial" w:eastAsia="Arial" w:hAnsi="Arial"/>
          <w:sz w:val="17"/>
          <w:szCs w:val="17"/>
          <w:color w:val="050A54"/>
        </w:rPr>
      </w:pPr>
      <w:r>
        <w:rPr>
          <w:rFonts w:ascii="Arial" w:cs="Arial" w:eastAsia="Arial" w:hAnsi="Arial"/>
          <w:sz w:val="17"/>
          <w:szCs w:val="17"/>
          <w:b w:val="1"/>
          <w:bCs w:val="1"/>
          <w:color w:val="050A54"/>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-111760</wp:posOffset>
            </wp:positionV>
            <wp:extent cx="8255" cy="135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Information Regarding Board and Committee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336"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discussions to the Audit Committee on a regular basis and, if necessary or requested, to the Board. In addition, our Internal Audit department provides independent and objective assurance of the effectiveness of the Company’s governance, risk management and internal controls by conducting risk assessments and audits designed to identify and cover important risk categories. Our Internal Audit department reports directly to the Audit Committee, which provides oversight of the department’s activities and approves its annual plan. Our Internal Audit department provides regular reports to the ROC and reports to the Audit Committee at least quarterly.</w:t>
      </w:r>
    </w:p>
    <w:p>
      <w:pPr>
        <w:spacing w:after="0" w:line="7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0A54"/>
        </w:rPr>
        <w:t>Role of the Compensation Committee</w:t>
      </w:r>
    </w:p>
    <w:p>
      <w:pPr>
        <w:spacing w:after="0" w:line="99"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In addition to its other responsibilities, the Compensation Committee assesses whether our compensation arrangements encourage inappropriate risk-taking, and whether risks arising from our compensation arrangements are reasonably likely to have a material adverse effect on the Company.</w:t>
      </w:r>
    </w:p>
    <w:p>
      <w:pPr>
        <w:spacing w:after="0" w:line="182"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The Compensation Committee has reviewed and evaluated the development and implementation of our compensation practices across our Company. It is our belief, and the belief of the Compensation Committee, that our compensation practices do not encourage inappropriate actions by our executive officers or other employees and are not reasonably likely to have a material adverse effect on the Company. Specifically, we believe that our compensation practices avoid:</w:t>
      </w:r>
    </w:p>
    <w:p>
      <w:pPr>
        <w:spacing w:after="0" w:line="210" w:lineRule="exact"/>
        <w:rPr>
          <w:sz w:val="20"/>
          <w:szCs w:val="20"/>
          <w:color w:val="auto"/>
        </w:rPr>
      </w:pPr>
    </w:p>
    <w:p>
      <w:pPr>
        <w:ind w:left="520" w:right="20"/>
        <w:spacing w:after="0" w:line="265" w:lineRule="auto"/>
        <w:rPr>
          <w:sz w:val="20"/>
          <w:szCs w:val="20"/>
          <w:color w:val="auto"/>
        </w:rPr>
      </w:pPr>
      <w:r>
        <w:rPr>
          <w:rFonts w:ascii="Arial" w:cs="Arial" w:eastAsia="Arial" w:hAnsi="Arial"/>
          <w:sz w:val="18"/>
          <w:szCs w:val="18"/>
          <w:color w:val="auto"/>
        </w:rPr>
        <w:t>a compensation mix overly weighted toward annual bonus awards;</w:t>
      </w:r>
    </w:p>
    <w:p>
      <w:pPr>
        <w:spacing w:after="0" w:line="184" w:lineRule="exact"/>
        <w:rPr>
          <w:sz w:val="20"/>
          <w:szCs w:val="20"/>
          <w:color w:val="auto"/>
        </w:rPr>
      </w:pPr>
    </w:p>
    <w:p>
      <w:pPr>
        <w:ind w:left="520"/>
        <w:spacing w:after="0" w:line="249" w:lineRule="auto"/>
        <w:rPr>
          <w:sz w:val="20"/>
          <w:szCs w:val="20"/>
          <w:color w:val="auto"/>
        </w:rPr>
      </w:pPr>
      <w:r>
        <w:rPr>
          <w:rFonts w:ascii="Arial" w:cs="Arial" w:eastAsia="Arial" w:hAnsi="Arial"/>
          <w:sz w:val="18"/>
          <w:szCs w:val="18"/>
          <w:color w:val="auto"/>
        </w:rPr>
        <w:t>an excessive focus on short-term equity incentive awards that could cause behavior to drive short-term stock price gains at the expense of long-term value creation; and</w:t>
      </w:r>
    </w:p>
    <w:p>
      <w:pPr>
        <w:spacing w:after="0" w:line="198" w:lineRule="exact"/>
        <w:rPr>
          <w:sz w:val="20"/>
          <w:szCs w:val="20"/>
          <w:color w:val="auto"/>
        </w:rPr>
      </w:pPr>
    </w:p>
    <w:p>
      <w:pPr>
        <w:ind w:left="520"/>
        <w:spacing w:after="0" w:line="249" w:lineRule="auto"/>
        <w:rPr>
          <w:sz w:val="20"/>
          <w:szCs w:val="20"/>
          <w:color w:val="auto"/>
        </w:rPr>
      </w:pPr>
      <w:r>
        <w:rPr>
          <w:rFonts w:ascii="Arial" w:cs="Arial" w:eastAsia="Arial" w:hAnsi="Arial"/>
          <w:sz w:val="18"/>
          <w:szCs w:val="18"/>
          <w:color w:val="auto"/>
        </w:rPr>
        <w:t>unreasonable financial goals or thresholds that could encourage efforts to generate near-term revenue with an adverse impact on long-term success.</w:t>
      </w:r>
    </w:p>
    <w:p>
      <w:pPr>
        <w:spacing w:after="0" w:line="172"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We believe that the following serve to mitigate the potential for adverse risk that may be caused by the actions of our executive officers or other key employees:</w:t>
      </w:r>
    </w:p>
    <w:p>
      <w:pPr>
        <w:spacing w:after="0" w:line="198" w:lineRule="exact"/>
        <w:rPr>
          <w:sz w:val="20"/>
          <w:szCs w:val="20"/>
          <w:color w:val="auto"/>
        </w:rPr>
      </w:pPr>
    </w:p>
    <w:p>
      <w:pPr>
        <w:ind w:left="520" w:right="20"/>
        <w:spacing w:after="0" w:line="265" w:lineRule="auto"/>
        <w:rPr>
          <w:sz w:val="20"/>
          <w:szCs w:val="20"/>
          <w:color w:val="auto"/>
        </w:rPr>
      </w:pPr>
      <w:r>
        <w:rPr>
          <w:rFonts w:ascii="Arial" w:cs="Arial" w:eastAsia="Arial" w:hAnsi="Arial"/>
          <w:sz w:val="18"/>
          <w:szCs w:val="18"/>
          <w:color w:val="auto"/>
        </w:rPr>
        <w:t>defined processes for developing strategic and annual operating plans, and approving capital investments;</w:t>
      </w:r>
    </w:p>
    <w:p>
      <w:pPr>
        <w:spacing w:after="0" w:line="184" w:lineRule="exact"/>
        <w:rPr>
          <w:sz w:val="20"/>
          <w:szCs w:val="20"/>
          <w:color w:val="auto"/>
        </w:rPr>
      </w:pPr>
    </w:p>
    <w:p>
      <w:pPr>
        <w:ind w:left="520"/>
        <w:spacing w:after="0" w:line="243" w:lineRule="auto"/>
        <w:rPr>
          <w:sz w:val="20"/>
          <w:szCs w:val="20"/>
          <w:color w:val="auto"/>
        </w:rPr>
      </w:pPr>
      <w:r>
        <w:rPr>
          <w:rFonts w:ascii="Arial" w:cs="Arial" w:eastAsia="Arial" w:hAnsi="Arial"/>
          <w:sz w:val="18"/>
          <w:szCs w:val="18"/>
          <w:color w:val="auto"/>
        </w:rPr>
        <w:t>Board approval of the Company’s annual corporate goals, which aligns these goals with our annual operating plan, strategic plan and compensation programs to achieve an appropriate risk-reward balance;</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jc w:val="right"/>
        <w:ind w:left="360" w:right="20"/>
        <w:spacing w:after="0" w:line="295" w:lineRule="auto"/>
        <w:rPr>
          <w:sz w:val="20"/>
          <w:szCs w:val="20"/>
          <w:color w:val="auto"/>
        </w:rPr>
      </w:pPr>
      <w:r>
        <w:rPr>
          <w:rFonts w:ascii="Arial" w:cs="Arial" w:eastAsia="Arial" w:hAnsi="Arial"/>
          <w:sz w:val="17"/>
          <w:szCs w:val="17"/>
          <w:color w:val="auto"/>
        </w:rPr>
        <w:t>annual review of peer group practices and compensation surveys to develop compensation arrangements and practices;</w:t>
      </w:r>
    </w:p>
    <w:p>
      <w:pPr>
        <w:spacing w:after="0" w:line="161" w:lineRule="exact"/>
        <w:rPr>
          <w:sz w:val="20"/>
          <w:szCs w:val="20"/>
          <w:color w:val="auto"/>
        </w:rPr>
      </w:pPr>
    </w:p>
    <w:p>
      <w:pPr>
        <w:ind w:left="360" w:right="20"/>
        <w:spacing w:after="0"/>
        <w:rPr>
          <w:sz w:val="20"/>
          <w:szCs w:val="20"/>
          <w:color w:val="auto"/>
        </w:rPr>
      </w:pPr>
      <w:r>
        <w:rPr>
          <w:rFonts w:ascii="Arial" w:cs="Arial" w:eastAsia="Arial" w:hAnsi="Arial"/>
          <w:sz w:val="18"/>
          <w:szCs w:val="18"/>
          <w:color w:val="auto"/>
        </w:rPr>
        <w:t>annual bonus awards based on a review by the Compensation Committee of a variety of metrics, including both financial performance and strategic achievements, reducing the potential to concentrate on one metric as the basis of an annual incentive award;</w:t>
      </w:r>
    </w:p>
    <w:p>
      <w:pPr>
        <w:spacing w:after="0" w:line="208" w:lineRule="exact"/>
        <w:rPr>
          <w:sz w:val="20"/>
          <w:szCs w:val="20"/>
          <w:color w:val="auto"/>
        </w:rPr>
      </w:pPr>
    </w:p>
    <w:p>
      <w:pPr>
        <w:ind w:left="360" w:right="20"/>
        <w:spacing w:after="0" w:line="249" w:lineRule="auto"/>
        <w:rPr>
          <w:sz w:val="20"/>
          <w:szCs w:val="20"/>
          <w:color w:val="auto"/>
        </w:rPr>
      </w:pPr>
      <w:r>
        <w:rPr>
          <w:rFonts w:ascii="Arial" w:cs="Arial" w:eastAsia="Arial" w:hAnsi="Arial"/>
          <w:sz w:val="18"/>
          <w:szCs w:val="18"/>
          <w:color w:val="auto"/>
        </w:rPr>
        <w:t>mix of fixed and performance-based, annual and long-term, and cash and equity compensation, encouraging decisions and actions that are in our long-term best interests;</w:t>
      </w:r>
    </w:p>
    <w:p>
      <w:pPr>
        <w:spacing w:after="0" w:line="198" w:lineRule="exact"/>
        <w:rPr>
          <w:sz w:val="20"/>
          <w:szCs w:val="20"/>
          <w:color w:val="auto"/>
        </w:rPr>
      </w:pPr>
    </w:p>
    <w:p>
      <w:pPr>
        <w:ind w:left="360" w:right="20"/>
        <w:spacing w:after="0" w:line="243" w:lineRule="auto"/>
        <w:rPr>
          <w:sz w:val="20"/>
          <w:szCs w:val="20"/>
          <w:color w:val="auto"/>
        </w:rPr>
      </w:pPr>
      <w:r>
        <w:rPr>
          <w:rFonts w:ascii="Arial" w:cs="Arial" w:eastAsia="Arial" w:hAnsi="Arial"/>
          <w:sz w:val="18"/>
          <w:szCs w:val="18"/>
          <w:color w:val="auto"/>
        </w:rPr>
        <w:t>specified discretionary authority is maintained by the Compensation Committee to adjust annual bonus funding and payments, which reduces business risk associated with our cash bonus program;</w:t>
      </w:r>
    </w:p>
    <w:p>
      <w:pPr>
        <w:spacing w:after="0" w:line="204" w:lineRule="exact"/>
        <w:rPr>
          <w:sz w:val="20"/>
          <w:szCs w:val="20"/>
          <w:color w:val="auto"/>
        </w:rPr>
      </w:pPr>
    </w:p>
    <w:p>
      <w:pPr>
        <w:ind w:left="360" w:right="20"/>
        <w:spacing w:after="0" w:line="262" w:lineRule="auto"/>
        <w:rPr>
          <w:sz w:val="20"/>
          <w:szCs w:val="20"/>
          <w:color w:val="auto"/>
        </w:rPr>
      </w:pPr>
      <w:r>
        <w:rPr>
          <w:rFonts w:ascii="Arial" w:cs="Arial" w:eastAsia="Arial" w:hAnsi="Arial"/>
          <w:sz w:val="17"/>
          <w:szCs w:val="17"/>
          <w:color w:val="auto"/>
        </w:rPr>
        <w:t>long-term equity incentive awards, including performance-based awards, vest over a period of time, and as a result of the longer time horizon to receive the value of an equity award, the prospect of short-term or risky behavior is mitigated;</w:t>
      </w:r>
    </w:p>
    <w:p>
      <w:pPr>
        <w:spacing w:after="0" w:line="189" w:lineRule="exact"/>
        <w:rPr>
          <w:sz w:val="20"/>
          <w:szCs w:val="20"/>
          <w:color w:val="auto"/>
        </w:rPr>
      </w:pPr>
    </w:p>
    <w:p>
      <w:pPr>
        <w:ind w:left="360" w:right="20"/>
        <w:spacing w:after="0" w:line="249" w:lineRule="auto"/>
        <w:rPr>
          <w:sz w:val="20"/>
          <w:szCs w:val="20"/>
          <w:color w:val="auto"/>
        </w:rPr>
      </w:pPr>
      <w:r>
        <w:rPr>
          <w:rFonts w:ascii="Arial" w:cs="Arial" w:eastAsia="Arial" w:hAnsi="Arial"/>
          <w:sz w:val="18"/>
          <w:szCs w:val="18"/>
          <w:color w:val="auto"/>
        </w:rPr>
        <w:t>use of more than one long-term equity incentive vehicle mitigates the risk of any one vehicle creating undue incentive to take on excessive risk; and</w:t>
      </w:r>
    </w:p>
    <w:p>
      <w:pPr>
        <w:spacing w:after="0" w:line="198" w:lineRule="exact"/>
        <w:rPr>
          <w:sz w:val="20"/>
          <w:szCs w:val="20"/>
          <w:color w:val="auto"/>
        </w:rPr>
      </w:pPr>
    </w:p>
    <w:p>
      <w:pPr>
        <w:ind w:left="360" w:right="20"/>
        <w:spacing w:after="0" w:line="243" w:lineRule="auto"/>
        <w:rPr>
          <w:sz w:val="20"/>
          <w:szCs w:val="20"/>
          <w:color w:val="auto"/>
        </w:rPr>
      </w:pPr>
      <w:r>
        <w:rPr>
          <w:rFonts w:ascii="Arial" w:cs="Arial" w:eastAsia="Arial" w:hAnsi="Arial"/>
          <w:sz w:val="18"/>
          <w:szCs w:val="18"/>
          <w:color w:val="auto"/>
        </w:rPr>
        <w:t>stock ownership requirements for all executive officers, a “claw-back” policy and anti-hedging policies, which help to mitigate the possibility of short-term risk-taking at the expense of long-term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142240</wp:posOffset>
            </wp:positionV>
            <wp:extent cx="3388360" cy="15881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88360" cy="1588135"/>
                    </a:xfrm>
                    <a:prstGeom prst="rect">
                      <a:avLst/>
                    </a:prstGeom>
                    <a:noFill/>
                  </pic:spPr>
                </pic:pic>
              </a:graphicData>
            </a:graphic>
          </wp:anchor>
        </w:drawing>
      </w:r>
    </w:p>
    <w:p>
      <w:pPr>
        <w:spacing w:after="0" w:line="230"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FFFFFF"/>
        </w:rPr>
        <w:t>Communicating with the</w:t>
      </w:r>
    </w:p>
    <w:p>
      <w:pPr>
        <w:spacing w:after="0" w:line="19"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FFFFFF"/>
        </w:rPr>
        <w:t>Board of Directors</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16"/>
          <w:szCs w:val="16"/>
          <w:color w:val="FFFFFF"/>
        </w:rPr>
        <w:t>Any stockholder who wishes to contact a member of our Board of</w:t>
      </w:r>
    </w:p>
    <w:p>
      <w:pPr>
        <w:spacing w:after="0" w:line="3" w:lineRule="exact"/>
        <w:rPr>
          <w:sz w:val="20"/>
          <w:szCs w:val="20"/>
          <w:color w:val="auto"/>
        </w:rPr>
      </w:pPr>
    </w:p>
    <w:p>
      <w:pPr>
        <w:ind w:left="80"/>
        <w:spacing w:after="0"/>
        <w:rPr>
          <w:sz w:val="20"/>
          <w:szCs w:val="20"/>
          <w:color w:val="auto"/>
        </w:rPr>
      </w:pPr>
      <w:r>
        <w:rPr>
          <w:rFonts w:ascii="Arial" w:cs="Arial" w:eastAsia="Arial" w:hAnsi="Arial"/>
          <w:sz w:val="16"/>
          <w:szCs w:val="16"/>
          <w:color w:val="FFFFFF"/>
        </w:rPr>
        <w:t>Directors may do so by writing to the following address:</w:t>
      </w:r>
    </w:p>
    <w:p>
      <w:pPr>
        <w:spacing w:after="0" w:line="126"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FFFFFF"/>
        </w:rPr>
        <w:t>Board of Directors</w:t>
      </w:r>
    </w:p>
    <w:p>
      <w:pPr>
        <w:spacing w:after="0" w:line="13"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FFFFFF"/>
        </w:rPr>
        <w:t>c/o Secretary</w:t>
      </w:r>
    </w:p>
    <w:p>
      <w:pPr>
        <w:jc w:val="center"/>
        <w:ind w:right="60"/>
        <w:spacing w:after="0"/>
        <w:rPr>
          <w:sz w:val="20"/>
          <w:szCs w:val="20"/>
          <w:color w:val="auto"/>
        </w:rPr>
      </w:pPr>
      <w:r>
        <w:rPr>
          <w:rFonts w:ascii="Arial" w:cs="Arial" w:eastAsia="Arial" w:hAnsi="Arial"/>
          <w:sz w:val="14"/>
          <w:szCs w:val="14"/>
          <w:color w:val="FFFFFF"/>
        </w:rPr>
        <w:t>LPL Financial Holdings Inc.</w:t>
      </w:r>
    </w:p>
    <w:p>
      <w:pPr>
        <w:jc w:val="center"/>
        <w:ind w:right="60"/>
        <w:spacing w:after="0"/>
        <w:rPr>
          <w:sz w:val="20"/>
          <w:szCs w:val="20"/>
          <w:color w:val="auto"/>
        </w:rPr>
      </w:pPr>
      <w:r>
        <w:rPr>
          <w:rFonts w:ascii="Arial" w:cs="Arial" w:eastAsia="Arial" w:hAnsi="Arial"/>
          <w:sz w:val="14"/>
          <w:szCs w:val="14"/>
          <w:color w:val="FFFFFF"/>
        </w:rPr>
        <w:t>75 State Street</w:t>
      </w:r>
    </w:p>
    <w:p>
      <w:pPr>
        <w:jc w:val="center"/>
        <w:ind w:right="60"/>
        <w:spacing w:after="0"/>
        <w:rPr>
          <w:sz w:val="20"/>
          <w:szCs w:val="20"/>
          <w:color w:val="auto"/>
        </w:rPr>
      </w:pPr>
      <w:r>
        <w:rPr>
          <w:rFonts w:ascii="Arial" w:cs="Arial" w:eastAsia="Arial" w:hAnsi="Arial"/>
          <w:sz w:val="14"/>
          <w:szCs w:val="14"/>
          <w:color w:val="FFFFFF"/>
        </w:rPr>
        <w:t>Boston, MA 02109</w:t>
      </w:r>
    </w:p>
    <w:p>
      <w:pPr>
        <w:spacing w:after="0" w:line="114" w:lineRule="exact"/>
        <w:rPr>
          <w:sz w:val="20"/>
          <w:szCs w:val="20"/>
          <w:color w:val="auto"/>
        </w:rPr>
      </w:pPr>
    </w:p>
    <w:p>
      <w:pPr>
        <w:jc w:val="both"/>
        <w:ind w:left="80" w:right="140"/>
        <w:spacing w:after="0" w:line="262" w:lineRule="auto"/>
        <w:rPr>
          <w:sz w:val="20"/>
          <w:szCs w:val="20"/>
          <w:color w:val="auto"/>
        </w:rPr>
      </w:pPr>
      <w:r>
        <w:rPr>
          <w:rFonts w:ascii="Arial" w:cs="Arial" w:eastAsia="Arial" w:hAnsi="Arial"/>
          <w:sz w:val="16"/>
          <w:szCs w:val="16"/>
          <w:color w:val="FFFFFF"/>
        </w:rPr>
        <w:t>Communications will be distributed to the chair of the Board or the other members of the Board as appropriate depending on the facts and circumstances outlined in the communication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2760" w:type="dxa"/>
        <w:tblCellMar>
          <w:top w:w="0" w:type="dxa"/>
          <w:left w:w="0" w:type="dxa"/>
          <w:bottom w:w="0" w:type="dxa"/>
          <w:right w:w="0" w:type="dxa"/>
        </w:tblCellMar>
      </w:tblPr>
      <w:tr>
        <w:trPr>
          <w:trHeight w:val="233"/>
        </w:trPr>
        <w:tc>
          <w:tcPr>
            <w:tcW w:w="2060" w:type="dxa"/>
            <w:vAlign w:val="bottom"/>
            <w:tcBorders>
              <w:right w:val="single" w:sz="8" w:color="050A54"/>
            </w:tcBorders>
          </w:tcPr>
          <w:p>
            <w:pPr>
              <w:spacing w:after="0"/>
              <w:rPr>
                <w:sz w:val="20"/>
                <w:szCs w:val="20"/>
                <w:color w:val="auto"/>
              </w:rPr>
            </w:pPr>
            <w:r>
              <w:rPr>
                <w:rFonts w:ascii="Arial" w:cs="Arial" w:eastAsia="Arial" w:hAnsi="Arial"/>
                <w:sz w:val="18"/>
                <w:szCs w:val="18"/>
                <w:b w:val="1"/>
                <w:bCs w:val="1"/>
                <w:color w:val="050A54"/>
              </w:rPr>
              <w:t>2022 Proxy Statement</w:t>
            </w:r>
          </w:p>
        </w:tc>
        <w:tc>
          <w:tcPr>
            <w:tcW w:w="520" w:type="dxa"/>
            <w:vAlign w:val="bottom"/>
          </w:tcPr>
          <w:p>
            <w:pPr>
              <w:jc w:val="right"/>
              <w:spacing w:after="0"/>
              <w:rPr>
                <w:sz w:val="20"/>
                <w:szCs w:val="20"/>
                <w:color w:val="auto"/>
              </w:rPr>
            </w:pPr>
            <w:r>
              <w:rPr>
                <w:rFonts w:ascii="Arial" w:cs="Arial" w:eastAsia="Arial" w:hAnsi="Arial"/>
                <w:sz w:val="18"/>
                <w:szCs w:val="18"/>
                <w:color w:val="050A54"/>
              </w:rPr>
              <w:t>27</w:t>
            </w:r>
          </w:p>
        </w:tc>
      </w:tr>
    </w:tbl>
    <w:p>
      <w:pPr>
        <w:sectPr>
          <w:pgSz w:w="11900" w:h="16838" w:orient="portrait"/>
          <w:cols w:equalWidth="0" w:num="2">
            <w:col w:w="5400" w:space="340"/>
            <w:col w:w="5340"/>
          </w:cols>
          <w:pgMar w:left="320" w:top="454" w:right="499" w:bottom="1440" w:gutter="0" w:footer="0" w:header="0"/>
          <w:type w:val="continuous"/>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Board of Directors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3" w:lineRule="exact"/>
        <w:rPr>
          <w:sz w:val="20"/>
          <w:szCs w:val="20"/>
          <w:color w:val="auto"/>
        </w:rPr>
      </w:pPr>
    </w:p>
    <w:p>
      <w:pPr>
        <w:jc w:val="center"/>
        <w:ind w:right="-179"/>
        <w:spacing w:after="0"/>
        <w:rPr>
          <w:sz w:val="20"/>
          <w:szCs w:val="20"/>
          <w:color w:val="auto"/>
        </w:rPr>
      </w:pPr>
      <w:r>
        <w:rPr>
          <w:rFonts w:ascii="Arial" w:cs="Arial" w:eastAsia="Arial" w:hAnsi="Arial"/>
          <w:sz w:val="21"/>
          <w:szCs w:val="21"/>
          <w:b w:val="1"/>
          <w:bCs w:val="1"/>
          <w:color w:val="050A54"/>
        </w:rPr>
        <w:t>Board of Directors Compensation</w:t>
      </w:r>
    </w:p>
    <w:p>
      <w:pPr>
        <w:sectPr>
          <w:pgSz w:w="11900" w:h="16838" w:orient="portrait"/>
          <w:cols w:equalWidth="0" w:num="1">
            <w:col w:w="11080"/>
          </w:cols>
          <w:pgMar w:left="320" w:top="454" w:right="499" w:bottom="1440" w:gutter="0" w:footer="0" w:header="0"/>
        </w:sectPr>
      </w:pPr>
    </w:p>
    <w:p>
      <w:pPr>
        <w:spacing w:after="0" w:line="17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Director Compensation Policy</w:t>
      </w:r>
    </w:p>
    <w:p>
      <w:pPr>
        <w:spacing w:after="0" w:line="96" w:lineRule="exact"/>
        <w:rPr>
          <w:sz w:val="20"/>
          <w:szCs w:val="20"/>
          <w:color w:val="auto"/>
        </w:rPr>
      </w:pPr>
    </w:p>
    <w:p>
      <w:pPr>
        <w:jc w:val="both"/>
        <w:ind w:left="160"/>
        <w:spacing w:after="0" w:line="252" w:lineRule="auto"/>
        <w:rPr>
          <w:sz w:val="20"/>
          <w:szCs w:val="20"/>
          <w:color w:val="auto"/>
        </w:rPr>
      </w:pPr>
      <w:r>
        <w:rPr>
          <w:rFonts w:ascii="Arial" w:cs="Arial" w:eastAsia="Arial" w:hAnsi="Arial"/>
          <w:sz w:val="17"/>
          <w:szCs w:val="17"/>
          <w:color w:val="auto"/>
        </w:rPr>
        <w:t>Our director compensation policy provides that each of our non-employee directors receives an annual service retainer of $235,000. Of this amount, $80,000 is paid in a lump sum in cash (or, at the director’s election, in the form of shares of our Common Stock as described below) and $ 155,000 is paid in the form of restricted shares of our Common Stock granted under our 2021 Plan. Directors may elect to defer receipt of the equity portion, or both the equity and cash portions, of their service retainers, as described under “</w:t>
      </w:r>
      <w:r>
        <w:rPr>
          <w:rFonts w:ascii="Arial" w:cs="Arial" w:eastAsia="Arial" w:hAnsi="Arial"/>
          <w:sz w:val="17"/>
          <w:szCs w:val="17"/>
          <w:i w:val="1"/>
          <w:iCs w:val="1"/>
          <w:color w:val="auto"/>
        </w:rPr>
        <w:t>Deferred Compensation Plan,</w:t>
      </w:r>
      <w:r>
        <w:rPr>
          <w:rFonts w:ascii="Arial" w:cs="Arial" w:eastAsia="Arial" w:hAnsi="Arial"/>
          <w:sz w:val="17"/>
          <w:szCs w:val="17"/>
          <w:color w:val="auto"/>
        </w:rPr>
        <w:t>” below.</w:t>
      </w:r>
    </w:p>
    <w:p>
      <w:pPr>
        <w:spacing w:after="0" w:line="65"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The following table sets forth the additional annual service retainers under our director compensation policy that a committee member received for his or her additional duties during 2021:</w:t>
      </w:r>
    </w:p>
    <w:p>
      <w:pPr>
        <w:spacing w:after="0" w:line="8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050A54"/>
              </w:rPr>
              <w:t>Each Other</w:t>
            </w:r>
          </w:p>
        </w:tc>
      </w:tr>
      <w:tr>
        <w:trPr>
          <w:trHeight w:val="195"/>
        </w:trPr>
        <w:tc>
          <w:tcPr>
            <w:tcW w:w="2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jc w:val="right"/>
              <w:ind w:right="382"/>
              <w:spacing w:after="0"/>
              <w:rPr>
                <w:sz w:val="20"/>
                <w:szCs w:val="20"/>
                <w:color w:val="auto"/>
              </w:rPr>
            </w:pPr>
            <w:r>
              <w:rPr>
                <w:rFonts w:ascii="Arial" w:cs="Arial" w:eastAsia="Arial" w:hAnsi="Arial"/>
                <w:sz w:val="14"/>
                <w:szCs w:val="14"/>
                <w:b w:val="1"/>
                <w:bCs w:val="1"/>
                <w:color w:val="050A54"/>
              </w:rPr>
              <w:t>Chair</w:t>
            </w:r>
          </w:p>
        </w:tc>
        <w:tc>
          <w:tcPr>
            <w:tcW w:w="300" w:type="dxa"/>
            <w:vAlign w:val="bottom"/>
          </w:tcPr>
          <w:p>
            <w:pPr>
              <w:spacing w:after="0"/>
              <w:rPr>
                <w:sz w:val="16"/>
                <w:szCs w:val="16"/>
                <w:color w:val="auto"/>
              </w:rPr>
            </w:pPr>
          </w:p>
        </w:tc>
        <w:tc>
          <w:tcPr>
            <w:tcW w:w="1000" w:type="dxa"/>
            <w:vAlign w:val="bottom"/>
          </w:tcPr>
          <w:p>
            <w:pPr>
              <w:jc w:val="right"/>
              <w:ind w:right="342"/>
              <w:spacing w:after="0"/>
              <w:rPr>
                <w:sz w:val="20"/>
                <w:szCs w:val="20"/>
                <w:color w:val="auto"/>
              </w:rPr>
            </w:pPr>
            <w:r>
              <w:rPr>
                <w:rFonts w:ascii="Arial" w:cs="Arial" w:eastAsia="Arial" w:hAnsi="Arial"/>
                <w:sz w:val="14"/>
                <w:szCs w:val="14"/>
                <w:b w:val="1"/>
                <w:bCs w:val="1"/>
                <w:color w:val="050A54"/>
              </w:rPr>
              <w:t>Member</w:t>
            </w:r>
          </w:p>
        </w:tc>
      </w:tr>
      <w:tr>
        <w:trPr>
          <w:trHeight w:val="68"/>
        </w:trPr>
        <w:tc>
          <w:tcPr>
            <w:tcW w:w="2660" w:type="dxa"/>
            <w:vAlign w:val="bottom"/>
            <w:tcBorders>
              <w:bottom w:val="single" w:sz="8" w:color="050A54"/>
            </w:tcBorders>
          </w:tcPr>
          <w:p>
            <w:pPr>
              <w:spacing w:after="0"/>
              <w:rPr>
                <w:sz w:val="5"/>
                <w:szCs w:val="5"/>
                <w:color w:val="auto"/>
              </w:rPr>
            </w:pPr>
          </w:p>
        </w:tc>
        <w:tc>
          <w:tcPr>
            <w:tcW w:w="400" w:type="dxa"/>
            <w:vAlign w:val="bottom"/>
            <w:tcBorders>
              <w:bottom w:val="single" w:sz="8" w:color="050A54"/>
            </w:tcBorders>
          </w:tcPr>
          <w:p>
            <w:pPr>
              <w:spacing w:after="0"/>
              <w:rPr>
                <w:sz w:val="5"/>
                <w:szCs w:val="5"/>
                <w:color w:val="auto"/>
              </w:rPr>
            </w:pPr>
          </w:p>
        </w:tc>
        <w:tc>
          <w:tcPr>
            <w:tcW w:w="880" w:type="dxa"/>
            <w:vAlign w:val="bottom"/>
            <w:tcBorders>
              <w:bottom w:val="single" w:sz="8" w:color="050A54"/>
            </w:tcBorders>
          </w:tcPr>
          <w:p>
            <w:pPr>
              <w:spacing w:after="0"/>
              <w:rPr>
                <w:sz w:val="5"/>
                <w:szCs w:val="5"/>
                <w:color w:val="auto"/>
              </w:rPr>
            </w:pPr>
          </w:p>
        </w:tc>
        <w:tc>
          <w:tcPr>
            <w:tcW w:w="300" w:type="dxa"/>
            <w:vAlign w:val="bottom"/>
            <w:tcBorders>
              <w:bottom w:val="single" w:sz="8" w:color="050A54"/>
            </w:tcBorders>
          </w:tcPr>
          <w:p>
            <w:pPr>
              <w:spacing w:after="0"/>
              <w:rPr>
                <w:sz w:val="5"/>
                <w:szCs w:val="5"/>
                <w:color w:val="auto"/>
              </w:rPr>
            </w:pPr>
          </w:p>
        </w:tc>
        <w:tc>
          <w:tcPr>
            <w:tcW w:w="1000" w:type="dxa"/>
            <w:vAlign w:val="bottom"/>
            <w:tcBorders>
              <w:bottom w:val="single" w:sz="8" w:color="050A54"/>
            </w:tcBorders>
          </w:tcPr>
          <w:p>
            <w:pPr>
              <w:spacing w:after="0"/>
              <w:rPr>
                <w:sz w:val="5"/>
                <w:szCs w:val="5"/>
                <w:color w:val="auto"/>
              </w:rPr>
            </w:pPr>
          </w:p>
        </w:tc>
      </w:tr>
      <w:tr>
        <w:trPr>
          <w:trHeight w:val="221"/>
        </w:trPr>
        <w:tc>
          <w:tcPr>
            <w:tcW w:w="2660" w:type="dxa"/>
            <w:vAlign w:val="bottom"/>
            <w:shd w:val="clear" w:color="auto" w:fill="E8E8E8"/>
          </w:tcPr>
          <w:p>
            <w:pPr>
              <w:ind w:left="20"/>
              <w:spacing w:after="0"/>
              <w:rPr>
                <w:sz w:val="20"/>
                <w:szCs w:val="20"/>
                <w:color w:val="auto"/>
              </w:rPr>
            </w:pPr>
            <w:r>
              <w:rPr>
                <w:rFonts w:ascii="Arial" w:cs="Arial" w:eastAsia="Arial" w:hAnsi="Arial"/>
                <w:sz w:val="16"/>
                <w:szCs w:val="16"/>
                <w:color w:val="auto"/>
              </w:rPr>
              <w:t>Audit Committee</w:t>
            </w:r>
          </w:p>
        </w:tc>
        <w:tc>
          <w:tcPr>
            <w:tcW w:w="400" w:type="dxa"/>
            <w:vAlign w:val="bottom"/>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E8E8E8"/>
          </w:tcPr>
          <w:p>
            <w:pPr>
              <w:jc w:val="right"/>
              <w:ind w:right="82"/>
              <w:spacing w:after="0"/>
              <w:rPr>
                <w:sz w:val="20"/>
                <w:szCs w:val="20"/>
                <w:color w:val="auto"/>
              </w:rPr>
            </w:pPr>
            <w:r>
              <w:rPr>
                <w:rFonts w:ascii="Arial" w:cs="Arial" w:eastAsia="Arial" w:hAnsi="Arial"/>
                <w:sz w:val="16"/>
                <w:szCs w:val="16"/>
                <w:color w:val="auto"/>
              </w:rPr>
              <w:t>30,000</w:t>
            </w:r>
          </w:p>
        </w:tc>
        <w:tc>
          <w:tcPr>
            <w:tcW w:w="300" w:type="dxa"/>
            <w:vAlign w:val="bottom"/>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E8E8E8"/>
          </w:tcPr>
          <w:p>
            <w:pPr>
              <w:jc w:val="right"/>
              <w:ind w:right="42"/>
              <w:spacing w:after="0"/>
              <w:rPr>
                <w:sz w:val="20"/>
                <w:szCs w:val="20"/>
                <w:color w:val="auto"/>
              </w:rPr>
            </w:pPr>
            <w:r>
              <w:rPr>
                <w:rFonts w:ascii="Arial" w:cs="Arial" w:eastAsia="Arial" w:hAnsi="Arial"/>
                <w:sz w:val="16"/>
                <w:szCs w:val="16"/>
                <w:color w:val="auto"/>
              </w:rPr>
              <w:t>15,000</w:t>
            </w:r>
          </w:p>
        </w:tc>
      </w:tr>
      <w:tr>
        <w:trPr>
          <w:trHeight w:val="232"/>
        </w:trPr>
        <w:tc>
          <w:tcPr>
            <w:tcW w:w="2660" w:type="dxa"/>
            <w:vAlign w:val="bottom"/>
          </w:tcPr>
          <w:p>
            <w:pPr>
              <w:ind w:left="20"/>
              <w:spacing w:after="0"/>
              <w:rPr>
                <w:sz w:val="20"/>
                <w:szCs w:val="20"/>
                <w:color w:val="auto"/>
              </w:rPr>
            </w:pPr>
            <w:r>
              <w:rPr>
                <w:rFonts w:ascii="Arial" w:cs="Arial" w:eastAsia="Arial" w:hAnsi="Arial"/>
                <w:sz w:val="16"/>
                <w:szCs w:val="16"/>
                <w:color w:val="auto"/>
              </w:rPr>
              <w:t>Compensation Committee</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82"/>
              <w:spacing w:after="0"/>
              <w:rPr>
                <w:sz w:val="20"/>
                <w:szCs w:val="20"/>
                <w:color w:val="auto"/>
              </w:rPr>
            </w:pPr>
            <w:r>
              <w:rPr>
                <w:rFonts w:ascii="Arial" w:cs="Arial" w:eastAsia="Arial" w:hAnsi="Arial"/>
                <w:sz w:val="16"/>
                <w:szCs w:val="16"/>
                <w:color w:val="auto"/>
              </w:rPr>
              <w:t>25,000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12,500</w:t>
            </w:r>
          </w:p>
        </w:tc>
      </w:tr>
      <w:tr>
        <w:trPr>
          <w:trHeight w:val="208"/>
        </w:trPr>
        <w:tc>
          <w:tcPr>
            <w:tcW w:w="2660" w:type="dxa"/>
            <w:vAlign w:val="bottom"/>
            <w:shd w:val="clear" w:color="auto" w:fill="E8E8E8"/>
          </w:tcPr>
          <w:p>
            <w:pPr>
              <w:ind w:left="20"/>
              <w:spacing w:after="0"/>
              <w:rPr>
                <w:sz w:val="20"/>
                <w:szCs w:val="20"/>
                <w:color w:val="auto"/>
              </w:rPr>
            </w:pPr>
            <w:r>
              <w:rPr>
                <w:rFonts w:ascii="Arial" w:cs="Arial" w:eastAsia="Arial" w:hAnsi="Arial"/>
                <w:sz w:val="16"/>
                <w:szCs w:val="16"/>
                <w:color w:val="auto"/>
              </w:rPr>
              <w:t>Nominating and Governance</w:t>
            </w:r>
          </w:p>
        </w:tc>
        <w:tc>
          <w:tcPr>
            <w:tcW w:w="400" w:type="dxa"/>
            <w:vAlign w:val="bottom"/>
            <w:shd w:val="clear" w:color="auto" w:fill="E8E8E8"/>
          </w:tcPr>
          <w:p>
            <w:pPr>
              <w:spacing w:after="0"/>
              <w:rPr>
                <w:sz w:val="18"/>
                <w:szCs w:val="18"/>
                <w:color w:val="auto"/>
              </w:rPr>
            </w:pPr>
          </w:p>
        </w:tc>
        <w:tc>
          <w:tcPr>
            <w:tcW w:w="880" w:type="dxa"/>
            <w:vAlign w:val="bottom"/>
            <w:shd w:val="clear" w:color="auto" w:fill="E8E8E8"/>
          </w:tcPr>
          <w:p>
            <w:pPr>
              <w:spacing w:after="0"/>
              <w:rPr>
                <w:sz w:val="18"/>
                <w:szCs w:val="18"/>
                <w:color w:val="auto"/>
              </w:rPr>
            </w:pPr>
          </w:p>
        </w:tc>
        <w:tc>
          <w:tcPr>
            <w:tcW w:w="300" w:type="dxa"/>
            <w:vAlign w:val="bottom"/>
            <w:shd w:val="clear" w:color="auto" w:fill="E8E8E8"/>
          </w:tcPr>
          <w:p>
            <w:pPr>
              <w:spacing w:after="0"/>
              <w:rPr>
                <w:sz w:val="18"/>
                <w:szCs w:val="18"/>
                <w:color w:val="auto"/>
              </w:rPr>
            </w:pPr>
          </w:p>
        </w:tc>
        <w:tc>
          <w:tcPr>
            <w:tcW w:w="1000" w:type="dxa"/>
            <w:vAlign w:val="bottom"/>
            <w:shd w:val="clear" w:color="auto" w:fill="E8E8E8"/>
          </w:tcPr>
          <w:p>
            <w:pPr>
              <w:spacing w:after="0"/>
              <w:rPr>
                <w:sz w:val="18"/>
                <w:szCs w:val="18"/>
                <w:color w:val="auto"/>
              </w:rPr>
            </w:pPr>
          </w:p>
        </w:tc>
      </w:tr>
      <w:tr>
        <w:trPr>
          <w:trHeight w:val="221"/>
        </w:trPr>
        <w:tc>
          <w:tcPr>
            <w:tcW w:w="2660" w:type="dxa"/>
            <w:vAlign w:val="bottom"/>
            <w:tcBorders>
              <w:bottom w:val="single" w:sz="8" w:color="050A54"/>
            </w:tcBorders>
            <w:shd w:val="clear" w:color="auto" w:fill="E8E8E8"/>
          </w:tcPr>
          <w:p>
            <w:pPr>
              <w:ind w:left="180"/>
              <w:spacing w:after="0"/>
              <w:rPr>
                <w:sz w:val="20"/>
                <w:szCs w:val="20"/>
                <w:color w:val="auto"/>
              </w:rPr>
            </w:pPr>
            <w:r>
              <w:rPr>
                <w:rFonts w:ascii="Arial" w:cs="Arial" w:eastAsia="Arial" w:hAnsi="Arial"/>
                <w:sz w:val="16"/>
                <w:szCs w:val="16"/>
                <w:color w:val="auto"/>
              </w:rPr>
              <w:t>Committee</w:t>
            </w:r>
          </w:p>
        </w:tc>
        <w:tc>
          <w:tcPr>
            <w:tcW w:w="400" w:type="dxa"/>
            <w:vAlign w:val="bottom"/>
            <w:tcBorders>
              <w:bottom w:val="single" w:sz="8" w:color="050A54"/>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050A54"/>
            </w:tcBorders>
            <w:shd w:val="clear" w:color="auto" w:fill="E8E8E8"/>
          </w:tcPr>
          <w:p>
            <w:pPr>
              <w:jc w:val="right"/>
              <w:ind w:right="82"/>
              <w:spacing w:after="0"/>
              <w:rPr>
                <w:sz w:val="20"/>
                <w:szCs w:val="20"/>
                <w:color w:val="auto"/>
              </w:rPr>
            </w:pPr>
            <w:r>
              <w:rPr>
                <w:rFonts w:ascii="Arial" w:cs="Arial" w:eastAsia="Arial" w:hAnsi="Arial"/>
                <w:sz w:val="16"/>
                <w:szCs w:val="16"/>
                <w:color w:val="auto"/>
              </w:rPr>
              <w:t>20,000</w:t>
            </w:r>
          </w:p>
        </w:tc>
        <w:tc>
          <w:tcPr>
            <w:tcW w:w="300" w:type="dxa"/>
            <w:vAlign w:val="bottom"/>
            <w:tcBorders>
              <w:bottom w:val="single" w:sz="8" w:color="050A54"/>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050A54"/>
            </w:tcBorders>
            <w:shd w:val="clear" w:color="auto" w:fill="E8E8E8"/>
          </w:tcPr>
          <w:p>
            <w:pPr>
              <w:jc w:val="right"/>
              <w:ind w:right="42"/>
              <w:spacing w:after="0"/>
              <w:rPr>
                <w:sz w:val="20"/>
                <w:szCs w:val="20"/>
                <w:color w:val="auto"/>
              </w:rPr>
            </w:pPr>
            <w:r>
              <w:rPr>
                <w:rFonts w:ascii="Arial" w:cs="Arial" w:eastAsia="Arial" w:hAnsi="Arial"/>
                <w:sz w:val="16"/>
                <w:szCs w:val="16"/>
                <w:color w:val="auto"/>
              </w:rPr>
              <w:t>10,000</w:t>
            </w:r>
          </w:p>
        </w:tc>
      </w:tr>
    </w:tbl>
    <w:p>
      <w:pPr>
        <w:spacing w:after="0" w:line="88"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Our director compensation policy also provides that the chair of the Board receives an additional annual service retainer of $140,000 in connection with his or her additional duties. The retainers for committee and chair service are paid in cash in installments following the end of each quarter of service. Our directors are also reimbursed for expenses incurred in connection with their attendance at Board and committee meetings. Mr. Arnold does not receive additional compensation for his service as a director.</w:t>
      </w:r>
    </w:p>
    <w:p>
      <w:pPr>
        <w:spacing w:after="0" w:line="73"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As noted above, in 2021, each of our non-employee directors was granted an annual award of restricted stock or, as described below under “</w:t>
      </w:r>
      <w:r>
        <w:rPr>
          <w:rFonts w:ascii="Arial" w:cs="Arial" w:eastAsia="Arial" w:hAnsi="Arial"/>
          <w:sz w:val="18"/>
          <w:szCs w:val="18"/>
          <w:i w:val="1"/>
          <w:iCs w:val="1"/>
          <w:color w:val="auto"/>
        </w:rPr>
        <w:t>Deferred Compensation Plan</w:t>
      </w:r>
      <w:r>
        <w:rPr>
          <w:rFonts w:ascii="Arial" w:cs="Arial" w:eastAsia="Arial" w:hAnsi="Arial"/>
          <w:sz w:val="18"/>
          <w:szCs w:val="18"/>
          <w:color w:val="auto"/>
        </w:rPr>
        <w:t>,” deferred stock units, having a grant date value of $155,000 (based on the average of the closing price of our Common Stock for the trailing thirty consecutive trading days including the grant date). These awards vest in full on May 17, 2022, which is the day prior to the Annual Meeting, generally subject to the director’s continued service through that date. We believe these equity grants serve to further align our directors’ interests with the interests of our stockholders.</w:t>
      </w:r>
    </w:p>
    <w:p>
      <w:pPr>
        <w:spacing w:after="0" w:line="78"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Our director compensation policy permits non-employee directors to make an election to be issued, in lieu of the cash portion of their annual service retainer, fully vested shares of our Common Stock. In 2021, the number of fully vested shares was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determined by dividing $80,000 by the average of the closing price of our Common Stock for the trailing thirty consecutive trading days including the date such shares were granted.</w:t>
      </w:r>
    </w:p>
    <w:p>
      <w:pPr>
        <w:spacing w:after="0" w:line="6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Compensation Committee reviews the director compensation practices of our compensation peer group annually, as described under “</w:t>
      </w:r>
      <w:r>
        <w:rPr>
          <w:rFonts w:ascii="Arial" w:cs="Arial" w:eastAsia="Arial" w:hAnsi="Arial"/>
          <w:sz w:val="18"/>
          <w:szCs w:val="18"/>
          <w:i w:val="1"/>
          <w:iCs w:val="1"/>
          <w:color w:val="auto"/>
        </w:rPr>
        <w:t>Benchmarking</w:t>
      </w:r>
      <w:r>
        <w:rPr>
          <w:rFonts w:ascii="Arial" w:cs="Arial" w:eastAsia="Arial" w:hAnsi="Arial"/>
          <w:sz w:val="18"/>
          <w:szCs w:val="18"/>
          <w:color w:val="auto"/>
        </w:rPr>
        <w:t>” in the Compensation Discussion and Analysis, with the assistance of the Compensation Consultant. The Compensation Committee did not recommend any substantive changes to our director compensation policy as a result of the 2021 benchmarking analysis, although the policy was restated to reflect the adoption of the 2021 Plan.</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050A54"/>
        </w:rPr>
        <w:t>Deferred Compensation Plan</w:t>
      </w:r>
    </w:p>
    <w:p>
      <w:pPr>
        <w:spacing w:after="0" w:line="96"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Under the LPL Financial Holdings Inc. Non-Employee Director Deferred Compensation Plan (the “Deferred Plan”), non-employee directors may make an annual election to defer receipt of the equity portion, or both the equity and cash portion, of their annual service retainer for Board service. For directors who make such a deferral election, a book-entry account is established and credited with a number of deferred stock units granted under our 2021 Plan equal in value to the shares and, if so elected by the director, the cash, that would otherwise be granted or paid absent such deferral election, with each deferred stock unit representing the right to receive a share of our Common Stock. Dividend equivalent rights are credited to a director’s book-entry account, in the form of additional stock units, on both vested and unvested deferred stock units. All such shares will be paid only upon a director’s separation from service or a change in control, as defined in the Deferred Plan.</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color w:val="050A54"/>
        </w:rPr>
        <w:t>Equity Ownership Guidelines</w:t>
      </w:r>
    </w:p>
    <w:p>
      <w:pPr>
        <w:spacing w:after="0" w:line="9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Corporate Governance Guidelines include equity ownership guidelines for non-employee directors. Within five years of the date of his or her election to the Board, each non-employee director must maintain ownership of shares of Common Stock equal to five times the cash portion of the annual service retainer for Board service then in effect, not including any retainers for committee or chair service. All shares owned outright and beneficially owned by a non-employee director, including all shares of unvested restricted stock and all shares issuable pursuant to vested and unvested deferred stock units, are counted in determining compliance with such minimum ownership requirement. As of March 21, 2022, each of our non-employee directors satisfied this minimum ownership requirement.</w:t>
      </w:r>
    </w:p>
    <w:p>
      <w:pPr>
        <w:spacing w:after="0" w:line="650" w:lineRule="exact"/>
        <w:rPr>
          <w:sz w:val="20"/>
          <w:szCs w:val="20"/>
          <w:color w:val="auto"/>
        </w:rPr>
      </w:pPr>
    </w:p>
    <w:p>
      <w:pPr>
        <w:sectPr>
          <w:pgSz w:w="11900" w:h="16838" w:orient="portrait"/>
          <w:cols w:equalWidth="0" w:num="2">
            <w:col w:w="5400" w:space="340"/>
            <w:col w:w="5340"/>
          </w:cols>
          <w:pgMar w:left="320" w:top="454" w:right="499" w:bottom="1440" w:gutter="0" w:footer="0" w:header="0"/>
          <w:type w:val="continuous"/>
        </w:sectPr>
      </w:pPr>
    </w:p>
    <w:p>
      <w:pPr>
        <w:spacing w:after="0" w:line="58" w:lineRule="exact"/>
        <w:rPr>
          <w:sz w:val="20"/>
          <w:szCs w:val="20"/>
          <w:color w:val="auto"/>
        </w:rPr>
      </w:pPr>
    </w:p>
    <w:p>
      <w:pPr>
        <w:ind w:left="1000" w:hanging="690"/>
        <w:spacing w:after="0"/>
        <w:tabs>
          <w:tab w:leader="none" w:pos="1000" w:val="left"/>
        </w:tabs>
        <w:numPr>
          <w:ilvl w:val="0"/>
          <w:numId w:val="41"/>
        </w:numPr>
        <w:rPr>
          <w:rFonts w:ascii="Arial" w:cs="Arial" w:eastAsia="Arial" w:hAnsi="Arial"/>
          <w:sz w:val="17"/>
          <w:szCs w:val="17"/>
          <w:color w:val="050A54"/>
        </w:rPr>
      </w:pPr>
      <w:r>
        <w:rPr>
          <w:rFonts w:ascii="Arial" w:cs="Arial" w:eastAsia="Arial" w:hAnsi="Arial"/>
          <w:sz w:val="17"/>
          <w:szCs w:val="17"/>
          <w:b w:val="1"/>
          <w:bCs w:val="1"/>
          <w:color w:val="050A54"/>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-111760</wp:posOffset>
            </wp:positionV>
            <wp:extent cx="8255" cy="135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720"/>
        <w:spacing w:after="0"/>
        <w:rPr>
          <w:sz w:val="20"/>
          <w:szCs w:val="20"/>
          <w:color w:val="auto"/>
        </w:rPr>
      </w:pPr>
      <w:r>
        <w:rPr>
          <w:rFonts w:ascii="Arial" w:cs="Arial" w:eastAsia="Arial" w:hAnsi="Arial"/>
          <w:sz w:val="20"/>
          <w:szCs w:val="20"/>
          <w:b w:val="1"/>
          <w:bCs w:val="1"/>
          <w:color w:val="050A54"/>
        </w:rPr>
        <w:t>Board of Directors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3"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The following table sets forth the compensation received by each non-employee director for service on the Board and its committees for the fiscal year ended December 31, 2021. In addition to the payments disclosed in the table below, our directors were reimbursed for out-of-pocket expenses incurred in connection with their attendance at Board and committee meetings.</w:t>
      </w:r>
    </w:p>
    <w:p>
      <w:pPr>
        <w:spacing w:after="0" w:line="305" w:lineRule="exact"/>
        <w:rPr>
          <w:sz w:val="20"/>
          <w:szCs w:val="20"/>
          <w:color w:val="auto"/>
        </w:rPr>
      </w:pPr>
    </w:p>
    <w:p>
      <w:pPr>
        <w:ind w:left="6900"/>
        <w:spacing w:after="0"/>
        <w:rPr>
          <w:sz w:val="20"/>
          <w:szCs w:val="20"/>
          <w:color w:val="auto"/>
        </w:rPr>
      </w:pPr>
      <w:r>
        <w:rPr>
          <w:rFonts w:ascii="Arial" w:cs="Arial" w:eastAsia="Arial" w:hAnsi="Arial"/>
          <w:sz w:val="18"/>
          <w:szCs w:val="18"/>
          <w:b w:val="1"/>
          <w:bCs w:val="1"/>
          <w:color w:val="050A54"/>
        </w:rPr>
        <w:t>Non-Employee Director Compensation Mix</w:t>
      </w:r>
    </w:p>
    <w:p>
      <w:pPr>
        <w:spacing w:after="0" w:line="43"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1400" w:type="dxa"/>
            <w:vAlign w:val="bottom"/>
            <w:gridSpan w:val="2"/>
          </w:tcPr>
          <w:p>
            <w:pPr>
              <w:jc w:val="center"/>
              <w:ind w:left="2"/>
              <w:spacing w:after="0"/>
              <w:rPr>
                <w:sz w:val="20"/>
                <w:szCs w:val="20"/>
                <w:color w:val="auto"/>
              </w:rPr>
            </w:pPr>
            <w:r>
              <w:rPr>
                <w:rFonts w:ascii="Arial" w:cs="Arial" w:eastAsia="Arial" w:hAnsi="Arial"/>
                <w:sz w:val="14"/>
                <w:szCs w:val="14"/>
                <w:b w:val="1"/>
                <w:bCs w:val="1"/>
                <w:color w:val="050A54"/>
              </w:rPr>
              <w:t>Fees Earned</w:t>
            </w:r>
          </w:p>
        </w:tc>
        <w:tc>
          <w:tcPr>
            <w:tcW w:w="920" w:type="dxa"/>
            <w:vAlign w:val="bottom"/>
          </w:tcPr>
          <w:p>
            <w:pPr>
              <w:jc w:val="right"/>
              <w:ind w:right="22"/>
              <w:spacing w:after="0"/>
              <w:rPr>
                <w:sz w:val="20"/>
                <w:szCs w:val="20"/>
                <w:color w:val="auto"/>
              </w:rPr>
            </w:pPr>
            <w:r>
              <w:rPr>
                <w:rFonts w:ascii="Arial" w:cs="Arial" w:eastAsia="Arial" w:hAnsi="Arial"/>
                <w:sz w:val="14"/>
                <w:szCs w:val="14"/>
                <w:b w:val="1"/>
                <w:bCs w:val="1"/>
                <w:color w:val="050A54"/>
              </w:rPr>
              <w:t>Stock</w:t>
            </w:r>
          </w:p>
        </w:tc>
        <w:tc>
          <w:tcPr>
            <w:tcW w:w="340" w:type="dxa"/>
            <w:vAlign w:val="bottom"/>
          </w:tcPr>
          <w:p>
            <w:pPr>
              <w:spacing w:after="0"/>
              <w:rPr>
                <w:sz w:val="14"/>
                <w:szCs w:val="14"/>
                <w:color w:val="auto"/>
              </w:rPr>
            </w:pPr>
          </w:p>
        </w:tc>
        <w:tc>
          <w:tcPr>
            <w:tcW w:w="96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050A54"/>
              </w:rPr>
              <w:t>Total</w:t>
            </w:r>
          </w:p>
        </w:tc>
        <w:tc>
          <w:tcPr>
            <w:tcW w:w="0" w:type="dxa"/>
            <w:vAlign w:val="bottom"/>
          </w:tcPr>
          <w:p>
            <w:pPr>
              <w:spacing w:after="0"/>
              <w:rPr>
                <w:sz w:val="1"/>
                <w:szCs w:val="1"/>
                <w:color w:val="auto"/>
              </w:rPr>
            </w:pPr>
          </w:p>
        </w:tc>
      </w:tr>
      <w:tr>
        <w:trPr>
          <w:trHeight w:val="143"/>
        </w:trPr>
        <w:tc>
          <w:tcPr>
            <w:tcW w:w="1620" w:type="dxa"/>
            <w:vAlign w:val="bottom"/>
          </w:tcPr>
          <w:p>
            <w:pPr>
              <w:spacing w:after="0"/>
              <w:rPr>
                <w:sz w:val="12"/>
                <w:szCs w:val="12"/>
                <w:color w:val="auto"/>
              </w:rPr>
            </w:pPr>
          </w:p>
        </w:tc>
        <w:tc>
          <w:tcPr>
            <w:tcW w:w="1400" w:type="dxa"/>
            <w:vAlign w:val="bottom"/>
            <w:gridSpan w:val="2"/>
          </w:tcPr>
          <w:p>
            <w:pPr>
              <w:jc w:val="center"/>
              <w:ind w:left="2"/>
              <w:spacing w:after="0" w:line="143" w:lineRule="exact"/>
              <w:rPr>
                <w:sz w:val="20"/>
                <w:szCs w:val="20"/>
                <w:color w:val="auto"/>
              </w:rPr>
            </w:pPr>
            <w:r>
              <w:rPr>
                <w:rFonts w:ascii="Arial" w:cs="Arial" w:eastAsia="Arial" w:hAnsi="Arial"/>
                <w:sz w:val="14"/>
                <w:szCs w:val="14"/>
                <w:b w:val="1"/>
                <w:bCs w:val="1"/>
                <w:color w:val="050A54"/>
              </w:rPr>
              <w:t>or Paid in Cash</w:t>
            </w:r>
          </w:p>
        </w:tc>
        <w:tc>
          <w:tcPr>
            <w:tcW w:w="920" w:type="dxa"/>
            <w:vAlign w:val="bottom"/>
          </w:tcPr>
          <w:p>
            <w:pPr>
              <w:jc w:val="right"/>
              <w:spacing w:after="0" w:line="143" w:lineRule="exact"/>
              <w:rPr>
                <w:sz w:val="20"/>
                <w:szCs w:val="20"/>
                <w:color w:val="auto"/>
              </w:rPr>
            </w:pPr>
            <w:r>
              <w:rPr>
                <w:rFonts w:ascii="Arial" w:cs="Arial" w:eastAsia="Arial" w:hAnsi="Arial"/>
                <w:sz w:val="14"/>
                <w:szCs w:val="14"/>
                <w:b w:val="1"/>
                <w:bCs w:val="1"/>
                <w:color w:val="050A54"/>
              </w:rPr>
              <w:t>Awards</w:t>
            </w:r>
          </w:p>
        </w:tc>
        <w:tc>
          <w:tcPr>
            <w:tcW w:w="3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1620" w:type="dxa"/>
            <w:vAlign w:val="bottom"/>
            <w:tcBorders>
              <w:bottom w:val="single" w:sz="8" w:color="050A54"/>
            </w:tcBorders>
          </w:tcPr>
          <w:p>
            <w:pPr>
              <w:ind w:left="620"/>
              <w:spacing w:after="0"/>
              <w:rPr>
                <w:sz w:val="20"/>
                <w:szCs w:val="20"/>
                <w:color w:val="auto"/>
              </w:rPr>
            </w:pPr>
            <w:r>
              <w:rPr>
                <w:rFonts w:ascii="Arial" w:cs="Arial" w:eastAsia="Arial" w:hAnsi="Arial"/>
                <w:sz w:val="14"/>
                <w:szCs w:val="14"/>
                <w:b w:val="1"/>
                <w:bCs w:val="1"/>
                <w:color w:val="050A54"/>
              </w:rPr>
              <w:t>Name</w:t>
            </w:r>
          </w:p>
        </w:tc>
        <w:tc>
          <w:tcPr>
            <w:tcW w:w="880" w:type="dxa"/>
            <w:vAlign w:val="bottom"/>
            <w:tcBorders>
              <w:bottom w:val="single" w:sz="8" w:color="050A54"/>
            </w:tcBorders>
          </w:tcPr>
          <w:p>
            <w:pPr>
              <w:jc w:val="right"/>
              <w:spacing w:after="0"/>
              <w:rPr>
                <w:sz w:val="20"/>
                <w:szCs w:val="20"/>
                <w:color w:val="auto"/>
              </w:rPr>
            </w:pPr>
            <w:r>
              <w:rPr>
                <w:rFonts w:ascii="Arial" w:cs="Arial" w:eastAsia="Arial" w:hAnsi="Arial"/>
                <w:sz w:val="14"/>
                <w:szCs w:val="14"/>
                <w:b w:val="1"/>
                <w:bCs w:val="1"/>
                <w:color w:val="050A54"/>
              </w:rPr>
              <w:t>($)</w:t>
            </w:r>
          </w:p>
        </w:tc>
        <w:tc>
          <w:tcPr>
            <w:tcW w:w="520" w:type="dxa"/>
            <w:vAlign w:val="bottom"/>
            <w:tcBorders>
              <w:bottom w:val="single" w:sz="8" w:color="050A54"/>
            </w:tcBorders>
          </w:tcPr>
          <w:p>
            <w:pPr>
              <w:spacing w:after="0"/>
              <w:rPr>
                <w:sz w:val="20"/>
                <w:szCs w:val="20"/>
                <w:color w:val="auto"/>
              </w:rPr>
            </w:pPr>
          </w:p>
        </w:tc>
        <w:tc>
          <w:tcPr>
            <w:tcW w:w="920" w:type="dxa"/>
            <w:vAlign w:val="bottom"/>
            <w:tcBorders>
              <w:bottom w:val="single" w:sz="8" w:color="050A54"/>
            </w:tcBorders>
          </w:tcPr>
          <w:p>
            <w:pPr>
              <w:jc w:val="right"/>
              <w:spacing w:after="0"/>
              <w:rPr>
                <w:sz w:val="20"/>
                <w:szCs w:val="20"/>
                <w:color w:val="auto"/>
              </w:rPr>
            </w:pPr>
            <w:r>
              <w:rPr>
                <w:rFonts w:ascii="Arial" w:cs="Arial" w:eastAsia="Arial" w:hAnsi="Arial"/>
                <w:sz w:val="14"/>
                <w:szCs w:val="14"/>
                <w:b w:val="1"/>
                <w:bCs w:val="1"/>
                <w:color w:val="050A54"/>
              </w:rPr>
              <w:t>($)(1)(2)</w:t>
            </w:r>
          </w:p>
        </w:tc>
        <w:tc>
          <w:tcPr>
            <w:tcW w:w="340" w:type="dxa"/>
            <w:vAlign w:val="bottom"/>
            <w:tcBorders>
              <w:bottom w:val="single" w:sz="8" w:color="050A54"/>
            </w:tcBorders>
          </w:tcPr>
          <w:p>
            <w:pPr>
              <w:spacing w:after="0"/>
              <w:rPr>
                <w:sz w:val="20"/>
                <w:szCs w:val="20"/>
                <w:color w:val="auto"/>
              </w:rPr>
            </w:pPr>
          </w:p>
        </w:tc>
        <w:tc>
          <w:tcPr>
            <w:tcW w:w="960" w:type="dxa"/>
            <w:vAlign w:val="bottom"/>
            <w:tcBorders>
              <w:bottom w:val="single" w:sz="8" w:color="050A54"/>
            </w:tcBorders>
          </w:tcPr>
          <w:p>
            <w:pPr>
              <w:jc w:val="right"/>
              <w:ind w:right="281"/>
              <w:spacing w:after="0"/>
              <w:rPr>
                <w:sz w:val="20"/>
                <w:szCs w:val="20"/>
                <w:color w:val="auto"/>
              </w:rPr>
            </w:pPr>
            <w:r>
              <w:rPr>
                <w:rFonts w:ascii="Arial" w:cs="Arial" w:eastAsia="Arial" w:hAnsi="Arial"/>
                <w:sz w:val="16"/>
                <w:szCs w:val="16"/>
                <w:b w:val="1"/>
                <w:bCs w:val="1"/>
                <w:color w:val="050A54"/>
              </w:rPr>
              <w:t>($)</w:t>
            </w:r>
          </w:p>
        </w:tc>
        <w:tc>
          <w:tcPr>
            <w:tcW w:w="0" w:type="dxa"/>
            <w:vAlign w:val="bottom"/>
          </w:tcPr>
          <w:p>
            <w:pPr>
              <w:spacing w:after="0"/>
              <w:rPr>
                <w:sz w:val="1"/>
                <w:szCs w:val="1"/>
                <w:color w:val="auto"/>
              </w:rPr>
            </w:pPr>
          </w:p>
        </w:tc>
      </w:tr>
      <w:tr>
        <w:trPr>
          <w:trHeight w:val="227"/>
        </w:trPr>
        <w:tc>
          <w:tcPr>
            <w:tcW w:w="1620" w:type="dxa"/>
            <w:vAlign w:val="bottom"/>
            <w:shd w:val="clear" w:color="auto" w:fill="E8E8E8"/>
          </w:tcPr>
          <w:p>
            <w:pPr>
              <w:ind w:left="60"/>
              <w:spacing w:after="0"/>
              <w:rPr>
                <w:sz w:val="20"/>
                <w:szCs w:val="20"/>
                <w:color w:val="auto"/>
              </w:rPr>
            </w:pPr>
            <w:r>
              <w:rPr>
                <w:rFonts w:ascii="Arial" w:cs="Arial" w:eastAsia="Arial" w:hAnsi="Arial"/>
                <w:sz w:val="16"/>
                <w:szCs w:val="16"/>
                <w:color w:val="auto"/>
              </w:rPr>
              <w:t>Edward C. Bernard</w:t>
            </w:r>
          </w:p>
        </w:tc>
        <w:tc>
          <w:tcPr>
            <w:tcW w:w="880" w:type="dxa"/>
            <w:vAlign w:val="bottom"/>
            <w:shd w:val="clear" w:color="auto" w:fill="E8E8E8"/>
          </w:tcPr>
          <w:p>
            <w:pPr>
              <w:jc w:val="right"/>
              <w:spacing w:after="0"/>
              <w:rPr>
                <w:sz w:val="20"/>
                <w:szCs w:val="20"/>
                <w:color w:val="auto"/>
              </w:rPr>
            </w:pPr>
            <w:r>
              <w:rPr>
                <w:rFonts w:ascii="Arial" w:cs="Arial" w:eastAsia="Arial" w:hAnsi="Arial"/>
                <w:sz w:val="16"/>
                <w:szCs w:val="16"/>
                <w:color w:val="auto"/>
              </w:rPr>
              <w:t>$107,136</w:t>
            </w:r>
          </w:p>
        </w:tc>
        <w:tc>
          <w:tcPr>
            <w:tcW w:w="520" w:type="dxa"/>
            <w:vAlign w:val="bottom"/>
            <w:shd w:val="clear" w:color="auto" w:fill="E8E8E8"/>
          </w:tcPr>
          <w:p>
            <w:pPr>
              <w:ind w:left="60"/>
              <w:spacing w:after="0"/>
              <w:rPr>
                <w:sz w:val="20"/>
                <w:szCs w:val="20"/>
                <w:color w:val="auto"/>
              </w:rPr>
            </w:pPr>
            <w:r>
              <w:rPr>
                <w:rFonts w:ascii="Arial" w:cs="Arial" w:eastAsia="Arial" w:hAnsi="Arial"/>
                <w:sz w:val="16"/>
                <w:szCs w:val="16"/>
                <w:color w:val="auto"/>
              </w:rPr>
              <w:t>(3)(4)</w:t>
            </w:r>
          </w:p>
        </w:tc>
        <w:tc>
          <w:tcPr>
            <w:tcW w:w="920" w:type="dxa"/>
            <w:vAlign w:val="bottom"/>
            <w:shd w:val="clear" w:color="auto" w:fill="E8E8E8"/>
          </w:tcPr>
          <w:p>
            <w:pPr>
              <w:jc w:val="right"/>
              <w:ind w:right="82"/>
              <w:spacing w:after="0"/>
              <w:rPr>
                <w:sz w:val="20"/>
                <w:szCs w:val="20"/>
                <w:color w:val="auto"/>
              </w:rPr>
            </w:pPr>
            <w:r>
              <w:rPr>
                <w:rFonts w:ascii="Arial" w:cs="Arial" w:eastAsia="Arial" w:hAnsi="Arial"/>
                <w:sz w:val="16"/>
                <w:szCs w:val="16"/>
                <w:color w:val="auto"/>
              </w:rPr>
              <w:t>$164,524</w:t>
            </w:r>
          </w:p>
        </w:tc>
        <w:tc>
          <w:tcPr>
            <w:tcW w:w="340" w:type="dxa"/>
            <w:vAlign w:val="bottom"/>
            <w:shd w:val="clear" w:color="auto" w:fill="E8E8E8"/>
          </w:tcPr>
          <w:p>
            <w:pPr>
              <w:jc w:val="right"/>
              <w:ind w:right="20"/>
              <w:spacing w:after="0"/>
              <w:rPr>
                <w:sz w:val="20"/>
                <w:szCs w:val="20"/>
                <w:color w:val="auto"/>
              </w:rPr>
            </w:pPr>
            <w:r>
              <w:rPr>
                <w:rFonts w:ascii="Arial" w:cs="Arial" w:eastAsia="Arial" w:hAnsi="Arial"/>
                <w:sz w:val="16"/>
                <w:szCs w:val="16"/>
                <w:color w:val="auto"/>
              </w:rPr>
              <w:t>(5)</w:t>
            </w:r>
          </w:p>
        </w:tc>
        <w:tc>
          <w:tcPr>
            <w:tcW w:w="960" w:type="dxa"/>
            <w:vAlign w:val="bottom"/>
            <w:shd w:val="clear" w:color="auto" w:fill="E8E8E8"/>
          </w:tcPr>
          <w:p>
            <w:pPr>
              <w:jc w:val="right"/>
              <w:ind w:right="101"/>
              <w:spacing w:after="0"/>
              <w:rPr>
                <w:sz w:val="20"/>
                <w:szCs w:val="20"/>
                <w:color w:val="auto"/>
              </w:rPr>
            </w:pPr>
            <w:r>
              <w:rPr>
                <w:rFonts w:ascii="Arial" w:cs="Arial" w:eastAsia="Arial" w:hAnsi="Arial"/>
                <w:sz w:val="16"/>
                <w:szCs w:val="16"/>
                <w:color w:val="auto"/>
              </w:rPr>
              <w:t>$271,660</w:t>
            </w:r>
          </w:p>
        </w:tc>
        <w:tc>
          <w:tcPr>
            <w:tcW w:w="0" w:type="dxa"/>
            <w:vAlign w:val="bottom"/>
          </w:tcPr>
          <w:p>
            <w:pPr>
              <w:spacing w:after="0"/>
              <w:rPr>
                <w:sz w:val="1"/>
                <w:szCs w:val="1"/>
                <w:color w:val="auto"/>
              </w:rPr>
            </w:pPr>
          </w:p>
        </w:tc>
      </w:tr>
      <w:tr>
        <w:trPr>
          <w:trHeight w:val="232"/>
        </w:trPr>
        <w:tc>
          <w:tcPr>
            <w:tcW w:w="1620" w:type="dxa"/>
            <w:vAlign w:val="bottom"/>
          </w:tcPr>
          <w:p>
            <w:pPr>
              <w:ind w:left="60"/>
              <w:spacing w:after="0"/>
              <w:rPr>
                <w:sz w:val="20"/>
                <w:szCs w:val="20"/>
                <w:color w:val="auto"/>
              </w:rPr>
            </w:pPr>
            <w:r>
              <w:rPr>
                <w:rFonts w:ascii="Arial" w:cs="Arial" w:eastAsia="Arial" w:hAnsi="Arial"/>
                <w:sz w:val="16"/>
                <w:szCs w:val="16"/>
                <w:color w:val="auto"/>
              </w:rPr>
              <w:t>H. Paulett Eberhart</w:t>
            </w:r>
          </w:p>
        </w:tc>
        <w:tc>
          <w:tcPr>
            <w:tcW w:w="880" w:type="dxa"/>
            <w:vAlign w:val="bottom"/>
          </w:tcPr>
          <w:p>
            <w:pPr>
              <w:jc w:val="right"/>
              <w:spacing w:after="0"/>
              <w:rPr>
                <w:sz w:val="20"/>
                <w:szCs w:val="20"/>
                <w:color w:val="auto"/>
              </w:rPr>
            </w:pPr>
            <w:r>
              <w:rPr>
                <w:rFonts w:ascii="Arial" w:cs="Arial" w:eastAsia="Arial" w:hAnsi="Arial"/>
                <w:sz w:val="16"/>
                <w:szCs w:val="16"/>
                <w:color w:val="auto"/>
              </w:rPr>
              <w:t>$122,500</w:t>
            </w:r>
          </w:p>
        </w:tc>
        <w:tc>
          <w:tcPr>
            <w:tcW w:w="520" w:type="dxa"/>
            <w:vAlign w:val="bottom"/>
          </w:tcPr>
          <w:p>
            <w:pPr>
              <w:spacing w:after="0"/>
              <w:rPr>
                <w:sz w:val="20"/>
                <w:szCs w:val="20"/>
                <w:color w:val="auto"/>
              </w:rPr>
            </w:pPr>
          </w:p>
        </w:tc>
        <w:tc>
          <w:tcPr>
            <w:tcW w:w="920" w:type="dxa"/>
            <w:vAlign w:val="bottom"/>
          </w:tcPr>
          <w:p>
            <w:pPr>
              <w:jc w:val="right"/>
              <w:ind w:right="82"/>
              <w:spacing w:after="0"/>
              <w:rPr>
                <w:sz w:val="20"/>
                <w:szCs w:val="20"/>
                <w:color w:val="auto"/>
              </w:rPr>
            </w:pPr>
            <w:r>
              <w:rPr>
                <w:rFonts w:ascii="Arial" w:cs="Arial" w:eastAsia="Arial" w:hAnsi="Arial"/>
                <w:sz w:val="16"/>
                <w:szCs w:val="16"/>
                <w:color w:val="auto"/>
              </w:rPr>
              <w:t>$164,524</w:t>
            </w:r>
          </w:p>
        </w:tc>
        <w:tc>
          <w:tcPr>
            <w:tcW w:w="34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960" w:type="dxa"/>
            <w:vAlign w:val="bottom"/>
          </w:tcPr>
          <w:p>
            <w:pPr>
              <w:jc w:val="right"/>
              <w:ind w:right="101"/>
              <w:spacing w:after="0"/>
              <w:rPr>
                <w:sz w:val="20"/>
                <w:szCs w:val="20"/>
                <w:color w:val="auto"/>
              </w:rPr>
            </w:pPr>
            <w:r>
              <w:rPr>
                <w:rFonts w:ascii="Arial" w:cs="Arial" w:eastAsia="Arial" w:hAnsi="Arial"/>
                <w:sz w:val="16"/>
                <w:szCs w:val="16"/>
                <w:color w:val="auto"/>
              </w:rPr>
              <w:t>$287,024</w:t>
            </w:r>
          </w:p>
        </w:tc>
        <w:tc>
          <w:tcPr>
            <w:tcW w:w="0" w:type="dxa"/>
            <w:vAlign w:val="bottom"/>
          </w:tcPr>
          <w:p>
            <w:pPr>
              <w:spacing w:after="0"/>
              <w:rPr>
                <w:sz w:val="1"/>
                <w:szCs w:val="1"/>
                <w:color w:val="auto"/>
              </w:rPr>
            </w:pPr>
          </w:p>
        </w:tc>
      </w:tr>
      <w:tr>
        <w:trPr>
          <w:trHeight w:val="249"/>
        </w:trPr>
        <w:tc>
          <w:tcPr>
            <w:tcW w:w="1620" w:type="dxa"/>
            <w:vAlign w:val="bottom"/>
            <w:shd w:val="clear" w:color="auto" w:fill="E8E8E8"/>
          </w:tcPr>
          <w:p>
            <w:pPr>
              <w:ind w:left="60"/>
              <w:spacing w:after="0"/>
              <w:rPr>
                <w:sz w:val="20"/>
                <w:szCs w:val="20"/>
                <w:color w:val="auto"/>
              </w:rPr>
            </w:pPr>
            <w:r>
              <w:rPr>
                <w:rFonts w:ascii="Arial" w:cs="Arial" w:eastAsia="Arial" w:hAnsi="Arial"/>
                <w:sz w:val="16"/>
                <w:szCs w:val="16"/>
                <w:color w:val="auto"/>
              </w:rPr>
              <w:t>William F. Glavin, Jr.</w:t>
            </w:r>
          </w:p>
        </w:tc>
        <w:tc>
          <w:tcPr>
            <w:tcW w:w="880" w:type="dxa"/>
            <w:vAlign w:val="bottom"/>
            <w:shd w:val="clear" w:color="auto" w:fill="E8E8E8"/>
          </w:tcPr>
          <w:p>
            <w:pPr>
              <w:jc w:val="right"/>
              <w:spacing w:after="0"/>
              <w:rPr>
                <w:sz w:val="20"/>
                <w:szCs w:val="20"/>
                <w:color w:val="auto"/>
              </w:rPr>
            </w:pPr>
            <w:r>
              <w:rPr>
                <w:rFonts w:ascii="Arial" w:cs="Arial" w:eastAsia="Arial" w:hAnsi="Arial"/>
                <w:sz w:val="16"/>
                <w:szCs w:val="16"/>
                <w:color w:val="auto"/>
              </w:rPr>
              <w:t>$109,845</w:t>
            </w:r>
          </w:p>
        </w:tc>
        <w:tc>
          <w:tcPr>
            <w:tcW w:w="520" w:type="dxa"/>
            <w:vAlign w:val="bottom"/>
            <w:shd w:val="clear" w:color="auto" w:fill="E8E8E8"/>
          </w:tcPr>
          <w:p>
            <w:pPr>
              <w:ind w:left="60"/>
              <w:spacing w:after="0"/>
              <w:rPr>
                <w:sz w:val="20"/>
                <w:szCs w:val="20"/>
                <w:color w:val="auto"/>
              </w:rPr>
            </w:pPr>
            <w:r>
              <w:rPr>
                <w:rFonts w:ascii="Arial" w:cs="Arial" w:eastAsia="Arial" w:hAnsi="Arial"/>
                <w:sz w:val="16"/>
                <w:szCs w:val="16"/>
                <w:color w:val="auto"/>
              </w:rPr>
              <w:t>(3)</w:t>
            </w:r>
          </w:p>
        </w:tc>
        <w:tc>
          <w:tcPr>
            <w:tcW w:w="920" w:type="dxa"/>
            <w:vAlign w:val="bottom"/>
            <w:shd w:val="clear" w:color="auto" w:fill="E8E8E8"/>
          </w:tcPr>
          <w:p>
            <w:pPr>
              <w:jc w:val="right"/>
              <w:ind w:right="82"/>
              <w:spacing w:after="0"/>
              <w:rPr>
                <w:sz w:val="20"/>
                <w:szCs w:val="20"/>
                <w:color w:val="auto"/>
              </w:rPr>
            </w:pPr>
            <w:r>
              <w:rPr>
                <w:rFonts w:ascii="Arial" w:cs="Arial" w:eastAsia="Arial" w:hAnsi="Arial"/>
                <w:sz w:val="16"/>
                <w:szCs w:val="16"/>
                <w:color w:val="auto"/>
              </w:rPr>
              <w:t>$164,524</w:t>
            </w:r>
          </w:p>
        </w:tc>
        <w:tc>
          <w:tcPr>
            <w:tcW w:w="340" w:type="dxa"/>
            <w:vAlign w:val="bottom"/>
            <w:shd w:val="clear" w:color="auto" w:fill="E8E8E8"/>
          </w:tcPr>
          <w:p>
            <w:pPr>
              <w:jc w:val="right"/>
              <w:ind w:right="20"/>
              <w:spacing w:after="0"/>
              <w:rPr>
                <w:sz w:val="20"/>
                <w:szCs w:val="20"/>
                <w:color w:val="auto"/>
              </w:rPr>
            </w:pPr>
            <w:r>
              <w:rPr>
                <w:rFonts w:ascii="Arial" w:cs="Arial" w:eastAsia="Arial" w:hAnsi="Arial"/>
                <w:sz w:val="16"/>
                <w:szCs w:val="16"/>
                <w:color w:val="auto"/>
              </w:rPr>
              <w:t>(5)</w:t>
            </w:r>
          </w:p>
        </w:tc>
        <w:tc>
          <w:tcPr>
            <w:tcW w:w="960" w:type="dxa"/>
            <w:vAlign w:val="bottom"/>
            <w:shd w:val="clear" w:color="auto" w:fill="E8E8E8"/>
          </w:tcPr>
          <w:p>
            <w:pPr>
              <w:jc w:val="right"/>
              <w:ind w:right="101"/>
              <w:spacing w:after="0"/>
              <w:rPr>
                <w:sz w:val="20"/>
                <w:szCs w:val="20"/>
                <w:color w:val="auto"/>
              </w:rPr>
            </w:pPr>
            <w:r>
              <w:rPr>
                <w:rFonts w:ascii="Arial" w:cs="Arial" w:eastAsia="Arial" w:hAnsi="Arial"/>
                <w:sz w:val="16"/>
                <w:szCs w:val="16"/>
                <w:color w:val="auto"/>
              </w:rPr>
              <w:t>$274,369</w:t>
            </w:r>
          </w:p>
        </w:tc>
        <w:tc>
          <w:tcPr>
            <w:tcW w:w="0" w:type="dxa"/>
            <w:vAlign w:val="bottom"/>
          </w:tcPr>
          <w:p>
            <w:pPr>
              <w:spacing w:after="0"/>
              <w:rPr>
                <w:sz w:val="1"/>
                <w:szCs w:val="1"/>
                <w:color w:val="auto"/>
              </w:rPr>
            </w:pPr>
          </w:p>
        </w:tc>
      </w:tr>
      <w:tr>
        <w:trPr>
          <w:trHeight w:val="232"/>
        </w:trPr>
        <w:tc>
          <w:tcPr>
            <w:tcW w:w="1620" w:type="dxa"/>
            <w:vAlign w:val="bottom"/>
          </w:tcPr>
          <w:p>
            <w:pPr>
              <w:ind w:left="40"/>
              <w:spacing w:after="0"/>
              <w:rPr>
                <w:sz w:val="20"/>
                <w:szCs w:val="20"/>
                <w:color w:val="auto"/>
              </w:rPr>
            </w:pPr>
            <w:r>
              <w:rPr>
                <w:rFonts w:ascii="Arial" w:cs="Arial" w:eastAsia="Arial" w:hAnsi="Arial"/>
                <w:sz w:val="16"/>
                <w:szCs w:val="16"/>
                <w:color w:val="auto"/>
              </w:rPr>
              <w:t>Allison H. Mnookin</w:t>
            </w:r>
          </w:p>
        </w:tc>
        <w:tc>
          <w:tcPr>
            <w:tcW w:w="880" w:type="dxa"/>
            <w:vAlign w:val="bottom"/>
          </w:tcPr>
          <w:p>
            <w:pPr>
              <w:jc w:val="right"/>
              <w:spacing w:after="0"/>
              <w:rPr>
                <w:sz w:val="20"/>
                <w:szCs w:val="20"/>
                <w:color w:val="auto"/>
              </w:rPr>
            </w:pPr>
            <w:r>
              <w:rPr>
                <w:rFonts w:ascii="Arial" w:cs="Arial" w:eastAsia="Arial" w:hAnsi="Arial"/>
                <w:sz w:val="16"/>
                <w:szCs w:val="16"/>
                <w:color w:val="auto"/>
              </w:rPr>
              <w:t>$102,500</w:t>
            </w:r>
          </w:p>
        </w:tc>
        <w:tc>
          <w:tcPr>
            <w:tcW w:w="520" w:type="dxa"/>
            <w:vAlign w:val="bottom"/>
          </w:tcPr>
          <w:p>
            <w:pPr>
              <w:spacing w:after="0"/>
              <w:rPr>
                <w:sz w:val="20"/>
                <w:szCs w:val="20"/>
                <w:color w:val="auto"/>
              </w:rPr>
            </w:pPr>
          </w:p>
        </w:tc>
        <w:tc>
          <w:tcPr>
            <w:tcW w:w="920" w:type="dxa"/>
            <w:vAlign w:val="bottom"/>
          </w:tcPr>
          <w:p>
            <w:pPr>
              <w:jc w:val="right"/>
              <w:ind w:right="82"/>
              <w:spacing w:after="0"/>
              <w:rPr>
                <w:sz w:val="20"/>
                <w:szCs w:val="20"/>
                <w:color w:val="auto"/>
              </w:rPr>
            </w:pPr>
            <w:r>
              <w:rPr>
                <w:rFonts w:ascii="Arial" w:cs="Arial" w:eastAsia="Arial" w:hAnsi="Arial"/>
                <w:sz w:val="16"/>
                <w:szCs w:val="16"/>
                <w:color w:val="auto"/>
              </w:rPr>
              <w:t>$164,524</w:t>
            </w:r>
          </w:p>
        </w:tc>
        <w:tc>
          <w:tcPr>
            <w:tcW w:w="34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960" w:type="dxa"/>
            <w:vAlign w:val="bottom"/>
          </w:tcPr>
          <w:p>
            <w:pPr>
              <w:jc w:val="right"/>
              <w:ind w:right="101"/>
              <w:spacing w:after="0"/>
              <w:rPr>
                <w:sz w:val="20"/>
                <w:szCs w:val="20"/>
                <w:color w:val="auto"/>
              </w:rPr>
            </w:pPr>
            <w:r>
              <w:rPr>
                <w:rFonts w:ascii="Arial" w:cs="Arial" w:eastAsia="Arial" w:hAnsi="Arial"/>
                <w:sz w:val="16"/>
                <w:szCs w:val="16"/>
                <w:color w:val="auto"/>
              </w:rPr>
              <w:t>$267,024</w:t>
            </w:r>
          </w:p>
        </w:tc>
        <w:tc>
          <w:tcPr>
            <w:tcW w:w="0" w:type="dxa"/>
            <w:vAlign w:val="bottom"/>
          </w:tcPr>
          <w:p>
            <w:pPr>
              <w:spacing w:after="0"/>
              <w:rPr>
                <w:sz w:val="1"/>
                <w:szCs w:val="1"/>
                <w:color w:val="auto"/>
              </w:rPr>
            </w:pPr>
          </w:p>
        </w:tc>
      </w:tr>
      <w:tr>
        <w:trPr>
          <w:trHeight w:val="249"/>
        </w:trPr>
        <w:tc>
          <w:tcPr>
            <w:tcW w:w="1620" w:type="dxa"/>
            <w:vAlign w:val="bottom"/>
            <w:shd w:val="clear" w:color="auto" w:fill="E8E8E8"/>
          </w:tcPr>
          <w:p>
            <w:pPr>
              <w:ind w:left="40"/>
              <w:spacing w:after="0"/>
              <w:rPr>
                <w:sz w:val="20"/>
                <w:szCs w:val="20"/>
                <w:color w:val="auto"/>
              </w:rPr>
            </w:pPr>
            <w:r>
              <w:rPr>
                <w:rFonts w:ascii="Arial" w:cs="Arial" w:eastAsia="Arial" w:hAnsi="Arial"/>
                <w:sz w:val="16"/>
                <w:szCs w:val="16"/>
                <w:color w:val="auto"/>
              </w:rPr>
              <w:t>Anne M. Mulcahy</w:t>
            </w:r>
          </w:p>
        </w:tc>
        <w:tc>
          <w:tcPr>
            <w:tcW w:w="880" w:type="dxa"/>
            <w:vAlign w:val="bottom"/>
            <w:shd w:val="clear" w:color="auto" w:fill="E8E8E8"/>
          </w:tcPr>
          <w:p>
            <w:pPr>
              <w:jc w:val="right"/>
              <w:spacing w:after="0"/>
              <w:rPr>
                <w:sz w:val="20"/>
                <w:szCs w:val="20"/>
                <w:color w:val="auto"/>
              </w:rPr>
            </w:pPr>
            <w:r>
              <w:rPr>
                <w:rFonts w:ascii="Arial" w:cs="Arial" w:eastAsia="Arial" w:hAnsi="Arial"/>
                <w:sz w:val="16"/>
                <w:szCs w:val="16"/>
                <w:color w:val="auto"/>
              </w:rPr>
              <w:t>$ 119,845</w:t>
            </w:r>
          </w:p>
        </w:tc>
        <w:tc>
          <w:tcPr>
            <w:tcW w:w="520" w:type="dxa"/>
            <w:vAlign w:val="bottom"/>
            <w:shd w:val="clear" w:color="auto" w:fill="E8E8E8"/>
          </w:tcPr>
          <w:p>
            <w:pPr>
              <w:ind w:left="60"/>
              <w:spacing w:after="0"/>
              <w:rPr>
                <w:sz w:val="20"/>
                <w:szCs w:val="20"/>
                <w:color w:val="auto"/>
              </w:rPr>
            </w:pPr>
            <w:r>
              <w:rPr>
                <w:rFonts w:ascii="Arial" w:cs="Arial" w:eastAsia="Arial" w:hAnsi="Arial"/>
                <w:sz w:val="16"/>
                <w:szCs w:val="16"/>
                <w:color w:val="auto"/>
              </w:rPr>
              <w:t>(3)</w:t>
            </w:r>
          </w:p>
        </w:tc>
        <w:tc>
          <w:tcPr>
            <w:tcW w:w="920" w:type="dxa"/>
            <w:vAlign w:val="bottom"/>
            <w:shd w:val="clear" w:color="auto" w:fill="E8E8E8"/>
          </w:tcPr>
          <w:p>
            <w:pPr>
              <w:jc w:val="right"/>
              <w:ind w:right="82"/>
              <w:spacing w:after="0"/>
              <w:rPr>
                <w:sz w:val="20"/>
                <w:szCs w:val="20"/>
                <w:color w:val="auto"/>
              </w:rPr>
            </w:pPr>
            <w:r>
              <w:rPr>
                <w:rFonts w:ascii="Arial" w:cs="Arial" w:eastAsia="Arial" w:hAnsi="Arial"/>
                <w:sz w:val="16"/>
                <w:szCs w:val="16"/>
                <w:color w:val="auto"/>
              </w:rPr>
              <w:t>$164,524</w:t>
            </w:r>
          </w:p>
        </w:tc>
        <w:tc>
          <w:tcPr>
            <w:tcW w:w="340" w:type="dxa"/>
            <w:vAlign w:val="bottom"/>
            <w:shd w:val="clear" w:color="auto" w:fill="E8E8E8"/>
          </w:tcPr>
          <w:p>
            <w:pPr>
              <w:spacing w:after="0"/>
              <w:rPr>
                <w:sz w:val="21"/>
                <w:szCs w:val="21"/>
                <w:color w:val="auto"/>
              </w:rPr>
            </w:pPr>
          </w:p>
        </w:tc>
        <w:tc>
          <w:tcPr>
            <w:tcW w:w="960" w:type="dxa"/>
            <w:vAlign w:val="bottom"/>
            <w:shd w:val="clear" w:color="auto" w:fill="E8E8E8"/>
          </w:tcPr>
          <w:p>
            <w:pPr>
              <w:jc w:val="right"/>
              <w:ind w:right="101"/>
              <w:spacing w:after="0"/>
              <w:rPr>
                <w:sz w:val="20"/>
                <w:szCs w:val="20"/>
                <w:color w:val="auto"/>
              </w:rPr>
            </w:pPr>
            <w:r>
              <w:rPr>
                <w:rFonts w:ascii="Arial" w:cs="Arial" w:eastAsia="Arial" w:hAnsi="Arial"/>
                <w:sz w:val="16"/>
                <w:szCs w:val="16"/>
                <w:color w:val="auto"/>
              </w:rPr>
              <w:t>$284,369</w:t>
            </w:r>
          </w:p>
        </w:tc>
        <w:tc>
          <w:tcPr>
            <w:tcW w:w="0" w:type="dxa"/>
            <w:vAlign w:val="bottom"/>
          </w:tcPr>
          <w:p>
            <w:pPr>
              <w:spacing w:after="0"/>
              <w:rPr>
                <w:sz w:val="1"/>
                <w:szCs w:val="1"/>
                <w:color w:val="auto"/>
              </w:rPr>
            </w:pPr>
          </w:p>
        </w:tc>
      </w:tr>
      <w:tr>
        <w:trPr>
          <w:trHeight w:val="232"/>
        </w:trPr>
        <w:tc>
          <w:tcPr>
            <w:tcW w:w="1620" w:type="dxa"/>
            <w:vAlign w:val="bottom"/>
          </w:tcPr>
          <w:p>
            <w:pPr>
              <w:ind w:left="60"/>
              <w:spacing w:after="0"/>
              <w:rPr>
                <w:sz w:val="20"/>
                <w:szCs w:val="20"/>
                <w:color w:val="auto"/>
              </w:rPr>
            </w:pPr>
            <w:r>
              <w:rPr>
                <w:rFonts w:ascii="Arial" w:cs="Arial" w:eastAsia="Arial" w:hAnsi="Arial"/>
                <w:sz w:val="16"/>
                <w:szCs w:val="16"/>
                <w:color w:val="auto"/>
              </w:rPr>
              <w:t>James S. Putnam</w:t>
            </w:r>
          </w:p>
        </w:tc>
        <w:tc>
          <w:tcPr>
            <w:tcW w:w="880" w:type="dxa"/>
            <w:vAlign w:val="bottom"/>
          </w:tcPr>
          <w:p>
            <w:pPr>
              <w:jc w:val="right"/>
              <w:spacing w:after="0"/>
              <w:rPr>
                <w:sz w:val="20"/>
                <w:szCs w:val="20"/>
                <w:color w:val="auto"/>
              </w:rPr>
            </w:pPr>
            <w:r>
              <w:rPr>
                <w:rFonts w:ascii="Arial" w:cs="Arial" w:eastAsia="Arial" w:hAnsi="Arial"/>
                <w:sz w:val="16"/>
                <w:szCs w:val="16"/>
                <w:color w:val="auto"/>
              </w:rPr>
              <w:t>$232,500</w:t>
            </w:r>
          </w:p>
        </w:tc>
        <w:tc>
          <w:tcPr>
            <w:tcW w:w="520" w:type="dxa"/>
            <w:vAlign w:val="bottom"/>
          </w:tcPr>
          <w:p>
            <w:pPr>
              <w:spacing w:after="0"/>
              <w:rPr>
                <w:sz w:val="20"/>
                <w:szCs w:val="20"/>
                <w:color w:val="auto"/>
              </w:rPr>
            </w:pPr>
          </w:p>
        </w:tc>
        <w:tc>
          <w:tcPr>
            <w:tcW w:w="920" w:type="dxa"/>
            <w:vAlign w:val="bottom"/>
          </w:tcPr>
          <w:p>
            <w:pPr>
              <w:jc w:val="right"/>
              <w:ind w:right="82"/>
              <w:spacing w:after="0"/>
              <w:rPr>
                <w:sz w:val="20"/>
                <w:szCs w:val="20"/>
                <w:color w:val="auto"/>
              </w:rPr>
            </w:pPr>
            <w:r>
              <w:rPr>
                <w:rFonts w:ascii="Arial" w:cs="Arial" w:eastAsia="Arial" w:hAnsi="Arial"/>
                <w:sz w:val="16"/>
                <w:szCs w:val="16"/>
                <w:color w:val="auto"/>
              </w:rPr>
              <w:t>$164,524</w:t>
            </w:r>
          </w:p>
        </w:tc>
        <w:tc>
          <w:tcPr>
            <w:tcW w:w="34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960" w:type="dxa"/>
            <w:vAlign w:val="bottom"/>
          </w:tcPr>
          <w:p>
            <w:pPr>
              <w:jc w:val="right"/>
              <w:ind w:right="101"/>
              <w:spacing w:after="0"/>
              <w:rPr>
                <w:sz w:val="20"/>
                <w:szCs w:val="20"/>
                <w:color w:val="auto"/>
              </w:rPr>
            </w:pPr>
            <w:r>
              <w:rPr>
                <w:rFonts w:ascii="Arial" w:cs="Arial" w:eastAsia="Arial" w:hAnsi="Arial"/>
                <w:sz w:val="16"/>
                <w:szCs w:val="16"/>
                <w:color w:val="auto"/>
              </w:rPr>
              <w:t>$397,024</w:t>
            </w:r>
          </w:p>
        </w:tc>
        <w:tc>
          <w:tcPr>
            <w:tcW w:w="0" w:type="dxa"/>
            <w:vAlign w:val="bottom"/>
          </w:tcPr>
          <w:p>
            <w:pPr>
              <w:spacing w:after="0"/>
              <w:rPr>
                <w:sz w:val="1"/>
                <w:szCs w:val="1"/>
                <w:color w:val="auto"/>
              </w:rPr>
            </w:pPr>
          </w:p>
        </w:tc>
      </w:tr>
      <w:tr>
        <w:trPr>
          <w:trHeight w:val="249"/>
        </w:trPr>
        <w:tc>
          <w:tcPr>
            <w:tcW w:w="1620" w:type="dxa"/>
            <w:vAlign w:val="bottom"/>
            <w:shd w:val="clear" w:color="auto" w:fill="E8E8E8"/>
          </w:tcPr>
          <w:p>
            <w:pPr>
              <w:ind w:left="60"/>
              <w:spacing w:after="0"/>
              <w:rPr>
                <w:sz w:val="20"/>
                <w:szCs w:val="20"/>
                <w:color w:val="auto"/>
              </w:rPr>
            </w:pPr>
            <w:r>
              <w:rPr>
                <w:rFonts w:ascii="Arial" w:cs="Arial" w:eastAsia="Arial" w:hAnsi="Arial"/>
                <w:sz w:val="16"/>
                <w:szCs w:val="16"/>
                <w:color w:val="auto"/>
              </w:rPr>
              <w:t>Richard P. Schifter</w:t>
            </w:r>
          </w:p>
        </w:tc>
        <w:tc>
          <w:tcPr>
            <w:tcW w:w="880" w:type="dxa"/>
            <w:vAlign w:val="bottom"/>
            <w:shd w:val="clear" w:color="auto" w:fill="E8E8E8"/>
          </w:tcPr>
          <w:p>
            <w:pPr>
              <w:jc w:val="right"/>
              <w:spacing w:after="0"/>
              <w:rPr>
                <w:sz w:val="20"/>
                <w:szCs w:val="20"/>
                <w:color w:val="auto"/>
              </w:rPr>
            </w:pPr>
            <w:r>
              <w:rPr>
                <w:rFonts w:ascii="Arial" w:cs="Arial" w:eastAsia="Arial" w:hAnsi="Arial"/>
                <w:sz w:val="16"/>
                <w:szCs w:val="16"/>
                <w:color w:val="auto"/>
              </w:rPr>
              <w:t>$ 113,595</w:t>
            </w:r>
          </w:p>
        </w:tc>
        <w:tc>
          <w:tcPr>
            <w:tcW w:w="520" w:type="dxa"/>
            <w:vAlign w:val="bottom"/>
            <w:shd w:val="clear" w:color="auto" w:fill="E8E8E8"/>
          </w:tcPr>
          <w:p>
            <w:pPr>
              <w:ind w:left="60"/>
              <w:spacing w:after="0"/>
              <w:rPr>
                <w:sz w:val="20"/>
                <w:szCs w:val="20"/>
                <w:color w:val="auto"/>
              </w:rPr>
            </w:pPr>
            <w:r>
              <w:rPr>
                <w:rFonts w:ascii="Arial" w:cs="Arial" w:eastAsia="Arial" w:hAnsi="Arial"/>
                <w:sz w:val="16"/>
                <w:szCs w:val="16"/>
                <w:color w:val="auto"/>
              </w:rPr>
              <w:t>(3)(6)</w:t>
            </w:r>
          </w:p>
        </w:tc>
        <w:tc>
          <w:tcPr>
            <w:tcW w:w="920" w:type="dxa"/>
            <w:vAlign w:val="bottom"/>
            <w:shd w:val="clear" w:color="auto" w:fill="E8E8E8"/>
          </w:tcPr>
          <w:p>
            <w:pPr>
              <w:jc w:val="right"/>
              <w:ind w:right="82"/>
              <w:spacing w:after="0"/>
              <w:rPr>
                <w:sz w:val="20"/>
                <w:szCs w:val="20"/>
                <w:color w:val="auto"/>
              </w:rPr>
            </w:pPr>
            <w:r>
              <w:rPr>
                <w:rFonts w:ascii="Arial" w:cs="Arial" w:eastAsia="Arial" w:hAnsi="Arial"/>
                <w:sz w:val="16"/>
                <w:szCs w:val="16"/>
                <w:color w:val="auto"/>
              </w:rPr>
              <w:t>$164,524</w:t>
            </w:r>
          </w:p>
        </w:tc>
        <w:tc>
          <w:tcPr>
            <w:tcW w:w="340" w:type="dxa"/>
            <w:vAlign w:val="bottom"/>
            <w:shd w:val="clear" w:color="auto" w:fill="E8E8E8"/>
          </w:tcPr>
          <w:p>
            <w:pPr>
              <w:jc w:val="right"/>
              <w:ind w:right="20"/>
              <w:spacing w:after="0"/>
              <w:rPr>
                <w:sz w:val="20"/>
                <w:szCs w:val="20"/>
                <w:color w:val="auto"/>
              </w:rPr>
            </w:pPr>
            <w:r>
              <w:rPr>
                <w:rFonts w:ascii="Arial" w:cs="Arial" w:eastAsia="Arial" w:hAnsi="Arial"/>
                <w:sz w:val="16"/>
                <w:szCs w:val="16"/>
                <w:color w:val="auto"/>
              </w:rPr>
              <w:t>(5)</w:t>
            </w:r>
          </w:p>
        </w:tc>
        <w:tc>
          <w:tcPr>
            <w:tcW w:w="960" w:type="dxa"/>
            <w:vAlign w:val="bottom"/>
            <w:shd w:val="clear" w:color="auto" w:fill="E8E8E8"/>
          </w:tcPr>
          <w:p>
            <w:pPr>
              <w:jc w:val="right"/>
              <w:ind w:right="101"/>
              <w:spacing w:after="0"/>
              <w:rPr>
                <w:sz w:val="20"/>
                <w:szCs w:val="20"/>
                <w:color w:val="auto"/>
              </w:rPr>
            </w:pPr>
            <w:r>
              <w:rPr>
                <w:rFonts w:ascii="Arial" w:cs="Arial" w:eastAsia="Arial" w:hAnsi="Arial"/>
                <w:sz w:val="16"/>
                <w:szCs w:val="16"/>
                <w:color w:val="auto"/>
              </w:rPr>
              <w:t>$ 278,119</w:t>
            </w:r>
          </w:p>
        </w:tc>
        <w:tc>
          <w:tcPr>
            <w:tcW w:w="0" w:type="dxa"/>
            <w:vAlign w:val="bottom"/>
          </w:tcPr>
          <w:p>
            <w:pPr>
              <w:spacing w:after="0"/>
              <w:rPr>
                <w:sz w:val="1"/>
                <w:szCs w:val="1"/>
                <w:color w:val="auto"/>
              </w:rPr>
            </w:pPr>
          </w:p>
        </w:tc>
      </w:tr>
      <w:tr>
        <w:trPr>
          <w:trHeight w:val="234"/>
        </w:trPr>
        <w:tc>
          <w:tcPr>
            <w:tcW w:w="1620" w:type="dxa"/>
            <w:vAlign w:val="bottom"/>
            <w:tcBorders>
              <w:bottom w:val="single" w:sz="8" w:color="050A54"/>
            </w:tcBorders>
          </w:tcPr>
          <w:p>
            <w:pPr>
              <w:ind w:left="60"/>
              <w:spacing w:after="0"/>
              <w:rPr>
                <w:sz w:val="20"/>
                <w:szCs w:val="20"/>
                <w:color w:val="auto"/>
              </w:rPr>
            </w:pPr>
            <w:r>
              <w:rPr>
                <w:rFonts w:ascii="Arial" w:cs="Arial" w:eastAsia="Arial" w:hAnsi="Arial"/>
                <w:sz w:val="16"/>
                <w:szCs w:val="16"/>
                <w:color w:val="auto"/>
              </w:rPr>
              <w:t>Corey E. Thomas</w:t>
            </w:r>
          </w:p>
        </w:tc>
        <w:tc>
          <w:tcPr>
            <w:tcW w:w="880" w:type="dxa"/>
            <w:vAlign w:val="bottom"/>
            <w:tcBorders>
              <w:bottom w:val="single" w:sz="8" w:color="050A54"/>
            </w:tcBorders>
          </w:tcPr>
          <w:p>
            <w:pPr>
              <w:jc w:val="right"/>
              <w:spacing w:after="0"/>
              <w:rPr>
                <w:sz w:val="20"/>
                <w:szCs w:val="20"/>
                <w:color w:val="auto"/>
              </w:rPr>
            </w:pPr>
            <w:r>
              <w:rPr>
                <w:rFonts w:ascii="Arial" w:cs="Arial" w:eastAsia="Arial" w:hAnsi="Arial"/>
                <w:sz w:val="16"/>
                <w:szCs w:val="16"/>
                <w:color w:val="auto"/>
              </w:rPr>
              <w:t>$105,678</w:t>
            </w:r>
          </w:p>
        </w:tc>
        <w:tc>
          <w:tcPr>
            <w:tcW w:w="520" w:type="dxa"/>
            <w:vAlign w:val="bottom"/>
            <w:tcBorders>
              <w:bottom w:val="single" w:sz="8" w:color="050A54"/>
            </w:tcBorders>
          </w:tcPr>
          <w:p>
            <w:pPr>
              <w:ind w:left="60"/>
              <w:spacing w:after="0"/>
              <w:rPr>
                <w:sz w:val="20"/>
                <w:szCs w:val="20"/>
                <w:color w:val="auto"/>
              </w:rPr>
            </w:pPr>
            <w:r>
              <w:rPr>
                <w:rFonts w:ascii="Arial" w:cs="Arial" w:eastAsia="Arial" w:hAnsi="Arial"/>
                <w:sz w:val="16"/>
                <w:szCs w:val="16"/>
                <w:color w:val="auto"/>
              </w:rPr>
              <w:t>(3)(7)</w:t>
            </w:r>
          </w:p>
        </w:tc>
        <w:tc>
          <w:tcPr>
            <w:tcW w:w="920" w:type="dxa"/>
            <w:vAlign w:val="bottom"/>
            <w:tcBorders>
              <w:bottom w:val="single" w:sz="8" w:color="050A54"/>
            </w:tcBorders>
          </w:tcPr>
          <w:p>
            <w:pPr>
              <w:jc w:val="right"/>
              <w:ind w:right="82"/>
              <w:spacing w:after="0"/>
              <w:rPr>
                <w:sz w:val="20"/>
                <w:szCs w:val="20"/>
                <w:color w:val="auto"/>
              </w:rPr>
            </w:pPr>
            <w:r>
              <w:rPr>
                <w:rFonts w:ascii="Arial" w:cs="Arial" w:eastAsia="Arial" w:hAnsi="Arial"/>
                <w:sz w:val="16"/>
                <w:szCs w:val="16"/>
                <w:color w:val="auto"/>
              </w:rPr>
              <w:t>$164,524</w:t>
            </w:r>
          </w:p>
        </w:tc>
        <w:tc>
          <w:tcPr>
            <w:tcW w:w="340" w:type="dxa"/>
            <w:vAlign w:val="bottom"/>
            <w:tcBorders>
              <w:bottom w:val="single" w:sz="8" w:color="050A54"/>
            </w:tcBorders>
          </w:tcPr>
          <w:p>
            <w:pPr>
              <w:jc w:val="right"/>
              <w:ind w:right="20"/>
              <w:spacing w:after="0"/>
              <w:rPr>
                <w:sz w:val="20"/>
                <w:szCs w:val="20"/>
                <w:color w:val="auto"/>
              </w:rPr>
            </w:pPr>
            <w:r>
              <w:rPr>
                <w:rFonts w:ascii="Arial" w:cs="Arial" w:eastAsia="Arial" w:hAnsi="Arial"/>
                <w:sz w:val="16"/>
                <w:szCs w:val="16"/>
                <w:color w:val="auto"/>
              </w:rPr>
              <w:t>(5)</w:t>
            </w:r>
          </w:p>
        </w:tc>
        <w:tc>
          <w:tcPr>
            <w:tcW w:w="960" w:type="dxa"/>
            <w:vAlign w:val="bottom"/>
            <w:tcBorders>
              <w:bottom w:val="single" w:sz="8" w:color="050A54"/>
            </w:tcBorders>
          </w:tcPr>
          <w:p>
            <w:pPr>
              <w:jc w:val="right"/>
              <w:ind w:right="101"/>
              <w:spacing w:after="0"/>
              <w:rPr>
                <w:sz w:val="20"/>
                <w:szCs w:val="20"/>
                <w:color w:val="auto"/>
              </w:rPr>
            </w:pPr>
            <w:r>
              <w:rPr>
                <w:rFonts w:ascii="Arial" w:cs="Arial" w:eastAsia="Arial" w:hAnsi="Arial"/>
                <w:sz w:val="16"/>
                <w:szCs w:val="16"/>
                <w:color w:val="auto"/>
              </w:rPr>
              <w:t>$270,202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4573270</wp:posOffset>
            </wp:positionH>
            <wp:positionV relativeFrom="paragraph">
              <wp:posOffset>-1443355</wp:posOffset>
            </wp:positionV>
            <wp:extent cx="1528445" cy="14693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528445" cy="1469390"/>
                    </a:xfrm>
                    <a:prstGeom prst="rect">
                      <a:avLst/>
                    </a:prstGeom>
                    <a:noFill/>
                  </pic:spPr>
                </pic:pic>
              </a:graphicData>
            </a:graphic>
          </wp:anchor>
        </w:drawing>
      </w:r>
    </w:p>
    <w:p>
      <w:pPr>
        <w:spacing w:after="0" w:line="190" w:lineRule="exact"/>
        <w:rPr>
          <w:sz w:val="20"/>
          <w:szCs w:val="20"/>
          <w:color w:val="auto"/>
        </w:rPr>
      </w:pPr>
    </w:p>
    <w:p>
      <w:pPr>
        <w:jc w:val="both"/>
        <w:ind w:left="600" w:hanging="433"/>
        <w:spacing w:after="0"/>
        <w:tabs>
          <w:tab w:leader="none" w:pos="6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amounts shown in this column represent the aggregate grant date fair value of restricted stock awards or, in the case of non-employee directors who elected to defer receipt of the equity portion of the annual service retainer, deferred stock units granted to our non-employee directors in 2021 in connection with the equity portion of the annual service retainer. The aggregate grant date fair value of the restricted stock awards and deferred stock units, as determined under the Financial Accounting Standards Board (“FASB”) Accounting Standards Codification (“ASC”) Topic 718, was determined by multiplying the number of shares underlying the award by $156.54, which was the closing price per share of our Common Stock on the grant date. For information regarding the number of shares of restricted stock and unvested deferred stock units held by each non-employee director as of December 31, 2021, see the table in footnote 2 below. The amounts shown in this column do not include the value of any fully vested shares of Common Stock or deferred stock units that certain of our non-employee directors elected to receive in lieu of the cash portion of the annual service retainer. In accordance with SEC rules, such amounts are shown in the column “</w:t>
      </w:r>
      <w:r>
        <w:rPr>
          <w:rFonts w:ascii="Arial" w:cs="Arial" w:eastAsia="Arial" w:hAnsi="Arial"/>
          <w:sz w:val="15"/>
          <w:szCs w:val="15"/>
          <w:i w:val="1"/>
          <w:iCs w:val="1"/>
          <w:color w:val="auto"/>
        </w:rPr>
        <w:t>Fees Earned or Paid in Cash”</w:t>
      </w:r>
      <w:r>
        <w:rPr>
          <w:rFonts w:ascii="Arial" w:cs="Arial" w:eastAsia="Arial" w:hAnsi="Arial"/>
          <w:sz w:val="15"/>
          <w:szCs w:val="15"/>
          <w:color w:val="auto"/>
        </w:rPr>
        <w:t>. Restricted stock carries the same voting and other dividend rights as shares outstanding. Deferred stock units are credited with dividend equivalents as and when dividends are paid, subject to any applicable vesting requirements associated with the award.</w:t>
      </w:r>
    </w:p>
    <w:p>
      <w:pPr>
        <w:spacing w:after="0" w:line="80" w:lineRule="exact"/>
        <w:rPr>
          <w:rFonts w:ascii="Arial" w:cs="Arial" w:eastAsia="Arial" w:hAnsi="Arial"/>
          <w:sz w:val="15"/>
          <w:szCs w:val="15"/>
          <w:color w:val="auto"/>
        </w:rPr>
      </w:pPr>
    </w:p>
    <w:p>
      <w:pPr>
        <w:jc w:val="both"/>
        <w:ind w:left="600" w:hanging="433"/>
        <w:spacing w:after="0" w:line="241" w:lineRule="auto"/>
        <w:tabs>
          <w:tab w:leader="none" w:pos="6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following table shows the aggregate number of shares of restricted stock and unvested and vested deferred stock units held by each of our non-employee directors as of December 31, 2021. All restricted stock awards and unvested deferred stock units reported in the table below will vest in full on May 17, 2022.</w:t>
      </w:r>
    </w:p>
    <w:p>
      <w:pPr>
        <w:spacing w:after="0" w:line="9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180" w:type="dxa"/>
            <w:vAlign w:val="bottom"/>
          </w:tcPr>
          <w:p>
            <w:pPr>
              <w:jc w:val="center"/>
              <w:ind w:left="23"/>
              <w:spacing w:after="0"/>
              <w:rPr>
                <w:sz w:val="20"/>
                <w:szCs w:val="20"/>
                <w:color w:val="auto"/>
              </w:rPr>
            </w:pPr>
            <w:r>
              <w:rPr>
                <w:rFonts w:ascii="Arial" w:cs="Arial" w:eastAsia="Arial" w:hAnsi="Arial"/>
                <w:sz w:val="14"/>
                <w:szCs w:val="14"/>
                <w:b w:val="1"/>
                <w:bCs w:val="1"/>
                <w:color w:val="050A54"/>
              </w:rPr>
              <w:t>Unvested</w:t>
            </w:r>
          </w:p>
        </w:tc>
        <w:tc>
          <w:tcPr>
            <w:tcW w:w="940" w:type="dxa"/>
            <w:vAlign w:val="bottom"/>
          </w:tcPr>
          <w:p>
            <w:pPr>
              <w:jc w:val="center"/>
              <w:ind w:left="83"/>
              <w:spacing w:after="0"/>
              <w:rPr>
                <w:sz w:val="20"/>
                <w:szCs w:val="20"/>
                <w:color w:val="auto"/>
              </w:rPr>
            </w:pPr>
            <w:r>
              <w:rPr>
                <w:rFonts w:ascii="Arial" w:cs="Arial" w:eastAsia="Arial" w:hAnsi="Arial"/>
                <w:sz w:val="14"/>
                <w:szCs w:val="14"/>
                <w:b w:val="1"/>
                <w:bCs w:val="1"/>
                <w:color w:val="050A54"/>
              </w:rPr>
              <w:t>Vested</w:t>
            </w:r>
          </w:p>
        </w:tc>
      </w:tr>
      <w:tr>
        <w:trPr>
          <w:trHeight w:val="160"/>
        </w:trPr>
        <w:tc>
          <w:tcPr>
            <w:tcW w:w="4360" w:type="dxa"/>
            <w:vAlign w:val="bottom"/>
          </w:tcPr>
          <w:p>
            <w:pPr>
              <w:spacing w:after="0"/>
              <w:rPr>
                <w:sz w:val="13"/>
                <w:szCs w:val="13"/>
                <w:color w:val="auto"/>
              </w:rPr>
            </w:pPr>
          </w:p>
        </w:tc>
        <w:tc>
          <w:tcPr>
            <w:tcW w:w="4040" w:type="dxa"/>
            <w:vAlign w:val="bottom"/>
          </w:tcPr>
          <w:p>
            <w:pPr>
              <w:jc w:val="center"/>
              <w:ind w:left="2546"/>
              <w:spacing w:after="0"/>
              <w:rPr>
                <w:sz w:val="20"/>
                <w:szCs w:val="20"/>
                <w:color w:val="auto"/>
              </w:rPr>
            </w:pPr>
            <w:r>
              <w:rPr>
                <w:rFonts w:ascii="Arial" w:cs="Arial" w:eastAsia="Arial" w:hAnsi="Arial"/>
                <w:sz w:val="14"/>
                <w:szCs w:val="14"/>
                <w:b w:val="1"/>
                <w:bCs w:val="1"/>
                <w:color w:val="050A54"/>
              </w:rPr>
              <w:t>Restricted</w:t>
            </w:r>
          </w:p>
        </w:tc>
        <w:tc>
          <w:tcPr>
            <w:tcW w:w="1180" w:type="dxa"/>
            <w:vAlign w:val="bottom"/>
          </w:tcPr>
          <w:p>
            <w:pPr>
              <w:jc w:val="center"/>
              <w:ind w:left="23"/>
              <w:spacing w:after="0"/>
              <w:rPr>
                <w:sz w:val="20"/>
                <w:szCs w:val="20"/>
                <w:color w:val="auto"/>
              </w:rPr>
            </w:pPr>
            <w:r>
              <w:rPr>
                <w:rFonts w:ascii="Arial" w:cs="Arial" w:eastAsia="Arial" w:hAnsi="Arial"/>
                <w:sz w:val="14"/>
                <w:szCs w:val="14"/>
                <w:b w:val="1"/>
                <w:bCs w:val="1"/>
                <w:color w:val="050A54"/>
              </w:rPr>
              <w:t>Deferred</w:t>
            </w:r>
          </w:p>
        </w:tc>
        <w:tc>
          <w:tcPr>
            <w:tcW w:w="940" w:type="dxa"/>
            <w:vAlign w:val="bottom"/>
          </w:tcPr>
          <w:p>
            <w:pPr>
              <w:jc w:val="center"/>
              <w:ind w:left="83"/>
              <w:spacing w:after="0"/>
              <w:rPr>
                <w:sz w:val="20"/>
                <w:szCs w:val="20"/>
                <w:color w:val="auto"/>
              </w:rPr>
            </w:pPr>
            <w:r>
              <w:rPr>
                <w:rFonts w:ascii="Arial" w:cs="Arial" w:eastAsia="Arial" w:hAnsi="Arial"/>
                <w:sz w:val="14"/>
                <w:szCs w:val="14"/>
                <w:b w:val="1"/>
                <w:bCs w:val="1"/>
                <w:color w:val="050A54"/>
              </w:rPr>
              <w:t>Deferred</w:t>
            </w:r>
          </w:p>
        </w:tc>
      </w:tr>
      <w:tr>
        <w:trPr>
          <w:trHeight w:val="160"/>
        </w:trPr>
        <w:tc>
          <w:tcPr>
            <w:tcW w:w="4360" w:type="dxa"/>
            <w:vAlign w:val="bottom"/>
          </w:tcPr>
          <w:p>
            <w:pPr>
              <w:spacing w:after="0"/>
              <w:rPr>
                <w:sz w:val="13"/>
                <w:szCs w:val="13"/>
                <w:color w:val="auto"/>
              </w:rPr>
            </w:pPr>
          </w:p>
        </w:tc>
        <w:tc>
          <w:tcPr>
            <w:tcW w:w="4040" w:type="dxa"/>
            <w:vAlign w:val="bottom"/>
          </w:tcPr>
          <w:p>
            <w:pPr>
              <w:jc w:val="center"/>
              <w:ind w:left="2546"/>
              <w:spacing w:after="0"/>
              <w:rPr>
                <w:sz w:val="20"/>
                <w:szCs w:val="20"/>
                <w:color w:val="auto"/>
              </w:rPr>
            </w:pPr>
            <w:r>
              <w:rPr>
                <w:rFonts w:ascii="Arial" w:cs="Arial" w:eastAsia="Arial" w:hAnsi="Arial"/>
                <w:sz w:val="14"/>
                <w:szCs w:val="14"/>
                <w:b w:val="1"/>
                <w:bCs w:val="1"/>
                <w:color w:val="050A54"/>
              </w:rPr>
              <w:t>Stock Awards</w:t>
            </w:r>
          </w:p>
        </w:tc>
        <w:tc>
          <w:tcPr>
            <w:tcW w:w="1180" w:type="dxa"/>
            <w:vAlign w:val="bottom"/>
          </w:tcPr>
          <w:p>
            <w:pPr>
              <w:jc w:val="center"/>
              <w:ind w:left="43"/>
              <w:spacing w:after="0"/>
              <w:rPr>
                <w:sz w:val="20"/>
                <w:szCs w:val="20"/>
                <w:color w:val="auto"/>
              </w:rPr>
            </w:pPr>
            <w:r>
              <w:rPr>
                <w:rFonts w:ascii="Arial" w:cs="Arial" w:eastAsia="Arial" w:hAnsi="Arial"/>
                <w:sz w:val="14"/>
                <w:szCs w:val="14"/>
                <w:b w:val="1"/>
                <w:bCs w:val="1"/>
                <w:color w:val="050A54"/>
              </w:rPr>
              <w:t>Stock Units</w:t>
            </w:r>
          </w:p>
        </w:tc>
        <w:tc>
          <w:tcPr>
            <w:tcW w:w="940" w:type="dxa"/>
            <w:vAlign w:val="bottom"/>
          </w:tcPr>
          <w:p>
            <w:pPr>
              <w:jc w:val="center"/>
              <w:ind w:left="83"/>
              <w:spacing w:after="0"/>
              <w:rPr>
                <w:sz w:val="20"/>
                <w:szCs w:val="20"/>
                <w:color w:val="auto"/>
              </w:rPr>
            </w:pPr>
            <w:r>
              <w:rPr>
                <w:rFonts w:ascii="Arial" w:cs="Arial" w:eastAsia="Arial" w:hAnsi="Arial"/>
                <w:sz w:val="14"/>
                <w:szCs w:val="14"/>
                <w:b w:val="1"/>
                <w:bCs w:val="1"/>
                <w:color w:val="050A54"/>
              </w:rPr>
              <w:t>Stock Units</w:t>
            </w:r>
          </w:p>
        </w:tc>
      </w:tr>
      <w:tr>
        <w:trPr>
          <w:trHeight w:val="195"/>
        </w:trPr>
        <w:tc>
          <w:tcPr>
            <w:tcW w:w="4360" w:type="dxa"/>
            <w:vAlign w:val="bottom"/>
          </w:tcPr>
          <w:p>
            <w:pPr>
              <w:ind w:left="40"/>
              <w:spacing w:after="0"/>
              <w:rPr>
                <w:sz w:val="20"/>
                <w:szCs w:val="20"/>
                <w:color w:val="auto"/>
              </w:rPr>
            </w:pPr>
            <w:r>
              <w:rPr>
                <w:rFonts w:ascii="Arial" w:cs="Arial" w:eastAsia="Arial" w:hAnsi="Arial"/>
                <w:sz w:val="14"/>
                <w:szCs w:val="14"/>
                <w:b w:val="1"/>
                <w:bCs w:val="1"/>
                <w:color w:val="050A54"/>
              </w:rPr>
              <w:t>Name</w:t>
            </w:r>
          </w:p>
        </w:tc>
        <w:tc>
          <w:tcPr>
            <w:tcW w:w="4040" w:type="dxa"/>
            <w:vAlign w:val="bottom"/>
          </w:tcPr>
          <w:p>
            <w:pPr>
              <w:jc w:val="right"/>
              <w:ind w:right="546"/>
              <w:spacing w:after="0"/>
              <w:rPr>
                <w:sz w:val="20"/>
                <w:szCs w:val="20"/>
                <w:color w:val="auto"/>
              </w:rPr>
            </w:pPr>
            <w:r>
              <w:rPr>
                <w:rFonts w:ascii="Arial" w:cs="Arial" w:eastAsia="Arial" w:hAnsi="Arial"/>
                <w:sz w:val="14"/>
                <w:szCs w:val="14"/>
                <w:b w:val="1"/>
                <w:bCs w:val="1"/>
                <w:color w:val="050A54"/>
              </w:rPr>
              <w:t>(#)</w:t>
            </w:r>
          </w:p>
        </w:tc>
        <w:tc>
          <w:tcPr>
            <w:tcW w:w="1180" w:type="dxa"/>
            <w:vAlign w:val="bottom"/>
          </w:tcPr>
          <w:p>
            <w:pPr>
              <w:jc w:val="center"/>
              <w:ind w:left="23"/>
              <w:spacing w:after="0"/>
              <w:rPr>
                <w:sz w:val="20"/>
                <w:szCs w:val="20"/>
                <w:color w:val="auto"/>
              </w:rPr>
            </w:pPr>
            <w:r>
              <w:rPr>
                <w:rFonts w:ascii="Arial" w:cs="Arial" w:eastAsia="Arial" w:hAnsi="Arial"/>
                <w:sz w:val="14"/>
                <w:szCs w:val="14"/>
                <w:b w:val="1"/>
                <w:bCs w:val="1"/>
                <w:color w:val="050A54"/>
                <w:w w:val="93"/>
              </w:rPr>
              <w:t>(#)</w:t>
            </w:r>
          </w:p>
        </w:tc>
        <w:tc>
          <w:tcPr>
            <w:tcW w:w="940" w:type="dxa"/>
            <w:vAlign w:val="bottom"/>
          </w:tcPr>
          <w:p>
            <w:pPr>
              <w:jc w:val="center"/>
              <w:ind w:left="83"/>
              <w:spacing w:after="0"/>
              <w:rPr>
                <w:sz w:val="20"/>
                <w:szCs w:val="20"/>
                <w:color w:val="auto"/>
              </w:rPr>
            </w:pPr>
            <w:r>
              <w:rPr>
                <w:rFonts w:ascii="Arial" w:cs="Arial" w:eastAsia="Arial" w:hAnsi="Arial"/>
                <w:sz w:val="14"/>
                <w:szCs w:val="14"/>
                <w:b w:val="1"/>
                <w:bCs w:val="1"/>
                <w:color w:val="050A54"/>
              </w:rPr>
              <w:t>(#)</w:t>
            </w:r>
          </w:p>
        </w:tc>
      </w:tr>
      <w:tr>
        <w:trPr>
          <w:trHeight w:val="28"/>
        </w:trPr>
        <w:tc>
          <w:tcPr>
            <w:tcW w:w="4360" w:type="dxa"/>
            <w:vAlign w:val="bottom"/>
            <w:tcBorders>
              <w:bottom w:val="single" w:sz="8" w:color="050A54"/>
            </w:tcBorders>
          </w:tcPr>
          <w:p>
            <w:pPr>
              <w:spacing w:after="0"/>
              <w:rPr>
                <w:sz w:val="2"/>
                <w:szCs w:val="2"/>
                <w:color w:val="auto"/>
              </w:rPr>
            </w:pPr>
          </w:p>
        </w:tc>
        <w:tc>
          <w:tcPr>
            <w:tcW w:w="4040" w:type="dxa"/>
            <w:vAlign w:val="bottom"/>
            <w:tcBorders>
              <w:bottom w:val="single" w:sz="8" w:color="050A54"/>
            </w:tcBorders>
          </w:tcPr>
          <w:p>
            <w:pPr>
              <w:spacing w:after="0"/>
              <w:rPr>
                <w:sz w:val="2"/>
                <w:szCs w:val="2"/>
                <w:color w:val="auto"/>
              </w:rPr>
            </w:pPr>
          </w:p>
        </w:tc>
        <w:tc>
          <w:tcPr>
            <w:tcW w:w="1180" w:type="dxa"/>
            <w:vAlign w:val="bottom"/>
            <w:tcBorders>
              <w:bottom w:val="single" w:sz="8" w:color="050A54"/>
            </w:tcBorders>
          </w:tcPr>
          <w:p>
            <w:pPr>
              <w:spacing w:after="0"/>
              <w:rPr>
                <w:sz w:val="2"/>
                <w:szCs w:val="2"/>
                <w:color w:val="auto"/>
              </w:rPr>
            </w:pPr>
          </w:p>
        </w:tc>
        <w:tc>
          <w:tcPr>
            <w:tcW w:w="940" w:type="dxa"/>
            <w:vAlign w:val="bottom"/>
            <w:tcBorders>
              <w:bottom w:val="single" w:sz="8" w:color="050A54"/>
            </w:tcBorders>
          </w:tcPr>
          <w:p>
            <w:pPr>
              <w:spacing w:after="0"/>
              <w:rPr>
                <w:sz w:val="2"/>
                <w:szCs w:val="2"/>
                <w:color w:val="auto"/>
              </w:rPr>
            </w:pPr>
          </w:p>
        </w:tc>
      </w:tr>
      <w:tr>
        <w:trPr>
          <w:trHeight w:val="214"/>
        </w:trPr>
        <w:tc>
          <w:tcPr>
            <w:tcW w:w="4360" w:type="dxa"/>
            <w:vAlign w:val="bottom"/>
            <w:tcBorders>
              <w:bottom w:val="single" w:sz="8" w:color="E8E8E8"/>
            </w:tcBorders>
            <w:shd w:val="clear" w:color="auto" w:fill="E8E8E8"/>
          </w:tcPr>
          <w:p>
            <w:pPr>
              <w:ind w:left="60"/>
              <w:spacing w:after="0"/>
              <w:rPr>
                <w:sz w:val="20"/>
                <w:szCs w:val="20"/>
                <w:color w:val="auto"/>
              </w:rPr>
            </w:pPr>
            <w:r>
              <w:rPr>
                <w:rFonts w:ascii="Arial" w:cs="Arial" w:eastAsia="Arial" w:hAnsi="Arial"/>
                <w:sz w:val="16"/>
                <w:szCs w:val="16"/>
                <w:color w:val="auto"/>
              </w:rPr>
              <w:t>Edward C. Bernard</w:t>
            </w:r>
          </w:p>
        </w:tc>
        <w:tc>
          <w:tcPr>
            <w:tcW w:w="4040" w:type="dxa"/>
            <w:vAlign w:val="bottom"/>
            <w:tcBorders>
              <w:bottom w:val="single" w:sz="8" w:color="E8E8E8"/>
            </w:tcBorders>
            <w:shd w:val="clear" w:color="auto" w:fill="E8E8E8"/>
          </w:tcPr>
          <w:p>
            <w:pPr>
              <w:spacing w:after="0"/>
              <w:rPr>
                <w:sz w:val="18"/>
                <w:szCs w:val="18"/>
                <w:color w:val="auto"/>
              </w:rPr>
            </w:pPr>
          </w:p>
        </w:tc>
        <w:tc>
          <w:tcPr>
            <w:tcW w:w="1180" w:type="dxa"/>
            <w:vAlign w:val="bottom"/>
            <w:tcBorders>
              <w:bottom w:val="single" w:sz="8" w:color="E8E8E8"/>
            </w:tcBorders>
            <w:shd w:val="clear" w:color="auto" w:fill="E8E8E8"/>
          </w:tcPr>
          <w:p>
            <w:pPr>
              <w:jc w:val="center"/>
              <w:ind w:left="23"/>
              <w:spacing w:after="0"/>
              <w:rPr>
                <w:sz w:val="20"/>
                <w:szCs w:val="20"/>
                <w:color w:val="auto"/>
              </w:rPr>
            </w:pPr>
            <w:r>
              <w:rPr>
                <w:rFonts w:ascii="Arial" w:cs="Arial" w:eastAsia="Arial" w:hAnsi="Arial"/>
                <w:sz w:val="16"/>
                <w:szCs w:val="16"/>
                <w:color w:val="auto"/>
                <w:w w:val="99"/>
              </w:rPr>
              <w:t>1,054</w:t>
            </w:r>
          </w:p>
        </w:tc>
        <w:tc>
          <w:tcPr>
            <w:tcW w:w="940" w:type="dxa"/>
            <w:vAlign w:val="bottom"/>
            <w:tcBorders>
              <w:bottom w:val="single" w:sz="8" w:color="E8E8E8"/>
            </w:tcBorders>
            <w:shd w:val="clear" w:color="auto" w:fill="E8E8E8"/>
          </w:tcPr>
          <w:p>
            <w:pPr>
              <w:jc w:val="center"/>
              <w:ind w:left="63"/>
              <w:spacing w:after="0"/>
              <w:rPr>
                <w:sz w:val="20"/>
                <w:szCs w:val="20"/>
                <w:color w:val="auto"/>
              </w:rPr>
            </w:pPr>
            <w:r>
              <w:rPr>
                <w:rFonts w:ascii="Arial" w:cs="Arial" w:eastAsia="Arial" w:hAnsi="Arial"/>
                <w:sz w:val="16"/>
                <w:szCs w:val="16"/>
                <w:color w:val="auto"/>
                <w:w w:val="99"/>
              </w:rPr>
              <w:t>4,815</w:t>
            </w:r>
          </w:p>
        </w:tc>
      </w:tr>
      <w:tr>
        <w:trPr>
          <w:trHeight w:val="211"/>
        </w:trPr>
        <w:tc>
          <w:tcPr>
            <w:tcW w:w="4360" w:type="dxa"/>
            <w:vAlign w:val="bottom"/>
          </w:tcPr>
          <w:p>
            <w:pPr>
              <w:ind w:left="60"/>
              <w:spacing w:after="0"/>
              <w:rPr>
                <w:sz w:val="20"/>
                <w:szCs w:val="20"/>
                <w:color w:val="auto"/>
              </w:rPr>
            </w:pPr>
            <w:r>
              <w:rPr>
                <w:rFonts w:ascii="Arial" w:cs="Arial" w:eastAsia="Arial" w:hAnsi="Arial"/>
                <w:sz w:val="16"/>
                <w:szCs w:val="16"/>
                <w:color w:val="auto"/>
              </w:rPr>
              <w:t>H. Paulett Eberhart</w:t>
            </w:r>
          </w:p>
        </w:tc>
        <w:tc>
          <w:tcPr>
            <w:tcW w:w="4040" w:type="dxa"/>
            <w:vAlign w:val="bottom"/>
          </w:tcPr>
          <w:p>
            <w:pPr>
              <w:spacing w:after="0"/>
              <w:rPr>
                <w:sz w:val="18"/>
                <w:szCs w:val="18"/>
                <w:color w:val="auto"/>
              </w:rPr>
            </w:pPr>
          </w:p>
        </w:tc>
        <w:tc>
          <w:tcPr>
            <w:tcW w:w="1180" w:type="dxa"/>
            <w:vAlign w:val="bottom"/>
          </w:tcPr>
          <w:p>
            <w:pPr>
              <w:jc w:val="center"/>
              <w:ind w:left="23"/>
              <w:spacing w:after="0"/>
              <w:rPr>
                <w:sz w:val="20"/>
                <w:szCs w:val="20"/>
                <w:color w:val="auto"/>
              </w:rPr>
            </w:pPr>
            <w:r>
              <w:rPr>
                <w:rFonts w:ascii="Arial" w:cs="Arial" w:eastAsia="Arial" w:hAnsi="Arial"/>
                <w:sz w:val="16"/>
                <w:szCs w:val="16"/>
                <w:color w:val="auto"/>
                <w:w w:val="99"/>
              </w:rPr>
              <w:t>1,054</w:t>
            </w:r>
          </w:p>
        </w:tc>
        <w:tc>
          <w:tcPr>
            <w:tcW w:w="940" w:type="dxa"/>
            <w:vAlign w:val="bottom"/>
          </w:tcPr>
          <w:p>
            <w:pPr>
              <w:jc w:val="center"/>
              <w:ind w:left="63"/>
              <w:spacing w:after="0"/>
              <w:rPr>
                <w:sz w:val="20"/>
                <w:szCs w:val="20"/>
                <w:color w:val="auto"/>
              </w:rPr>
            </w:pPr>
            <w:r>
              <w:rPr>
                <w:rFonts w:ascii="Arial" w:cs="Arial" w:eastAsia="Arial" w:hAnsi="Arial"/>
                <w:sz w:val="16"/>
                <w:szCs w:val="16"/>
                <w:color w:val="auto"/>
                <w:w w:val="99"/>
              </w:rPr>
              <w:t>5,384</w:t>
            </w:r>
          </w:p>
        </w:tc>
      </w:tr>
      <w:tr>
        <w:trPr>
          <w:trHeight w:val="29"/>
        </w:trPr>
        <w:tc>
          <w:tcPr>
            <w:tcW w:w="43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1"/>
        </w:trPr>
        <w:tc>
          <w:tcPr>
            <w:tcW w:w="4360" w:type="dxa"/>
            <w:vAlign w:val="bottom"/>
            <w:tcBorders>
              <w:bottom w:val="single" w:sz="8" w:color="E8E8E8"/>
            </w:tcBorders>
            <w:shd w:val="clear" w:color="auto" w:fill="E8E8E8"/>
          </w:tcPr>
          <w:p>
            <w:pPr>
              <w:ind w:left="60"/>
              <w:spacing w:after="0"/>
              <w:rPr>
                <w:sz w:val="20"/>
                <w:szCs w:val="20"/>
                <w:color w:val="auto"/>
              </w:rPr>
            </w:pPr>
            <w:r>
              <w:rPr>
                <w:rFonts w:ascii="Arial" w:cs="Arial" w:eastAsia="Arial" w:hAnsi="Arial"/>
                <w:sz w:val="16"/>
                <w:szCs w:val="16"/>
                <w:color w:val="auto"/>
              </w:rPr>
              <w:t>William F. Glavin, Jr.</w:t>
            </w:r>
          </w:p>
        </w:tc>
        <w:tc>
          <w:tcPr>
            <w:tcW w:w="4040" w:type="dxa"/>
            <w:vAlign w:val="bottom"/>
            <w:tcBorders>
              <w:bottom w:val="single" w:sz="8" w:color="E8E8E8"/>
            </w:tcBorders>
            <w:shd w:val="clear" w:color="auto" w:fill="E8E8E8"/>
          </w:tcPr>
          <w:p>
            <w:pPr>
              <w:spacing w:after="0"/>
              <w:rPr>
                <w:sz w:val="19"/>
                <w:szCs w:val="19"/>
                <w:color w:val="auto"/>
              </w:rPr>
            </w:pPr>
          </w:p>
        </w:tc>
        <w:tc>
          <w:tcPr>
            <w:tcW w:w="1180" w:type="dxa"/>
            <w:vAlign w:val="bottom"/>
            <w:tcBorders>
              <w:bottom w:val="single" w:sz="8" w:color="E8E8E8"/>
            </w:tcBorders>
            <w:shd w:val="clear" w:color="auto" w:fill="E8E8E8"/>
          </w:tcPr>
          <w:p>
            <w:pPr>
              <w:jc w:val="center"/>
              <w:ind w:left="23"/>
              <w:spacing w:after="0"/>
              <w:rPr>
                <w:sz w:val="20"/>
                <w:szCs w:val="20"/>
                <w:color w:val="auto"/>
              </w:rPr>
            </w:pPr>
            <w:r>
              <w:rPr>
                <w:rFonts w:ascii="Arial" w:cs="Arial" w:eastAsia="Arial" w:hAnsi="Arial"/>
                <w:sz w:val="16"/>
                <w:szCs w:val="16"/>
                <w:color w:val="auto"/>
                <w:w w:val="99"/>
              </w:rPr>
              <w:t>1,054</w:t>
            </w:r>
          </w:p>
        </w:tc>
        <w:tc>
          <w:tcPr>
            <w:tcW w:w="940" w:type="dxa"/>
            <w:vAlign w:val="bottom"/>
            <w:tcBorders>
              <w:bottom w:val="single" w:sz="8" w:color="E8E8E8"/>
            </w:tcBorders>
            <w:shd w:val="clear" w:color="auto" w:fill="E8E8E8"/>
          </w:tcPr>
          <w:p>
            <w:pPr>
              <w:jc w:val="center"/>
              <w:ind w:left="83"/>
              <w:spacing w:after="0"/>
              <w:rPr>
                <w:sz w:val="20"/>
                <w:szCs w:val="20"/>
                <w:color w:val="auto"/>
              </w:rPr>
            </w:pPr>
            <w:r>
              <w:rPr>
                <w:rFonts w:ascii="Arial" w:cs="Arial" w:eastAsia="Arial" w:hAnsi="Arial"/>
                <w:sz w:val="16"/>
                <w:szCs w:val="16"/>
                <w:color w:val="auto"/>
              </w:rPr>
              <w:t>17,388</w:t>
            </w:r>
          </w:p>
        </w:tc>
      </w:tr>
      <w:tr>
        <w:trPr>
          <w:trHeight w:val="211"/>
        </w:trPr>
        <w:tc>
          <w:tcPr>
            <w:tcW w:w="4360" w:type="dxa"/>
            <w:vAlign w:val="bottom"/>
          </w:tcPr>
          <w:p>
            <w:pPr>
              <w:ind w:left="40"/>
              <w:spacing w:after="0"/>
              <w:rPr>
                <w:sz w:val="20"/>
                <w:szCs w:val="20"/>
                <w:color w:val="auto"/>
              </w:rPr>
            </w:pPr>
            <w:r>
              <w:rPr>
                <w:rFonts w:ascii="Arial" w:cs="Arial" w:eastAsia="Arial" w:hAnsi="Arial"/>
                <w:sz w:val="16"/>
                <w:szCs w:val="16"/>
                <w:color w:val="auto"/>
              </w:rPr>
              <w:t>Allison H. Mnookin</w:t>
            </w:r>
          </w:p>
        </w:tc>
        <w:tc>
          <w:tcPr>
            <w:tcW w:w="4040" w:type="dxa"/>
            <w:vAlign w:val="bottom"/>
          </w:tcPr>
          <w:p>
            <w:pPr>
              <w:spacing w:after="0"/>
              <w:rPr>
                <w:sz w:val="18"/>
                <w:szCs w:val="18"/>
                <w:color w:val="auto"/>
              </w:rPr>
            </w:pPr>
          </w:p>
        </w:tc>
        <w:tc>
          <w:tcPr>
            <w:tcW w:w="1180" w:type="dxa"/>
            <w:vAlign w:val="bottom"/>
          </w:tcPr>
          <w:p>
            <w:pPr>
              <w:jc w:val="center"/>
              <w:ind w:left="23"/>
              <w:spacing w:after="0"/>
              <w:rPr>
                <w:sz w:val="20"/>
                <w:szCs w:val="20"/>
                <w:color w:val="auto"/>
              </w:rPr>
            </w:pPr>
            <w:r>
              <w:rPr>
                <w:rFonts w:ascii="Arial" w:cs="Arial" w:eastAsia="Arial" w:hAnsi="Arial"/>
                <w:sz w:val="16"/>
                <w:szCs w:val="16"/>
                <w:color w:val="auto"/>
                <w:w w:val="99"/>
              </w:rPr>
              <w:t>1,054</w:t>
            </w:r>
          </w:p>
        </w:tc>
        <w:tc>
          <w:tcPr>
            <w:tcW w:w="940" w:type="dxa"/>
            <w:vAlign w:val="bottom"/>
          </w:tcPr>
          <w:p>
            <w:pPr>
              <w:jc w:val="center"/>
              <w:ind w:left="63"/>
              <w:spacing w:after="0"/>
              <w:rPr>
                <w:sz w:val="20"/>
                <w:szCs w:val="20"/>
                <w:color w:val="auto"/>
              </w:rPr>
            </w:pPr>
            <w:r>
              <w:rPr>
                <w:rFonts w:ascii="Arial" w:cs="Arial" w:eastAsia="Arial" w:hAnsi="Arial"/>
                <w:sz w:val="16"/>
                <w:szCs w:val="16"/>
                <w:color w:val="auto"/>
                <w:w w:val="99"/>
              </w:rPr>
              <w:t>2,819</w:t>
            </w:r>
          </w:p>
        </w:tc>
      </w:tr>
      <w:tr>
        <w:trPr>
          <w:trHeight w:val="29"/>
        </w:trPr>
        <w:tc>
          <w:tcPr>
            <w:tcW w:w="43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1"/>
        </w:trPr>
        <w:tc>
          <w:tcPr>
            <w:tcW w:w="4360" w:type="dxa"/>
            <w:vAlign w:val="bottom"/>
            <w:tcBorders>
              <w:bottom w:val="single" w:sz="8" w:color="E8E8E8"/>
            </w:tcBorders>
            <w:shd w:val="clear" w:color="auto" w:fill="E8E8E8"/>
          </w:tcPr>
          <w:p>
            <w:pPr>
              <w:ind w:left="40"/>
              <w:spacing w:after="0"/>
              <w:rPr>
                <w:sz w:val="20"/>
                <w:szCs w:val="20"/>
                <w:color w:val="auto"/>
              </w:rPr>
            </w:pPr>
            <w:r>
              <w:rPr>
                <w:rFonts w:ascii="Arial" w:cs="Arial" w:eastAsia="Arial" w:hAnsi="Arial"/>
                <w:sz w:val="16"/>
                <w:szCs w:val="16"/>
                <w:color w:val="auto"/>
              </w:rPr>
              <w:t>Anne M. Mulcahy</w:t>
            </w:r>
          </w:p>
        </w:tc>
        <w:tc>
          <w:tcPr>
            <w:tcW w:w="4040" w:type="dxa"/>
            <w:vAlign w:val="bottom"/>
            <w:tcBorders>
              <w:bottom w:val="single" w:sz="8" w:color="E8E8E8"/>
            </w:tcBorders>
            <w:shd w:val="clear" w:color="auto" w:fill="E8E8E8"/>
          </w:tcPr>
          <w:p>
            <w:pPr>
              <w:jc w:val="right"/>
              <w:ind w:right="446"/>
              <w:spacing w:after="0"/>
              <w:rPr>
                <w:sz w:val="20"/>
                <w:szCs w:val="20"/>
                <w:color w:val="auto"/>
              </w:rPr>
            </w:pPr>
            <w:r>
              <w:rPr>
                <w:rFonts w:ascii="Arial" w:cs="Arial" w:eastAsia="Arial" w:hAnsi="Arial"/>
                <w:sz w:val="16"/>
                <w:szCs w:val="16"/>
                <w:color w:val="auto"/>
              </w:rPr>
              <w:t>1,051</w:t>
            </w:r>
          </w:p>
        </w:tc>
        <w:tc>
          <w:tcPr>
            <w:tcW w:w="1180" w:type="dxa"/>
            <w:vAlign w:val="bottom"/>
            <w:tcBorders>
              <w:bottom w:val="single" w:sz="8" w:color="E8E8E8"/>
            </w:tcBorders>
            <w:shd w:val="clear" w:color="auto" w:fill="E8E8E8"/>
          </w:tcPr>
          <w:p>
            <w:pPr>
              <w:jc w:val="center"/>
              <w:ind w:left="23"/>
              <w:spacing w:after="0"/>
              <w:rPr>
                <w:sz w:val="20"/>
                <w:szCs w:val="20"/>
                <w:color w:val="auto"/>
              </w:rPr>
            </w:pPr>
            <w:r>
              <w:rPr>
                <w:rFonts w:ascii="Arial" w:cs="Arial" w:eastAsia="Arial" w:hAnsi="Arial"/>
                <w:sz w:val="16"/>
                <w:szCs w:val="16"/>
                <w:color w:val="auto"/>
                <w:w w:val="99"/>
              </w:rPr>
              <w:t>—</w:t>
            </w:r>
          </w:p>
        </w:tc>
        <w:tc>
          <w:tcPr>
            <w:tcW w:w="940" w:type="dxa"/>
            <w:vAlign w:val="bottom"/>
            <w:tcBorders>
              <w:bottom w:val="single" w:sz="8" w:color="E8E8E8"/>
            </w:tcBorders>
            <w:shd w:val="clear" w:color="auto" w:fill="E8E8E8"/>
          </w:tcPr>
          <w:p>
            <w:pPr>
              <w:jc w:val="center"/>
              <w:ind w:left="63"/>
              <w:spacing w:after="0"/>
              <w:rPr>
                <w:sz w:val="20"/>
                <w:szCs w:val="20"/>
                <w:color w:val="auto"/>
              </w:rPr>
            </w:pPr>
            <w:r>
              <w:rPr>
                <w:rFonts w:ascii="Arial" w:cs="Arial" w:eastAsia="Arial" w:hAnsi="Arial"/>
                <w:sz w:val="16"/>
                <w:szCs w:val="16"/>
                <w:color w:val="auto"/>
                <w:w w:val="99"/>
              </w:rPr>
              <w:t>—</w:t>
            </w:r>
          </w:p>
        </w:tc>
      </w:tr>
      <w:tr>
        <w:trPr>
          <w:trHeight w:val="211"/>
        </w:trPr>
        <w:tc>
          <w:tcPr>
            <w:tcW w:w="4360" w:type="dxa"/>
            <w:vAlign w:val="bottom"/>
          </w:tcPr>
          <w:p>
            <w:pPr>
              <w:ind w:left="60"/>
              <w:spacing w:after="0"/>
              <w:rPr>
                <w:sz w:val="20"/>
                <w:szCs w:val="20"/>
                <w:color w:val="auto"/>
              </w:rPr>
            </w:pPr>
            <w:r>
              <w:rPr>
                <w:rFonts w:ascii="Arial" w:cs="Arial" w:eastAsia="Arial" w:hAnsi="Arial"/>
                <w:sz w:val="16"/>
                <w:szCs w:val="16"/>
                <w:color w:val="auto"/>
              </w:rPr>
              <w:t>James S. Putnam</w:t>
            </w:r>
          </w:p>
        </w:tc>
        <w:tc>
          <w:tcPr>
            <w:tcW w:w="4040" w:type="dxa"/>
            <w:vAlign w:val="bottom"/>
          </w:tcPr>
          <w:p>
            <w:pPr>
              <w:spacing w:after="0"/>
              <w:rPr>
                <w:sz w:val="18"/>
                <w:szCs w:val="18"/>
                <w:color w:val="auto"/>
              </w:rPr>
            </w:pPr>
          </w:p>
        </w:tc>
        <w:tc>
          <w:tcPr>
            <w:tcW w:w="1180" w:type="dxa"/>
            <w:vAlign w:val="bottom"/>
          </w:tcPr>
          <w:p>
            <w:pPr>
              <w:jc w:val="center"/>
              <w:ind w:left="23"/>
              <w:spacing w:after="0"/>
              <w:rPr>
                <w:sz w:val="20"/>
                <w:szCs w:val="20"/>
                <w:color w:val="auto"/>
              </w:rPr>
            </w:pPr>
            <w:r>
              <w:rPr>
                <w:rFonts w:ascii="Arial" w:cs="Arial" w:eastAsia="Arial" w:hAnsi="Arial"/>
                <w:sz w:val="16"/>
                <w:szCs w:val="16"/>
                <w:color w:val="auto"/>
                <w:w w:val="99"/>
              </w:rPr>
              <w:t>1,054</w:t>
            </w:r>
          </w:p>
        </w:tc>
        <w:tc>
          <w:tcPr>
            <w:tcW w:w="940" w:type="dxa"/>
            <w:vAlign w:val="bottom"/>
          </w:tcPr>
          <w:p>
            <w:pPr>
              <w:jc w:val="center"/>
              <w:ind w:left="63"/>
              <w:spacing w:after="0"/>
              <w:rPr>
                <w:sz w:val="20"/>
                <w:szCs w:val="20"/>
                <w:color w:val="auto"/>
              </w:rPr>
            </w:pPr>
            <w:r>
              <w:rPr>
                <w:rFonts w:ascii="Arial" w:cs="Arial" w:eastAsia="Arial" w:hAnsi="Arial"/>
                <w:sz w:val="16"/>
                <w:szCs w:val="16"/>
                <w:color w:val="auto"/>
                <w:w w:val="98"/>
              </w:rPr>
              <w:t>11,036</w:t>
            </w:r>
          </w:p>
        </w:tc>
      </w:tr>
      <w:tr>
        <w:trPr>
          <w:trHeight w:val="29"/>
        </w:trPr>
        <w:tc>
          <w:tcPr>
            <w:tcW w:w="43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1"/>
        </w:trPr>
        <w:tc>
          <w:tcPr>
            <w:tcW w:w="4360" w:type="dxa"/>
            <w:vAlign w:val="bottom"/>
            <w:tcBorders>
              <w:bottom w:val="single" w:sz="8" w:color="E8E8E8"/>
            </w:tcBorders>
            <w:shd w:val="clear" w:color="auto" w:fill="E8E8E8"/>
          </w:tcPr>
          <w:p>
            <w:pPr>
              <w:ind w:left="60"/>
              <w:spacing w:after="0"/>
              <w:rPr>
                <w:sz w:val="20"/>
                <w:szCs w:val="20"/>
                <w:color w:val="auto"/>
              </w:rPr>
            </w:pPr>
            <w:r>
              <w:rPr>
                <w:rFonts w:ascii="Arial" w:cs="Arial" w:eastAsia="Arial" w:hAnsi="Arial"/>
                <w:sz w:val="16"/>
                <w:szCs w:val="16"/>
                <w:color w:val="auto"/>
              </w:rPr>
              <w:t>Richard P. Schifter</w:t>
            </w:r>
          </w:p>
        </w:tc>
        <w:tc>
          <w:tcPr>
            <w:tcW w:w="4040" w:type="dxa"/>
            <w:vAlign w:val="bottom"/>
            <w:tcBorders>
              <w:bottom w:val="single" w:sz="8" w:color="E8E8E8"/>
            </w:tcBorders>
            <w:shd w:val="clear" w:color="auto" w:fill="E8E8E8"/>
          </w:tcPr>
          <w:p>
            <w:pPr>
              <w:spacing w:after="0"/>
              <w:rPr>
                <w:sz w:val="19"/>
                <w:szCs w:val="19"/>
                <w:color w:val="auto"/>
              </w:rPr>
            </w:pPr>
          </w:p>
        </w:tc>
        <w:tc>
          <w:tcPr>
            <w:tcW w:w="1180" w:type="dxa"/>
            <w:vAlign w:val="bottom"/>
            <w:tcBorders>
              <w:bottom w:val="single" w:sz="8" w:color="E8E8E8"/>
            </w:tcBorders>
            <w:shd w:val="clear" w:color="auto" w:fill="E8E8E8"/>
          </w:tcPr>
          <w:p>
            <w:pPr>
              <w:jc w:val="center"/>
              <w:ind w:left="23"/>
              <w:spacing w:after="0"/>
              <w:rPr>
                <w:sz w:val="20"/>
                <w:szCs w:val="20"/>
                <w:color w:val="auto"/>
              </w:rPr>
            </w:pPr>
            <w:r>
              <w:rPr>
                <w:rFonts w:ascii="Arial" w:cs="Arial" w:eastAsia="Arial" w:hAnsi="Arial"/>
                <w:sz w:val="16"/>
                <w:szCs w:val="16"/>
                <w:color w:val="auto"/>
                <w:w w:val="99"/>
              </w:rPr>
              <w:t>1,054</w:t>
            </w:r>
          </w:p>
        </w:tc>
        <w:tc>
          <w:tcPr>
            <w:tcW w:w="940" w:type="dxa"/>
            <w:vAlign w:val="bottom"/>
            <w:tcBorders>
              <w:bottom w:val="single" w:sz="8" w:color="E8E8E8"/>
            </w:tcBorders>
            <w:shd w:val="clear" w:color="auto" w:fill="E8E8E8"/>
          </w:tcPr>
          <w:p>
            <w:pPr>
              <w:jc w:val="center"/>
              <w:ind w:left="83"/>
              <w:spacing w:after="0"/>
              <w:rPr>
                <w:sz w:val="20"/>
                <w:szCs w:val="20"/>
                <w:color w:val="auto"/>
              </w:rPr>
            </w:pPr>
            <w:r>
              <w:rPr>
                <w:rFonts w:ascii="Arial" w:cs="Arial" w:eastAsia="Arial" w:hAnsi="Arial"/>
                <w:sz w:val="16"/>
                <w:szCs w:val="16"/>
                <w:color w:val="auto"/>
              </w:rPr>
              <w:t>22,961</w:t>
            </w:r>
          </w:p>
        </w:tc>
      </w:tr>
      <w:tr>
        <w:trPr>
          <w:trHeight w:val="211"/>
        </w:trPr>
        <w:tc>
          <w:tcPr>
            <w:tcW w:w="4360" w:type="dxa"/>
            <w:vAlign w:val="bottom"/>
          </w:tcPr>
          <w:p>
            <w:pPr>
              <w:ind w:left="60"/>
              <w:spacing w:after="0"/>
              <w:rPr>
                <w:sz w:val="20"/>
                <w:szCs w:val="20"/>
                <w:color w:val="auto"/>
              </w:rPr>
            </w:pPr>
            <w:r>
              <w:rPr>
                <w:rFonts w:ascii="Arial" w:cs="Arial" w:eastAsia="Arial" w:hAnsi="Arial"/>
                <w:sz w:val="16"/>
                <w:szCs w:val="16"/>
                <w:color w:val="auto"/>
              </w:rPr>
              <w:t>Corey E. Thomas</w:t>
            </w:r>
          </w:p>
        </w:tc>
        <w:tc>
          <w:tcPr>
            <w:tcW w:w="4040" w:type="dxa"/>
            <w:vAlign w:val="bottom"/>
          </w:tcPr>
          <w:p>
            <w:pPr>
              <w:spacing w:after="0"/>
              <w:rPr>
                <w:sz w:val="18"/>
                <w:szCs w:val="18"/>
                <w:color w:val="auto"/>
              </w:rPr>
            </w:pPr>
          </w:p>
        </w:tc>
        <w:tc>
          <w:tcPr>
            <w:tcW w:w="1180" w:type="dxa"/>
            <w:vAlign w:val="bottom"/>
          </w:tcPr>
          <w:p>
            <w:pPr>
              <w:jc w:val="center"/>
              <w:ind w:left="23"/>
              <w:spacing w:after="0"/>
              <w:rPr>
                <w:sz w:val="20"/>
                <w:szCs w:val="20"/>
                <w:color w:val="auto"/>
              </w:rPr>
            </w:pPr>
            <w:r>
              <w:rPr>
                <w:rFonts w:ascii="Arial" w:cs="Arial" w:eastAsia="Arial" w:hAnsi="Arial"/>
                <w:sz w:val="16"/>
                <w:szCs w:val="16"/>
                <w:color w:val="auto"/>
                <w:w w:val="99"/>
              </w:rPr>
              <w:t>1,054</w:t>
            </w:r>
          </w:p>
        </w:tc>
        <w:tc>
          <w:tcPr>
            <w:tcW w:w="940" w:type="dxa"/>
            <w:vAlign w:val="bottom"/>
          </w:tcPr>
          <w:p>
            <w:pPr>
              <w:jc w:val="center"/>
              <w:ind w:left="63"/>
              <w:spacing w:after="0"/>
              <w:rPr>
                <w:sz w:val="20"/>
                <w:szCs w:val="20"/>
                <w:color w:val="auto"/>
              </w:rPr>
            </w:pPr>
            <w:r>
              <w:rPr>
                <w:rFonts w:ascii="Arial" w:cs="Arial" w:eastAsia="Arial" w:hAnsi="Arial"/>
                <w:sz w:val="16"/>
                <w:szCs w:val="16"/>
                <w:color w:val="auto"/>
                <w:w w:val="99"/>
              </w:rPr>
              <w:t>8,039</w:t>
            </w:r>
          </w:p>
        </w:tc>
      </w:tr>
      <w:tr>
        <w:trPr>
          <w:trHeight w:val="29"/>
        </w:trPr>
        <w:tc>
          <w:tcPr>
            <w:tcW w:w="4360" w:type="dxa"/>
            <w:vAlign w:val="bottom"/>
            <w:tcBorders>
              <w:bottom w:val="single" w:sz="8" w:color="050A54"/>
            </w:tcBorders>
          </w:tcPr>
          <w:p>
            <w:pPr>
              <w:spacing w:after="0"/>
              <w:rPr>
                <w:sz w:val="2"/>
                <w:szCs w:val="2"/>
                <w:color w:val="auto"/>
              </w:rPr>
            </w:pPr>
          </w:p>
        </w:tc>
        <w:tc>
          <w:tcPr>
            <w:tcW w:w="4040" w:type="dxa"/>
            <w:vAlign w:val="bottom"/>
            <w:tcBorders>
              <w:bottom w:val="single" w:sz="8" w:color="050A54"/>
            </w:tcBorders>
          </w:tcPr>
          <w:p>
            <w:pPr>
              <w:spacing w:after="0"/>
              <w:rPr>
                <w:sz w:val="2"/>
                <w:szCs w:val="2"/>
                <w:color w:val="auto"/>
              </w:rPr>
            </w:pPr>
          </w:p>
        </w:tc>
        <w:tc>
          <w:tcPr>
            <w:tcW w:w="1180" w:type="dxa"/>
            <w:vAlign w:val="bottom"/>
            <w:tcBorders>
              <w:bottom w:val="single" w:sz="8" w:color="050A54"/>
            </w:tcBorders>
          </w:tcPr>
          <w:p>
            <w:pPr>
              <w:spacing w:after="0"/>
              <w:rPr>
                <w:sz w:val="2"/>
                <w:szCs w:val="2"/>
                <w:color w:val="auto"/>
              </w:rPr>
            </w:pPr>
          </w:p>
        </w:tc>
        <w:tc>
          <w:tcPr>
            <w:tcW w:w="940" w:type="dxa"/>
            <w:vAlign w:val="bottom"/>
            <w:tcBorders>
              <w:bottom w:val="single" w:sz="8" w:color="050A54"/>
            </w:tcBorders>
          </w:tcPr>
          <w:p>
            <w:pPr>
              <w:spacing w:after="0"/>
              <w:rPr>
                <w:sz w:val="2"/>
                <w:szCs w:val="2"/>
                <w:color w:val="auto"/>
              </w:rPr>
            </w:pPr>
          </w:p>
        </w:tc>
      </w:tr>
    </w:tbl>
    <w:p>
      <w:pPr>
        <w:spacing w:after="0" w:line="103" w:lineRule="exact"/>
        <w:rPr>
          <w:sz w:val="20"/>
          <w:szCs w:val="20"/>
          <w:color w:val="auto"/>
        </w:rPr>
      </w:pPr>
    </w:p>
    <w:p>
      <w:pPr>
        <w:jc w:val="both"/>
        <w:ind w:left="600" w:hanging="433"/>
        <w:spacing w:after="0" w:line="232" w:lineRule="auto"/>
        <w:tabs>
          <w:tab w:leader="none" w:pos="6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This amount includes the value of fully vested shares of Common Stock or, as described below, deferred stock units that the director elected to receive in lieu of the cash portion of the director’s annual service retainer. The aggregate grant date fair value of these shares and deferred stock units, as determined under FASB ASC Topic 718, was determined by multiplying the number of shares underlying the award by $156.54, which was the closing price per share of our Common Stock on the grant date. Each of Messrs. Bernard, Glavin, Schifter and Thomas delivered a written deferral election under the Deferred Plan pursuant to which the director elected to defer receipt of the cash portion of the annual service retainer and instead receive deferred stock units of equivalent value.</w:t>
      </w:r>
    </w:p>
    <w:p>
      <w:pPr>
        <w:spacing w:after="0" w:line="2" w:lineRule="exact"/>
        <w:rPr>
          <w:rFonts w:ascii="Arial" w:cs="Arial" w:eastAsia="Arial" w:hAnsi="Arial"/>
          <w:sz w:val="15"/>
          <w:szCs w:val="15"/>
          <w:color w:val="auto"/>
        </w:rPr>
      </w:pPr>
    </w:p>
    <w:p>
      <w:pPr>
        <w:ind w:left="600" w:hanging="433"/>
        <w:spacing w:after="0"/>
        <w:tabs>
          <w:tab w:leader="none" w:pos="6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This amount includes Mr. Bernard’s prorated retainer for service on the Compensation Committee following his appointment on May 5, 2021.</w:t>
      </w:r>
    </w:p>
    <w:p>
      <w:pPr>
        <w:spacing w:after="0" w:line="28" w:lineRule="exact"/>
        <w:rPr>
          <w:rFonts w:ascii="Arial" w:cs="Arial" w:eastAsia="Arial" w:hAnsi="Arial"/>
          <w:sz w:val="15"/>
          <w:szCs w:val="15"/>
          <w:color w:val="auto"/>
        </w:rPr>
      </w:pPr>
    </w:p>
    <w:p>
      <w:pPr>
        <w:jc w:val="both"/>
        <w:ind w:left="600" w:hanging="433"/>
        <w:spacing w:after="0" w:line="241" w:lineRule="auto"/>
        <w:tabs>
          <w:tab w:leader="none" w:pos="6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Each of Messrs. Bernard, Glavin, Putnam, Schifter and Thomas and Mses. Eberhart and Mnookin delivered a written deferral election under the Deferred Plan pursuant to which the director elected to defer receipt of the equity portion of his or her annual service retainer and instead receive deferred stock units of equivalent value.</w:t>
      </w:r>
    </w:p>
    <w:p>
      <w:pPr>
        <w:spacing w:after="0" w:line="1" w:lineRule="exact"/>
        <w:rPr>
          <w:rFonts w:ascii="Arial" w:cs="Arial" w:eastAsia="Arial" w:hAnsi="Arial"/>
          <w:sz w:val="15"/>
          <w:szCs w:val="15"/>
          <w:color w:val="auto"/>
        </w:rPr>
      </w:pPr>
    </w:p>
    <w:p>
      <w:pPr>
        <w:ind w:left="600" w:hanging="433"/>
        <w:spacing w:after="0"/>
        <w:tabs>
          <w:tab w:leader="none" w:pos="6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This amount includes Mr. Schifter’s prorated retainer for service on the Audit Committee following his appointment on May 5, 2021.</w:t>
      </w:r>
    </w:p>
    <w:p>
      <w:pPr>
        <w:spacing w:after="0" w:line="28" w:lineRule="exact"/>
        <w:rPr>
          <w:rFonts w:ascii="Arial" w:cs="Arial" w:eastAsia="Arial" w:hAnsi="Arial"/>
          <w:sz w:val="15"/>
          <w:szCs w:val="15"/>
          <w:color w:val="auto"/>
        </w:rPr>
      </w:pPr>
    </w:p>
    <w:p>
      <w:pPr>
        <w:ind w:left="600" w:hanging="433"/>
        <w:spacing w:after="0"/>
        <w:tabs>
          <w:tab w:leader="none" w:pos="6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This amount includes Mr. Thomas’s prorated retainer for service on the Nominating and Governance Committee following his appointment on May 5, 2021.</w:t>
      </w:r>
    </w:p>
    <w:p>
      <w:pPr>
        <w:spacing w:after="0" w:line="134" w:lineRule="exact"/>
        <w:rPr>
          <w:sz w:val="20"/>
          <w:szCs w:val="20"/>
          <w:color w:val="auto"/>
        </w:rPr>
      </w:pPr>
    </w:p>
    <w:tbl>
      <w:tblPr>
        <w:tblLayout w:type="fixed"/>
        <w:tblInd w:w="8500" w:type="dxa"/>
        <w:tblCellMar>
          <w:top w:w="0" w:type="dxa"/>
          <w:left w:w="0" w:type="dxa"/>
          <w:bottom w:w="0" w:type="dxa"/>
          <w:right w:w="0" w:type="dxa"/>
        </w:tblCellMar>
      </w:tblPr>
      <w:tr>
        <w:trPr>
          <w:trHeight w:val="233"/>
        </w:trPr>
        <w:tc>
          <w:tcPr>
            <w:tcW w:w="2060" w:type="dxa"/>
            <w:vAlign w:val="bottom"/>
            <w:tcBorders>
              <w:right w:val="single" w:sz="8" w:color="050A54"/>
            </w:tcBorders>
          </w:tcPr>
          <w:p>
            <w:pPr>
              <w:spacing w:after="0"/>
              <w:rPr>
                <w:sz w:val="20"/>
                <w:szCs w:val="20"/>
                <w:color w:val="auto"/>
              </w:rPr>
            </w:pPr>
            <w:r>
              <w:rPr>
                <w:rFonts w:ascii="Arial" w:cs="Arial" w:eastAsia="Arial" w:hAnsi="Arial"/>
                <w:sz w:val="18"/>
                <w:szCs w:val="18"/>
                <w:b w:val="1"/>
                <w:bCs w:val="1"/>
                <w:color w:val="050A54"/>
              </w:rPr>
              <w:t>2022 Proxy Statement</w:t>
            </w:r>
          </w:p>
        </w:tc>
        <w:tc>
          <w:tcPr>
            <w:tcW w:w="520" w:type="dxa"/>
            <w:vAlign w:val="bottom"/>
          </w:tcPr>
          <w:p>
            <w:pPr>
              <w:jc w:val="right"/>
              <w:spacing w:after="0"/>
              <w:rPr>
                <w:sz w:val="20"/>
                <w:szCs w:val="20"/>
                <w:color w:val="auto"/>
              </w:rPr>
            </w:pPr>
            <w:r>
              <w:rPr>
                <w:rFonts w:ascii="Arial" w:cs="Arial" w:eastAsia="Arial" w:hAnsi="Arial"/>
                <w:sz w:val="18"/>
                <w:szCs w:val="18"/>
                <w:color w:val="050A54"/>
              </w:rPr>
              <w:t>29</w:t>
            </w:r>
          </w:p>
        </w:tc>
      </w:tr>
    </w:tbl>
    <w:p>
      <w:pPr>
        <w:sectPr>
          <w:pgSz w:w="11900" w:h="16838" w:orient="portrait"/>
          <w:cols w:equalWidth="0" w:num="1">
            <w:col w:w="11080"/>
          </w:cols>
          <w:pgMar w:left="320" w:top="454" w:right="49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120"/>
        <w:spacing w:after="0"/>
        <w:rPr>
          <w:sz w:val="20"/>
          <w:szCs w:val="20"/>
          <w:color w:val="auto"/>
        </w:rPr>
      </w:pPr>
      <w:r>
        <w:rPr>
          <w:rFonts w:ascii="Arial" w:cs="Arial" w:eastAsia="Arial" w:hAnsi="Arial"/>
          <w:sz w:val="20"/>
          <w:szCs w:val="20"/>
          <w:b w:val="1"/>
          <w:bCs w:val="1"/>
          <w:color w:val="050A54"/>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3"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050A54"/>
        </w:rPr>
        <w:t>Compensation Discussion and Analysis</w:t>
      </w:r>
    </w:p>
    <w:p>
      <w:pPr>
        <w:spacing w:after="0" w:line="21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Executive Summary</w:t>
      </w:r>
    </w:p>
    <w:p>
      <w:pPr>
        <w:spacing w:after="0" w:line="96"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color w:val="auto"/>
        </w:rPr>
        <w:t>This Compensation Discussion and Analysis (“CD&amp;A”) describes the actions taken by the Compensation Committee with respect to 2021 compensation for our executive officers, including our named executive officers (“NEOs”). Under SEC rules, our NEOs for 2021 were:</w:t>
      </w:r>
    </w:p>
    <w:p>
      <w:pPr>
        <w:spacing w:after="0" w:line="190" w:lineRule="exact"/>
        <w:rPr>
          <w:sz w:val="20"/>
          <w:szCs w:val="20"/>
          <w:color w:val="auto"/>
        </w:rPr>
      </w:pPr>
    </w:p>
    <w:tbl>
      <w:tblPr>
        <w:tblLayout w:type="fixed"/>
        <w:tblInd w:w="160" w:type="dxa"/>
        <w:tblCellMar>
          <w:top w:w="0" w:type="dxa"/>
          <w:left w:w="0" w:type="dxa"/>
          <w:bottom w:w="0" w:type="dxa"/>
          <w:right w:w="0" w:type="dxa"/>
        </w:tblCellMar>
      </w:tblPr>
      <w:tr>
        <w:trPr>
          <w:trHeight w:val="221"/>
        </w:trPr>
        <w:tc>
          <w:tcPr>
            <w:tcW w:w="3280" w:type="dxa"/>
            <w:vAlign w:val="bottom"/>
          </w:tcPr>
          <w:p>
            <w:pPr>
              <w:spacing w:after="0"/>
              <w:rPr>
                <w:sz w:val="20"/>
                <w:szCs w:val="20"/>
                <w:color w:val="auto"/>
              </w:rPr>
            </w:pPr>
            <w:r>
              <w:rPr>
                <w:rFonts w:ascii="Arial" w:cs="Arial" w:eastAsia="Arial" w:hAnsi="Arial"/>
                <w:sz w:val="16"/>
                <w:szCs w:val="16"/>
                <w:b w:val="1"/>
                <w:bCs w:val="1"/>
                <w:color w:val="050A54"/>
              </w:rPr>
              <w:t>Executive</w:t>
            </w:r>
          </w:p>
        </w:tc>
        <w:tc>
          <w:tcPr>
            <w:tcW w:w="7640" w:type="dxa"/>
            <w:vAlign w:val="bottom"/>
          </w:tcPr>
          <w:p>
            <w:pPr>
              <w:ind w:left="120"/>
              <w:spacing w:after="0"/>
              <w:rPr>
                <w:sz w:val="20"/>
                <w:szCs w:val="20"/>
                <w:color w:val="auto"/>
              </w:rPr>
            </w:pPr>
            <w:r>
              <w:rPr>
                <w:rFonts w:ascii="Arial" w:cs="Arial" w:eastAsia="Arial" w:hAnsi="Arial"/>
                <w:sz w:val="16"/>
                <w:szCs w:val="16"/>
                <w:b w:val="1"/>
                <w:bCs w:val="1"/>
                <w:color w:val="050A54"/>
              </w:rPr>
              <w:t>Title</w:t>
            </w:r>
          </w:p>
        </w:tc>
      </w:tr>
      <w:tr>
        <w:trPr>
          <w:trHeight w:val="34"/>
        </w:trPr>
        <w:tc>
          <w:tcPr>
            <w:tcW w:w="3280" w:type="dxa"/>
            <w:vAlign w:val="bottom"/>
            <w:tcBorders>
              <w:bottom w:val="single" w:sz="8" w:color="050A54"/>
            </w:tcBorders>
          </w:tcPr>
          <w:p>
            <w:pPr>
              <w:spacing w:after="0"/>
              <w:rPr>
                <w:sz w:val="2"/>
                <w:szCs w:val="2"/>
                <w:color w:val="auto"/>
              </w:rPr>
            </w:pPr>
          </w:p>
        </w:tc>
        <w:tc>
          <w:tcPr>
            <w:tcW w:w="7640" w:type="dxa"/>
            <w:vAlign w:val="bottom"/>
            <w:tcBorders>
              <w:bottom w:val="single" w:sz="8" w:color="050A54"/>
            </w:tcBorders>
          </w:tcPr>
          <w:p>
            <w:pPr>
              <w:spacing w:after="0"/>
              <w:rPr>
                <w:sz w:val="2"/>
                <w:szCs w:val="2"/>
                <w:color w:val="auto"/>
              </w:rPr>
            </w:pPr>
          </w:p>
        </w:tc>
      </w:tr>
      <w:tr>
        <w:trPr>
          <w:trHeight w:val="281"/>
        </w:trPr>
        <w:tc>
          <w:tcPr>
            <w:tcW w:w="3280" w:type="dxa"/>
            <w:vAlign w:val="bottom"/>
            <w:tcBorders>
              <w:bottom w:val="single" w:sz="8" w:color="E8E8E8"/>
            </w:tcBorders>
            <w:shd w:val="clear" w:color="auto" w:fill="E8E8E8"/>
          </w:tcPr>
          <w:p>
            <w:pPr>
              <w:spacing w:after="0"/>
              <w:rPr>
                <w:sz w:val="20"/>
                <w:szCs w:val="20"/>
                <w:color w:val="auto"/>
              </w:rPr>
            </w:pPr>
            <w:r>
              <w:rPr>
                <w:rFonts w:ascii="Arial" w:cs="Arial" w:eastAsia="Arial" w:hAnsi="Arial"/>
                <w:sz w:val="16"/>
                <w:szCs w:val="16"/>
                <w:color w:val="auto"/>
              </w:rPr>
              <w:t>Dan H. Arnold</w:t>
            </w:r>
          </w:p>
        </w:tc>
        <w:tc>
          <w:tcPr>
            <w:tcW w:w="7640" w:type="dxa"/>
            <w:vAlign w:val="bottom"/>
            <w:tcBorders>
              <w:bottom w:val="single" w:sz="8" w:color="E8E8E8"/>
            </w:tcBorders>
            <w:shd w:val="clear" w:color="auto" w:fill="E8E8E8"/>
          </w:tcPr>
          <w:p>
            <w:pPr>
              <w:ind w:left="120"/>
              <w:spacing w:after="0"/>
              <w:rPr>
                <w:sz w:val="20"/>
                <w:szCs w:val="20"/>
                <w:color w:val="auto"/>
              </w:rPr>
            </w:pPr>
            <w:r>
              <w:rPr>
                <w:rFonts w:ascii="Arial" w:cs="Arial" w:eastAsia="Arial" w:hAnsi="Arial"/>
                <w:sz w:val="16"/>
                <w:szCs w:val="16"/>
                <w:color w:val="auto"/>
              </w:rPr>
              <w:t>President and Chief Executive Officer</w:t>
            </w:r>
          </w:p>
        </w:tc>
      </w:tr>
      <w:tr>
        <w:trPr>
          <w:trHeight w:val="264"/>
        </w:trPr>
        <w:tc>
          <w:tcPr>
            <w:tcW w:w="3280" w:type="dxa"/>
            <w:vAlign w:val="bottom"/>
          </w:tcPr>
          <w:p>
            <w:pPr>
              <w:spacing w:after="0"/>
              <w:rPr>
                <w:sz w:val="20"/>
                <w:szCs w:val="20"/>
                <w:color w:val="auto"/>
              </w:rPr>
            </w:pPr>
            <w:r>
              <w:rPr>
                <w:rFonts w:ascii="Arial" w:cs="Arial" w:eastAsia="Arial" w:hAnsi="Arial"/>
                <w:sz w:val="16"/>
                <w:szCs w:val="16"/>
                <w:color w:val="auto"/>
              </w:rPr>
              <w:t>Matthew J. Audette</w:t>
            </w:r>
          </w:p>
        </w:tc>
        <w:tc>
          <w:tcPr>
            <w:tcW w:w="7640" w:type="dxa"/>
            <w:vAlign w:val="bottom"/>
          </w:tcPr>
          <w:p>
            <w:pPr>
              <w:ind w:left="120"/>
              <w:spacing w:after="0"/>
              <w:rPr>
                <w:sz w:val="20"/>
                <w:szCs w:val="20"/>
                <w:color w:val="auto"/>
              </w:rPr>
            </w:pPr>
            <w:r>
              <w:rPr>
                <w:rFonts w:ascii="Arial" w:cs="Arial" w:eastAsia="Arial" w:hAnsi="Arial"/>
                <w:sz w:val="16"/>
                <w:szCs w:val="16"/>
                <w:color w:val="auto"/>
              </w:rPr>
              <w:t>Chief Financial Officer</w:t>
            </w:r>
          </w:p>
        </w:tc>
      </w:tr>
      <w:tr>
        <w:trPr>
          <w:trHeight w:val="57"/>
        </w:trPr>
        <w:tc>
          <w:tcPr>
            <w:tcW w:w="3280" w:type="dxa"/>
            <w:vAlign w:val="bottom"/>
          </w:tcPr>
          <w:p>
            <w:pPr>
              <w:spacing w:after="0"/>
              <w:rPr>
                <w:sz w:val="4"/>
                <w:szCs w:val="4"/>
                <w:color w:val="auto"/>
              </w:rPr>
            </w:pPr>
          </w:p>
        </w:tc>
        <w:tc>
          <w:tcPr>
            <w:tcW w:w="7640" w:type="dxa"/>
            <w:vAlign w:val="bottom"/>
          </w:tcPr>
          <w:p>
            <w:pPr>
              <w:spacing w:after="0"/>
              <w:rPr>
                <w:sz w:val="4"/>
                <w:szCs w:val="4"/>
                <w:color w:val="auto"/>
              </w:rPr>
            </w:pPr>
          </w:p>
        </w:tc>
      </w:tr>
      <w:tr>
        <w:trPr>
          <w:trHeight w:val="321"/>
        </w:trPr>
        <w:tc>
          <w:tcPr>
            <w:tcW w:w="3280" w:type="dxa"/>
            <w:vAlign w:val="bottom"/>
            <w:shd w:val="clear" w:color="auto" w:fill="E8E8E8"/>
          </w:tcPr>
          <w:p>
            <w:pPr>
              <w:spacing w:after="0"/>
              <w:rPr>
                <w:sz w:val="20"/>
                <w:szCs w:val="20"/>
                <w:color w:val="auto"/>
              </w:rPr>
            </w:pPr>
            <w:r>
              <w:rPr>
                <w:rFonts w:ascii="Arial" w:cs="Arial" w:eastAsia="Arial" w:hAnsi="Arial"/>
                <w:sz w:val="16"/>
                <w:szCs w:val="16"/>
                <w:color w:val="auto"/>
              </w:rPr>
              <w:t>Edward Fandrey</w:t>
            </w:r>
            <w:r>
              <w:rPr>
                <w:rFonts w:ascii="Arial" w:cs="Arial" w:eastAsia="Arial" w:hAnsi="Arial"/>
                <w:sz w:val="27"/>
                <w:szCs w:val="27"/>
                <w:color w:val="auto"/>
                <w:vertAlign w:val="superscript"/>
              </w:rPr>
              <w:t>(1)</w:t>
            </w:r>
          </w:p>
        </w:tc>
        <w:tc>
          <w:tcPr>
            <w:tcW w:w="7640" w:type="dxa"/>
            <w:vAlign w:val="bottom"/>
            <w:shd w:val="clear" w:color="auto" w:fill="E8E8E8"/>
          </w:tcPr>
          <w:p>
            <w:pPr>
              <w:ind w:left="120"/>
              <w:spacing w:after="0"/>
              <w:rPr>
                <w:sz w:val="20"/>
                <w:szCs w:val="20"/>
                <w:color w:val="auto"/>
              </w:rPr>
            </w:pPr>
            <w:r>
              <w:rPr>
                <w:rFonts w:ascii="Arial" w:cs="Arial" w:eastAsia="Arial" w:hAnsi="Arial"/>
                <w:sz w:val="16"/>
                <w:szCs w:val="16"/>
                <w:color w:val="auto"/>
              </w:rPr>
              <w:t>Managing Director, Divisional President, Advisor Solutions</w:t>
            </w:r>
          </w:p>
        </w:tc>
      </w:tr>
      <w:tr>
        <w:trPr>
          <w:trHeight w:val="264"/>
        </w:trPr>
        <w:tc>
          <w:tcPr>
            <w:tcW w:w="3280" w:type="dxa"/>
            <w:vAlign w:val="bottom"/>
          </w:tcPr>
          <w:p>
            <w:pPr>
              <w:spacing w:after="0"/>
              <w:rPr>
                <w:sz w:val="20"/>
                <w:szCs w:val="20"/>
                <w:color w:val="auto"/>
              </w:rPr>
            </w:pPr>
            <w:r>
              <w:rPr>
                <w:rFonts w:ascii="Arial" w:cs="Arial" w:eastAsia="Arial" w:hAnsi="Arial"/>
                <w:sz w:val="16"/>
                <w:szCs w:val="16"/>
                <w:color w:val="auto"/>
              </w:rPr>
              <w:t>Dayton Semerjian</w:t>
            </w:r>
          </w:p>
        </w:tc>
        <w:tc>
          <w:tcPr>
            <w:tcW w:w="7640" w:type="dxa"/>
            <w:vAlign w:val="bottom"/>
          </w:tcPr>
          <w:p>
            <w:pPr>
              <w:ind w:left="120"/>
              <w:spacing w:after="0"/>
              <w:rPr>
                <w:sz w:val="20"/>
                <w:szCs w:val="20"/>
                <w:color w:val="auto"/>
              </w:rPr>
            </w:pPr>
            <w:r>
              <w:rPr>
                <w:rFonts w:ascii="Arial" w:cs="Arial" w:eastAsia="Arial" w:hAnsi="Arial"/>
                <w:sz w:val="16"/>
                <w:szCs w:val="16"/>
                <w:color w:val="auto"/>
              </w:rPr>
              <w:t>Managing Director, Chief Customer Care Officer</w:t>
            </w:r>
          </w:p>
        </w:tc>
      </w:tr>
      <w:tr>
        <w:trPr>
          <w:trHeight w:val="57"/>
        </w:trPr>
        <w:tc>
          <w:tcPr>
            <w:tcW w:w="3280" w:type="dxa"/>
            <w:vAlign w:val="bottom"/>
          </w:tcPr>
          <w:p>
            <w:pPr>
              <w:spacing w:after="0"/>
              <w:rPr>
                <w:sz w:val="4"/>
                <w:szCs w:val="4"/>
                <w:color w:val="auto"/>
              </w:rPr>
            </w:pPr>
          </w:p>
        </w:tc>
        <w:tc>
          <w:tcPr>
            <w:tcW w:w="7640" w:type="dxa"/>
            <w:vAlign w:val="bottom"/>
          </w:tcPr>
          <w:p>
            <w:pPr>
              <w:spacing w:after="0"/>
              <w:rPr>
                <w:sz w:val="4"/>
                <w:szCs w:val="4"/>
                <w:color w:val="auto"/>
              </w:rPr>
            </w:pPr>
          </w:p>
        </w:tc>
      </w:tr>
      <w:tr>
        <w:trPr>
          <w:trHeight w:val="301"/>
        </w:trPr>
        <w:tc>
          <w:tcPr>
            <w:tcW w:w="3280" w:type="dxa"/>
            <w:vAlign w:val="bottom"/>
            <w:tcBorders>
              <w:bottom w:val="single" w:sz="8" w:color="E8E8E8"/>
            </w:tcBorders>
            <w:shd w:val="clear" w:color="auto" w:fill="E8E8E8"/>
          </w:tcPr>
          <w:p>
            <w:pPr>
              <w:spacing w:after="0"/>
              <w:rPr>
                <w:sz w:val="20"/>
                <w:szCs w:val="20"/>
                <w:color w:val="auto"/>
              </w:rPr>
            </w:pPr>
            <w:r>
              <w:rPr>
                <w:rFonts w:ascii="Arial" w:cs="Arial" w:eastAsia="Arial" w:hAnsi="Arial"/>
                <w:sz w:val="16"/>
                <w:szCs w:val="16"/>
                <w:color w:val="auto"/>
              </w:rPr>
              <w:t>Richard Steinmeier</w:t>
            </w:r>
          </w:p>
        </w:tc>
        <w:tc>
          <w:tcPr>
            <w:tcW w:w="7640" w:type="dxa"/>
            <w:vAlign w:val="bottom"/>
            <w:tcBorders>
              <w:bottom w:val="single" w:sz="8" w:color="E8E8E8"/>
            </w:tcBorders>
            <w:shd w:val="clear" w:color="auto" w:fill="E8E8E8"/>
          </w:tcPr>
          <w:p>
            <w:pPr>
              <w:ind w:left="120"/>
              <w:spacing w:after="0"/>
              <w:rPr>
                <w:sz w:val="20"/>
                <w:szCs w:val="20"/>
                <w:color w:val="auto"/>
              </w:rPr>
            </w:pPr>
            <w:r>
              <w:rPr>
                <w:rFonts w:ascii="Arial" w:cs="Arial" w:eastAsia="Arial" w:hAnsi="Arial"/>
                <w:sz w:val="16"/>
                <w:szCs w:val="16"/>
                <w:color w:val="auto"/>
              </w:rPr>
              <w:t>Managing Director, Divisional President, Business Development</w:t>
            </w:r>
          </w:p>
        </w:tc>
      </w:tr>
      <w:tr>
        <w:trPr>
          <w:trHeight w:val="20"/>
        </w:trPr>
        <w:tc>
          <w:tcPr>
            <w:tcW w:w="3280" w:type="dxa"/>
            <w:vAlign w:val="bottom"/>
            <w:shd w:val="clear" w:color="auto" w:fill="050A54"/>
          </w:tcPr>
          <w:p>
            <w:pPr>
              <w:spacing w:after="0" w:line="20" w:lineRule="exact"/>
              <w:rPr>
                <w:sz w:val="1"/>
                <w:szCs w:val="1"/>
                <w:color w:val="auto"/>
              </w:rPr>
            </w:pPr>
          </w:p>
        </w:tc>
        <w:tc>
          <w:tcPr>
            <w:tcW w:w="7640" w:type="dxa"/>
            <w:vAlign w:val="bottom"/>
            <w:shd w:val="clear" w:color="auto" w:fill="050A54"/>
          </w:tcPr>
          <w:p>
            <w:pPr>
              <w:spacing w:after="0" w:line="20" w:lineRule="exact"/>
              <w:rPr>
                <w:sz w:val="1"/>
                <w:szCs w:val="1"/>
                <w:color w:val="auto"/>
              </w:rPr>
            </w:pPr>
          </w:p>
        </w:tc>
      </w:tr>
    </w:tbl>
    <w:p>
      <w:pPr>
        <w:ind w:left="600" w:hanging="433"/>
        <w:spacing w:after="0" w:line="267" w:lineRule="auto"/>
        <w:tabs>
          <w:tab w:leader="none" w:pos="6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Mr. Fandrey commenced employment with us as Managing Director, Divisional President, Advisor Solutions on January 19, 2021. He is expected to depart the Company effective April 29, 2022.</w:t>
      </w:r>
    </w:p>
    <w:p>
      <w:pPr>
        <w:spacing w:after="0" w:line="13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0A54"/>
        </w:rPr>
        <w:t>Summary of 2021 Corporate Performance</w:t>
      </w:r>
    </w:p>
    <w:p>
      <w:pPr>
        <w:spacing w:after="0" w:line="165"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The following summary of the Company’s corporate performance is intended to provide additional context for the Compensation Committee’s evaluation of the Company’s performance in 2021 for compensation-related purposes. As discussed below, the Compensation Committee established a bonus pool funding framework in January of 2021 that assigned equal weighting to achievement of the Company’s financial performance targets and its pre-established 2021 corporate goals based on prespecified objectives and key results (the “2021 OKRs”), with the Committee retaining a limited amount of discretion to adjust bonus pool funding up or down based on its assessment of key drivers of the Company’s performance.</w:t>
      </w:r>
    </w:p>
    <w:p>
      <w:pPr>
        <w:spacing w:after="0" w:line="141"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The Company delivered solid business and financial results in 2021. The Company’s total advisory and brokerage assets reached a new high of $ 1.2 trillion at year-end, which represented an increase of 34% year-over-year. This increase was driven by continued organic growth in both traditional and new markets, the Company’s acquisition of Waddell &amp; Reed’s wealth management business (the “Waddell &amp; Reed Acquisition”) and equity market appreciation. Total organic net new assets were $119 billion for the year, translating to a 13% growth rate, up from 7% in 2020. This increase was driven by strength across all three channels of growth: new store sales, same store sales and retention, as the Company made progress in expanding its addressable market and enhancing its value proposition for advisors. Advisory assets increased to 53% of total brokerage and advisory assets at year-end 2021, up from 51% at year-end 2020, and advisors increased their use of both the Company’s corporate advisory and centrally managed platforms, which benefit the Company’s gross profit and return on assets over time. The Company’s asset growth and mix shift, combined with expense discipline, led to solid financial performance despite short-term interest rates that remained persistently low throughout 2021.</w:t>
      </w:r>
    </w:p>
    <w:p>
      <w:pPr>
        <w:spacing w:after="0" w:line="158"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The Company’s gross profit was $2.45 billion for 2021, an increase of 17% from 2020. Core general and administrative expense (“Core G&amp;A”) was $1.06 billion, which was within the Company’s target range for 2021 and an increase of 14% year-over-year, including costs related to the Waddell &amp; Reed Acquisition. The gross profit and Core G&amp;A results contributed to EBITDA of $936 million and Adjusted EBITDA of $1.05 billion, increases of 3% and 11% year-over-year, respectively. Gross profit, Core G&amp;A, EBITDA and Adjusted EBITDA are non-GAAP financial measures that are described under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in Appendix A. The Company’s solid financial performance in 2021 was reflected in share price appreciation of 54% over the 12-month period. For additional discussion and analysis of the Company’s 2021 financial performance, please refer to the Annual Report.</w:t>
      </w:r>
    </w:p>
    <w:p>
      <w:pPr>
        <w:spacing w:after="0" w:line="115" w:lineRule="exact"/>
        <w:rPr>
          <w:sz w:val="20"/>
          <w:szCs w:val="20"/>
          <w:color w:val="auto"/>
        </w:rPr>
      </w:pPr>
    </w:p>
    <w:p>
      <w:pPr>
        <w:ind w:left="1000" w:hanging="690"/>
        <w:spacing w:after="0"/>
        <w:tabs>
          <w:tab w:leader="none" w:pos="1000" w:val="left"/>
        </w:tabs>
        <w:numPr>
          <w:ilvl w:val="0"/>
          <w:numId w:val="45"/>
        </w:numPr>
        <w:rPr>
          <w:rFonts w:ascii="Arial" w:cs="Arial" w:eastAsia="Arial" w:hAnsi="Arial"/>
          <w:sz w:val="18"/>
          <w:szCs w:val="18"/>
          <w:color w:val="050A54"/>
        </w:rPr>
      </w:pPr>
      <w:r>
        <w:rPr>
          <w:rFonts w:ascii="Arial" w:cs="Arial" w:eastAsia="Arial" w:hAnsi="Arial"/>
          <w:sz w:val="18"/>
          <w:szCs w:val="18"/>
          <w:b w:val="1"/>
          <w:bCs w:val="1"/>
          <w:color w:val="050A54"/>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-118745</wp:posOffset>
            </wp:positionV>
            <wp:extent cx="8255" cy="135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120"/>
        <w:spacing w:after="0"/>
        <w:rPr>
          <w:sz w:val="20"/>
          <w:szCs w:val="20"/>
          <w:color w:val="auto"/>
        </w:rPr>
      </w:pPr>
      <w:r>
        <w:rPr>
          <w:rFonts w:ascii="Arial" w:cs="Arial" w:eastAsia="Arial" w:hAnsi="Arial"/>
          <w:sz w:val="20"/>
          <w:szCs w:val="20"/>
          <w:b w:val="1"/>
          <w:bCs w:val="1"/>
          <w:color w:val="050A54"/>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3"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As discussed below, the Compensation Committee determined that the Company’s financial performance for 2021 exceeded target goals and the 2021 OKRs were collectively achieved at target goals. As a result, the 2021 bonus pool was funded above target level and the annual cash bonus awards to our NEOs (as well as to our other executive officers and employees) were generally paid at target level, or above target level for high performing employees, including our NEOs. This approach is consistent with our compensation philosophy and past practice.</w:t>
      </w:r>
    </w:p>
    <w:p>
      <w:pPr>
        <w:spacing w:after="0" w:line="262" w:lineRule="exact"/>
        <w:rPr>
          <w:sz w:val="20"/>
          <w:szCs w:val="20"/>
          <w:color w:val="auto"/>
        </w:rPr>
      </w:pPr>
    </w:p>
    <w:p>
      <w:pPr>
        <w:jc w:val="center"/>
        <w:ind w:left="5560"/>
        <w:spacing w:after="0"/>
        <w:rPr>
          <w:sz w:val="20"/>
          <w:szCs w:val="20"/>
          <w:color w:val="auto"/>
        </w:rPr>
      </w:pPr>
      <w:r>
        <w:rPr>
          <w:rFonts w:ascii="Arial" w:cs="Arial" w:eastAsia="Arial" w:hAnsi="Arial"/>
          <w:sz w:val="18"/>
          <w:szCs w:val="18"/>
          <w:b w:val="1"/>
          <w:bCs w:val="1"/>
          <w:color w:val="050A54"/>
        </w:rPr>
        <w:t>Total Advisory and Brokerage Assets</w:t>
      </w:r>
    </w:p>
    <w:p>
      <w:pPr>
        <w:spacing w:after="0" w:line="12" w:lineRule="exact"/>
        <w:rPr>
          <w:sz w:val="20"/>
          <w:szCs w:val="20"/>
          <w:color w:val="auto"/>
        </w:rPr>
      </w:pPr>
    </w:p>
    <w:p>
      <w:pPr>
        <w:jc w:val="center"/>
        <w:ind w:left="5560"/>
        <w:spacing w:after="0"/>
        <w:rPr>
          <w:sz w:val="20"/>
          <w:szCs w:val="20"/>
          <w:color w:val="auto"/>
        </w:rPr>
      </w:pPr>
      <w:r>
        <w:rPr>
          <w:rFonts w:ascii="Arial" w:cs="Arial" w:eastAsia="Arial" w:hAnsi="Arial"/>
          <w:sz w:val="18"/>
          <w:szCs w:val="18"/>
          <w:b w:val="1"/>
          <w:bCs w:val="1"/>
          <w:color w:val="050A54"/>
        </w:rPr>
        <w:t>($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149225</wp:posOffset>
            </wp:positionV>
            <wp:extent cx="1817370" cy="12141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817370" cy="121412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310" w:lineRule="exact"/>
        <w:rPr>
          <w:sz w:val="20"/>
          <w:szCs w:val="20"/>
          <w:color w:val="auto"/>
        </w:rPr>
      </w:pPr>
    </w:p>
    <w:p>
      <w:pPr>
        <w:jc w:val="both"/>
        <w:ind w:left="180" w:right="1580"/>
        <w:spacing w:after="0" w:line="239" w:lineRule="auto"/>
        <w:rPr>
          <w:sz w:val="20"/>
          <w:szCs w:val="20"/>
          <w:color w:val="auto"/>
        </w:rPr>
      </w:pPr>
      <w:r>
        <w:rPr>
          <w:rFonts w:ascii="Arial" w:cs="Arial" w:eastAsia="Arial" w:hAnsi="Arial"/>
          <w:sz w:val="18"/>
          <w:szCs w:val="18"/>
          <w:color w:val="auto"/>
        </w:rPr>
        <w:t>Total advisory and brokerage assets, which reflect net new assets in addition to market movement, were $1,206 billion as of December 31, 2021, a 34% increase from the prior year-end balance of $903 billion. Total net new assets in 2021 were $190.0 billion, including $71.2 billion from the Waddell &amp; Reed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160" w:right="1580"/>
        <w:spacing w:after="0" w:line="239" w:lineRule="auto"/>
        <w:rPr>
          <w:sz w:val="20"/>
          <w:szCs w:val="20"/>
          <w:color w:val="auto"/>
        </w:rPr>
      </w:pPr>
      <w:r>
        <w:rPr>
          <w:rFonts w:ascii="Arial" w:cs="Arial" w:eastAsia="Arial" w:hAnsi="Arial"/>
          <w:sz w:val="18"/>
          <w:szCs w:val="18"/>
          <w:color w:val="auto"/>
        </w:rPr>
        <w:t>As of December 31, 2021, advisory assets, which are a component of total advisory and brokerage assets, had grown to $643 billion, up 39% from the prior year, and represented 53% of total advisory and brokerage assets at year-end. Corporate advisory assets grew 47% and centrally managed assets grew 43%, in each case year-over-year.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80"/>
        <w:spacing w:after="0"/>
        <w:rPr>
          <w:sz w:val="20"/>
          <w:szCs w:val="20"/>
          <w:color w:val="auto"/>
        </w:rPr>
      </w:pPr>
      <w:r>
        <w:rPr>
          <w:rFonts w:ascii="Arial" w:cs="Arial" w:eastAsia="Arial" w:hAnsi="Arial"/>
          <w:sz w:val="17"/>
          <w:szCs w:val="17"/>
          <w:b w:val="1"/>
          <w:bCs w:val="1"/>
          <w:color w:val="050A54"/>
        </w:rPr>
        <w:t>Advisory Assets</w:t>
      </w:r>
    </w:p>
    <w:p>
      <w:pPr>
        <w:spacing w:after="0" w:line="23" w:lineRule="exact"/>
        <w:rPr>
          <w:sz w:val="20"/>
          <w:szCs w:val="20"/>
          <w:color w:val="auto"/>
        </w:rPr>
      </w:pPr>
    </w:p>
    <w:p>
      <w:pPr>
        <w:jc w:val="center"/>
        <w:ind w:right="1980"/>
        <w:spacing w:after="0"/>
        <w:rPr>
          <w:sz w:val="20"/>
          <w:szCs w:val="20"/>
          <w:color w:val="auto"/>
        </w:rPr>
      </w:pPr>
      <w:r>
        <w:rPr>
          <w:rFonts w:ascii="Arial" w:cs="Arial" w:eastAsia="Arial" w:hAnsi="Arial"/>
          <w:sz w:val="18"/>
          <w:szCs w:val="18"/>
          <w:b w:val="1"/>
          <w:bCs w:val="1"/>
          <w:color w:val="050A54"/>
        </w:rPr>
        <w:t>($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149225</wp:posOffset>
            </wp:positionV>
            <wp:extent cx="1817370" cy="12141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817370" cy="1214120"/>
                    </a:xfrm>
                    <a:prstGeom prst="rect">
                      <a:avLst/>
                    </a:prstGeom>
                    <a:noFill/>
                  </pic:spPr>
                </pic:pic>
              </a:graphicData>
            </a:graphic>
          </wp:anchor>
        </w:drawing>
      </w:r>
    </w:p>
    <w:p>
      <w:pPr>
        <w:spacing w:after="0" w:line="1225" w:lineRule="exact"/>
        <w:rPr>
          <w:sz w:val="20"/>
          <w:szCs w:val="20"/>
          <w:color w:val="auto"/>
        </w:rPr>
      </w:pPr>
    </w:p>
    <w:p>
      <w:pPr>
        <w:sectPr>
          <w:pgSz w:w="11900" w:h="16838" w:orient="portrait"/>
          <w:cols w:equalWidth="0" w:num="2">
            <w:col w:w="6980" w:space="720"/>
            <w:col w:w="3380"/>
          </w:cols>
          <w:pgMar w:left="320" w:top="454"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050A54"/>
        </w:rPr>
        <w:t>Gross Profit</w:t>
      </w:r>
    </w:p>
    <w:p>
      <w:pPr>
        <w:spacing w:after="0" w:line="12" w:lineRule="exact"/>
        <w:rPr>
          <w:sz w:val="20"/>
          <w:szCs w:val="20"/>
          <w:color w:val="auto"/>
        </w:rPr>
      </w:pPr>
    </w:p>
    <w:p>
      <w:pPr>
        <w:ind w:left="160"/>
        <w:spacing w:after="0"/>
        <w:tabs>
          <w:tab w:leader="none" w:pos="7820" w:val="left"/>
        </w:tabs>
        <w:rPr>
          <w:sz w:val="20"/>
          <w:szCs w:val="20"/>
          <w:color w:val="auto"/>
        </w:rPr>
      </w:pPr>
      <w:r>
        <w:rPr>
          <w:rFonts w:ascii="Arial" w:cs="Arial" w:eastAsia="Arial" w:hAnsi="Arial"/>
          <w:sz w:val="18"/>
          <w:szCs w:val="18"/>
          <w:color w:val="auto"/>
        </w:rPr>
        <w:t>Gross profit increased to $2.45 billion in 2021, up 17% from the</w:t>
      </w:r>
      <w:r>
        <w:rPr>
          <w:sz w:val="20"/>
          <w:szCs w:val="20"/>
          <w:color w:val="auto"/>
        </w:rPr>
        <w:tab/>
      </w:r>
      <w:r>
        <w:rPr>
          <w:rFonts w:ascii="Arial" w:cs="Arial" w:eastAsia="Arial" w:hAnsi="Arial"/>
          <w:sz w:val="17"/>
          <w:szCs w:val="17"/>
          <w:b w:val="1"/>
          <w:bCs w:val="1"/>
          <w:color w:val="050A54"/>
        </w:rPr>
        <w:t>($ in millions)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prior year, primarily driven by an increase in total revenue as a</w:t>
      </w:r>
    </w:p>
    <w:p>
      <w:pPr>
        <w:ind w:left="160"/>
        <w:spacing w:after="0"/>
        <w:rPr>
          <w:sz w:val="20"/>
          <w:szCs w:val="20"/>
          <w:color w:val="auto"/>
        </w:rPr>
      </w:pPr>
      <w:r>
        <w:rPr>
          <w:rFonts w:ascii="Arial" w:cs="Arial" w:eastAsia="Arial" w:hAnsi="Arial"/>
          <w:sz w:val="18"/>
          <w:szCs w:val="18"/>
          <w:color w:val="auto"/>
        </w:rPr>
        <w:t>result of an increase in net new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-113030</wp:posOffset>
            </wp:positionV>
            <wp:extent cx="1817370" cy="12141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817370" cy="1214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8500" w:type="dxa"/>
        <w:tblCellMar>
          <w:top w:w="0" w:type="dxa"/>
          <w:left w:w="0" w:type="dxa"/>
          <w:bottom w:w="0" w:type="dxa"/>
          <w:right w:w="0" w:type="dxa"/>
        </w:tblCellMar>
      </w:tblPr>
      <w:tr>
        <w:trPr>
          <w:trHeight w:val="233"/>
        </w:trPr>
        <w:tc>
          <w:tcPr>
            <w:tcW w:w="2060" w:type="dxa"/>
            <w:vAlign w:val="bottom"/>
            <w:tcBorders>
              <w:right w:val="single" w:sz="8" w:color="050A54"/>
            </w:tcBorders>
          </w:tcPr>
          <w:p>
            <w:pPr>
              <w:spacing w:after="0"/>
              <w:rPr>
                <w:sz w:val="20"/>
                <w:szCs w:val="20"/>
                <w:color w:val="auto"/>
              </w:rPr>
            </w:pPr>
            <w:r>
              <w:rPr>
                <w:rFonts w:ascii="Arial" w:cs="Arial" w:eastAsia="Arial" w:hAnsi="Arial"/>
                <w:sz w:val="18"/>
                <w:szCs w:val="18"/>
                <w:b w:val="1"/>
                <w:bCs w:val="1"/>
                <w:color w:val="050A54"/>
              </w:rPr>
              <w:t>2022 Proxy Statement</w:t>
            </w:r>
          </w:p>
        </w:tc>
        <w:tc>
          <w:tcPr>
            <w:tcW w:w="520" w:type="dxa"/>
            <w:vAlign w:val="bottom"/>
          </w:tcPr>
          <w:p>
            <w:pPr>
              <w:jc w:val="right"/>
              <w:spacing w:after="0"/>
              <w:rPr>
                <w:sz w:val="20"/>
                <w:szCs w:val="20"/>
                <w:color w:val="auto"/>
              </w:rPr>
            </w:pPr>
            <w:r>
              <w:rPr>
                <w:rFonts w:ascii="Arial" w:cs="Arial" w:eastAsia="Arial" w:hAnsi="Arial"/>
                <w:sz w:val="18"/>
                <w:szCs w:val="18"/>
                <w:color w:val="050A54"/>
              </w:rPr>
              <w:t>31</w:t>
            </w:r>
          </w:p>
        </w:tc>
      </w:tr>
    </w:tbl>
    <w:p>
      <w:pPr>
        <w:sectPr>
          <w:pgSz w:w="11900" w:h="16838" w:orient="portrait"/>
          <w:cols w:equalWidth="0" w:num="1">
            <w:col w:w="11080"/>
          </w:cols>
          <w:pgMar w:left="320" w:top="454" w:right="499" w:bottom="1440" w:gutter="0" w:footer="0" w:header="0"/>
          <w:type w:val="continuous"/>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120"/>
        <w:spacing w:after="0"/>
        <w:rPr>
          <w:sz w:val="20"/>
          <w:szCs w:val="20"/>
          <w:color w:val="auto"/>
        </w:rPr>
      </w:pPr>
      <w:r>
        <w:rPr>
          <w:rFonts w:ascii="Arial" w:cs="Arial" w:eastAsia="Arial" w:hAnsi="Arial"/>
          <w:sz w:val="20"/>
          <w:szCs w:val="20"/>
          <w:b w:val="1"/>
          <w:bCs w:val="1"/>
          <w:color w:val="050A54"/>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980"/>
          </w:cols>
          <w:pgMar w:left="320" w:top="454" w:right="59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both"/>
        <w:ind w:left="160" w:right="600"/>
        <w:spacing w:after="0" w:line="243" w:lineRule="auto"/>
        <w:rPr>
          <w:sz w:val="20"/>
          <w:szCs w:val="20"/>
          <w:color w:val="auto"/>
        </w:rPr>
      </w:pPr>
      <w:r>
        <w:rPr>
          <w:rFonts w:ascii="Arial" w:cs="Arial" w:eastAsia="Arial" w:hAnsi="Arial"/>
          <w:sz w:val="18"/>
          <w:szCs w:val="18"/>
          <w:color w:val="auto"/>
        </w:rPr>
        <w:t>The increase in the Company’s gross profit outpaced the increase in Core G&amp;A, leading to Adjusted EBITDA of $1.05 billion. This result was up 11% year-over-year and above our 2021 performance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60" w:right="600"/>
        <w:spacing w:after="0" w:line="239" w:lineRule="auto"/>
        <w:rPr>
          <w:sz w:val="20"/>
          <w:szCs w:val="20"/>
          <w:color w:val="auto"/>
        </w:rPr>
      </w:pPr>
      <w:r>
        <w:rPr>
          <w:rFonts w:ascii="Arial" w:cs="Arial" w:eastAsia="Arial" w:hAnsi="Arial"/>
          <w:sz w:val="18"/>
          <w:szCs w:val="18"/>
          <w:color w:val="auto"/>
        </w:rPr>
        <w:t>Capital was returned to shareholders in 2021 through $80 million of dividends and $90 million of share repurchases. These shareholder capital returns of $170 million translated to $2.08 per diluted share. After suspending share repurchases in early 2020 in light of the pandemic, the Company resumed share repurchases in the third quarter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1154430</wp:posOffset>
            </wp:positionV>
            <wp:extent cx="6929755" cy="2802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29755" cy="2802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050A54"/>
        </w:rPr>
        <w:t>Adjusted EBITDA</w:t>
      </w:r>
    </w:p>
    <w:p>
      <w:pPr>
        <w:spacing w:after="0" w:line="12"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050A54"/>
        </w:rPr>
        <w:t>($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050A54"/>
        </w:rPr>
        <w:t>Capital Returned to Shareholders</w:t>
      </w:r>
    </w:p>
    <w:p>
      <w:pPr>
        <w:spacing w:after="0" w:line="12" w:lineRule="exact"/>
        <w:rPr>
          <w:sz w:val="20"/>
          <w:szCs w:val="20"/>
          <w:color w:val="auto"/>
        </w:rPr>
      </w:pPr>
    </w:p>
    <w:p>
      <w:pPr>
        <w:jc w:val="center"/>
        <w:ind w:right="900"/>
        <w:spacing w:after="0"/>
        <w:rPr>
          <w:sz w:val="20"/>
          <w:szCs w:val="20"/>
          <w:color w:val="auto"/>
        </w:rPr>
      </w:pPr>
      <w:r>
        <w:rPr>
          <w:rFonts w:ascii="Arial" w:cs="Arial" w:eastAsia="Arial" w:hAnsi="Arial"/>
          <w:sz w:val="17"/>
          <w:szCs w:val="17"/>
          <w:b w:val="1"/>
          <w:bCs w:val="1"/>
          <w:color w:val="050A54"/>
        </w:rPr>
        <w:t>($ in millions, except amount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156845</wp:posOffset>
            </wp:positionV>
            <wp:extent cx="1868170" cy="14097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868170" cy="1409700"/>
                    </a:xfrm>
                    <a:prstGeom prst="rect">
                      <a:avLst/>
                    </a:prstGeom>
                    <a:noFill/>
                  </pic:spPr>
                </pic:pic>
              </a:graphicData>
            </a:graphic>
          </wp:anchor>
        </w:drawing>
      </w:r>
    </w:p>
    <w:p>
      <w:pPr>
        <w:spacing w:after="0" w:line="1236" w:lineRule="exact"/>
        <w:rPr>
          <w:sz w:val="20"/>
          <w:szCs w:val="20"/>
          <w:color w:val="auto"/>
        </w:rPr>
      </w:pPr>
    </w:p>
    <w:p>
      <w:pPr>
        <w:sectPr>
          <w:pgSz w:w="11900" w:h="16838" w:orient="portrait"/>
          <w:cols w:equalWidth="0" w:num="2">
            <w:col w:w="6000" w:space="720"/>
            <w:col w:w="4260"/>
          </w:cols>
          <w:pgMar w:left="320" w:top="454" w:right="5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80"/>
        <w:spacing w:after="0"/>
        <w:rPr>
          <w:sz w:val="20"/>
          <w:szCs w:val="20"/>
          <w:color w:val="auto"/>
        </w:rPr>
      </w:pPr>
      <w:r>
        <w:rPr>
          <w:rFonts w:ascii="Arial" w:cs="Arial" w:eastAsia="Arial" w:hAnsi="Arial"/>
          <w:sz w:val="20"/>
          <w:szCs w:val="20"/>
          <w:b w:val="1"/>
          <w:bCs w:val="1"/>
          <w:i w:val="1"/>
          <w:iCs w:val="1"/>
          <w:color w:val="050A54"/>
        </w:rPr>
        <w:t>Compensation Philosophy</w:t>
      </w:r>
    </w:p>
    <w:p>
      <w:pPr>
        <w:spacing w:after="0" w:line="94" w:lineRule="exact"/>
        <w:rPr>
          <w:sz w:val="20"/>
          <w:szCs w:val="20"/>
          <w:color w:val="auto"/>
        </w:rPr>
      </w:pPr>
    </w:p>
    <w:p>
      <w:pPr>
        <w:jc w:val="both"/>
        <w:ind w:left="280" w:right="20"/>
        <w:spacing w:after="0" w:line="249" w:lineRule="auto"/>
        <w:rPr>
          <w:sz w:val="20"/>
          <w:szCs w:val="20"/>
          <w:color w:val="auto"/>
        </w:rPr>
      </w:pPr>
      <w:r>
        <w:rPr>
          <w:rFonts w:ascii="Arial" w:cs="Arial" w:eastAsia="Arial" w:hAnsi="Arial"/>
          <w:sz w:val="18"/>
          <w:szCs w:val="18"/>
          <w:color w:val="auto"/>
        </w:rPr>
        <w:t>Under the oversight of the Compensation Committee, our executive compensation program rewards sustained positive financial and operating performance. Our executive compensation program is designed to align our executives’ compensation to the performance of the Company while avoiding practices that may create unwarranted risk.</w:t>
      </w:r>
    </w:p>
    <w:p>
      <w:pPr>
        <w:spacing w:after="0" w:line="1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design and operation of our executive compensation program reflect the following basic objectives:</w:t>
      </w:r>
    </w:p>
    <w:p>
      <w:pPr>
        <w:spacing w:after="0" w:line="4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aligning the interests of our executive officers with the interests of our Company and its stakeholders;</w:t>
      </w:r>
    </w:p>
    <w:p>
      <w:pPr>
        <w:spacing w:after="0" w:line="60" w:lineRule="exact"/>
        <w:rPr>
          <w:sz w:val="20"/>
          <w:szCs w:val="20"/>
          <w:color w:val="auto"/>
        </w:rPr>
      </w:pPr>
    </w:p>
    <w:p>
      <w:pPr>
        <w:ind w:left="600" w:firstLine="174"/>
        <w:spacing w:after="0" w:line="271" w:lineRule="auto"/>
        <w:rPr>
          <w:sz w:val="20"/>
          <w:szCs w:val="20"/>
          <w:color w:val="auto"/>
        </w:rPr>
      </w:pPr>
      <w:r>
        <w:rPr>
          <w:rFonts w:ascii="Arial" w:cs="Arial" w:eastAsia="Arial" w:hAnsi="Arial"/>
          <w:sz w:val="18"/>
          <w:szCs w:val="18"/>
          <w:color w:val="auto"/>
        </w:rPr>
        <w:t>linking our executive officers’ compensation to the achievement of both short-term and long-term strategic and operational goals; and</w:t>
      </w:r>
    </w:p>
    <w:p>
      <w:pPr>
        <w:ind w:left="280"/>
        <w:spacing w:after="0"/>
        <w:rPr>
          <w:sz w:val="20"/>
          <w:szCs w:val="20"/>
          <w:color w:val="auto"/>
        </w:rPr>
      </w:pPr>
      <w:r>
        <w:rPr>
          <w:rFonts w:ascii="Arial" w:cs="Arial" w:eastAsia="Arial" w:hAnsi="Arial"/>
          <w:sz w:val="18"/>
          <w:szCs w:val="18"/>
          <w:color w:val="auto"/>
        </w:rPr>
        <w:t>attracting, motivating and retaining highly qualified executive officers who are passionate about the mission of our Company.</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seek to achieve these objectives through the following guiding compensation principles:</w:t>
      </w:r>
    </w:p>
    <w:p>
      <w:pPr>
        <w:spacing w:after="0" w:line="4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paying compensation that is competitive with that offered for similar positions within our peer companies;</w:t>
      </w:r>
    </w:p>
    <w:p>
      <w:pPr>
        <w:spacing w:after="0" w:line="6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striking an appropriate balance between current and long-term compensation as well as cash- and equity-based compensation;</w:t>
      </w:r>
    </w:p>
    <w:p>
      <w:pPr>
        <w:spacing w:after="0" w:line="60" w:lineRule="exact"/>
        <w:rPr>
          <w:sz w:val="20"/>
          <w:szCs w:val="20"/>
          <w:color w:val="auto"/>
        </w:rPr>
      </w:pPr>
    </w:p>
    <w:p>
      <w:pPr>
        <w:ind w:left="600" w:right="20" w:firstLine="187"/>
        <w:spacing w:after="0" w:line="271" w:lineRule="auto"/>
        <w:rPr>
          <w:sz w:val="20"/>
          <w:szCs w:val="20"/>
          <w:color w:val="auto"/>
        </w:rPr>
      </w:pPr>
      <w:r>
        <w:rPr>
          <w:rFonts w:ascii="Arial" w:cs="Arial" w:eastAsia="Arial" w:hAnsi="Arial"/>
          <w:sz w:val="18"/>
          <w:szCs w:val="18"/>
          <w:color w:val="auto"/>
        </w:rPr>
        <w:t>linking short-term and long-term total compensation largely to objective and, to the extent possible, quantifiable performance measures;</w:t>
      </w:r>
    </w:p>
    <w:p>
      <w:pPr>
        <w:ind w:left="780" w:right="1920"/>
        <w:spacing w:after="0" w:line="343" w:lineRule="auto"/>
        <w:rPr>
          <w:sz w:val="20"/>
          <w:szCs w:val="20"/>
          <w:color w:val="auto"/>
        </w:rPr>
      </w:pPr>
      <w:r>
        <w:rPr>
          <w:rFonts w:ascii="Arial" w:cs="Arial" w:eastAsia="Arial" w:hAnsi="Arial"/>
          <w:sz w:val="18"/>
          <w:szCs w:val="18"/>
          <w:color w:val="auto"/>
        </w:rPr>
        <w:t>rewarding Company and business unit performance, as well as individual performance and potential; and using equity-based compensation for a significant portion of total compensation.</w:t>
      </w:r>
    </w:p>
    <w:p>
      <w:pPr>
        <w:spacing w:after="0" w:line="144" w:lineRule="exact"/>
        <w:rPr>
          <w:sz w:val="20"/>
          <w:szCs w:val="20"/>
          <w:color w:val="auto"/>
        </w:rPr>
      </w:pPr>
    </w:p>
    <w:p>
      <w:pPr>
        <w:ind w:left="1000" w:hanging="690"/>
        <w:spacing w:after="0"/>
        <w:tabs>
          <w:tab w:leader="none" w:pos="1000" w:val="left"/>
        </w:tabs>
        <w:numPr>
          <w:ilvl w:val="0"/>
          <w:numId w:val="48"/>
        </w:numPr>
        <w:rPr>
          <w:rFonts w:ascii="Arial" w:cs="Arial" w:eastAsia="Arial" w:hAnsi="Arial"/>
          <w:sz w:val="18"/>
          <w:szCs w:val="18"/>
          <w:color w:val="050A54"/>
        </w:rPr>
      </w:pPr>
      <w:r>
        <w:rPr>
          <w:rFonts w:ascii="Arial" w:cs="Arial" w:eastAsia="Arial" w:hAnsi="Arial"/>
          <w:sz w:val="18"/>
          <w:szCs w:val="18"/>
          <w:b w:val="1"/>
          <w:bCs w:val="1"/>
          <w:color w:val="050A54"/>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-118745</wp:posOffset>
            </wp:positionV>
            <wp:extent cx="8255" cy="135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0980"/>
          </w:cols>
          <w:pgMar w:left="320" w:top="454" w:right="599" w:bottom="1440" w:gutter="0" w:footer="0" w:header="0"/>
          <w:type w:val="continuous"/>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120"/>
        <w:spacing w:after="0"/>
        <w:rPr>
          <w:sz w:val="20"/>
          <w:szCs w:val="20"/>
          <w:color w:val="auto"/>
        </w:rPr>
      </w:pPr>
      <w:r>
        <w:rPr>
          <w:rFonts w:ascii="Arial" w:cs="Arial" w:eastAsia="Arial" w:hAnsi="Arial"/>
          <w:sz w:val="20"/>
          <w:szCs w:val="20"/>
          <w:b w:val="1"/>
          <w:bCs w:val="1"/>
          <w:color w:val="050A54"/>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36264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29755" cy="362648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50A54"/>
        </w:rPr>
        <w:t>Compensation Governance</w:t>
      </w:r>
    </w:p>
    <w:p>
      <w:pPr>
        <w:spacing w:after="0" w:line="54" w:lineRule="exact"/>
        <w:rPr>
          <w:sz w:val="20"/>
          <w:szCs w:val="20"/>
          <w:color w:val="auto"/>
        </w:rPr>
      </w:pPr>
    </w:p>
    <w:p>
      <w:pPr>
        <w:ind w:left="260" w:right="200"/>
        <w:spacing w:after="0" w:line="252" w:lineRule="auto"/>
        <w:rPr>
          <w:sz w:val="20"/>
          <w:szCs w:val="20"/>
          <w:color w:val="auto"/>
        </w:rPr>
      </w:pPr>
      <w:r>
        <w:rPr>
          <w:rFonts w:ascii="Arial" w:cs="Arial" w:eastAsia="Arial" w:hAnsi="Arial"/>
          <w:sz w:val="18"/>
          <w:szCs w:val="18"/>
          <w:color w:val="auto"/>
        </w:rPr>
        <w:t>In order to implement our compensation philosophy, and to promote strong governance and alignment with stakeholder interests, we do the following:</w:t>
      </w:r>
    </w:p>
    <w:p>
      <w:pPr>
        <w:spacing w:after="0" w:line="33" w:lineRule="exact"/>
        <w:rPr>
          <w:sz w:val="20"/>
          <w:szCs w:val="20"/>
          <w:color w:val="auto"/>
        </w:rPr>
      </w:pPr>
    </w:p>
    <w:p>
      <w:pPr>
        <w:ind w:left="360" w:hanging="193"/>
        <w:spacing w:after="0"/>
        <w:tabs>
          <w:tab w:leader="none" w:pos="360" w:val="left"/>
        </w:tabs>
        <w:numPr>
          <w:ilvl w:val="0"/>
          <w:numId w:val="49"/>
        </w:numPr>
        <w:rPr>
          <w:rFonts w:ascii="MS PGothic" w:cs="MS PGothic" w:eastAsia="MS PGothic" w:hAnsi="MS PGothic"/>
          <w:sz w:val="18"/>
          <w:szCs w:val="18"/>
          <w:color w:val="auto"/>
        </w:rPr>
      </w:pPr>
      <w:r>
        <w:rPr>
          <w:rFonts w:ascii="Arial" w:cs="Arial" w:eastAsia="Arial" w:hAnsi="Arial"/>
          <w:sz w:val="18"/>
          <w:szCs w:val="18"/>
          <w:color w:val="auto"/>
        </w:rPr>
        <w:t>maintain a pay mix that weights variable, performance-based compensation more heavily than fixed compensation;</w:t>
      </w:r>
    </w:p>
    <w:p>
      <w:pPr>
        <w:spacing w:after="0" w:line="60" w:lineRule="exact"/>
        <w:rPr>
          <w:rFonts w:ascii="MS PGothic" w:cs="MS PGothic" w:eastAsia="MS PGothic" w:hAnsi="MS PGothic"/>
          <w:sz w:val="18"/>
          <w:szCs w:val="18"/>
          <w:color w:val="auto"/>
        </w:rPr>
      </w:pPr>
    </w:p>
    <w:p>
      <w:pPr>
        <w:ind w:left="360" w:hanging="193"/>
        <w:spacing w:after="0"/>
        <w:tabs>
          <w:tab w:leader="none" w:pos="360" w:val="left"/>
        </w:tabs>
        <w:numPr>
          <w:ilvl w:val="0"/>
          <w:numId w:val="49"/>
        </w:numPr>
        <w:rPr>
          <w:rFonts w:ascii="MS PGothic" w:cs="MS PGothic" w:eastAsia="MS PGothic" w:hAnsi="MS PGothic"/>
          <w:sz w:val="18"/>
          <w:szCs w:val="18"/>
          <w:color w:val="auto"/>
        </w:rPr>
      </w:pPr>
      <w:r>
        <w:rPr>
          <w:rFonts w:ascii="Arial" w:cs="Arial" w:eastAsia="Arial" w:hAnsi="Arial"/>
          <w:sz w:val="18"/>
          <w:szCs w:val="18"/>
          <w:color w:val="auto"/>
        </w:rPr>
        <w:t>maintain stock ownership guidelines for executives;</w:t>
      </w:r>
    </w:p>
    <w:p>
      <w:pPr>
        <w:spacing w:after="0" w:line="47" w:lineRule="exact"/>
        <w:rPr>
          <w:rFonts w:ascii="MS PGothic" w:cs="MS PGothic" w:eastAsia="MS PGothic" w:hAnsi="MS PGothic"/>
          <w:sz w:val="18"/>
          <w:szCs w:val="18"/>
          <w:color w:val="auto"/>
        </w:rPr>
      </w:pPr>
    </w:p>
    <w:p>
      <w:pPr>
        <w:ind w:left="360" w:right="200" w:hanging="193"/>
        <w:spacing w:after="0" w:line="252" w:lineRule="auto"/>
        <w:tabs>
          <w:tab w:leader="none" w:pos="360" w:val="left"/>
        </w:tabs>
        <w:numPr>
          <w:ilvl w:val="0"/>
          <w:numId w:val="49"/>
        </w:numPr>
        <w:rPr>
          <w:rFonts w:ascii="MS PGothic" w:cs="MS PGothic" w:eastAsia="MS PGothic" w:hAnsi="MS PGothic"/>
          <w:sz w:val="18"/>
          <w:szCs w:val="18"/>
          <w:color w:val="auto"/>
        </w:rPr>
      </w:pPr>
      <w:r>
        <w:rPr>
          <w:rFonts w:ascii="Arial" w:cs="Arial" w:eastAsia="Arial" w:hAnsi="Arial"/>
          <w:sz w:val="18"/>
          <w:szCs w:val="18"/>
          <w:color w:val="auto"/>
        </w:rPr>
        <w:t>maintain a compensation claw-back policy that enables the Company to recoup cash and equity incentive compensation from executive officers in the event of certain financial restatements;</w:t>
      </w:r>
    </w:p>
    <w:p>
      <w:pPr>
        <w:spacing w:after="0" w:line="33" w:lineRule="exact"/>
        <w:rPr>
          <w:rFonts w:ascii="MS PGothic" w:cs="MS PGothic" w:eastAsia="MS PGothic" w:hAnsi="MS PGothic"/>
          <w:sz w:val="18"/>
          <w:szCs w:val="18"/>
          <w:color w:val="auto"/>
        </w:rPr>
      </w:pPr>
    </w:p>
    <w:p>
      <w:pPr>
        <w:ind w:left="360" w:hanging="193"/>
        <w:spacing w:after="0"/>
        <w:tabs>
          <w:tab w:leader="none" w:pos="360" w:val="left"/>
        </w:tabs>
        <w:numPr>
          <w:ilvl w:val="0"/>
          <w:numId w:val="49"/>
        </w:numPr>
        <w:rPr>
          <w:rFonts w:ascii="MS PGothic" w:cs="MS PGothic" w:eastAsia="MS PGothic" w:hAnsi="MS PGothic"/>
          <w:sz w:val="18"/>
          <w:szCs w:val="18"/>
          <w:color w:val="auto"/>
        </w:rPr>
      </w:pPr>
      <w:r>
        <w:rPr>
          <w:rFonts w:ascii="Arial" w:cs="Arial" w:eastAsia="Arial" w:hAnsi="Arial"/>
          <w:sz w:val="18"/>
          <w:szCs w:val="18"/>
          <w:color w:val="auto"/>
        </w:rPr>
        <w:t>retain an independent compensation consultant engaged by, and reporting directly to, the Compensation Committee;</w:t>
      </w:r>
    </w:p>
    <w:p>
      <w:pPr>
        <w:spacing w:after="0" w:line="60" w:lineRule="exact"/>
        <w:rPr>
          <w:rFonts w:ascii="MS PGothic" w:cs="MS PGothic" w:eastAsia="MS PGothic" w:hAnsi="MS PGothic"/>
          <w:sz w:val="18"/>
          <w:szCs w:val="18"/>
          <w:color w:val="auto"/>
        </w:rPr>
      </w:pPr>
    </w:p>
    <w:p>
      <w:pPr>
        <w:ind w:left="360" w:hanging="193"/>
        <w:spacing w:after="0"/>
        <w:tabs>
          <w:tab w:leader="none" w:pos="360" w:val="left"/>
        </w:tabs>
        <w:numPr>
          <w:ilvl w:val="0"/>
          <w:numId w:val="49"/>
        </w:numPr>
        <w:rPr>
          <w:rFonts w:ascii="MS PGothic" w:cs="MS PGothic" w:eastAsia="MS PGothic" w:hAnsi="MS PGothic"/>
          <w:sz w:val="18"/>
          <w:szCs w:val="18"/>
          <w:color w:val="auto"/>
        </w:rPr>
      </w:pPr>
      <w:r>
        <w:rPr>
          <w:rFonts w:ascii="Arial" w:cs="Arial" w:eastAsia="Arial" w:hAnsi="Arial"/>
          <w:sz w:val="18"/>
          <w:szCs w:val="18"/>
          <w:color w:val="auto"/>
        </w:rPr>
        <w:t>benchmark executive compensation against peers with which we compete for talent;</w:t>
      </w:r>
    </w:p>
    <w:p>
      <w:pPr>
        <w:spacing w:after="0" w:line="60" w:lineRule="exact"/>
        <w:rPr>
          <w:rFonts w:ascii="MS PGothic" w:cs="MS PGothic" w:eastAsia="MS PGothic" w:hAnsi="MS PGothic"/>
          <w:sz w:val="18"/>
          <w:szCs w:val="18"/>
          <w:color w:val="auto"/>
        </w:rPr>
      </w:pPr>
    </w:p>
    <w:p>
      <w:pPr>
        <w:ind w:left="360" w:hanging="193"/>
        <w:spacing w:after="0"/>
        <w:tabs>
          <w:tab w:leader="none" w:pos="360" w:val="left"/>
        </w:tabs>
        <w:numPr>
          <w:ilvl w:val="0"/>
          <w:numId w:val="49"/>
        </w:numPr>
        <w:rPr>
          <w:rFonts w:ascii="MS PGothic" w:cs="MS PGothic" w:eastAsia="MS PGothic" w:hAnsi="MS PGothic"/>
          <w:sz w:val="18"/>
          <w:szCs w:val="18"/>
          <w:color w:val="auto"/>
        </w:rPr>
      </w:pPr>
      <w:r>
        <w:rPr>
          <w:rFonts w:ascii="Arial" w:cs="Arial" w:eastAsia="Arial" w:hAnsi="Arial"/>
          <w:sz w:val="18"/>
          <w:szCs w:val="18"/>
          <w:color w:val="auto"/>
        </w:rPr>
        <w:t>conduct annual risk assessments of our executive compensation policies and practices;</w:t>
      </w:r>
    </w:p>
    <w:p>
      <w:pPr>
        <w:spacing w:after="0" w:line="60" w:lineRule="exact"/>
        <w:rPr>
          <w:rFonts w:ascii="MS PGothic" w:cs="MS PGothic" w:eastAsia="MS PGothic" w:hAnsi="MS PGothic"/>
          <w:sz w:val="18"/>
          <w:szCs w:val="18"/>
          <w:color w:val="auto"/>
        </w:rPr>
      </w:pPr>
    </w:p>
    <w:p>
      <w:pPr>
        <w:ind w:left="360" w:hanging="193"/>
        <w:spacing w:after="0"/>
        <w:tabs>
          <w:tab w:leader="none" w:pos="360" w:val="left"/>
        </w:tabs>
        <w:numPr>
          <w:ilvl w:val="0"/>
          <w:numId w:val="49"/>
        </w:numPr>
        <w:rPr>
          <w:rFonts w:ascii="MS PGothic" w:cs="MS PGothic" w:eastAsia="MS PGothic" w:hAnsi="MS PGothic"/>
          <w:sz w:val="18"/>
          <w:szCs w:val="18"/>
          <w:color w:val="auto"/>
        </w:rPr>
      </w:pPr>
      <w:r>
        <w:rPr>
          <w:rFonts w:ascii="Arial" w:cs="Arial" w:eastAsia="Arial" w:hAnsi="Arial"/>
          <w:sz w:val="18"/>
          <w:szCs w:val="18"/>
          <w:color w:val="auto"/>
        </w:rPr>
        <w:t>hold an annual stockholder “say on pay” vote; and</w:t>
      </w:r>
    </w:p>
    <w:p>
      <w:pPr>
        <w:spacing w:after="0" w:line="60" w:lineRule="exact"/>
        <w:rPr>
          <w:rFonts w:ascii="MS PGothic" w:cs="MS PGothic" w:eastAsia="MS PGothic" w:hAnsi="MS PGothic"/>
          <w:sz w:val="18"/>
          <w:szCs w:val="18"/>
          <w:color w:val="auto"/>
        </w:rPr>
      </w:pPr>
    </w:p>
    <w:p>
      <w:pPr>
        <w:ind w:left="360" w:hanging="193"/>
        <w:spacing w:after="0"/>
        <w:tabs>
          <w:tab w:leader="none" w:pos="360" w:val="left"/>
        </w:tabs>
        <w:numPr>
          <w:ilvl w:val="0"/>
          <w:numId w:val="49"/>
        </w:numPr>
        <w:rPr>
          <w:rFonts w:ascii="MS PGothic" w:cs="MS PGothic" w:eastAsia="MS PGothic" w:hAnsi="MS PGothic"/>
          <w:sz w:val="18"/>
          <w:szCs w:val="18"/>
          <w:color w:val="auto"/>
        </w:rPr>
      </w:pPr>
      <w:r>
        <w:rPr>
          <w:rFonts w:ascii="Arial" w:cs="Arial" w:eastAsia="Arial" w:hAnsi="Arial"/>
          <w:sz w:val="18"/>
          <w:szCs w:val="18"/>
          <w:color w:val="auto"/>
        </w:rPr>
        <w:t>hold Compensation Committee executive sessions without management present.</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In addition, we </w:t>
      </w:r>
      <w:r>
        <w:rPr>
          <w:rFonts w:ascii="Arial" w:cs="Arial" w:eastAsia="Arial" w:hAnsi="Arial"/>
          <w:sz w:val="18"/>
          <w:szCs w:val="18"/>
          <w:b w:val="1"/>
          <w:bCs w:val="1"/>
          <w:color w:val="auto"/>
        </w:rPr>
        <w:t>do not</w:t>
      </w:r>
      <w:r>
        <w:rPr>
          <w:rFonts w:ascii="Arial" w:cs="Arial" w:eastAsia="Arial" w:hAnsi="Arial"/>
          <w:sz w:val="18"/>
          <w:szCs w:val="18"/>
          <w:color w:val="auto"/>
        </w:rPr>
        <w:t xml:space="preserve"> do the following:</w:t>
      </w:r>
    </w:p>
    <w:p>
      <w:pPr>
        <w:spacing w:after="0" w:line="60" w:lineRule="exact"/>
        <w:rPr>
          <w:sz w:val="20"/>
          <w:szCs w:val="20"/>
          <w:color w:val="auto"/>
        </w:rPr>
      </w:pPr>
    </w:p>
    <w:p>
      <w:pPr>
        <w:ind w:left="360" w:hanging="193"/>
        <w:spacing w:after="0"/>
        <w:tabs>
          <w:tab w:leader="none" w:pos="360" w:val="left"/>
        </w:tabs>
        <w:numPr>
          <w:ilvl w:val="0"/>
          <w:numId w:val="50"/>
        </w:numPr>
        <w:rPr>
          <w:rFonts w:ascii="MS PGothic" w:cs="MS PGothic" w:eastAsia="MS PGothic" w:hAnsi="MS PGothic"/>
          <w:sz w:val="18"/>
          <w:szCs w:val="18"/>
          <w:color w:val="auto"/>
        </w:rPr>
      </w:pPr>
      <w:r>
        <w:rPr>
          <w:rFonts w:ascii="Arial" w:cs="Arial" w:eastAsia="Arial" w:hAnsi="Arial"/>
          <w:sz w:val="18"/>
          <w:szCs w:val="18"/>
          <w:color w:val="auto"/>
        </w:rPr>
        <w:t>re-price stock options without stockholder approval;</w:t>
      </w:r>
    </w:p>
    <w:p>
      <w:pPr>
        <w:spacing w:after="0" w:line="60" w:lineRule="exact"/>
        <w:rPr>
          <w:rFonts w:ascii="MS PGothic" w:cs="MS PGothic" w:eastAsia="MS PGothic" w:hAnsi="MS PGothic"/>
          <w:sz w:val="18"/>
          <w:szCs w:val="18"/>
          <w:color w:val="auto"/>
        </w:rPr>
      </w:pPr>
    </w:p>
    <w:p>
      <w:pPr>
        <w:ind w:left="360" w:hanging="193"/>
        <w:spacing w:after="0"/>
        <w:tabs>
          <w:tab w:leader="none" w:pos="360" w:val="left"/>
        </w:tabs>
        <w:numPr>
          <w:ilvl w:val="0"/>
          <w:numId w:val="50"/>
        </w:numPr>
        <w:rPr>
          <w:rFonts w:ascii="MS PGothic" w:cs="MS PGothic" w:eastAsia="MS PGothic" w:hAnsi="MS PGothic"/>
          <w:sz w:val="18"/>
          <w:szCs w:val="18"/>
          <w:color w:val="auto"/>
        </w:rPr>
      </w:pPr>
      <w:r>
        <w:rPr>
          <w:rFonts w:ascii="Arial" w:cs="Arial" w:eastAsia="Arial" w:hAnsi="Arial"/>
          <w:sz w:val="18"/>
          <w:szCs w:val="18"/>
          <w:color w:val="auto"/>
        </w:rPr>
        <w:t>permit hedging transactions or short sales by executives;</w:t>
      </w:r>
    </w:p>
    <w:p>
      <w:pPr>
        <w:spacing w:after="0" w:line="60" w:lineRule="exact"/>
        <w:rPr>
          <w:rFonts w:ascii="MS PGothic" w:cs="MS PGothic" w:eastAsia="MS PGothic" w:hAnsi="MS PGothic"/>
          <w:sz w:val="18"/>
          <w:szCs w:val="18"/>
          <w:color w:val="auto"/>
        </w:rPr>
      </w:pPr>
    </w:p>
    <w:p>
      <w:pPr>
        <w:ind w:left="360" w:hanging="193"/>
        <w:spacing w:after="0"/>
        <w:tabs>
          <w:tab w:leader="none" w:pos="360" w:val="left"/>
        </w:tabs>
        <w:numPr>
          <w:ilvl w:val="0"/>
          <w:numId w:val="50"/>
        </w:numPr>
        <w:rPr>
          <w:rFonts w:ascii="MS PGothic" w:cs="MS PGothic" w:eastAsia="MS PGothic" w:hAnsi="MS PGothic"/>
          <w:sz w:val="18"/>
          <w:szCs w:val="18"/>
          <w:color w:val="auto"/>
        </w:rPr>
      </w:pPr>
      <w:r>
        <w:rPr>
          <w:rFonts w:ascii="Arial" w:cs="Arial" w:eastAsia="Arial" w:hAnsi="Arial"/>
          <w:sz w:val="18"/>
          <w:szCs w:val="18"/>
          <w:color w:val="auto"/>
        </w:rPr>
        <w:t>permit pledging or holding company stock in a margin account by executives;</w:t>
      </w:r>
    </w:p>
    <w:p>
      <w:pPr>
        <w:spacing w:after="0" w:line="60" w:lineRule="exact"/>
        <w:rPr>
          <w:rFonts w:ascii="MS PGothic" w:cs="MS PGothic" w:eastAsia="MS PGothic" w:hAnsi="MS PGothic"/>
          <w:sz w:val="18"/>
          <w:szCs w:val="18"/>
          <w:color w:val="auto"/>
        </w:rPr>
      </w:pPr>
    </w:p>
    <w:p>
      <w:pPr>
        <w:ind w:left="360" w:hanging="193"/>
        <w:spacing w:after="0"/>
        <w:tabs>
          <w:tab w:leader="none" w:pos="360" w:val="left"/>
        </w:tabs>
        <w:numPr>
          <w:ilvl w:val="0"/>
          <w:numId w:val="50"/>
        </w:numPr>
        <w:rPr>
          <w:rFonts w:ascii="MS PGothic" w:cs="MS PGothic" w:eastAsia="MS PGothic" w:hAnsi="MS PGothic"/>
          <w:sz w:val="18"/>
          <w:szCs w:val="18"/>
          <w:color w:val="auto"/>
        </w:rPr>
      </w:pPr>
      <w:r>
        <w:rPr>
          <w:rFonts w:ascii="Arial" w:cs="Arial" w:eastAsia="Arial" w:hAnsi="Arial"/>
          <w:sz w:val="18"/>
          <w:szCs w:val="18"/>
          <w:color w:val="auto"/>
        </w:rPr>
        <w:t>enter into individual employment agreements;</w:t>
      </w:r>
    </w:p>
    <w:p>
      <w:pPr>
        <w:spacing w:after="0" w:line="60" w:lineRule="exact"/>
        <w:rPr>
          <w:rFonts w:ascii="MS PGothic" w:cs="MS PGothic" w:eastAsia="MS PGothic" w:hAnsi="MS PGothic"/>
          <w:sz w:val="18"/>
          <w:szCs w:val="18"/>
          <w:color w:val="auto"/>
        </w:rPr>
      </w:pPr>
    </w:p>
    <w:p>
      <w:pPr>
        <w:ind w:left="360" w:hanging="193"/>
        <w:spacing w:after="0"/>
        <w:tabs>
          <w:tab w:leader="none" w:pos="360" w:val="left"/>
        </w:tabs>
        <w:numPr>
          <w:ilvl w:val="0"/>
          <w:numId w:val="50"/>
        </w:numPr>
        <w:rPr>
          <w:rFonts w:ascii="MS PGothic" w:cs="MS PGothic" w:eastAsia="MS PGothic" w:hAnsi="MS PGothic"/>
          <w:sz w:val="18"/>
          <w:szCs w:val="18"/>
          <w:color w:val="auto"/>
        </w:rPr>
      </w:pPr>
      <w:r>
        <w:rPr>
          <w:rFonts w:ascii="Arial" w:cs="Arial" w:eastAsia="Arial" w:hAnsi="Arial"/>
          <w:sz w:val="18"/>
          <w:szCs w:val="18"/>
          <w:color w:val="auto"/>
        </w:rPr>
        <w:t>provide excise tax gross-ups to executives; or</w:t>
      </w:r>
    </w:p>
    <w:p>
      <w:pPr>
        <w:spacing w:after="0" w:line="47" w:lineRule="exact"/>
        <w:rPr>
          <w:rFonts w:ascii="MS PGothic" w:cs="MS PGothic" w:eastAsia="MS PGothic" w:hAnsi="MS PGothic"/>
          <w:sz w:val="18"/>
          <w:szCs w:val="18"/>
          <w:color w:val="auto"/>
        </w:rPr>
      </w:pPr>
    </w:p>
    <w:p>
      <w:pPr>
        <w:ind w:left="360" w:right="200" w:hanging="193"/>
        <w:spacing w:after="0" w:line="265" w:lineRule="auto"/>
        <w:tabs>
          <w:tab w:leader="none" w:pos="360" w:val="left"/>
        </w:tabs>
        <w:numPr>
          <w:ilvl w:val="0"/>
          <w:numId w:val="50"/>
        </w:numPr>
        <w:rPr>
          <w:rFonts w:ascii="MS PGothic" w:cs="MS PGothic" w:eastAsia="MS PGothic" w:hAnsi="MS PGothic"/>
          <w:sz w:val="18"/>
          <w:szCs w:val="18"/>
          <w:color w:val="auto"/>
        </w:rPr>
      </w:pPr>
      <w:r>
        <w:rPr>
          <w:rFonts w:ascii="Arial" w:cs="Arial" w:eastAsia="Arial" w:hAnsi="Arial"/>
          <w:sz w:val="18"/>
          <w:szCs w:val="18"/>
          <w:color w:val="auto"/>
        </w:rPr>
        <w:t>grant “spring-loaded” equity awards, which deliberately take advantage of material non-public information to enhance the value awarded to recipients.</w:t>
      </w:r>
    </w:p>
    <w:p>
      <w:pPr>
        <w:spacing w:after="0" w:line="265"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We have designed our compensation practices to align with competitive market practices, strengthen the alignment between compensation paid and Company performance, and provide greater transparency for our employees and investors. These practices are discussed below.</w:t>
      </w:r>
    </w:p>
    <w:p>
      <w:pPr>
        <w:sectPr>
          <w:pgSz w:w="11900" w:h="16838" w:orient="portrait"/>
          <w:cols w:equalWidth="0" w:num="1">
            <w:col w:w="11080"/>
          </w:cols>
          <w:pgMar w:left="320" w:top="454" w:right="499" w:bottom="1440" w:gutter="0" w:footer="0" w:header="0"/>
        </w:sectPr>
      </w:pPr>
    </w:p>
    <w:p>
      <w:pPr>
        <w:spacing w:after="0" w:line="36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Components of Compensation</w:t>
      </w:r>
    </w:p>
    <w:p>
      <w:pPr>
        <w:spacing w:after="0" w:line="96"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color w:val="auto"/>
        </w:rPr>
        <w:t>The core components of our executive compensation program are:</w:t>
      </w:r>
    </w:p>
    <w:p>
      <w:pPr>
        <w:spacing w:after="0" w:line="6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base salary;</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annual cash bonus awards;</w:t>
      </w:r>
    </w:p>
    <w:p>
      <w:pPr>
        <w:spacing w:after="0" w:line="73" w:lineRule="exact"/>
        <w:rPr>
          <w:sz w:val="20"/>
          <w:szCs w:val="20"/>
          <w:color w:val="auto"/>
        </w:rPr>
      </w:pPr>
    </w:p>
    <w:p>
      <w:pPr>
        <w:ind w:left="520" w:right="1280"/>
        <w:spacing w:after="0" w:line="393" w:lineRule="auto"/>
        <w:rPr>
          <w:sz w:val="20"/>
          <w:szCs w:val="20"/>
          <w:color w:val="auto"/>
        </w:rPr>
      </w:pPr>
      <w:r>
        <w:rPr>
          <w:rFonts w:ascii="Arial" w:cs="Arial" w:eastAsia="Arial" w:hAnsi="Arial"/>
          <w:sz w:val="17"/>
          <w:szCs w:val="17"/>
          <w:color w:val="auto"/>
        </w:rPr>
        <w:t>long-term equity incentive (“LTI”) awards; and severance and change-in-control benefits.</w:t>
      </w:r>
    </w:p>
    <w:p>
      <w:pPr>
        <w:spacing w:after="0" w:line="42" w:lineRule="exact"/>
        <w:rPr>
          <w:sz w:val="20"/>
          <w:szCs w:val="20"/>
          <w:color w:val="auto"/>
        </w:rPr>
      </w:pPr>
    </w:p>
    <w:p>
      <w:pPr>
        <w:jc w:val="both"/>
        <w:ind w:left="160"/>
        <w:spacing w:after="0" w:line="262" w:lineRule="auto"/>
        <w:rPr>
          <w:sz w:val="20"/>
          <w:szCs w:val="20"/>
          <w:color w:val="auto"/>
        </w:rPr>
      </w:pPr>
      <w:r>
        <w:rPr>
          <w:rFonts w:ascii="Arial" w:cs="Arial" w:eastAsia="Arial" w:hAnsi="Arial"/>
          <w:sz w:val="17"/>
          <w:szCs w:val="17"/>
          <w:color w:val="auto"/>
        </w:rPr>
        <w:t>The Compensation Committee retains flexibility to determine the appropriate level and mix of the various compensation components consistent with our business needs. The mix of compensation components is intended to provide our NEOs with a</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competitive total compensation package that both rewards short-term results and drives long-term corporate performance.</w:t>
      </w:r>
    </w:p>
    <w:p>
      <w:pPr>
        <w:spacing w:after="0" w:line="13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variable compensation components consist of: (1) annual cash bonus awards that incentivize our NEOs to achieve pre-determined annual Company goals and individual performance with respect to such Company goals and (2) long-term equity incentive awards that incentivize our NEOs to increase stockholder value over a sustained period of time and to achieve pre-determined long-term Company performance goals, which align the interests of our NEOs with the interests of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2760" w:type="dxa"/>
        <w:tblCellMar>
          <w:top w:w="0" w:type="dxa"/>
          <w:left w:w="0" w:type="dxa"/>
          <w:bottom w:w="0" w:type="dxa"/>
          <w:right w:w="0" w:type="dxa"/>
        </w:tblCellMar>
      </w:tblPr>
      <w:tr>
        <w:trPr>
          <w:trHeight w:val="233"/>
        </w:trPr>
        <w:tc>
          <w:tcPr>
            <w:tcW w:w="2060" w:type="dxa"/>
            <w:vAlign w:val="bottom"/>
            <w:tcBorders>
              <w:right w:val="single" w:sz="8" w:color="050A54"/>
            </w:tcBorders>
          </w:tcPr>
          <w:p>
            <w:pPr>
              <w:spacing w:after="0"/>
              <w:rPr>
                <w:sz w:val="20"/>
                <w:szCs w:val="20"/>
                <w:color w:val="auto"/>
              </w:rPr>
            </w:pPr>
            <w:r>
              <w:rPr>
                <w:rFonts w:ascii="Arial" w:cs="Arial" w:eastAsia="Arial" w:hAnsi="Arial"/>
                <w:sz w:val="18"/>
                <w:szCs w:val="18"/>
                <w:b w:val="1"/>
                <w:bCs w:val="1"/>
                <w:color w:val="050A54"/>
              </w:rPr>
              <w:t>2022 Proxy Statement</w:t>
            </w:r>
          </w:p>
        </w:tc>
        <w:tc>
          <w:tcPr>
            <w:tcW w:w="520" w:type="dxa"/>
            <w:vAlign w:val="bottom"/>
          </w:tcPr>
          <w:p>
            <w:pPr>
              <w:jc w:val="right"/>
              <w:spacing w:after="0"/>
              <w:rPr>
                <w:sz w:val="20"/>
                <w:szCs w:val="20"/>
                <w:color w:val="auto"/>
              </w:rPr>
            </w:pPr>
            <w:r>
              <w:rPr>
                <w:rFonts w:ascii="Arial" w:cs="Arial" w:eastAsia="Arial" w:hAnsi="Arial"/>
                <w:sz w:val="18"/>
                <w:szCs w:val="18"/>
                <w:color w:val="050A54"/>
              </w:rPr>
              <w:t>33</w:t>
            </w:r>
          </w:p>
        </w:tc>
      </w:tr>
    </w:tbl>
    <w:p>
      <w:pPr>
        <w:sectPr>
          <w:pgSz w:w="11900" w:h="16838" w:orient="portrait"/>
          <w:cols w:equalWidth="0" w:num="2">
            <w:col w:w="5400" w:space="340"/>
            <w:col w:w="5340"/>
          </w:cols>
          <w:pgMar w:left="320" w:top="454" w:right="499" w:bottom="1440" w:gutter="0" w:footer="0" w:header="0"/>
          <w:type w:val="continuous"/>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336"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The charts below show that variable compensation comprised 90% of Mr. Arnold’s 2021 total target compensation mix and 78% of our other NEOs’ 2021 average total target compensation mix. Total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Base Salary</w:t>
      </w:r>
    </w:p>
    <w:p>
      <w:pPr>
        <w:spacing w:after="0" w:line="96"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We pay our NEOs base salaries in order to provide a level of competitive and stable income. The base salaries of our NEOs are set based on the responsibilities of the individual, taking into account the individual’s skills, experience and prior compensation levels, as well as market compensation levels of our peer group and other survey data, as described below. The Compensation Committee reviews base salaries for our NEOs annually, although salary changes may occur on a less frequent basis.</w:t>
      </w:r>
    </w:p>
    <w:p>
      <w:pPr>
        <w:spacing w:after="0" w:line="77"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Generally, the Compensation Committee will increase an NEO’s base salary when individual performance, job scope or market compensation data indicate that an increase is warranted. As the responsibilities of our NEOs increase in the future, the Compensation Committee generally plans to adjust compensation through increases in the size of LTI awards and, to a lesser extent, annual cash bonus opportunities, rather than through adjustments to base salaries.</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With regard to our NEOs’ base salaries for 2021:</w:t>
      </w:r>
    </w:p>
    <w:p>
      <w:pPr>
        <w:spacing w:after="0" w:line="60" w:lineRule="exact"/>
        <w:rPr>
          <w:sz w:val="20"/>
          <w:szCs w:val="20"/>
          <w:color w:val="auto"/>
        </w:rPr>
      </w:pPr>
    </w:p>
    <w:p>
      <w:pPr>
        <w:ind w:left="520" w:right="20"/>
        <w:spacing w:after="0" w:line="249" w:lineRule="auto"/>
        <w:rPr>
          <w:sz w:val="20"/>
          <w:szCs w:val="20"/>
          <w:color w:val="auto"/>
        </w:rPr>
      </w:pPr>
      <w:r>
        <w:rPr>
          <w:rFonts w:ascii="Arial" w:cs="Arial" w:eastAsia="Arial" w:hAnsi="Arial"/>
          <w:sz w:val="18"/>
          <w:szCs w:val="18"/>
          <w:color w:val="auto"/>
        </w:rPr>
        <w:t>The base salaries of Messrs. Audette, Semerjian and Steinmeier were unchanged from 2020 at $600,000, $500,000 and $500,000, respectively;</w:t>
      </w:r>
    </w:p>
    <w:p>
      <w:pPr>
        <w:spacing w:after="0" w:line="252" w:lineRule="exact"/>
        <w:rPr>
          <w:sz w:val="20"/>
          <w:szCs w:val="20"/>
          <w:color w:val="auto"/>
        </w:rPr>
      </w:pPr>
    </w:p>
    <w:p>
      <w:pPr>
        <w:ind w:left="1000" w:hanging="690"/>
        <w:spacing w:after="0"/>
        <w:tabs>
          <w:tab w:leader="none" w:pos="1000" w:val="left"/>
        </w:tabs>
        <w:numPr>
          <w:ilvl w:val="0"/>
          <w:numId w:val="53"/>
        </w:numPr>
        <w:rPr>
          <w:rFonts w:ascii="Arial" w:cs="Arial" w:eastAsia="Arial" w:hAnsi="Arial"/>
          <w:sz w:val="18"/>
          <w:szCs w:val="18"/>
          <w:color w:val="050A54"/>
        </w:rPr>
      </w:pPr>
      <w:r>
        <w:rPr>
          <w:rFonts w:ascii="Arial" w:cs="Arial" w:eastAsia="Arial" w:hAnsi="Arial"/>
          <w:sz w:val="18"/>
          <w:szCs w:val="18"/>
          <w:b w:val="1"/>
          <w:bCs w:val="1"/>
          <w:color w:val="050A54"/>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-118745</wp:posOffset>
            </wp:positionV>
            <wp:extent cx="8255" cy="135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compensation consists of base salary, target annual cash bonus and the target annual LTI awards, with performance stock units valued at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434975</wp:posOffset>
            </wp:positionV>
            <wp:extent cx="5290820" cy="31254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290820" cy="3125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60" w:right="20"/>
        <w:spacing w:after="0" w:line="265" w:lineRule="auto"/>
        <w:rPr>
          <w:sz w:val="20"/>
          <w:szCs w:val="20"/>
          <w:color w:val="auto"/>
        </w:rPr>
      </w:pPr>
      <w:r>
        <w:rPr>
          <w:rFonts w:ascii="Arial" w:cs="Arial" w:eastAsia="Arial" w:hAnsi="Arial"/>
          <w:sz w:val="18"/>
          <w:szCs w:val="18"/>
          <w:color w:val="auto"/>
        </w:rPr>
        <w:t>Mr. Fandrey’s base salary of $500,000 was set at the time he joined us on January 19, 2021; and</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Mr. Arnold’s base salary increased from $850,000 to $900,000.</w:t>
      </w:r>
    </w:p>
    <w:p>
      <w:pPr>
        <w:spacing w:after="0" w:line="1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determining that the salaries of Messrs. Audette, Semerjian and Steinmeier remained appropriate, the Compensation Committee considered, among other things, the competitiveness and mix of each executive’s total compensation opportunity based on benchmarking data prepared by Meridian. This benchmarking data included compensation data for comparable roles at relevant peer companies and other survey data, as described further in the “</w:t>
      </w:r>
      <w:r>
        <w:rPr>
          <w:rFonts w:ascii="Arial" w:cs="Arial" w:eastAsia="Arial" w:hAnsi="Arial"/>
          <w:sz w:val="18"/>
          <w:szCs w:val="18"/>
          <w:i w:val="1"/>
          <w:iCs w:val="1"/>
          <w:color w:val="auto"/>
        </w:rPr>
        <w:t>Benchmarking</w:t>
      </w:r>
      <w:r>
        <w:rPr>
          <w:rFonts w:ascii="Arial" w:cs="Arial" w:eastAsia="Arial" w:hAnsi="Arial"/>
          <w:sz w:val="18"/>
          <w:szCs w:val="18"/>
          <w:color w:val="auto"/>
        </w:rPr>
        <w:t>” section (“Benchmarking Data”).</w:t>
      </w:r>
    </w:p>
    <w:p>
      <w:pPr>
        <w:spacing w:after="0" w:line="77"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setting Mr. Fandrey’s base salary, the Compensation Committee considered his expertise, the nature and scope of his responsibilities at the Company and his experience prior to joining the Company, as well as Benchmarking Data and internal equity considerations.</w:t>
      </w:r>
    </w:p>
    <w:p>
      <w:pPr>
        <w:spacing w:after="0" w:line="7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increasing Mr. Arnold’s base salary, the Compensation Committee considered the competitiveness and mix of his total compensation opportunity based on Benchmarking Data.</w:t>
      </w:r>
    </w:p>
    <w:p>
      <w:pPr>
        <w:sectPr>
          <w:pgSz w:w="11900" w:h="16838" w:orient="portrait"/>
          <w:cols w:equalWidth="0" w:num="2">
            <w:col w:w="5400" w:space="340"/>
            <w:col w:w="5340"/>
          </w:cols>
          <w:pgMar w:left="320" w:top="454" w:right="499" w:bottom="1440" w:gutter="0" w:footer="0" w:header="0"/>
          <w:type w:val="continuous"/>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336"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The 2021 salaries for all of our NEOs appear in the Summary Compensation Table that follows this CD&amp;A.</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Annual Cash Bonus Awards</w:t>
      </w:r>
    </w:p>
    <w:p>
      <w:pPr>
        <w:spacing w:after="0" w:line="96"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 xml:space="preserve">We provide annual cash bonus awards in order to tie a significant portion of the overall cash compensation of each of our NEOs to the achievement of annually-established, key short-term corporate objectives and financial goals of the Company. See </w:t>
      </w:r>
      <w:r>
        <w:rPr>
          <w:rFonts w:ascii="Arial" w:cs="Arial" w:eastAsia="Arial" w:hAnsi="Arial"/>
          <w:sz w:val="18"/>
          <w:szCs w:val="18"/>
          <w:i w:val="1"/>
          <w:iCs w:val="1"/>
          <w:color w:val="auto"/>
        </w:rPr>
        <w:t>“Bonus Pool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Funding Framework” </w:t>
      </w:r>
      <w:r>
        <w:rPr>
          <w:rFonts w:ascii="Arial" w:cs="Arial" w:eastAsia="Arial" w:hAnsi="Arial"/>
          <w:sz w:val="18"/>
          <w:szCs w:val="18"/>
          <w:color w:val="auto"/>
        </w:rPr>
        <w:t>and</w:t>
      </w:r>
      <w:r>
        <w:rPr>
          <w:rFonts w:ascii="Arial" w:cs="Arial" w:eastAsia="Arial" w:hAnsi="Arial"/>
          <w:sz w:val="18"/>
          <w:szCs w:val="18"/>
          <w:i w:val="1"/>
          <w:iCs w:val="1"/>
          <w:color w:val="auto"/>
        </w:rPr>
        <w:t xml:space="preserve"> “2021 OKRs Performance Evaluation</w:t>
      </w:r>
      <w:r>
        <w:rPr>
          <w:rFonts w:ascii="Arial" w:cs="Arial" w:eastAsia="Arial" w:hAnsi="Arial"/>
          <w:sz w:val="18"/>
          <w:szCs w:val="18"/>
          <w:color w:val="auto"/>
        </w:rPr>
        <w:t>” below for a description of these objectives and goals</w:t>
      </w:r>
      <w:r>
        <w:rPr>
          <w:rFonts w:ascii="Arial" w:cs="Arial" w:eastAsia="Arial" w:hAnsi="Arial"/>
          <w:sz w:val="18"/>
          <w:szCs w:val="18"/>
          <w:i w:val="1"/>
          <w:iCs w:val="1"/>
          <w:color w:val="auto"/>
        </w:rPr>
        <w:t xml:space="preserve"> </w:t>
      </w:r>
      <w:r>
        <w:rPr>
          <w:rFonts w:ascii="Arial" w:cs="Arial" w:eastAsia="Arial" w:hAnsi="Arial"/>
          <w:sz w:val="18"/>
          <w:szCs w:val="18"/>
          <w:color w:val="auto"/>
        </w:rPr>
        <w:t>and our 2021 performance against them. The Compensation Committee believes that our NEOs, as key members of the Company’s leadership team, share responsibility for supporting the corporate and financial goals and performance of the Company.</w:t>
      </w:r>
    </w:p>
    <w:p>
      <w:pPr>
        <w:spacing w:after="0" w:line="75"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At the beginning of 2021, the Compensation Committee established:</w:t>
      </w:r>
    </w:p>
    <w:p>
      <w:pPr>
        <w:spacing w:after="0" w:line="64" w:lineRule="exact"/>
        <w:rPr>
          <w:sz w:val="20"/>
          <w:szCs w:val="20"/>
          <w:color w:val="auto"/>
        </w:rPr>
      </w:pPr>
    </w:p>
    <w:p>
      <w:pPr>
        <w:ind w:left="520"/>
        <w:spacing w:after="0" w:line="243" w:lineRule="auto"/>
        <w:rPr>
          <w:sz w:val="20"/>
          <w:szCs w:val="20"/>
          <w:color w:val="auto"/>
        </w:rPr>
      </w:pPr>
      <w:r>
        <w:rPr>
          <w:rFonts w:ascii="Arial" w:cs="Arial" w:eastAsia="Arial" w:hAnsi="Arial"/>
          <w:sz w:val="18"/>
          <w:szCs w:val="18"/>
          <w:color w:val="auto"/>
        </w:rPr>
        <w:t xml:space="preserve">target award amounts for each NEO (other than Mr. Fandrey, whose target award amount was set at the time he joined us in January 2021 based on the same factors described above under </w:t>
      </w:r>
      <w:r>
        <w:rPr>
          <w:rFonts w:ascii="Arial" w:cs="Arial" w:eastAsia="Arial" w:hAnsi="Arial"/>
          <w:sz w:val="18"/>
          <w:szCs w:val="18"/>
          <w:i w:val="1"/>
          <w:iCs w:val="1"/>
          <w:color w:val="auto"/>
        </w:rPr>
        <w:t>“Base Salary”</w:t>
      </w:r>
      <w:r>
        <w:rPr>
          <w:rFonts w:ascii="Arial" w:cs="Arial" w:eastAsia="Arial" w:hAnsi="Arial"/>
          <w:sz w:val="18"/>
          <w:szCs w:val="18"/>
          <w:color w:val="auto"/>
        </w:rPr>
        <w:t>); and</w:t>
      </w:r>
    </w:p>
    <w:p>
      <w:pPr>
        <w:spacing w:after="0" w:line="84" w:lineRule="exact"/>
        <w:rPr>
          <w:sz w:val="20"/>
          <w:szCs w:val="20"/>
          <w:color w:val="auto"/>
        </w:rPr>
      </w:pPr>
    </w:p>
    <w:p>
      <w:pPr>
        <w:ind w:left="520"/>
        <w:spacing w:after="0" w:line="243" w:lineRule="auto"/>
        <w:rPr>
          <w:sz w:val="20"/>
          <w:szCs w:val="20"/>
          <w:color w:val="auto"/>
        </w:rPr>
      </w:pPr>
      <w:r>
        <w:rPr>
          <w:rFonts w:ascii="Arial" w:cs="Arial" w:eastAsia="Arial" w:hAnsi="Arial"/>
          <w:sz w:val="18"/>
          <w:szCs w:val="18"/>
          <w:color w:val="auto"/>
        </w:rPr>
        <w:t>a bonus pool funding framework that provided a potential range of bonus pool funding based on the level of achievement of the Company’s 2021 financial performance goals and 2021 OKRs, which were approved by the Board.</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0A54"/>
        </w:rPr>
        <w:t>Target Award Amounts</w:t>
      </w:r>
    </w:p>
    <w:p>
      <w:pPr>
        <w:spacing w:after="0" w:line="99"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The Compensation Committee sets each NEO’s individual target award amount by taking into account the Benchmarking Data, the nature of the NEO’s role and the NEO’s potential contribution to the execution of the Company’s overall performance goals, rather than focusing only on their individual business unit or function.</w:t>
      </w:r>
    </w:p>
    <w:p>
      <w:pPr>
        <w:spacing w:after="0" w:line="7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0A54"/>
        </w:rPr>
        <w:t>Bonus Pool Funding Framework</w:t>
      </w:r>
    </w:p>
    <w:p>
      <w:pPr>
        <w:spacing w:after="0" w:line="99"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In establishing the 2021 bonus pool funding framework at the beginning of 2021, the Compensation Committee maintained the same general approach to assessing corporate performance that it has used since 2018. In this approach, bonus pool funding is determined by the Compensation Committee based on the Company’s achievement of pre-established financial and corporate goals, with a limited amount of discretion reserved for the Compensation Committee to adjust funding based on its assessments of key drivers of performance, including prevailing interest rates and equity market performance.</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Consistent with its historical practice, the Compensation Committee established Adjusted EBITDA as the primary metric to evaluate the Company’s financial performance in 2021. In addition, the Compensation Committee established relative total shareholder return (“TSR”) as a secondary metric to evaluate the Company’s financial performance in 2021 and determined that the Company’s TSR for 2021 would be measured relative to a comparator group consisting of companies in the (1) Asset Management &amp; Custody Banks and (2) Investment Banking &amp; Brokerage Sub-Industry classifications of the Standard &amp; Poor’s 1500 Capital Markets Industry classification (the “Comparator Group”). In setting these financial performance metrics, the Compensation Committee believed that Adjusted EBITDA continued to serve as a useful metric in assessing the Company’s earnings from operations because it excludes certain items that are not representative of the performance of the Company’s core business, such as the net impact of the Waddell &amp; Reed Acquisition. The Compensation Committee introduced a relative TSR metric because it believed that relative TSR would be a useful metric in assessing the Company’s financial performance relative to companies facing a similar level of macroeconomic sensitivity.</w:t>
      </w:r>
    </w:p>
    <w:p>
      <w:pPr>
        <w:spacing w:after="0" w:line="82"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to financial performance, the Compensation Committee determined to assess under the bonus pool funding framework the following five 2021 OKRs, which were approved by the Board of Directors at the beginning of the year along with underlying initiatives and quantitative key results:</w:t>
      </w:r>
    </w:p>
    <w:p>
      <w:pPr>
        <w:spacing w:after="0" w:line="88" w:lineRule="exact"/>
        <w:rPr>
          <w:sz w:val="20"/>
          <w:szCs w:val="20"/>
          <w:color w:val="auto"/>
        </w:rPr>
      </w:pPr>
    </w:p>
    <w:p>
      <w:pPr>
        <w:ind w:left="360" w:right="20"/>
        <w:spacing w:after="0" w:line="265" w:lineRule="auto"/>
        <w:rPr>
          <w:sz w:val="20"/>
          <w:szCs w:val="20"/>
          <w:color w:val="auto"/>
        </w:rPr>
      </w:pPr>
      <w:r>
        <w:rPr>
          <w:rFonts w:ascii="Arial" w:cs="Arial" w:eastAsia="Arial" w:hAnsi="Arial"/>
          <w:sz w:val="18"/>
          <w:szCs w:val="18"/>
          <w:color w:val="auto"/>
        </w:rPr>
        <w:t>Meet advisors where they are in the evolution of their practices (the “Growth Goal”);</w:t>
      </w:r>
    </w:p>
    <w:p>
      <w:pPr>
        <w:spacing w:after="0" w:line="64" w:lineRule="exact"/>
        <w:rPr>
          <w:sz w:val="20"/>
          <w:szCs w:val="20"/>
          <w:color w:val="auto"/>
        </w:rPr>
      </w:pPr>
    </w:p>
    <w:p>
      <w:pPr>
        <w:ind w:left="360" w:right="20"/>
        <w:spacing w:after="0" w:line="265" w:lineRule="auto"/>
        <w:rPr>
          <w:sz w:val="20"/>
          <w:szCs w:val="20"/>
          <w:color w:val="auto"/>
        </w:rPr>
      </w:pPr>
      <w:r>
        <w:rPr>
          <w:rFonts w:ascii="Arial" w:cs="Arial" w:eastAsia="Arial" w:hAnsi="Arial"/>
          <w:sz w:val="18"/>
          <w:szCs w:val="18"/>
          <w:color w:val="auto"/>
        </w:rPr>
        <w:t>Help advisors differentiate and win end-clients (the “Experience Goal”);</w:t>
      </w:r>
    </w:p>
    <w:p>
      <w:pPr>
        <w:spacing w:after="0" w:line="64" w:lineRule="exact"/>
        <w:rPr>
          <w:sz w:val="20"/>
          <w:szCs w:val="20"/>
          <w:color w:val="auto"/>
        </w:rPr>
      </w:pPr>
    </w:p>
    <w:p>
      <w:pPr>
        <w:ind w:left="360" w:right="20"/>
        <w:spacing w:after="0" w:line="265" w:lineRule="auto"/>
        <w:rPr>
          <w:sz w:val="20"/>
          <w:szCs w:val="20"/>
          <w:color w:val="auto"/>
        </w:rPr>
      </w:pPr>
      <w:r>
        <w:rPr>
          <w:rFonts w:ascii="Arial" w:cs="Arial" w:eastAsia="Arial" w:hAnsi="Arial"/>
          <w:sz w:val="18"/>
          <w:szCs w:val="18"/>
          <w:color w:val="auto"/>
        </w:rPr>
        <w:t>Delight advisors and their clients with industry-leading experiences (the “Service Goal”);</w:t>
      </w:r>
    </w:p>
    <w:p>
      <w:pPr>
        <w:spacing w:after="0" w:line="64" w:lineRule="exact"/>
        <w:rPr>
          <w:sz w:val="20"/>
          <w:szCs w:val="20"/>
          <w:color w:val="auto"/>
        </w:rPr>
      </w:pPr>
    </w:p>
    <w:p>
      <w:pPr>
        <w:ind w:left="360" w:right="20"/>
        <w:spacing w:after="0" w:line="265" w:lineRule="auto"/>
        <w:rPr>
          <w:sz w:val="20"/>
          <w:szCs w:val="20"/>
          <w:color w:val="auto"/>
        </w:rPr>
      </w:pPr>
      <w:r>
        <w:rPr>
          <w:rFonts w:ascii="Arial" w:cs="Arial" w:eastAsia="Arial" w:hAnsi="Arial"/>
          <w:sz w:val="18"/>
          <w:szCs w:val="18"/>
          <w:color w:val="auto"/>
        </w:rPr>
        <w:t>Help advisors run the most successful businesses in the industry (the “Support Goal”); and</w:t>
      </w:r>
    </w:p>
    <w:p>
      <w:pPr>
        <w:spacing w:after="0" w:line="64" w:lineRule="exact"/>
        <w:rPr>
          <w:sz w:val="20"/>
          <w:szCs w:val="20"/>
          <w:color w:val="auto"/>
        </w:rPr>
      </w:pPr>
    </w:p>
    <w:p>
      <w:pPr>
        <w:ind w:left="360" w:right="20"/>
        <w:spacing w:after="0" w:line="265" w:lineRule="auto"/>
        <w:rPr>
          <w:sz w:val="20"/>
          <w:szCs w:val="20"/>
          <w:color w:val="auto"/>
        </w:rPr>
      </w:pPr>
      <w:r>
        <w:rPr>
          <w:rFonts w:ascii="Arial" w:cs="Arial" w:eastAsia="Arial" w:hAnsi="Arial"/>
          <w:sz w:val="18"/>
          <w:szCs w:val="18"/>
          <w:color w:val="auto"/>
        </w:rPr>
        <w:t>Develop key enablers to support the execution of strategic plays (the “Enablers Goal”).</w:t>
      </w:r>
    </w:p>
    <w:p>
      <w:pPr>
        <w:spacing w:after="0" w:line="1470" w:lineRule="exact"/>
        <w:rPr>
          <w:sz w:val="20"/>
          <w:szCs w:val="20"/>
          <w:color w:val="auto"/>
        </w:rPr>
      </w:pPr>
    </w:p>
    <w:p>
      <w:pPr>
        <w:sectPr>
          <w:pgSz w:w="11900" w:h="16838" w:orient="portrait"/>
          <w:cols w:equalWidth="0" w:num="2">
            <w:col w:w="5400" w:space="340"/>
            <w:col w:w="5340"/>
          </w:cols>
          <w:pgMar w:left="320" w:top="454" w:right="499" w:bottom="1440" w:gutter="0" w:footer="0" w:header="0"/>
          <w:type w:val="continuous"/>
        </w:sectPr>
      </w:pPr>
    </w:p>
    <w:p>
      <w:pPr>
        <w:spacing w:after="0" w:line="65" w:lineRule="exact"/>
        <w:rPr>
          <w:sz w:val="20"/>
          <w:szCs w:val="20"/>
          <w:color w:val="auto"/>
        </w:rPr>
      </w:pPr>
    </w:p>
    <w:tbl>
      <w:tblPr>
        <w:tblLayout w:type="fixed"/>
        <w:tblInd w:w="8500" w:type="dxa"/>
        <w:tblCellMar>
          <w:top w:w="0" w:type="dxa"/>
          <w:left w:w="0" w:type="dxa"/>
          <w:bottom w:w="0" w:type="dxa"/>
          <w:right w:w="0" w:type="dxa"/>
        </w:tblCellMar>
      </w:tblPr>
      <w:tr>
        <w:trPr>
          <w:trHeight w:val="233"/>
        </w:trPr>
        <w:tc>
          <w:tcPr>
            <w:tcW w:w="2060" w:type="dxa"/>
            <w:vAlign w:val="bottom"/>
            <w:tcBorders>
              <w:right w:val="single" w:sz="8" w:color="050A54"/>
            </w:tcBorders>
          </w:tcPr>
          <w:p>
            <w:pPr>
              <w:spacing w:after="0"/>
              <w:rPr>
                <w:sz w:val="20"/>
                <w:szCs w:val="20"/>
                <w:color w:val="auto"/>
              </w:rPr>
            </w:pPr>
            <w:r>
              <w:rPr>
                <w:rFonts w:ascii="Arial" w:cs="Arial" w:eastAsia="Arial" w:hAnsi="Arial"/>
                <w:sz w:val="18"/>
                <w:szCs w:val="18"/>
                <w:b w:val="1"/>
                <w:bCs w:val="1"/>
                <w:color w:val="050A54"/>
              </w:rPr>
              <w:t>2022 Proxy Statement</w:t>
            </w:r>
          </w:p>
        </w:tc>
        <w:tc>
          <w:tcPr>
            <w:tcW w:w="520" w:type="dxa"/>
            <w:vAlign w:val="bottom"/>
          </w:tcPr>
          <w:p>
            <w:pPr>
              <w:jc w:val="right"/>
              <w:spacing w:after="0"/>
              <w:rPr>
                <w:sz w:val="20"/>
                <w:szCs w:val="20"/>
                <w:color w:val="auto"/>
              </w:rPr>
            </w:pPr>
            <w:r>
              <w:rPr>
                <w:rFonts w:ascii="Arial" w:cs="Arial" w:eastAsia="Arial" w:hAnsi="Arial"/>
                <w:sz w:val="18"/>
                <w:szCs w:val="18"/>
                <w:color w:val="050A54"/>
              </w:rPr>
              <w:t>35</w:t>
            </w:r>
          </w:p>
        </w:tc>
      </w:tr>
    </w:tbl>
    <w:p>
      <w:pPr>
        <w:sectPr>
          <w:pgSz w:w="11900" w:h="16838" w:orient="portrait"/>
          <w:cols w:equalWidth="0" w:num="1">
            <w:col w:w="11080"/>
          </w:cols>
          <w:pgMar w:left="320" w:top="454" w:right="499" w:bottom="1440" w:gutter="0" w:footer="0" w:header="0"/>
          <w:type w:val="continuous"/>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336"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To determine the bonus pool funding for 2021, the Compensation Committee assigned the following baseline weightings to each of its components, including equal weighting to the achievement of the Company’s financial performance goals and 2021 OKRs:</w:t>
      </w:r>
    </w:p>
    <w:p>
      <w:pPr>
        <w:spacing w:after="0" w:line="71" w:lineRule="exact"/>
        <w:rPr>
          <w:sz w:val="20"/>
          <w:szCs w:val="20"/>
          <w:color w:val="auto"/>
        </w:rPr>
      </w:pPr>
    </w:p>
    <w:p>
      <w:pPr>
        <w:jc w:val="center"/>
        <w:ind w:left="160"/>
        <w:spacing w:after="0"/>
        <w:rPr>
          <w:sz w:val="20"/>
          <w:szCs w:val="20"/>
          <w:color w:val="auto"/>
        </w:rPr>
      </w:pPr>
      <w:r>
        <w:rPr>
          <w:rFonts w:ascii="Arial" w:cs="Arial" w:eastAsia="Arial" w:hAnsi="Arial"/>
          <w:sz w:val="18"/>
          <w:szCs w:val="18"/>
          <w:b w:val="1"/>
          <w:bCs w:val="1"/>
          <w:color w:val="050A54"/>
        </w:rPr>
        <w:t>Baseline Criteria Weightings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160655</wp:posOffset>
            </wp:positionV>
            <wp:extent cx="2573020" cy="21062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73020" cy="2106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The Compensation Committee assigns baseline criteria weightings assuming performance at target, with the actual amount funded with respect to such component adjusted up or down depending on performance. Target performance as it related collectively to the 2021 financial performance goals and 2021 OKRs would have yielded a 2021 bonus funding pool of $74 million, subject to the discretion of the Compensation Committee to increase or decrease the bonus funding pool by up to 20%.</w:t>
      </w:r>
    </w:p>
    <w:p>
      <w:pPr>
        <w:spacing w:after="0" w:line="364"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i w:val="1"/>
          <w:iCs w:val="1"/>
          <w:color w:val="050A54"/>
        </w:rPr>
        <w:t>Financial Performance Goals (40% baseline weighting)</w:t>
      </w:r>
      <w:r>
        <w:rPr>
          <w:rFonts w:ascii="Arial" w:cs="Arial" w:eastAsia="Arial" w:hAnsi="Arial"/>
          <w:sz w:val="18"/>
          <w:szCs w:val="18"/>
          <w:color w:val="000000"/>
        </w:rPr>
        <w:t>. The</w:t>
      </w:r>
      <w:r>
        <w:rPr>
          <w:rFonts w:ascii="Arial" w:cs="Arial" w:eastAsia="Arial" w:hAnsi="Arial"/>
          <w:sz w:val="18"/>
          <w:szCs w:val="18"/>
          <w:i w:val="1"/>
          <w:iCs w:val="1"/>
          <w:color w:val="050A54"/>
        </w:rPr>
        <w:t xml:space="preserve"> </w:t>
      </w:r>
      <w:r>
        <w:rPr>
          <w:rFonts w:ascii="Arial" w:cs="Arial" w:eastAsia="Arial" w:hAnsi="Arial"/>
          <w:sz w:val="18"/>
          <w:szCs w:val="18"/>
          <w:color w:val="000000"/>
        </w:rPr>
        <w:t>Compensation Committee established the following baseline weights for the Company’s two financial performance goals:</w:t>
      </w:r>
    </w:p>
    <w:p>
      <w:pPr>
        <w:spacing w:after="0" w:line="208"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2680" w:type="dxa"/>
            <w:vAlign w:val="bottom"/>
          </w:tcPr>
          <w:p>
            <w:pPr>
              <w:ind w:left="1200"/>
              <w:spacing w:after="0"/>
              <w:rPr>
                <w:sz w:val="20"/>
                <w:szCs w:val="20"/>
                <w:color w:val="auto"/>
              </w:rPr>
            </w:pPr>
            <w:r>
              <w:rPr>
                <w:rFonts w:ascii="Arial" w:cs="Arial" w:eastAsia="Arial" w:hAnsi="Arial"/>
                <w:sz w:val="14"/>
                <w:szCs w:val="14"/>
                <w:b w:val="1"/>
                <w:bCs w:val="1"/>
                <w:color w:val="050A54"/>
              </w:rPr>
              <w:t>Goal</w:t>
            </w:r>
          </w:p>
        </w:tc>
        <w:tc>
          <w:tcPr>
            <w:tcW w:w="2560" w:type="dxa"/>
            <w:vAlign w:val="bottom"/>
          </w:tcPr>
          <w:p>
            <w:pPr>
              <w:jc w:val="center"/>
              <w:ind w:left="82"/>
              <w:spacing w:after="0"/>
              <w:rPr>
                <w:sz w:val="20"/>
                <w:szCs w:val="20"/>
                <w:color w:val="auto"/>
              </w:rPr>
            </w:pPr>
            <w:r>
              <w:rPr>
                <w:rFonts w:ascii="Arial" w:cs="Arial" w:eastAsia="Arial" w:hAnsi="Arial"/>
                <w:sz w:val="14"/>
                <w:szCs w:val="14"/>
                <w:b w:val="1"/>
                <w:bCs w:val="1"/>
                <w:color w:val="050A54"/>
              </w:rPr>
              <w:t>Weight</w:t>
            </w:r>
          </w:p>
        </w:tc>
      </w:tr>
      <w:tr>
        <w:trPr>
          <w:trHeight w:val="55"/>
        </w:trPr>
        <w:tc>
          <w:tcPr>
            <w:tcW w:w="2680" w:type="dxa"/>
            <w:vAlign w:val="bottom"/>
            <w:tcBorders>
              <w:bottom w:val="single" w:sz="8" w:color="050A54"/>
            </w:tcBorders>
          </w:tcPr>
          <w:p>
            <w:pPr>
              <w:spacing w:after="0"/>
              <w:rPr>
                <w:sz w:val="4"/>
                <w:szCs w:val="4"/>
                <w:color w:val="auto"/>
              </w:rPr>
            </w:pPr>
          </w:p>
        </w:tc>
        <w:tc>
          <w:tcPr>
            <w:tcW w:w="2560" w:type="dxa"/>
            <w:vAlign w:val="bottom"/>
            <w:tcBorders>
              <w:bottom w:val="single" w:sz="8" w:color="050A54"/>
            </w:tcBorders>
          </w:tcPr>
          <w:p>
            <w:pPr>
              <w:spacing w:after="0"/>
              <w:rPr>
                <w:sz w:val="4"/>
                <w:szCs w:val="4"/>
                <w:color w:val="auto"/>
              </w:rPr>
            </w:pPr>
          </w:p>
        </w:tc>
      </w:tr>
      <w:tr>
        <w:trPr>
          <w:trHeight w:val="221"/>
        </w:trPr>
        <w:tc>
          <w:tcPr>
            <w:tcW w:w="2680" w:type="dxa"/>
            <w:vAlign w:val="bottom"/>
            <w:shd w:val="clear" w:color="auto" w:fill="E8E8E8"/>
          </w:tcPr>
          <w:p>
            <w:pPr>
              <w:ind w:left="20"/>
              <w:spacing w:after="0"/>
              <w:rPr>
                <w:sz w:val="20"/>
                <w:szCs w:val="20"/>
                <w:color w:val="auto"/>
              </w:rPr>
            </w:pPr>
            <w:r>
              <w:rPr>
                <w:rFonts w:ascii="Arial" w:cs="Arial" w:eastAsia="Arial" w:hAnsi="Arial"/>
                <w:sz w:val="16"/>
                <w:szCs w:val="16"/>
                <w:color w:val="auto"/>
              </w:rPr>
              <w:t>Adjusted EBITDA Goal</w:t>
            </w:r>
          </w:p>
        </w:tc>
        <w:tc>
          <w:tcPr>
            <w:tcW w:w="2560" w:type="dxa"/>
            <w:vAlign w:val="bottom"/>
            <w:shd w:val="clear" w:color="auto" w:fill="E8E8E8"/>
          </w:tcPr>
          <w:p>
            <w:pPr>
              <w:jc w:val="center"/>
              <w:ind w:left="82"/>
              <w:spacing w:after="0"/>
              <w:rPr>
                <w:sz w:val="20"/>
                <w:szCs w:val="20"/>
                <w:color w:val="auto"/>
              </w:rPr>
            </w:pPr>
            <w:r>
              <w:rPr>
                <w:rFonts w:ascii="Arial" w:cs="Arial" w:eastAsia="Arial" w:hAnsi="Arial"/>
                <w:sz w:val="16"/>
                <w:szCs w:val="16"/>
                <w:color w:val="auto"/>
                <w:w w:val="99"/>
              </w:rPr>
              <w:t>30%</w:t>
            </w:r>
          </w:p>
        </w:tc>
      </w:tr>
      <w:tr>
        <w:trPr>
          <w:trHeight w:val="224"/>
        </w:trPr>
        <w:tc>
          <w:tcPr>
            <w:tcW w:w="2680" w:type="dxa"/>
            <w:vAlign w:val="bottom"/>
          </w:tcPr>
          <w:p>
            <w:pPr>
              <w:ind w:left="20"/>
              <w:spacing w:after="0"/>
              <w:rPr>
                <w:sz w:val="20"/>
                <w:szCs w:val="20"/>
                <w:color w:val="auto"/>
              </w:rPr>
            </w:pPr>
            <w:r>
              <w:rPr>
                <w:rFonts w:ascii="Arial" w:cs="Arial" w:eastAsia="Arial" w:hAnsi="Arial"/>
                <w:sz w:val="16"/>
                <w:szCs w:val="16"/>
                <w:color w:val="auto"/>
              </w:rPr>
              <w:t>Relative TSR Goal</w:t>
            </w:r>
          </w:p>
        </w:tc>
        <w:tc>
          <w:tcPr>
            <w:tcW w:w="2560" w:type="dxa"/>
            <w:vAlign w:val="bottom"/>
          </w:tcPr>
          <w:p>
            <w:pPr>
              <w:jc w:val="center"/>
              <w:ind w:left="82"/>
              <w:spacing w:after="0"/>
              <w:rPr>
                <w:sz w:val="20"/>
                <w:szCs w:val="20"/>
                <w:color w:val="auto"/>
              </w:rPr>
            </w:pPr>
            <w:r>
              <w:rPr>
                <w:rFonts w:ascii="Arial" w:cs="Arial" w:eastAsia="Arial" w:hAnsi="Arial"/>
                <w:sz w:val="16"/>
                <w:szCs w:val="16"/>
                <w:color w:val="auto"/>
                <w:w w:val="99"/>
              </w:rPr>
              <w:t>10%</w:t>
            </w:r>
          </w:p>
        </w:tc>
      </w:tr>
      <w:tr>
        <w:trPr>
          <w:trHeight w:val="44"/>
        </w:trPr>
        <w:tc>
          <w:tcPr>
            <w:tcW w:w="2680" w:type="dxa"/>
            <w:vAlign w:val="bottom"/>
            <w:tcBorders>
              <w:bottom w:val="single" w:sz="8" w:color="auto"/>
            </w:tcBorders>
          </w:tcPr>
          <w:p>
            <w:pPr>
              <w:spacing w:after="0"/>
              <w:rPr>
                <w:sz w:val="3"/>
                <w:szCs w:val="3"/>
                <w:color w:val="auto"/>
              </w:rPr>
            </w:pPr>
          </w:p>
        </w:tc>
        <w:tc>
          <w:tcPr>
            <w:tcW w:w="2560" w:type="dxa"/>
            <w:vAlign w:val="bottom"/>
            <w:tcBorders>
              <w:bottom w:val="single" w:sz="8" w:color="auto"/>
            </w:tcBorders>
          </w:tcPr>
          <w:p>
            <w:pPr>
              <w:spacing w:after="0"/>
              <w:rPr>
                <w:sz w:val="3"/>
                <w:szCs w:val="3"/>
                <w:color w:val="auto"/>
              </w:rPr>
            </w:pPr>
          </w:p>
        </w:tc>
      </w:tr>
      <w:tr>
        <w:trPr>
          <w:trHeight w:val="214"/>
        </w:trPr>
        <w:tc>
          <w:tcPr>
            <w:tcW w:w="2680" w:type="dxa"/>
            <w:vAlign w:val="bottom"/>
            <w:tcBorders>
              <w:bottom w:val="single" w:sz="8" w:color="050A54"/>
            </w:tcBorders>
            <w:shd w:val="clear" w:color="auto" w:fill="E8E8E8"/>
          </w:tcPr>
          <w:p>
            <w:pPr>
              <w:ind w:left="20"/>
              <w:spacing w:after="0"/>
              <w:rPr>
                <w:sz w:val="20"/>
                <w:szCs w:val="20"/>
                <w:color w:val="auto"/>
              </w:rPr>
            </w:pPr>
            <w:r>
              <w:rPr>
                <w:rFonts w:ascii="Arial" w:cs="Arial" w:eastAsia="Arial" w:hAnsi="Arial"/>
                <w:sz w:val="16"/>
                <w:szCs w:val="16"/>
                <w:color w:val="auto"/>
              </w:rPr>
              <w:t>Total Financial Performance</w:t>
            </w:r>
          </w:p>
        </w:tc>
        <w:tc>
          <w:tcPr>
            <w:tcW w:w="2560" w:type="dxa"/>
            <w:vAlign w:val="bottom"/>
            <w:tcBorders>
              <w:bottom w:val="single" w:sz="8" w:color="050A54"/>
            </w:tcBorders>
            <w:shd w:val="clear" w:color="auto" w:fill="E8E8E8"/>
          </w:tcPr>
          <w:p>
            <w:pPr>
              <w:jc w:val="center"/>
              <w:ind w:left="82"/>
              <w:spacing w:after="0"/>
              <w:rPr>
                <w:sz w:val="20"/>
                <w:szCs w:val="20"/>
                <w:color w:val="auto"/>
              </w:rPr>
            </w:pPr>
            <w:r>
              <w:rPr>
                <w:rFonts w:ascii="Arial" w:cs="Arial" w:eastAsia="Arial" w:hAnsi="Arial"/>
                <w:sz w:val="16"/>
                <w:szCs w:val="16"/>
                <w:color w:val="auto"/>
                <w:w w:val="99"/>
              </w:rPr>
              <w:t>40%</w:t>
            </w:r>
          </w:p>
        </w:tc>
      </w:tr>
    </w:tbl>
    <w:p>
      <w:pPr>
        <w:spacing w:after="0" w:line="88"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For both financial performance goals, the range of potential bonus pool funding was scaled such that performance above target would yield a payout proportionately greater than the baseline and performance below target would yield a payout proportionately below the baseline. This approach was intended to ensure that the Company’s financial results in 2021 were a motivating element in the bonus pool funding framework.</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range of potential bonus pool funding for the Company’s Adjusted EBITDA goal is illustrated in the table below:</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40" w:type="dxa"/>
            <w:vAlign w:val="bottom"/>
          </w:tcPr>
          <w:p>
            <w:pPr>
              <w:ind w:left="660"/>
              <w:spacing w:after="0"/>
              <w:rPr>
                <w:sz w:val="20"/>
                <w:szCs w:val="20"/>
                <w:color w:val="auto"/>
              </w:rPr>
            </w:pPr>
            <w:r>
              <w:rPr>
                <w:rFonts w:ascii="Arial" w:cs="Arial" w:eastAsia="Arial" w:hAnsi="Arial"/>
                <w:sz w:val="14"/>
                <w:szCs w:val="14"/>
                <w:b w:val="1"/>
                <w:bCs w:val="1"/>
                <w:color w:val="050A54"/>
              </w:rPr>
              <w:t>Percentage of Target</w:t>
            </w:r>
          </w:p>
        </w:tc>
        <w:tc>
          <w:tcPr>
            <w:tcW w:w="2600" w:type="dxa"/>
            <w:vAlign w:val="bottom"/>
          </w:tcPr>
          <w:p>
            <w:pPr>
              <w:ind w:left="860"/>
              <w:spacing w:after="0"/>
              <w:rPr>
                <w:sz w:val="20"/>
                <w:szCs w:val="20"/>
                <w:color w:val="auto"/>
              </w:rPr>
            </w:pPr>
            <w:r>
              <w:rPr>
                <w:rFonts w:ascii="Arial" w:cs="Arial" w:eastAsia="Arial" w:hAnsi="Arial"/>
                <w:sz w:val="14"/>
                <w:szCs w:val="14"/>
                <w:b w:val="1"/>
                <w:bCs w:val="1"/>
                <w:color w:val="050A54"/>
              </w:rPr>
              <w:t>Percent payout</w:t>
            </w:r>
          </w:p>
        </w:tc>
      </w:tr>
      <w:tr>
        <w:trPr>
          <w:trHeight w:val="55"/>
        </w:trPr>
        <w:tc>
          <w:tcPr>
            <w:tcW w:w="2740" w:type="dxa"/>
            <w:vAlign w:val="bottom"/>
            <w:tcBorders>
              <w:bottom w:val="single" w:sz="8" w:color="050A54"/>
            </w:tcBorders>
          </w:tcPr>
          <w:p>
            <w:pPr>
              <w:spacing w:after="0"/>
              <w:rPr>
                <w:sz w:val="4"/>
                <w:szCs w:val="4"/>
                <w:color w:val="auto"/>
              </w:rPr>
            </w:pPr>
          </w:p>
        </w:tc>
        <w:tc>
          <w:tcPr>
            <w:tcW w:w="2600" w:type="dxa"/>
            <w:vAlign w:val="bottom"/>
            <w:tcBorders>
              <w:bottom w:val="single" w:sz="8" w:color="050A54"/>
            </w:tcBorders>
          </w:tcPr>
          <w:p>
            <w:pPr>
              <w:spacing w:after="0"/>
              <w:rPr>
                <w:sz w:val="4"/>
                <w:szCs w:val="4"/>
                <w:color w:val="auto"/>
              </w:rPr>
            </w:pPr>
          </w:p>
        </w:tc>
      </w:tr>
      <w:tr>
        <w:trPr>
          <w:trHeight w:val="221"/>
        </w:trPr>
        <w:tc>
          <w:tcPr>
            <w:tcW w:w="2740" w:type="dxa"/>
            <w:vAlign w:val="bottom"/>
            <w:shd w:val="clear" w:color="auto" w:fill="E8E8E8"/>
          </w:tcPr>
          <w:p>
            <w:pPr>
              <w:jc w:val="center"/>
              <w:spacing w:after="0"/>
              <w:rPr>
                <w:sz w:val="20"/>
                <w:szCs w:val="20"/>
                <w:color w:val="auto"/>
              </w:rPr>
            </w:pPr>
            <w:r>
              <w:rPr>
                <w:rFonts w:ascii="Arial" w:cs="Arial" w:eastAsia="Arial" w:hAnsi="Arial"/>
                <w:sz w:val="16"/>
                <w:szCs w:val="16"/>
                <w:color w:val="auto"/>
                <w:w w:val="97"/>
              </w:rPr>
              <w:t>120%</w:t>
            </w:r>
          </w:p>
        </w:tc>
        <w:tc>
          <w:tcPr>
            <w:tcW w:w="2600" w:type="dxa"/>
            <w:vAlign w:val="bottom"/>
            <w:shd w:val="clear" w:color="auto" w:fill="E8E8E8"/>
          </w:tcPr>
          <w:p>
            <w:pPr>
              <w:jc w:val="center"/>
              <w:ind w:left="62"/>
              <w:spacing w:after="0"/>
              <w:rPr>
                <w:sz w:val="20"/>
                <w:szCs w:val="20"/>
                <w:color w:val="auto"/>
              </w:rPr>
            </w:pPr>
            <w:r>
              <w:rPr>
                <w:rFonts w:ascii="Arial" w:cs="Arial" w:eastAsia="Arial" w:hAnsi="Arial"/>
                <w:sz w:val="16"/>
                <w:szCs w:val="16"/>
                <w:color w:val="auto"/>
              </w:rPr>
              <w:t>150%</w:t>
            </w:r>
          </w:p>
        </w:tc>
      </w:tr>
      <w:tr>
        <w:trPr>
          <w:trHeight w:val="232"/>
        </w:trPr>
        <w:tc>
          <w:tcPr>
            <w:tcW w:w="274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2600" w:type="dxa"/>
            <w:vAlign w:val="bottom"/>
          </w:tcPr>
          <w:p>
            <w:pPr>
              <w:jc w:val="center"/>
              <w:ind w:left="62"/>
              <w:spacing w:after="0"/>
              <w:rPr>
                <w:sz w:val="20"/>
                <w:szCs w:val="20"/>
                <w:color w:val="auto"/>
              </w:rPr>
            </w:pPr>
            <w:r>
              <w:rPr>
                <w:rFonts w:ascii="Arial" w:cs="Arial" w:eastAsia="Arial" w:hAnsi="Arial"/>
                <w:sz w:val="16"/>
                <w:szCs w:val="16"/>
                <w:color w:val="auto"/>
              </w:rPr>
              <w:t>100%</w:t>
            </w:r>
          </w:p>
        </w:tc>
      </w:tr>
      <w:tr>
        <w:trPr>
          <w:trHeight w:val="243"/>
        </w:trPr>
        <w:tc>
          <w:tcPr>
            <w:tcW w:w="2740" w:type="dxa"/>
            <w:vAlign w:val="bottom"/>
            <w:tcBorders>
              <w:bottom w:val="single" w:sz="8" w:color="050A54"/>
            </w:tcBorders>
            <w:shd w:val="clear" w:color="auto" w:fill="E8E8E8"/>
          </w:tcPr>
          <w:p>
            <w:pPr>
              <w:jc w:val="center"/>
              <w:spacing w:after="0"/>
              <w:rPr>
                <w:sz w:val="20"/>
                <w:szCs w:val="20"/>
                <w:color w:val="auto"/>
              </w:rPr>
            </w:pPr>
            <w:r>
              <w:rPr>
                <w:rFonts w:ascii="Arial" w:cs="Arial" w:eastAsia="Arial" w:hAnsi="Arial"/>
                <w:sz w:val="16"/>
                <w:szCs w:val="16"/>
                <w:color w:val="auto"/>
                <w:w w:val="99"/>
              </w:rPr>
              <w:t>80%</w:t>
            </w:r>
          </w:p>
        </w:tc>
        <w:tc>
          <w:tcPr>
            <w:tcW w:w="2600" w:type="dxa"/>
            <w:vAlign w:val="bottom"/>
            <w:tcBorders>
              <w:bottom w:val="single" w:sz="8" w:color="050A54"/>
            </w:tcBorders>
            <w:shd w:val="clear" w:color="auto" w:fill="E8E8E8"/>
          </w:tcPr>
          <w:p>
            <w:pPr>
              <w:jc w:val="center"/>
              <w:ind w:left="82"/>
              <w:spacing w:after="0"/>
              <w:rPr>
                <w:sz w:val="20"/>
                <w:szCs w:val="20"/>
                <w:color w:val="auto"/>
              </w:rPr>
            </w:pPr>
            <w:r>
              <w:rPr>
                <w:rFonts w:ascii="Arial" w:cs="Arial" w:eastAsia="Arial" w:hAnsi="Arial"/>
                <w:sz w:val="16"/>
                <w:szCs w:val="16"/>
                <w:color w:val="auto"/>
                <w:w w:val="99"/>
              </w:rPr>
              <w:t>50%</w:t>
            </w:r>
          </w:p>
        </w:tc>
      </w:tr>
    </w:tbl>
    <w:p>
      <w:pPr>
        <w:spacing w:after="0" w:line="8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generated Adjusted EBITDA of $ 1,047 million in 2021, which was 115% of the performance target of $916 million. The results were primarily driven by gross profit resulting from a combination of favorable organic growth and equity market appreciation. This level of achievement resulted in a funding level above target for this component of the bonus pool funding framework.</w:t>
      </w:r>
    </w:p>
    <w:p>
      <w:pPr>
        <w:spacing w:after="0" w:line="7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comparison, the Company generated Adjusted EBITDA of $946 million in 2020, which was 88% of the performance target of $1,072 million. The Adjusted EBITDA performance target decreased from 2020 to 2021 as a result of the ongoing effects of the pandemic. The 2020 performance target was established in January 2020, prior to the disruption of the global economy and financial markets caused by the pandemic, and the 2021 performance target reflected the expected Adjusted EBITDA impact of a persistently low interest rate environment in 2021.</w:t>
      </w:r>
    </w:p>
    <w:p>
      <w:pPr>
        <w:spacing w:after="0" w:line="7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range of potential bonus funding for the Company’s relative TSR goal is illustrated in the table below.</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40" w:type="dxa"/>
            <w:vAlign w:val="bottom"/>
          </w:tcPr>
          <w:p>
            <w:pPr>
              <w:jc w:val="center"/>
              <w:spacing w:after="0"/>
              <w:rPr>
                <w:sz w:val="20"/>
                <w:szCs w:val="20"/>
                <w:color w:val="auto"/>
              </w:rPr>
            </w:pPr>
            <w:r>
              <w:rPr>
                <w:rFonts w:ascii="Arial" w:cs="Arial" w:eastAsia="Arial" w:hAnsi="Arial"/>
                <w:sz w:val="14"/>
                <w:szCs w:val="14"/>
                <w:b w:val="1"/>
                <w:bCs w:val="1"/>
                <w:color w:val="050A54"/>
              </w:rPr>
              <w:t>Relative TSR attained</w:t>
            </w:r>
          </w:p>
        </w:tc>
        <w:tc>
          <w:tcPr>
            <w:tcW w:w="2600" w:type="dxa"/>
            <w:vAlign w:val="bottom"/>
          </w:tcPr>
          <w:p>
            <w:pPr>
              <w:ind w:left="860"/>
              <w:spacing w:after="0"/>
              <w:rPr>
                <w:sz w:val="20"/>
                <w:szCs w:val="20"/>
                <w:color w:val="auto"/>
              </w:rPr>
            </w:pPr>
            <w:r>
              <w:rPr>
                <w:rFonts w:ascii="Arial" w:cs="Arial" w:eastAsia="Arial" w:hAnsi="Arial"/>
                <w:sz w:val="14"/>
                <w:szCs w:val="14"/>
                <w:b w:val="1"/>
                <w:bCs w:val="1"/>
                <w:color w:val="050A54"/>
              </w:rPr>
              <w:t>Percent payout</w:t>
            </w:r>
          </w:p>
        </w:tc>
      </w:tr>
      <w:tr>
        <w:trPr>
          <w:trHeight w:val="55"/>
        </w:trPr>
        <w:tc>
          <w:tcPr>
            <w:tcW w:w="2740" w:type="dxa"/>
            <w:vAlign w:val="bottom"/>
            <w:tcBorders>
              <w:bottom w:val="single" w:sz="8" w:color="050A54"/>
            </w:tcBorders>
          </w:tcPr>
          <w:p>
            <w:pPr>
              <w:spacing w:after="0"/>
              <w:rPr>
                <w:sz w:val="4"/>
                <w:szCs w:val="4"/>
                <w:color w:val="auto"/>
              </w:rPr>
            </w:pPr>
          </w:p>
        </w:tc>
        <w:tc>
          <w:tcPr>
            <w:tcW w:w="2600" w:type="dxa"/>
            <w:vAlign w:val="bottom"/>
            <w:tcBorders>
              <w:bottom w:val="single" w:sz="8" w:color="050A54"/>
            </w:tcBorders>
          </w:tcPr>
          <w:p>
            <w:pPr>
              <w:spacing w:after="0"/>
              <w:rPr>
                <w:sz w:val="4"/>
                <w:szCs w:val="4"/>
                <w:color w:val="auto"/>
              </w:rPr>
            </w:pPr>
          </w:p>
        </w:tc>
      </w:tr>
      <w:tr>
        <w:trPr>
          <w:trHeight w:val="221"/>
        </w:trPr>
        <w:tc>
          <w:tcPr>
            <w:tcW w:w="2740" w:type="dxa"/>
            <w:vAlign w:val="bottom"/>
            <w:shd w:val="clear" w:color="auto" w:fill="E8E8E8"/>
          </w:tcPr>
          <w:p>
            <w:pPr>
              <w:jc w:val="center"/>
              <w:spacing w:after="0"/>
              <w:rPr>
                <w:sz w:val="20"/>
                <w:szCs w:val="20"/>
                <w:color w:val="auto"/>
              </w:rPr>
            </w:pPr>
            <w:r>
              <w:rPr>
                <w:rFonts w:ascii="Arial" w:cs="Arial" w:eastAsia="Arial" w:hAnsi="Arial"/>
                <w:sz w:val="16"/>
                <w:szCs w:val="16"/>
                <w:color w:val="auto"/>
                <w:w w:val="99"/>
              </w:rPr>
              <w:t>80%</w:t>
            </w:r>
          </w:p>
        </w:tc>
        <w:tc>
          <w:tcPr>
            <w:tcW w:w="2600" w:type="dxa"/>
            <w:vAlign w:val="bottom"/>
            <w:shd w:val="clear" w:color="auto" w:fill="E8E8E8"/>
          </w:tcPr>
          <w:p>
            <w:pPr>
              <w:jc w:val="center"/>
              <w:ind w:left="62"/>
              <w:spacing w:after="0"/>
              <w:rPr>
                <w:sz w:val="20"/>
                <w:szCs w:val="20"/>
                <w:color w:val="auto"/>
              </w:rPr>
            </w:pPr>
            <w:r>
              <w:rPr>
                <w:rFonts w:ascii="Arial" w:cs="Arial" w:eastAsia="Arial" w:hAnsi="Arial"/>
                <w:sz w:val="16"/>
                <w:szCs w:val="16"/>
                <w:color w:val="auto"/>
              </w:rPr>
              <w:t>150%</w:t>
            </w:r>
          </w:p>
        </w:tc>
      </w:tr>
      <w:tr>
        <w:trPr>
          <w:trHeight w:val="232"/>
        </w:trPr>
        <w:tc>
          <w:tcPr>
            <w:tcW w:w="2740" w:type="dxa"/>
            <w:vAlign w:val="bottom"/>
          </w:tcPr>
          <w:p>
            <w:pPr>
              <w:jc w:val="center"/>
              <w:spacing w:after="0"/>
              <w:rPr>
                <w:sz w:val="20"/>
                <w:szCs w:val="20"/>
                <w:color w:val="auto"/>
              </w:rPr>
            </w:pPr>
            <w:r>
              <w:rPr>
                <w:rFonts w:ascii="Arial" w:cs="Arial" w:eastAsia="Arial" w:hAnsi="Arial"/>
                <w:sz w:val="16"/>
                <w:szCs w:val="16"/>
                <w:color w:val="auto"/>
                <w:w w:val="99"/>
              </w:rPr>
              <w:t>50%</w:t>
            </w:r>
          </w:p>
        </w:tc>
        <w:tc>
          <w:tcPr>
            <w:tcW w:w="2600" w:type="dxa"/>
            <w:vAlign w:val="bottom"/>
          </w:tcPr>
          <w:p>
            <w:pPr>
              <w:jc w:val="center"/>
              <w:ind w:left="62"/>
              <w:spacing w:after="0"/>
              <w:rPr>
                <w:sz w:val="20"/>
                <w:szCs w:val="20"/>
                <w:color w:val="auto"/>
              </w:rPr>
            </w:pPr>
            <w:r>
              <w:rPr>
                <w:rFonts w:ascii="Arial" w:cs="Arial" w:eastAsia="Arial" w:hAnsi="Arial"/>
                <w:sz w:val="16"/>
                <w:szCs w:val="16"/>
                <w:color w:val="auto"/>
              </w:rPr>
              <w:t>100%</w:t>
            </w:r>
          </w:p>
        </w:tc>
      </w:tr>
      <w:tr>
        <w:trPr>
          <w:trHeight w:val="243"/>
        </w:trPr>
        <w:tc>
          <w:tcPr>
            <w:tcW w:w="2740" w:type="dxa"/>
            <w:vAlign w:val="bottom"/>
            <w:tcBorders>
              <w:bottom w:val="single" w:sz="8" w:color="050A54"/>
            </w:tcBorders>
            <w:shd w:val="clear" w:color="auto" w:fill="E8E8E8"/>
          </w:tcPr>
          <w:p>
            <w:pPr>
              <w:jc w:val="center"/>
              <w:spacing w:after="0"/>
              <w:rPr>
                <w:sz w:val="20"/>
                <w:szCs w:val="20"/>
                <w:color w:val="auto"/>
              </w:rPr>
            </w:pPr>
            <w:r>
              <w:rPr>
                <w:rFonts w:ascii="Arial" w:cs="Arial" w:eastAsia="Arial" w:hAnsi="Arial"/>
                <w:sz w:val="16"/>
                <w:szCs w:val="16"/>
                <w:color w:val="auto"/>
                <w:w w:val="99"/>
              </w:rPr>
              <w:t>25%</w:t>
            </w:r>
          </w:p>
        </w:tc>
        <w:tc>
          <w:tcPr>
            <w:tcW w:w="2600" w:type="dxa"/>
            <w:vAlign w:val="bottom"/>
            <w:tcBorders>
              <w:bottom w:val="single" w:sz="8" w:color="050A54"/>
            </w:tcBorders>
            <w:shd w:val="clear" w:color="auto" w:fill="E8E8E8"/>
          </w:tcPr>
          <w:p>
            <w:pPr>
              <w:jc w:val="center"/>
              <w:ind w:left="82"/>
              <w:spacing w:after="0"/>
              <w:rPr>
                <w:sz w:val="20"/>
                <w:szCs w:val="20"/>
                <w:color w:val="auto"/>
              </w:rPr>
            </w:pPr>
            <w:r>
              <w:rPr>
                <w:rFonts w:ascii="Arial" w:cs="Arial" w:eastAsia="Arial" w:hAnsi="Arial"/>
                <w:sz w:val="16"/>
                <w:szCs w:val="16"/>
                <w:color w:val="auto"/>
                <w:w w:val="99"/>
              </w:rPr>
              <w:t>50%</w:t>
            </w:r>
          </w:p>
        </w:tc>
      </w:tr>
    </w:tbl>
    <w:p>
      <w:pPr>
        <w:spacing w:after="0" w:line="8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attained a relative TSR of 88%, which was higher than the 80% performance level needed for a 150% payout. The results were driven by stock price increase tied to strength in organic growth, strong continued expense management and an improvement in the business environment. This level of achievement resulted in a funding level above target for this component of the bonus pool funding framework.</w:t>
      </w:r>
    </w:p>
    <w:p>
      <w:pPr>
        <w:spacing w:after="0" w:line="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collective level of achievement of the Adjusted EBITDA goal and relative TSR goal resulted in a funding level of 55% for the financial performance component of the 2021 bonus pool funding framework, which was 15 percentage points above the baseline weighting.</w:t>
      </w:r>
    </w:p>
    <w:p>
      <w:pPr>
        <w:spacing w:after="0" w:line="1310" w:lineRule="exact"/>
        <w:rPr>
          <w:sz w:val="20"/>
          <w:szCs w:val="20"/>
          <w:color w:val="auto"/>
        </w:rPr>
      </w:pPr>
    </w:p>
    <w:p>
      <w:pPr>
        <w:sectPr>
          <w:pgSz w:w="11900" w:h="16838" w:orient="portrait"/>
          <w:cols w:equalWidth="0" w:num="2">
            <w:col w:w="5400" w:space="340"/>
            <w:col w:w="5340"/>
          </w:cols>
          <w:pgMar w:left="320" w:top="454" w:right="499" w:bottom="1440" w:gutter="0" w:footer="0" w:header="0"/>
          <w:type w:val="continuous"/>
        </w:sectPr>
      </w:pPr>
    </w:p>
    <w:p>
      <w:pPr>
        <w:spacing w:after="0" w:line="62" w:lineRule="exact"/>
        <w:rPr>
          <w:sz w:val="20"/>
          <w:szCs w:val="20"/>
          <w:color w:val="auto"/>
        </w:rPr>
      </w:pPr>
    </w:p>
    <w:p>
      <w:pPr>
        <w:ind w:left="1000" w:hanging="690"/>
        <w:spacing w:after="0"/>
        <w:tabs>
          <w:tab w:leader="none" w:pos="1000" w:val="left"/>
        </w:tabs>
        <w:numPr>
          <w:ilvl w:val="0"/>
          <w:numId w:val="57"/>
        </w:numPr>
        <w:rPr>
          <w:rFonts w:ascii="Arial" w:cs="Arial" w:eastAsia="Arial" w:hAnsi="Arial"/>
          <w:sz w:val="17"/>
          <w:szCs w:val="17"/>
          <w:color w:val="050A54"/>
        </w:rPr>
      </w:pPr>
      <w:r>
        <w:rPr>
          <w:rFonts w:ascii="Arial" w:cs="Arial" w:eastAsia="Arial" w:hAnsi="Arial"/>
          <w:sz w:val="17"/>
          <w:szCs w:val="17"/>
          <w:b w:val="1"/>
          <w:bCs w:val="1"/>
          <w:color w:val="050A54"/>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-111760</wp:posOffset>
            </wp:positionV>
            <wp:extent cx="8255" cy="135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336"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i w:val="1"/>
          <w:iCs w:val="1"/>
          <w:color w:val="050A54"/>
        </w:rPr>
        <w:t>2021 OKRs (40% baseline weighting)</w:t>
      </w:r>
      <w:r>
        <w:rPr>
          <w:rFonts w:ascii="Arial" w:cs="Arial" w:eastAsia="Arial" w:hAnsi="Arial"/>
          <w:sz w:val="18"/>
          <w:szCs w:val="18"/>
          <w:color w:val="000000"/>
        </w:rPr>
        <w:t>. The Compensation</w:t>
      </w:r>
      <w:r>
        <w:rPr>
          <w:rFonts w:ascii="Arial" w:cs="Arial" w:eastAsia="Arial" w:hAnsi="Arial"/>
          <w:sz w:val="18"/>
          <w:szCs w:val="18"/>
          <w:i w:val="1"/>
          <w:iCs w:val="1"/>
          <w:color w:val="050A54"/>
        </w:rPr>
        <w:t xml:space="preserve"> </w:t>
      </w:r>
      <w:r>
        <w:rPr>
          <w:rFonts w:ascii="Arial" w:cs="Arial" w:eastAsia="Arial" w:hAnsi="Arial"/>
          <w:sz w:val="18"/>
          <w:szCs w:val="18"/>
          <w:color w:val="000000"/>
        </w:rPr>
        <w:t>Committee established the following weightings for the 2021 OKRs:</w:t>
      </w:r>
    </w:p>
    <w:p>
      <w:pPr>
        <w:spacing w:after="0" w:line="88" w:lineRule="exact"/>
        <w:rPr>
          <w:sz w:val="20"/>
          <w:szCs w:val="20"/>
          <w:color w:val="auto"/>
        </w:rPr>
      </w:pPr>
    </w:p>
    <w:p>
      <w:pPr>
        <w:ind w:left="1360"/>
        <w:spacing w:after="0"/>
        <w:tabs>
          <w:tab w:leader="none" w:pos="3840" w:val="left"/>
        </w:tabs>
        <w:rPr>
          <w:sz w:val="20"/>
          <w:szCs w:val="20"/>
          <w:color w:val="auto"/>
        </w:rPr>
      </w:pPr>
      <w:r>
        <w:rPr>
          <w:rFonts w:ascii="Arial" w:cs="Arial" w:eastAsia="Arial" w:hAnsi="Arial"/>
          <w:sz w:val="14"/>
          <w:szCs w:val="14"/>
          <w:b w:val="1"/>
          <w:bCs w:val="1"/>
          <w:color w:val="050A54"/>
        </w:rPr>
        <w:t>Goal</w:t>
      </w:r>
      <w:r>
        <w:rPr>
          <w:sz w:val="20"/>
          <w:szCs w:val="20"/>
          <w:color w:val="auto"/>
        </w:rPr>
        <w:tab/>
      </w:r>
      <w:r>
        <w:rPr>
          <w:rFonts w:ascii="Arial" w:cs="Arial" w:eastAsia="Arial" w:hAnsi="Arial"/>
          <w:sz w:val="14"/>
          <w:szCs w:val="14"/>
          <w:b w:val="1"/>
          <w:bCs w:val="1"/>
          <w:color w:val="050A54"/>
        </w:rPr>
        <w:t>Weighting</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collective level of achievement of the 2021 OKRs resulted in a funding level of 40% for the 2021 OKR component of the 2021 bonus pool funding framework, which was equal to the baseline weighting.</w:t>
      </w:r>
    </w:p>
    <w:p>
      <w:pPr>
        <w:spacing w:after="0" w:line="88" w:lineRule="exact"/>
        <w:rPr>
          <w:sz w:val="20"/>
          <w:szCs w:val="20"/>
          <w:color w:val="auto"/>
        </w:rPr>
      </w:pPr>
    </w:p>
    <w:p>
      <w:pPr>
        <w:sectPr>
          <w:pgSz w:w="11900" w:h="16838" w:orient="portrait"/>
          <w:cols w:equalWidth="0" w:num="2">
            <w:col w:w="5400" w:space="340"/>
            <w:col w:w="5340"/>
          </w:cols>
          <w:pgMar w:left="320" w:top="454" w:right="499" w:bottom="1440" w:gutter="0" w:footer="0" w:header="0"/>
          <w:type w:val="continuous"/>
        </w:sectPr>
      </w:pPr>
    </w:p>
    <w:p>
      <w:pPr>
        <w:spacing w:after="0" w:line="35"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2560" w:type="dxa"/>
            <w:vAlign w:val="bottom"/>
            <w:tcBorders>
              <w:top w:val="single" w:sz="8" w:color="050A54"/>
              <w:bottom w:val="single" w:sz="8" w:color="E8E8E8"/>
            </w:tcBorders>
            <w:shd w:val="clear" w:color="auto" w:fill="E8E8E8"/>
          </w:tcPr>
          <w:p>
            <w:pPr>
              <w:ind w:left="20"/>
              <w:spacing w:after="0"/>
              <w:rPr>
                <w:sz w:val="20"/>
                <w:szCs w:val="20"/>
                <w:color w:val="auto"/>
              </w:rPr>
            </w:pPr>
            <w:r>
              <w:rPr>
                <w:rFonts w:ascii="Arial" w:cs="Arial" w:eastAsia="Arial" w:hAnsi="Arial"/>
                <w:sz w:val="16"/>
                <w:szCs w:val="16"/>
                <w:color w:val="auto"/>
              </w:rPr>
              <w:t>Growth Goal</w:t>
            </w:r>
          </w:p>
        </w:tc>
        <w:tc>
          <w:tcPr>
            <w:tcW w:w="2680" w:type="dxa"/>
            <w:vAlign w:val="bottom"/>
            <w:tcBorders>
              <w:top w:val="single" w:sz="8" w:color="050A54"/>
              <w:bottom w:val="single" w:sz="8" w:color="E8E8E8"/>
            </w:tcBorders>
            <w:shd w:val="clear" w:color="auto" w:fill="E8E8E8"/>
          </w:tcPr>
          <w:p>
            <w:pPr>
              <w:jc w:val="center"/>
              <w:ind w:left="200"/>
              <w:spacing w:after="0"/>
              <w:rPr>
                <w:sz w:val="20"/>
                <w:szCs w:val="20"/>
                <w:color w:val="auto"/>
              </w:rPr>
            </w:pPr>
            <w:r>
              <w:rPr>
                <w:rFonts w:ascii="Arial" w:cs="Arial" w:eastAsia="Arial" w:hAnsi="Arial"/>
                <w:sz w:val="16"/>
                <w:szCs w:val="16"/>
                <w:color w:val="auto"/>
              </w:rPr>
              <w:t>8%</w:t>
            </w:r>
          </w:p>
        </w:tc>
      </w:tr>
      <w:tr>
        <w:trPr>
          <w:trHeight w:val="211"/>
        </w:trPr>
        <w:tc>
          <w:tcPr>
            <w:tcW w:w="2560" w:type="dxa"/>
            <w:vAlign w:val="bottom"/>
          </w:tcPr>
          <w:p>
            <w:pPr>
              <w:ind w:left="20"/>
              <w:spacing w:after="0"/>
              <w:rPr>
                <w:sz w:val="20"/>
                <w:szCs w:val="20"/>
                <w:color w:val="auto"/>
              </w:rPr>
            </w:pPr>
            <w:r>
              <w:rPr>
                <w:rFonts w:ascii="Arial" w:cs="Arial" w:eastAsia="Arial" w:hAnsi="Arial"/>
                <w:sz w:val="16"/>
                <w:szCs w:val="16"/>
                <w:color w:val="auto"/>
              </w:rPr>
              <w:t>Experience Goal</w:t>
            </w:r>
          </w:p>
        </w:tc>
        <w:tc>
          <w:tcPr>
            <w:tcW w:w="2680" w:type="dxa"/>
            <w:vAlign w:val="bottom"/>
          </w:tcPr>
          <w:p>
            <w:pPr>
              <w:jc w:val="center"/>
              <w:ind w:left="200"/>
              <w:spacing w:after="0"/>
              <w:rPr>
                <w:sz w:val="20"/>
                <w:szCs w:val="20"/>
                <w:color w:val="auto"/>
              </w:rPr>
            </w:pPr>
            <w:r>
              <w:rPr>
                <w:rFonts w:ascii="Arial" w:cs="Arial" w:eastAsia="Arial" w:hAnsi="Arial"/>
                <w:sz w:val="16"/>
                <w:szCs w:val="16"/>
                <w:color w:val="auto"/>
              </w:rPr>
              <w:t>8%</w:t>
            </w:r>
          </w:p>
        </w:tc>
      </w:tr>
      <w:tr>
        <w:trPr>
          <w:trHeight w:val="29"/>
        </w:trPr>
        <w:tc>
          <w:tcPr>
            <w:tcW w:w="256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221"/>
        </w:trPr>
        <w:tc>
          <w:tcPr>
            <w:tcW w:w="2560" w:type="dxa"/>
            <w:vAlign w:val="bottom"/>
            <w:tcBorders>
              <w:bottom w:val="single" w:sz="8" w:color="E8E8E8"/>
            </w:tcBorders>
            <w:shd w:val="clear" w:color="auto" w:fill="E8E8E8"/>
          </w:tcPr>
          <w:p>
            <w:pPr>
              <w:ind w:left="20"/>
              <w:spacing w:after="0"/>
              <w:rPr>
                <w:sz w:val="20"/>
                <w:szCs w:val="20"/>
                <w:color w:val="auto"/>
              </w:rPr>
            </w:pPr>
            <w:r>
              <w:rPr>
                <w:rFonts w:ascii="Arial" w:cs="Arial" w:eastAsia="Arial" w:hAnsi="Arial"/>
                <w:sz w:val="16"/>
                <w:szCs w:val="16"/>
                <w:color w:val="auto"/>
              </w:rPr>
              <w:t>Service Goal</w:t>
            </w:r>
          </w:p>
        </w:tc>
        <w:tc>
          <w:tcPr>
            <w:tcW w:w="2680" w:type="dxa"/>
            <w:vAlign w:val="bottom"/>
            <w:tcBorders>
              <w:bottom w:val="single" w:sz="8" w:color="E8E8E8"/>
            </w:tcBorders>
            <w:shd w:val="clear" w:color="auto" w:fill="E8E8E8"/>
          </w:tcPr>
          <w:p>
            <w:pPr>
              <w:jc w:val="center"/>
              <w:ind w:left="200"/>
              <w:spacing w:after="0"/>
              <w:rPr>
                <w:sz w:val="20"/>
                <w:szCs w:val="20"/>
                <w:color w:val="auto"/>
              </w:rPr>
            </w:pPr>
            <w:r>
              <w:rPr>
                <w:rFonts w:ascii="Arial" w:cs="Arial" w:eastAsia="Arial" w:hAnsi="Arial"/>
                <w:sz w:val="16"/>
                <w:szCs w:val="16"/>
                <w:color w:val="auto"/>
              </w:rPr>
              <w:t>8%</w:t>
            </w:r>
          </w:p>
        </w:tc>
      </w:tr>
      <w:tr>
        <w:trPr>
          <w:trHeight w:val="211"/>
        </w:trPr>
        <w:tc>
          <w:tcPr>
            <w:tcW w:w="2560" w:type="dxa"/>
            <w:vAlign w:val="bottom"/>
          </w:tcPr>
          <w:p>
            <w:pPr>
              <w:ind w:left="20"/>
              <w:spacing w:after="0"/>
              <w:rPr>
                <w:sz w:val="20"/>
                <w:szCs w:val="20"/>
                <w:color w:val="auto"/>
              </w:rPr>
            </w:pPr>
            <w:r>
              <w:rPr>
                <w:rFonts w:ascii="Arial" w:cs="Arial" w:eastAsia="Arial" w:hAnsi="Arial"/>
                <w:sz w:val="16"/>
                <w:szCs w:val="16"/>
                <w:color w:val="auto"/>
              </w:rPr>
              <w:t>Support Goal</w:t>
            </w:r>
          </w:p>
        </w:tc>
        <w:tc>
          <w:tcPr>
            <w:tcW w:w="2680" w:type="dxa"/>
            <w:vAlign w:val="bottom"/>
          </w:tcPr>
          <w:p>
            <w:pPr>
              <w:jc w:val="center"/>
              <w:ind w:left="200"/>
              <w:spacing w:after="0"/>
              <w:rPr>
                <w:sz w:val="20"/>
                <w:szCs w:val="20"/>
                <w:color w:val="auto"/>
              </w:rPr>
            </w:pPr>
            <w:r>
              <w:rPr>
                <w:rFonts w:ascii="Arial" w:cs="Arial" w:eastAsia="Arial" w:hAnsi="Arial"/>
                <w:sz w:val="16"/>
                <w:szCs w:val="16"/>
                <w:color w:val="auto"/>
              </w:rPr>
              <w:t>8%</w:t>
            </w:r>
          </w:p>
        </w:tc>
      </w:tr>
      <w:tr>
        <w:trPr>
          <w:trHeight w:val="29"/>
        </w:trPr>
        <w:tc>
          <w:tcPr>
            <w:tcW w:w="256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246"/>
        </w:trPr>
        <w:tc>
          <w:tcPr>
            <w:tcW w:w="2560" w:type="dxa"/>
            <w:vAlign w:val="bottom"/>
            <w:tcBorders>
              <w:bottom w:val="single" w:sz="8" w:color="E8E8E8"/>
            </w:tcBorders>
            <w:shd w:val="clear" w:color="auto" w:fill="E8E8E8"/>
          </w:tcPr>
          <w:p>
            <w:pPr>
              <w:ind w:left="20"/>
              <w:spacing w:after="0"/>
              <w:rPr>
                <w:sz w:val="20"/>
                <w:szCs w:val="20"/>
                <w:color w:val="auto"/>
              </w:rPr>
            </w:pPr>
            <w:r>
              <w:rPr>
                <w:rFonts w:ascii="Arial" w:cs="Arial" w:eastAsia="Arial" w:hAnsi="Arial"/>
                <w:sz w:val="16"/>
                <w:szCs w:val="16"/>
                <w:color w:val="auto"/>
              </w:rPr>
              <w:t>Enablers Goal</w:t>
            </w:r>
          </w:p>
        </w:tc>
        <w:tc>
          <w:tcPr>
            <w:tcW w:w="2680" w:type="dxa"/>
            <w:vAlign w:val="bottom"/>
            <w:tcBorders>
              <w:bottom w:val="single" w:sz="8" w:color="E8E8E8"/>
            </w:tcBorders>
            <w:shd w:val="clear" w:color="auto" w:fill="E8E8E8"/>
          </w:tcPr>
          <w:p>
            <w:pPr>
              <w:jc w:val="center"/>
              <w:ind w:left="200"/>
              <w:spacing w:after="0"/>
              <w:rPr>
                <w:sz w:val="20"/>
                <w:szCs w:val="20"/>
                <w:color w:val="auto"/>
              </w:rPr>
            </w:pPr>
            <w:r>
              <w:rPr>
                <w:rFonts w:ascii="Arial" w:cs="Arial" w:eastAsia="Arial" w:hAnsi="Arial"/>
                <w:sz w:val="16"/>
                <w:szCs w:val="16"/>
                <w:color w:val="auto"/>
              </w:rPr>
              <w:t>8%</w:t>
            </w:r>
          </w:p>
        </w:tc>
      </w:tr>
      <w:tr>
        <w:trPr>
          <w:trHeight w:val="181"/>
        </w:trPr>
        <w:tc>
          <w:tcPr>
            <w:tcW w:w="2560" w:type="dxa"/>
            <w:vAlign w:val="bottom"/>
            <w:tcBorders>
              <w:top w:val="single" w:sz="8" w:color="050A54"/>
              <w:bottom w:val="single" w:sz="8" w:color="050A54"/>
            </w:tcBorders>
          </w:tcPr>
          <w:p>
            <w:pPr>
              <w:ind w:left="20"/>
              <w:spacing w:after="0" w:line="181" w:lineRule="exact"/>
              <w:rPr>
                <w:sz w:val="20"/>
                <w:szCs w:val="20"/>
                <w:color w:val="auto"/>
              </w:rPr>
            </w:pPr>
            <w:r>
              <w:rPr>
                <w:rFonts w:ascii="Arial" w:cs="Arial" w:eastAsia="Arial" w:hAnsi="Arial"/>
                <w:sz w:val="16"/>
                <w:szCs w:val="16"/>
                <w:color w:val="auto"/>
              </w:rPr>
              <w:t>Total 2021 OKRs</w:t>
            </w:r>
          </w:p>
        </w:tc>
        <w:tc>
          <w:tcPr>
            <w:tcW w:w="2680" w:type="dxa"/>
            <w:vAlign w:val="bottom"/>
            <w:tcBorders>
              <w:top w:val="single" w:sz="8" w:color="050A54"/>
              <w:bottom w:val="single" w:sz="8" w:color="050A54"/>
            </w:tcBorders>
          </w:tcPr>
          <w:p>
            <w:pPr>
              <w:jc w:val="center"/>
              <w:ind w:left="200"/>
              <w:spacing w:after="0" w:line="181" w:lineRule="exact"/>
              <w:rPr>
                <w:sz w:val="20"/>
                <w:szCs w:val="20"/>
                <w:color w:val="auto"/>
              </w:rPr>
            </w:pPr>
            <w:r>
              <w:rPr>
                <w:rFonts w:ascii="Arial" w:cs="Arial" w:eastAsia="Arial" w:hAnsi="Arial"/>
                <w:sz w:val="16"/>
                <w:szCs w:val="16"/>
                <w:color w:val="auto"/>
                <w:w w:val="99"/>
              </w:rPr>
              <w:t>40%</w:t>
            </w:r>
          </w:p>
        </w:tc>
      </w:tr>
    </w:tbl>
    <w:p>
      <w:pPr>
        <w:spacing w:after="0" w:line="88"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The Compensation Committee assigned equal weighting to each of the 2021 OKRs because it determined that each was a priority element of the Company’s longer-term strategy.</w:t>
      </w:r>
    </w:p>
    <w:p>
      <w:pPr>
        <w:spacing w:after="0" w:line="65"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The Committee also established a range of bonus funding per goal using the performance rating scale below.</w:t>
      </w:r>
    </w:p>
    <w:p>
      <w:pPr>
        <w:spacing w:after="0" w:line="74"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2920" w:type="dxa"/>
            <w:vAlign w:val="bottom"/>
          </w:tcPr>
          <w:p>
            <w:pPr>
              <w:ind w:left="680"/>
              <w:spacing w:after="0"/>
              <w:rPr>
                <w:sz w:val="20"/>
                <w:szCs w:val="20"/>
                <w:color w:val="auto"/>
              </w:rPr>
            </w:pPr>
            <w:r>
              <w:rPr>
                <w:rFonts w:ascii="Arial" w:cs="Arial" w:eastAsia="Arial" w:hAnsi="Arial"/>
                <w:sz w:val="14"/>
                <w:szCs w:val="14"/>
                <w:b w:val="1"/>
                <w:bCs w:val="1"/>
                <w:color w:val="050A54"/>
              </w:rPr>
              <w:t>Performance Rating</w:t>
            </w:r>
          </w:p>
        </w:tc>
        <w:tc>
          <w:tcPr>
            <w:tcW w:w="2320" w:type="dxa"/>
            <w:vAlign w:val="bottom"/>
          </w:tcPr>
          <w:p>
            <w:pPr>
              <w:ind w:left="880"/>
              <w:spacing w:after="0"/>
              <w:rPr>
                <w:sz w:val="20"/>
                <w:szCs w:val="20"/>
                <w:color w:val="auto"/>
              </w:rPr>
            </w:pPr>
            <w:r>
              <w:rPr>
                <w:rFonts w:ascii="Arial" w:cs="Arial" w:eastAsia="Arial" w:hAnsi="Arial"/>
                <w:sz w:val="14"/>
                <w:szCs w:val="14"/>
                <w:b w:val="1"/>
                <w:bCs w:val="1"/>
                <w:color w:val="050A54"/>
              </w:rPr>
              <w:t>Payout</w:t>
            </w:r>
          </w:p>
        </w:tc>
      </w:tr>
      <w:tr>
        <w:trPr>
          <w:trHeight w:val="55"/>
        </w:trPr>
        <w:tc>
          <w:tcPr>
            <w:tcW w:w="2920" w:type="dxa"/>
            <w:vAlign w:val="bottom"/>
            <w:tcBorders>
              <w:bottom w:val="single" w:sz="8" w:color="050A54"/>
            </w:tcBorders>
          </w:tcPr>
          <w:p>
            <w:pPr>
              <w:spacing w:after="0"/>
              <w:rPr>
                <w:sz w:val="4"/>
                <w:szCs w:val="4"/>
                <w:color w:val="auto"/>
              </w:rPr>
            </w:pPr>
          </w:p>
        </w:tc>
        <w:tc>
          <w:tcPr>
            <w:tcW w:w="2320" w:type="dxa"/>
            <w:vAlign w:val="bottom"/>
            <w:tcBorders>
              <w:bottom w:val="single" w:sz="8" w:color="050A54"/>
            </w:tcBorders>
          </w:tcPr>
          <w:p>
            <w:pPr>
              <w:spacing w:after="0"/>
              <w:rPr>
                <w:sz w:val="4"/>
                <w:szCs w:val="4"/>
                <w:color w:val="auto"/>
              </w:rPr>
            </w:pPr>
          </w:p>
        </w:tc>
      </w:tr>
      <w:tr>
        <w:trPr>
          <w:trHeight w:val="214"/>
        </w:trPr>
        <w:tc>
          <w:tcPr>
            <w:tcW w:w="2920" w:type="dxa"/>
            <w:vAlign w:val="bottom"/>
            <w:tcBorders>
              <w:bottom w:val="single" w:sz="8" w:color="E8E8E8"/>
            </w:tcBorders>
            <w:shd w:val="clear" w:color="auto" w:fill="E8E8E8"/>
          </w:tcPr>
          <w:p>
            <w:pPr>
              <w:ind w:left="20"/>
              <w:spacing w:after="0"/>
              <w:rPr>
                <w:sz w:val="20"/>
                <w:szCs w:val="20"/>
                <w:color w:val="auto"/>
              </w:rPr>
            </w:pPr>
            <w:r>
              <w:rPr>
                <w:rFonts w:ascii="Arial" w:cs="Arial" w:eastAsia="Arial" w:hAnsi="Arial"/>
                <w:sz w:val="16"/>
                <w:szCs w:val="16"/>
                <w:color w:val="auto"/>
              </w:rPr>
              <w:t>Exceeds</w:t>
            </w:r>
          </w:p>
        </w:tc>
        <w:tc>
          <w:tcPr>
            <w:tcW w:w="2320" w:type="dxa"/>
            <w:vAlign w:val="bottom"/>
            <w:tcBorders>
              <w:bottom w:val="single" w:sz="8" w:color="E8E8E8"/>
            </w:tcBorders>
            <w:shd w:val="clear" w:color="auto" w:fill="E8E8E8"/>
          </w:tcPr>
          <w:p>
            <w:pPr>
              <w:jc w:val="center"/>
              <w:ind w:right="2"/>
              <w:spacing w:after="0"/>
              <w:rPr>
                <w:sz w:val="20"/>
                <w:szCs w:val="20"/>
                <w:color w:val="auto"/>
              </w:rPr>
            </w:pPr>
            <w:r>
              <w:rPr>
                <w:rFonts w:ascii="Arial" w:cs="Arial" w:eastAsia="Arial" w:hAnsi="Arial"/>
                <w:sz w:val="16"/>
                <w:szCs w:val="16"/>
                <w:color w:val="auto"/>
                <w:w w:val="97"/>
              </w:rPr>
              <w:t>150%</w:t>
            </w:r>
          </w:p>
        </w:tc>
      </w:tr>
      <w:tr>
        <w:trPr>
          <w:trHeight w:val="211"/>
        </w:trPr>
        <w:tc>
          <w:tcPr>
            <w:tcW w:w="2920" w:type="dxa"/>
            <w:vAlign w:val="bottom"/>
          </w:tcPr>
          <w:p>
            <w:pPr>
              <w:ind w:left="20"/>
              <w:spacing w:after="0"/>
              <w:rPr>
                <w:sz w:val="20"/>
                <w:szCs w:val="20"/>
                <w:color w:val="auto"/>
              </w:rPr>
            </w:pPr>
            <w:r>
              <w:rPr>
                <w:rFonts w:ascii="Arial" w:cs="Arial" w:eastAsia="Arial" w:hAnsi="Arial"/>
                <w:sz w:val="16"/>
                <w:szCs w:val="16"/>
                <w:color w:val="auto"/>
              </w:rPr>
              <w:t>Meets</w:t>
            </w:r>
          </w:p>
        </w:tc>
        <w:tc>
          <w:tcPr>
            <w:tcW w:w="2320" w:type="dxa"/>
            <w:vAlign w:val="bottom"/>
          </w:tcPr>
          <w:p>
            <w:pPr>
              <w:jc w:val="center"/>
              <w:ind w:right="2"/>
              <w:spacing w:after="0"/>
              <w:rPr>
                <w:sz w:val="20"/>
                <w:szCs w:val="20"/>
                <w:color w:val="auto"/>
              </w:rPr>
            </w:pPr>
            <w:r>
              <w:rPr>
                <w:rFonts w:ascii="Arial" w:cs="Arial" w:eastAsia="Arial" w:hAnsi="Arial"/>
                <w:sz w:val="16"/>
                <w:szCs w:val="16"/>
                <w:color w:val="auto"/>
                <w:w w:val="97"/>
              </w:rPr>
              <w:t>100%</w:t>
            </w:r>
          </w:p>
        </w:tc>
      </w:tr>
      <w:tr>
        <w:trPr>
          <w:trHeight w:val="29"/>
        </w:trPr>
        <w:tc>
          <w:tcPr>
            <w:tcW w:w="292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21"/>
        </w:trPr>
        <w:tc>
          <w:tcPr>
            <w:tcW w:w="2920" w:type="dxa"/>
            <w:vAlign w:val="bottom"/>
            <w:tcBorders>
              <w:bottom w:val="single" w:sz="8" w:color="E8E8E8"/>
            </w:tcBorders>
            <w:shd w:val="clear" w:color="auto" w:fill="E8E8E8"/>
          </w:tcPr>
          <w:p>
            <w:pPr>
              <w:ind w:left="20"/>
              <w:spacing w:after="0"/>
              <w:rPr>
                <w:sz w:val="20"/>
                <w:szCs w:val="20"/>
                <w:color w:val="auto"/>
              </w:rPr>
            </w:pPr>
            <w:r>
              <w:rPr>
                <w:rFonts w:ascii="Arial" w:cs="Arial" w:eastAsia="Arial" w:hAnsi="Arial"/>
                <w:sz w:val="16"/>
                <w:szCs w:val="16"/>
                <w:color w:val="auto"/>
              </w:rPr>
              <w:t>Partially meets</w:t>
            </w:r>
          </w:p>
        </w:tc>
        <w:tc>
          <w:tcPr>
            <w:tcW w:w="2320" w:type="dxa"/>
            <w:vAlign w:val="bottom"/>
            <w:tcBorders>
              <w:bottom w:val="single" w:sz="8" w:color="E8E8E8"/>
            </w:tcBorders>
            <w:shd w:val="clear" w:color="auto" w:fill="E8E8E8"/>
          </w:tcPr>
          <w:p>
            <w:pPr>
              <w:jc w:val="center"/>
              <w:ind w:right="2"/>
              <w:spacing w:after="0"/>
              <w:rPr>
                <w:sz w:val="20"/>
                <w:szCs w:val="20"/>
                <w:color w:val="auto"/>
              </w:rPr>
            </w:pPr>
            <w:r>
              <w:rPr>
                <w:rFonts w:ascii="Arial" w:cs="Arial" w:eastAsia="Arial" w:hAnsi="Arial"/>
                <w:sz w:val="16"/>
                <w:szCs w:val="16"/>
                <w:color w:val="auto"/>
                <w:w w:val="99"/>
              </w:rPr>
              <w:t>75%</w:t>
            </w:r>
          </w:p>
        </w:tc>
      </w:tr>
      <w:tr>
        <w:trPr>
          <w:trHeight w:val="20"/>
        </w:trPr>
        <w:tc>
          <w:tcPr>
            <w:tcW w:w="2920" w:type="dxa"/>
            <w:vAlign w:val="bottom"/>
            <w:shd w:val="clear" w:color="auto" w:fill="050A54"/>
          </w:tcPr>
          <w:p>
            <w:pPr>
              <w:spacing w:after="0" w:line="20" w:lineRule="exact"/>
              <w:rPr>
                <w:sz w:val="1"/>
                <w:szCs w:val="1"/>
                <w:color w:val="auto"/>
              </w:rPr>
            </w:pPr>
          </w:p>
        </w:tc>
        <w:tc>
          <w:tcPr>
            <w:tcW w:w="2320" w:type="dxa"/>
            <w:vAlign w:val="bottom"/>
            <w:shd w:val="clear" w:color="auto" w:fill="050A54"/>
          </w:tcPr>
          <w:p>
            <w:pPr>
              <w:spacing w:after="0" w:line="20" w:lineRule="exact"/>
              <w:rPr>
                <w:sz w:val="1"/>
                <w:szCs w:val="1"/>
                <w:color w:val="auto"/>
              </w:rPr>
            </w:pPr>
          </w:p>
        </w:tc>
      </w:tr>
    </w:tbl>
    <w:p>
      <w:pPr>
        <w:spacing w:after="0" w:line="195"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 xml:space="preserve">As further described under </w:t>
      </w:r>
      <w:r>
        <w:rPr>
          <w:rFonts w:ascii="Arial" w:cs="Arial" w:eastAsia="Arial" w:hAnsi="Arial"/>
          <w:sz w:val="18"/>
          <w:szCs w:val="18"/>
          <w:i w:val="1"/>
          <w:iCs w:val="1"/>
          <w:color w:val="auto"/>
        </w:rPr>
        <w:t>“2021 OKRs Performance Evaluation,</w:t>
      </w:r>
      <w:r>
        <w:rPr>
          <w:rFonts w:ascii="Arial" w:cs="Arial" w:eastAsia="Arial" w:hAnsi="Arial"/>
          <w:sz w:val="18"/>
          <w:szCs w:val="18"/>
          <w:color w:val="auto"/>
        </w:rPr>
        <w:t>” the Compensation Committee rated:</w:t>
      </w:r>
    </w:p>
    <w:p>
      <w:pPr>
        <w:spacing w:after="0" w:line="64" w:lineRule="exact"/>
        <w:rPr>
          <w:sz w:val="20"/>
          <w:szCs w:val="20"/>
          <w:color w:val="auto"/>
        </w:rPr>
      </w:pPr>
    </w:p>
    <w:p>
      <w:pPr>
        <w:ind w:left="860" w:hanging="372"/>
        <w:spacing w:after="0"/>
        <w:tabs>
          <w:tab w:leader="none" w:pos="8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Growth Goal as “exceeds”;</w:t>
      </w:r>
    </w:p>
    <w:p>
      <w:pPr>
        <w:spacing w:after="0" w:line="113" w:lineRule="exact"/>
        <w:rPr>
          <w:rFonts w:ascii="Arial" w:cs="Arial" w:eastAsia="Arial" w:hAnsi="Arial"/>
          <w:sz w:val="18"/>
          <w:szCs w:val="18"/>
          <w:color w:val="auto"/>
        </w:rPr>
      </w:pPr>
    </w:p>
    <w:p>
      <w:pPr>
        <w:ind w:left="860" w:hanging="372"/>
        <w:spacing w:after="0"/>
        <w:tabs>
          <w:tab w:leader="none" w:pos="8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Support Goal and Enablers Goal as “meets”; and</w:t>
      </w:r>
    </w:p>
    <w:p>
      <w:pPr>
        <w:spacing w:after="0" w:line="113" w:lineRule="exact"/>
        <w:rPr>
          <w:rFonts w:ascii="Arial" w:cs="Arial" w:eastAsia="Arial" w:hAnsi="Arial"/>
          <w:sz w:val="18"/>
          <w:szCs w:val="18"/>
          <w:color w:val="auto"/>
        </w:rPr>
      </w:pPr>
    </w:p>
    <w:p>
      <w:pPr>
        <w:ind w:left="860" w:hanging="372"/>
        <w:spacing w:after="0" w:line="265" w:lineRule="auto"/>
        <w:tabs>
          <w:tab w:leader="none" w:pos="8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Experience Goal and Service Goal as “partially meets.”</w:t>
      </w:r>
    </w:p>
    <w:p>
      <w:pPr>
        <w:spacing w:after="0" w:line="20" w:lineRule="exact"/>
        <w:rPr>
          <w:sz w:val="20"/>
          <w:szCs w:val="20"/>
          <w:color w:val="auto"/>
        </w:rPr>
      </w:pPr>
      <w:r>
        <w:rPr>
          <w:sz w:val="20"/>
          <w:szCs w:val="20"/>
          <w:color w:val="auto"/>
        </w:rPr>
        <w:br w:type="column"/>
      </w:r>
    </w:p>
    <w:p>
      <w:pPr>
        <w:jc w:val="both"/>
        <w:spacing w:after="0" w:line="234" w:lineRule="auto"/>
        <w:rPr>
          <w:sz w:val="20"/>
          <w:szCs w:val="20"/>
          <w:color w:val="auto"/>
        </w:rPr>
      </w:pPr>
      <w:r>
        <w:rPr>
          <w:rFonts w:ascii="Arial" w:cs="Arial" w:eastAsia="Arial" w:hAnsi="Arial"/>
          <w:sz w:val="18"/>
          <w:szCs w:val="18"/>
          <w:i w:val="1"/>
          <w:iCs w:val="1"/>
          <w:color w:val="auto"/>
        </w:rPr>
        <w:t xml:space="preserve">Committee Discretion (20% baseline weighting). </w:t>
      </w:r>
      <w:r>
        <w:rPr>
          <w:rFonts w:ascii="Arial" w:cs="Arial" w:eastAsia="Arial" w:hAnsi="Arial"/>
          <w:sz w:val="18"/>
          <w:szCs w:val="18"/>
          <w:color w:val="auto"/>
        </w:rPr>
        <w:t>In establishing the</w:t>
      </w:r>
      <w:r>
        <w:rPr>
          <w:rFonts w:ascii="Arial" w:cs="Arial" w:eastAsia="Arial" w:hAnsi="Arial"/>
          <w:sz w:val="18"/>
          <w:szCs w:val="18"/>
          <w:i w:val="1"/>
          <w:iCs w:val="1"/>
          <w:color w:val="auto"/>
        </w:rPr>
        <w:t xml:space="preserve"> </w:t>
      </w:r>
      <w:r>
        <w:rPr>
          <w:rFonts w:ascii="Arial" w:cs="Arial" w:eastAsia="Arial" w:hAnsi="Arial"/>
          <w:sz w:val="18"/>
          <w:szCs w:val="18"/>
          <w:color w:val="auto"/>
        </w:rPr>
        <w:t>bonus pool funding framework in January 2021, the Compensation Committee discussed the appropriate level of discretion, if any, to be retained by the Compensation Committee to adjust bonus pool funding up or down based on its assessments of key drivers of performance. Consistent with practice in prior years, the 2021 bonus pool funding framework enabled the Committee to consider the following factors in assessing the achievement of the Company’s financial performance and its corporate goals:</w:t>
      </w:r>
    </w:p>
    <w:p>
      <w:pPr>
        <w:spacing w:after="0" w:line="92" w:lineRule="exact"/>
        <w:rPr>
          <w:sz w:val="20"/>
          <w:szCs w:val="20"/>
          <w:color w:val="auto"/>
        </w:rPr>
      </w:pPr>
    </w:p>
    <w:p>
      <w:pPr>
        <w:ind w:left="680" w:hanging="366"/>
        <w:spacing w:after="0"/>
        <w:tabs>
          <w:tab w:leader="none" w:pos="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macroeconomic environment;</w:t>
      </w:r>
    </w:p>
    <w:p>
      <w:pPr>
        <w:spacing w:after="0" w:line="113" w:lineRule="exact"/>
        <w:rPr>
          <w:rFonts w:ascii="Arial" w:cs="Arial" w:eastAsia="Arial" w:hAnsi="Arial"/>
          <w:sz w:val="18"/>
          <w:szCs w:val="18"/>
          <w:color w:val="auto"/>
        </w:rPr>
      </w:pPr>
    </w:p>
    <w:p>
      <w:pPr>
        <w:ind w:left="680" w:hanging="366"/>
        <w:spacing w:after="0"/>
        <w:tabs>
          <w:tab w:leader="none" w:pos="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quality of financial results;</w:t>
      </w:r>
    </w:p>
    <w:p>
      <w:pPr>
        <w:spacing w:after="0" w:line="113" w:lineRule="exact"/>
        <w:rPr>
          <w:rFonts w:ascii="Arial" w:cs="Arial" w:eastAsia="Arial" w:hAnsi="Arial"/>
          <w:sz w:val="18"/>
          <w:szCs w:val="18"/>
          <w:color w:val="auto"/>
        </w:rPr>
      </w:pPr>
    </w:p>
    <w:p>
      <w:pPr>
        <w:ind w:left="680" w:hanging="366"/>
        <w:spacing w:after="0"/>
        <w:tabs>
          <w:tab w:leader="none" w:pos="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competitive intensity; and</w:t>
      </w:r>
    </w:p>
    <w:p>
      <w:pPr>
        <w:spacing w:after="0" w:line="113" w:lineRule="exact"/>
        <w:rPr>
          <w:rFonts w:ascii="Arial" w:cs="Arial" w:eastAsia="Arial" w:hAnsi="Arial"/>
          <w:sz w:val="18"/>
          <w:szCs w:val="18"/>
          <w:color w:val="auto"/>
        </w:rPr>
      </w:pPr>
    </w:p>
    <w:p>
      <w:pPr>
        <w:ind w:left="680" w:hanging="366"/>
        <w:spacing w:after="0"/>
        <w:tabs>
          <w:tab w:leader="none" w:pos="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degree of difficulty in goal achievement.</w:t>
      </w:r>
    </w:p>
    <w:p>
      <w:pPr>
        <w:spacing w:after="0" w:line="10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2021, the collective level of achievement of the Company’s financial and corporate goals yielded a total bonus pool funding of $85 million. After considering the subjective factors above, the Compensation Committee exercised its discretion to increase the level of funding to $86 million. The bonus pool was 8.2% of Adjusted EBITDA in 2021, compared to 6.8% of Adjusted EBITDA in 2020. Bonuses to our NEOs, other executive officers and employees of the Company were paid from this pool.</w:t>
      </w:r>
    </w:p>
    <w:p>
      <w:pPr>
        <w:spacing w:after="0" w:line="1014" w:lineRule="exact"/>
        <w:rPr>
          <w:sz w:val="20"/>
          <w:szCs w:val="20"/>
          <w:color w:val="auto"/>
        </w:rPr>
      </w:pPr>
    </w:p>
    <w:p>
      <w:pPr>
        <w:sectPr>
          <w:pgSz w:w="11900" w:h="16838" w:orient="portrait"/>
          <w:cols w:equalWidth="0" w:num="2">
            <w:col w:w="5400" w:space="340"/>
            <w:col w:w="5340"/>
          </w:cols>
          <w:pgMar w:left="320" w:top="454" w:right="499" w:bottom="1440" w:gutter="0" w:footer="0" w:header="0"/>
          <w:type w:val="continuous"/>
        </w:sectPr>
      </w:pPr>
    </w:p>
    <w:p>
      <w:pPr>
        <w:spacing w:after="0" w:line="38" w:lineRule="exact"/>
        <w:rPr>
          <w:sz w:val="20"/>
          <w:szCs w:val="20"/>
          <w:color w:val="auto"/>
        </w:rPr>
      </w:pPr>
    </w:p>
    <w:tbl>
      <w:tblPr>
        <w:tblLayout w:type="fixed"/>
        <w:tblInd w:w="8500" w:type="dxa"/>
        <w:tblCellMar>
          <w:top w:w="0" w:type="dxa"/>
          <w:left w:w="0" w:type="dxa"/>
          <w:bottom w:w="0" w:type="dxa"/>
          <w:right w:w="0" w:type="dxa"/>
        </w:tblCellMar>
      </w:tblPr>
      <w:tr>
        <w:trPr>
          <w:trHeight w:val="233"/>
        </w:trPr>
        <w:tc>
          <w:tcPr>
            <w:tcW w:w="2060" w:type="dxa"/>
            <w:vAlign w:val="bottom"/>
            <w:tcBorders>
              <w:right w:val="single" w:sz="8" w:color="050A54"/>
            </w:tcBorders>
          </w:tcPr>
          <w:p>
            <w:pPr>
              <w:spacing w:after="0"/>
              <w:rPr>
                <w:sz w:val="20"/>
                <w:szCs w:val="20"/>
                <w:color w:val="auto"/>
              </w:rPr>
            </w:pPr>
            <w:r>
              <w:rPr>
                <w:rFonts w:ascii="Arial" w:cs="Arial" w:eastAsia="Arial" w:hAnsi="Arial"/>
                <w:sz w:val="18"/>
                <w:szCs w:val="18"/>
                <w:b w:val="1"/>
                <w:bCs w:val="1"/>
                <w:color w:val="050A54"/>
              </w:rPr>
              <w:t>2022 Proxy Statement</w:t>
            </w:r>
          </w:p>
        </w:tc>
        <w:tc>
          <w:tcPr>
            <w:tcW w:w="520" w:type="dxa"/>
            <w:vAlign w:val="bottom"/>
          </w:tcPr>
          <w:p>
            <w:pPr>
              <w:jc w:val="right"/>
              <w:spacing w:after="0"/>
              <w:rPr>
                <w:sz w:val="20"/>
                <w:szCs w:val="20"/>
                <w:color w:val="auto"/>
              </w:rPr>
            </w:pPr>
            <w:r>
              <w:rPr>
                <w:rFonts w:ascii="Arial" w:cs="Arial" w:eastAsia="Arial" w:hAnsi="Arial"/>
                <w:sz w:val="18"/>
                <w:szCs w:val="18"/>
                <w:color w:val="050A54"/>
              </w:rPr>
              <w:t>37</w:t>
            </w:r>
          </w:p>
        </w:tc>
      </w:tr>
    </w:tbl>
    <w:p>
      <w:pPr>
        <w:sectPr>
          <w:pgSz w:w="11900" w:h="16838" w:orient="portrait"/>
          <w:cols w:equalWidth="0" w:num="1">
            <w:col w:w="11080"/>
          </w:cols>
          <w:pgMar w:left="320" w:top="454" w:right="499" w:bottom="1440" w:gutter="0" w:footer="0" w:header="0"/>
          <w:type w:val="continuous"/>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120"/>
        <w:spacing w:after="0"/>
        <w:rPr>
          <w:sz w:val="20"/>
          <w:szCs w:val="20"/>
          <w:color w:val="auto"/>
        </w:rPr>
      </w:pPr>
      <w:r>
        <w:rPr>
          <w:rFonts w:ascii="Arial" w:cs="Arial" w:eastAsia="Arial" w:hAnsi="Arial"/>
          <w:sz w:val="20"/>
          <w:szCs w:val="20"/>
          <w:b w:val="1"/>
          <w:bCs w:val="1"/>
          <w:color w:val="050A54"/>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0A54"/>
        </w:rPr>
        <w:t>2021 OKRs Performance Evaluation</w:t>
      </w:r>
    </w:p>
    <w:p>
      <w:pPr>
        <w:spacing w:after="0" w:line="206"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At the beginning of 2021, our Board determined, with the input of the Company’s chief executive officer, the 2021 OKRs described above. As further discussed below, the Compensation Committee determined that the collective level of achievement of the 2021 OKRs was at target.</w:t>
      </w:r>
    </w:p>
    <w:p>
      <w:pPr>
        <w:spacing w:after="0" w:line="198" w:lineRule="exact"/>
        <w:rPr>
          <w:sz w:val="20"/>
          <w:szCs w:val="20"/>
          <w:color w:val="auto"/>
        </w:rPr>
      </w:pPr>
    </w:p>
    <w:tbl>
      <w:tblPr>
        <w:tblLayout w:type="fixed"/>
        <w:tblInd w:w="160" w:type="dxa"/>
        <w:tblCellMar>
          <w:top w:w="0" w:type="dxa"/>
          <w:left w:w="0" w:type="dxa"/>
          <w:bottom w:w="0" w:type="dxa"/>
          <w:right w:w="0" w:type="dxa"/>
        </w:tblCellMar>
      </w:tblPr>
      <w:tr>
        <w:trPr>
          <w:trHeight w:val="219"/>
        </w:trPr>
        <w:tc>
          <w:tcPr>
            <w:tcW w:w="3420" w:type="dxa"/>
            <w:vAlign w:val="bottom"/>
            <w:tcBorders>
              <w:bottom w:val="single" w:sz="8" w:color="050A54"/>
            </w:tcBorders>
          </w:tcPr>
          <w:p>
            <w:pPr>
              <w:spacing w:after="0"/>
              <w:rPr>
                <w:sz w:val="20"/>
                <w:szCs w:val="20"/>
                <w:color w:val="auto"/>
              </w:rPr>
            </w:pPr>
            <w:r>
              <w:rPr>
                <w:rFonts w:ascii="Arial" w:cs="Arial" w:eastAsia="Arial" w:hAnsi="Arial"/>
                <w:sz w:val="18"/>
                <w:szCs w:val="18"/>
                <w:b w:val="1"/>
                <w:bCs w:val="1"/>
                <w:color w:val="050A54"/>
              </w:rPr>
              <w:t>2021 OKRs</w:t>
            </w:r>
          </w:p>
        </w:tc>
        <w:tc>
          <w:tcPr>
            <w:tcW w:w="7500" w:type="dxa"/>
            <w:vAlign w:val="bottom"/>
            <w:tcBorders>
              <w:bottom w:val="single" w:sz="8" w:color="050A54"/>
            </w:tcBorders>
          </w:tcPr>
          <w:p>
            <w:pPr>
              <w:ind w:left="320"/>
              <w:spacing w:after="0"/>
              <w:rPr>
                <w:sz w:val="20"/>
                <w:szCs w:val="20"/>
                <w:color w:val="auto"/>
              </w:rPr>
            </w:pPr>
            <w:r>
              <w:rPr>
                <w:rFonts w:ascii="Arial" w:cs="Arial" w:eastAsia="Arial" w:hAnsi="Arial"/>
                <w:sz w:val="18"/>
                <w:szCs w:val="18"/>
                <w:b w:val="1"/>
                <w:bCs w:val="1"/>
                <w:color w:val="050A54"/>
              </w:rPr>
              <w:t>Performance Commentary</w:t>
            </w:r>
          </w:p>
        </w:tc>
      </w:tr>
      <w:tr>
        <w:trPr>
          <w:trHeight w:val="175"/>
        </w:trPr>
        <w:tc>
          <w:tcPr>
            <w:tcW w:w="3420" w:type="dxa"/>
            <w:vAlign w:val="bottom"/>
            <w:shd w:val="clear" w:color="auto" w:fill="E8E8E8"/>
          </w:tcPr>
          <w:p>
            <w:pPr>
              <w:spacing w:after="0" w:line="176" w:lineRule="exact"/>
              <w:rPr>
                <w:sz w:val="20"/>
                <w:szCs w:val="20"/>
                <w:color w:val="auto"/>
              </w:rPr>
            </w:pPr>
            <w:r>
              <w:rPr>
                <w:rFonts w:ascii="Arial" w:cs="Arial" w:eastAsia="Arial" w:hAnsi="Arial"/>
                <w:sz w:val="18"/>
                <w:szCs w:val="18"/>
                <w:color w:val="auto"/>
              </w:rPr>
              <w:t>Meet advisors where they are in the</w:t>
            </w:r>
          </w:p>
        </w:tc>
        <w:tc>
          <w:tcPr>
            <w:tcW w:w="7500" w:type="dxa"/>
            <w:vAlign w:val="bottom"/>
            <w:shd w:val="clear" w:color="auto" w:fill="E8E8E8"/>
          </w:tcPr>
          <w:p>
            <w:pPr>
              <w:ind w:left="320"/>
              <w:spacing w:after="0" w:line="176" w:lineRule="exact"/>
              <w:rPr>
                <w:sz w:val="20"/>
                <w:szCs w:val="20"/>
                <w:color w:val="auto"/>
              </w:rPr>
            </w:pPr>
            <w:r>
              <w:rPr>
                <w:rFonts w:ascii="Arial" w:cs="Arial" w:eastAsia="Arial" w:hAnsi="Arial"/>
                <w:sz w:val="18"/>
                <w:szCs w:val="18"/>
                <w:b w:val="1"/>
                <w:bCs w:val="1"/>
                <w:i w:val="1"/>
                <w:iCs w:val="1"/>
                <w:color w:val="auto"/>
                <w:w w:val="99"/>
              </w:rPr>
              <w:t xml:space="preserve">Exceeds Target. </w:t>
            </w:r>
            <w:r>
              <w:rPr>
                <w:rFonts w:ascii="Arial" w:cs="Arial" w:eastAsia="Arial" w:hAnsi="Arial"/>
                <w:sz w:val="18"/>
                <w:szCs w:val="18"/>
                <w:color w:val="auto"/>
                <w:w w:val="99"/>
              </w:rPr>
              <w:t>Organic net new assets of $118.8 billion represented a 13% growth rate,</w:t>
            </w:r>
          </w:p>
        </w:tc>
      </w:tr>
      <w:tr>
        <w:trPr>
          <w:trHeight w:val="201"/>
        </w:trPr>
        <w:tc>
          <w:tcPr>
            <w:tcW w:w="3420" w:type="dxa"/>
            <w:vAlign w:val="bottom"/>
            <w:shd w:val="clear" w:color="auto" w:fill="E8E8E8"/>
          </w:tcPr>
          <w:p>
            <w:pPr>
              <w:spacing w:after="0" w:line="201" w:lineRule="exact"/>
              <w:rPr>
                <w:sz w:val="20"/>
                <w:szCs w:val="20"/>
                <w:color w:val="auto"/>
              </w:rPr>
            </w:pPr>
            <w:r>
              <w:rPr>
                <w:rFonts w:ascii="Arial" w:cs="Arial" w:eastAsia="Arial" w:hAnsi="Arial"/>
                <w:sz w:val="18"/>
                <w:szCs w:val="18"/>
                <w:color w:val="auto"/>
              </w:rPr>
              <w:t>evolution of their practices (the “Growth</w:t>
            </w:r>
          </w:p>
        </w:tc>
        <w:tc>
          <w:tcPr>
            <w:tcW w:w="7500" w:type="dxa"/>
            <w:vAlign w:val="bottom"/>
            <w:shd w:val="clear" w:color="auto" w:fill="E8E8E8"/>
          </w:tcPr>
          <w:p>
            <w:pPr>
              <w:ind w:left="320"/>
              <w:spacing w:after="0" w:line="201" w:lineRule="exact"/>
              <w:rPr>
                <w:sz w:val="20"/>
                <w:szCs w:val="20"/>
                <w:color w:val="auto"/>
              </w:rPr>
            </w:pPr>
            <w:r>
              <w:rPr>
                <w:rFonts w:ascii="Arial" w:cs="Arial" w:eastAsia="Arial" w:hAnsi="Arial"/>
                <w:sz w:val="18"/>
                <w:szCs w:val="18"/>
                <w:color w:val="auto"/>
              </w:rPr>
              <w:t>compared  to  7%  in  2020.  Recruited  assets  of  $89.0  billion  exceeded  our  2021</w:t>
            </w:r>
          </w:p>
        </w:tc>
      </w:tr>
      <w:tr>
        <w:trPr>
          <w:trHeight w:val="201"/>
        </w:trPr>
        <w:tc>
          <w:tcPr>
            <w:tcW w:w="3420" w:type="dxa"/>
            <w:vAlign w:val="bottom"/>
            <w:shd w:val="clear" w:color="auto" w:fill="E8E8E8"/>
          </w:tcPr>
          <w:p>
            <w:pPr>
              <w:spacing w:after="0" w:line="201" w:lineRule="exact"/>
              <w:rPr>
                <w:sz w:val="20"/>
                <w:szCs w:val="20"/>
                <w:color w:val="auto"/>
              </w:rPr>
            </w:pPr>
            <w:r>
              <w:rPr>
                <w:rFonts w:ascii="Arial" w:cs="Arial" w:eastAsia="Arial" w:hAnsi="Arial"/>
                <w:sz w:val="18"/>
                <w:szCs w:val="18"/>
                <w:color w:val="auto"/>
              </w:rPr>
              <w:t>Goal”)</w:t>
            </w:r>
          </w:p>
        </w:tc>
        <w:tc>
          <w:tcPr>
            <w:tcW w:w="7500" w:type="dxa"/>
            <w:vAlign w:val="bottom"/>
            <w:shd w:val="clear" w:color="auto" w:fill="E8E8E8"/>
          </w:tcPr>
          <w:p>
            <w:pPr>
              <w:ind w:left="320"/>
              <w:spacing w:after="0" w:line="201" w:lineRule="exact"/>
              <w:rPr>
                <w:sz w:val="20"/>
                <w:szCs w:val="20"/>
                <w:color w:val="auto"/>
              </w:rPr>
            </w:pPr>
            <w:r>
              <w:rPr>
                <w:rFonts w:ascii="Arial" w:cs="Arial" w:eastAsia="Arial" w:hAnsi="Arial"/>
                <w:sz w:val="18"/>
                <w:szCs w:val="18"/>
                <w:color w:val="auto"/>
              </w:rPr>
              <w:t>performance target and our prior annual record of $40.9 billion in 2020. The Company</w:t>
            </w:r>
          </w:p>
        </w:tc>
      </w:tr>
      <w:tr>
        <w:trPr>
          <w:trHeight w:val="201"/>
        </w:trPr>
        <w:tc>
          <w:tcPr>
            <w:tcW w:w="3420" w:type="dxa"/>
            <w:vAlign w:val="bottom"/>
            <w:shd w:val="clear" w:color="auto" w:fill="E8E8E8"/>
          </w:tcPr>
          <w:p>
            <w:pPr>
              <w:spacing w:after="0"/>
              <w:rPr>
                <w:sz w:val="17"/>
                <w:szCs w:val="17"/>
                <w:color w:val="auto"/>
              </w:rPr>
            </w:pPr>
          </w:p>
        </w:tc>
        <w:tc>
          <w:tcPr>
            <w:tcW w:w="7500" w:type="dxa"/>
            <w:vAlign w:val="bottom"/>
            <w:shd w:val="clear" w:color="auto" w:fill="E8E8E8"/>
          </w:tcPr>
          <w:p>
            <w:pPr>
              <w:ind w:left="320"/>
              <w:spacing w:after="0" w:line="201" w:lineRule="exact"/>
              <w:rPr>
                <w:sz w:val="20"/>
                <w:szCs w:val="20"/>
                <w:color w:val="auto"/>
              </w:rPr>
            </w:pPr>
            <w:r>
              <w:rPr>
                <w:rFonts w:ascii="Arial" w:cs="Arial" w:eastAsia="Arial" w:hAnsi="Arial"/>
                <w:sz w:val="18"/>
                <w:szCs w:val="18"/>
                <w:color w:val="auto"/>
                <w:w w:val="99"/>
              </w:rPr>
              <w:t>completed the onboarding of $71.2 billion of client assets in connection with the Waddell &amp;</w:t>
            </w:r>
          </w:p>
        </w:tc>
      </w:tr>
      <w:tr>
        <w:trPr>
          <w:trHeight w:val="201"/>
        </w:trPr>
        <w:tc>
          <w:tcPr>
            <w:tcW w:w="3420" w:type="dxa"/>
            <w:vAlign w:val="bottom"/>
            <w:shd w:val="clear" w:color="auto" w:fill="E8E8E8"/>
          </w:tcPr>
          <w:p>
            <w:pPr>
              <w:spacing w:after="0"/>
              <w:rPr>
                <w:sz w:val="17"/>
                <w:szCs w:val="17"/>
                <w:color w:val="auto"/>
              </w:rPr>
            </w:pPr>
          </w:p>
        </w:tc>
        <w:tc>
          <w:tcPr>
            <w:tcW w:w="7500" w:type="dxa"/>
            <w:vAlign w:val="bottom"/>
            <w:shd w:val="clear" w:color="auto" w:fill="E8E8E8"/>
          </w:tcPr>
          <w:p>
            <w:pPr>
              <w:ind w:left="320"/>
              <w:spacing w:after="0" w:line="201" w:lineRule="exact"/>
              <w:rPr>
                <w:sz w:val="20"/>
                <w:szCs w:val="20"/>
                <w:color w:val="auto"/>
              </w:rPr>
            </w:pPr>
            <w:r>
              <w:rPr>
                <w:rFonts w:ascii="Arial" w:cs="Arial" w:eastAsia="Arial" w:hAnsi="Arial"/>
                <w:sz w:val="18"/>
                <w:szCs w:val="18"/>
                <w:color w:val="auto"/>
                <w:w w:val="99"/>
              </w:rPr>
              <w:t>Reed Acquisition, with asset retention of 99% exceeding the performance target of 70%. In</w:t>
            </w:r>
          </w:p>
        </w:tc>
      </w:tr>
      <w:tr>
        <w:trPr>
          <w:trHeight w:val="201"/>
        </w:trPr>
        <w:tc>
          <w:tcPr>
            <w:tcW w:w="3420" w:type="dxa"/>
            <w:vAlign w:val="bottom"/>
            <w:shd w:val="clear" w:color="auto" w:fill="E8E8E8"/>
          </w:tcPr>
          <w:p>
            <w:pPr>
              <w:spacing w:after="0"/>
              <w:rPr>
                <w:sz w:val="17"/>
                <w:szCs w:val="17"/>
                <w:color w:val="auto"/>
              </w:rPr>
            </w:pPr>
          </w:p>
        </w:tc>
        <w:tc>
          <w:tcPr>
            <w:tcW w:w="7500" w:type="dxa"/>
            <w:vAlign w:val="bottom"/>
            <w:shd w:val="clear" w:color="auto" w:fill="E8E8E8"/>
          </w:tcPr>
          <w:p>
            <w:pPr>
              <w:ind w:left="320"/>
              <w:spacing w:after="0" w:line="201" w:lineRule="exact"/>
              <w:rPr>
                <w:sz w:val="20"/>
                <w:szCs w:val="20"/>
                <w:color w:val="auto"/>
              </w:rPr>
            </w:pPr>
            <w:r>
              <w:rPr>
                <w:rFonts w:ascii="Arial" w:cs="Arial" w:eastAsia="Arial" w:hAnsi="Arial"/>
                <w:sz w:val="18"/>
                <w:szCs w:val="18"/>
                <w:color w:val="auto"/>
              </w:rPr>
              <w:t>addition, the Company continued to expand its addressable market through new affiliation</w:t>
            </w:r>
          </w:p>
        </w:tc>
      </w:tr>
      <w:tr>
        <w:trPr>
          <w:trHeight w:val="201"/>
        </w:trPr>
        <w:tc>
          <w:tcPr>
            <w:tcW w:w="3420" w:type="dxa"/>
            <w:vAlign w:val="bottom"/>
            <w:shd w:val="clear" w:color="auto" w:fill="E8E8E8"/>
          </w:tcPr>
          <w:p>
            <w:pPr>
              <w:spacing w:after="0"/>
              <w:rPr>
                <w:sz w:val="17"/>
                <w:szCs w:val="17"/>
                <w:color w:val="auto"/>
              </w:rPr>
            </w:pPr>
          </w:p>
        </w:tc>
        <w:tc>
          <w:tcPr>
            <w:tcW w:w="7500" w:type="dxa"/>
            <w:vAlign w:val="bottom"/>
            <w:shd w:val="clear" w:color="auto" w:fill="E8E8E8"/>
          </w:tcPr>
          <w:p>
            <w:pPr>
              <w:ind w:left="320"/>
              <w:spacing w:after="0" w:line="201" w:lineRule="exact"/>
              <w:rPr>
                <w:sz w:val="20"/>
                <w:szCs w:val="20"/>
                <w:color w:val="auto"/>
              </w:rPr>
            </w:pPr>
            <w:r>
              <w:rPr>
                <w:rFonts w:ascii="Arial" w:cs="Arial" w:eastAsia="Arial" w:hAnsi="Arial"/>
                <w:sz w:val="18"/>
                <w:szCs w:val="18"/>
                <w:color w:val="auto"/>
              </w:rPr>
              <w:t>models, with 13 practices joining LPL Strategic Wealth Services and another 14 advisors</w:t>
            </w:r>
          </w:p>
        </w:tc>
      </w:tr>
      <w:tr>
        <w:trPr>
          <w:trHeight w:val="235"/>
        </w:trPr>
        <w:tc>
          <w:tcPr>
            <w:tcW w:w="3420" w:type="dxa"/>
            <w:vAlign w:val="bottom"/>
            <w:shd w:val="clear" w:color="auto" w:fill="E8E8E8"/>
          </w:tcPr>
          <w:p>
            <w:pPr>
              <w:spacing w:after="0"/>
              <w:rPr>
                <w:sz w:val="20"/>
                <w:szCs w:val="20"/>
                <w:color w:val="auto"/>
              </w:rPr>
            </w:pPr>
          </w:p>
        </w:tc>
        <w:tc>
          <w:tcPr>
            <w:tcW w:w="7500" w:type="dxa"/>
            <w:vAlign w:val="bottom"/>
            <w:shd w:val="clear" w:color="auto" w:fill="E8E8E8"/>
          </w:tcPr>
          <w:p>
            <w:pPr>
              <w:ind w:left="320"/>
              <w:spacing w:after="0"/>
              <w:rPr>
                <w:sz w:val="20"/>
                <w:szCs w:val="20"/>
                <w:color w:val="auto"/>
              </w:rPr>
            </w:pPr>
            <w:r>
              <w:rPr>
                <w:rFonts w:ascii="Arial" w:cs="Arial" w:eastAsia="Arial" w:hAnsi="Arial"/>
                <w:sz w:val="18"/>
                <w:szCs w:val="18"/>
                <w:color w:val="auto"/>
              </w:rPr>
              <w:t>joining the independent employee model in 2021.</w:t>
            </w:r>
          </w:p>
        </w:tc>
      </w:tr>
      <w:tr>
        <w:trPr>
          <w:trHeight w:val="38"/>
        </w:trPr>
        <w:tc>
          <w:tcPr>
            <w:tcW w:w="3420" w:type="dxa"/>
            <w:vAlign w:val="bottom"/>
            <w:shd w:val="clear" w:color="auto" w:fill="E8E8E8"/>
          </w:tcPr>
          <w:p>
            <w:pPr>
              <w:spacing w:after="0"/>
              <w:rPr>
                <w:sz w:val="3"/>
                <w:szCs w:val="3"/>
                <w:color w:val="auto"/>
              </w:rPr>
            </w:pPr>
          </w:p>
        </w:tc>
        <w:tc>
          <w:tcPr>
            <w:tcW w:w="7500" w:type="dxa"/>
            <w:vAlign w:val="bottom"/>
            <w:shd w:val="clear" w:color="auto" w:fill="E8E8E8"/>
          </w:tcPr>
          <w:p>
            <w:pPr>
              <w:spacing w:after="0"/>
              <w:rPr>
                <w:sz w:val="3"/>
                <w:szCs w:val="3"/>
                <w:color w:val="auto"/>
              </w:rPr>
            </w:pPr>
          </w:p>
        </w:tc>
      </w:tr>
    </w:tbl>
    <w:p>
      <w:pPr>
        <w:spacing w:after="0" w:line="35" w:lineRule="exact"/>
        <w:rPr>
          <w:sz w:val="20"/>
          <w:szCs w:val="20"/>
          <w:color w:val="auto"/>
        </w:rPr>
      </w:pPr>
    </w:p>
    <w:p>
      <w:pPr>
        <w:sectPr>
          <w:pgSz w:w="11900" w:h="16838" w:orient="portrait"/>
          <w:cols w:equalWidth="0" w:num="1">
            <w:col w:w="11080"/>
          </w:cols>
          <w:pgMar w:left="320" w:top="454" w:right="499" w:bottom="1440" w:gutter="0" w:footer="0" w:header="0"/>
        </w:sectPr>
      </w:pPr>
    </w:p>
    <w:p>
      <w:pPr>
        <w:jc w:val="both"/>
        <w:ind w:left="160" w:right="560"/>
        <w:spacing w:after="0" w:line="295" w:lineRule="auto"/>
        <w:rPr>
          <w:sz w:val="20"/>
          <w:szCs w:val="20"/>
          <w:color w:val="auto"/>
        </w:rPr>
      </w:pPr>
      <w:r>
        <w:rPr>
          <w:rFonts w:ascii="Arial" w:cs="Arial" w:eastAsia="Arial" w:hAnsi="Arial"/>
          <w:sz w:val="17"/>
          <w:szCs w:val="17"/>
          <w:color w:val="auto"/>
        </w:rPr>
        <w:t>Help advisors differentiate and win end-clients (the “Experience Goal”)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471170</wp:posOffset>
            </wp:positionV>
            <wp:extent cx="2233295" cy="7981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233295" cy="798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60"/>
        <w:spacing w:after="0" w:line="249" w:lineRule="auto"/>
        <w:rPr>
          <w:sz w:val="20"/>
          <w:szCs w:val="20"/>
          <w:color w:val="auto"/>
        </w:rPr>
      </w:pPr>
      <w:r>
        <w:rPr>
          <w:rFonts w:ascii="Arial" w:cs="Arial" w:eastAsia="Arial" w:hAnsi="Arial"/>
          <w:sz w:val="18"/>
          <w:szCs w:val="18"/>
          <w:color w:val="auto"/>
        </w:rPr>
        <w:t>Delight advisors and their clients with industry-leading experiences (the “Service Goal”)</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60" w:right="200"/>
        <w:spacing w:after="0" w:line="249" w:lineRule="auto"/>
        <w:rPr>
          <w:sz w:val="20"/>
          <w:szCs w:val="20"/>
          <w:color w:val="auto"/>
        </w:rPr>
      </w:pPr>
      <w:r>
        <w:rPr>
          <w:rFonts w:ascii="Arial" w:cs="Arial" w:eastAsia="Arial" w:hAnsi="Arial"/>
          <w:sz w:val="18"/>
          <w:szCs w:val="18"/>
          <w:color w:val="auto"/>
        </w:rPr>
        <w:t>Help advisors run the most successful businesses in the industry (the “Support Goal”)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367030</wp:posOffset>
            </wp:positionV>
            <wp:extent cx="2233295" cy="9258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233295" cy="92583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160" w:right="20"/>
        <w:spacing w:after="0" w:line="249" w:lineRule="auto"/>
        <w:rPr>
          <w:sz w:val="20"/>
          <w:szCs w:val="20"/>
          <w:color w:val="auto"/>
        </w:rPr>
      </w:pPr>
      <w:r>
        <w:rPr>
          <w:rFonts w:ascii="Arial" w:cs="Arial" w:eastAsia="Arial" w:hAnsi="Arial"/>
          <w:sz w:val="18"/>
          <w:szCs w:val="18"/>
          <w:color w:val="auto"/>
        </w:rPr>
        <w:t>Develop key enablers to support the execution of strategic plays (the “Enablers Goal”)</w:t>
      </w:r>
    </w:p>
    <w:p>
      <w:pPr>
        <w:spacing w:after="0" w:line="20" w:lineRule="exact"/>
        <w:rPr>
          <w:sz w:val="20"/>
          <w:szCs w:val="20"/>
          <w:color w:val="auto"/>
        </w:rPr>
      </w:pPr>
      <w:r>
        <w:rPr>
          <w:sz w:val="20"/>
          <w:szCs w:val="20"/>
          <w:color w:val="auto"/>
        </w:rPr>
        <w:br w:type="column"/>
      </w:r>
    </w:p>
    <w:p>
      <w:pPr>
        <w:jc w:val="both"/>
        <w:spacing w:after="0" w:line="239" w:lineRule="auto"/>
        <w:rPr>
          <w:sz w:val="20"/>
          <w:szCs w:val="20"/>
          <w:color w:val="auto"/>
        </w:rPr>
      </w:pPr>
      <w:r>
        <w:rPr>
          <w:rFonts w:ascii="Arial" w:cs="Arial" w:eastAsia="Arial" w:hAnsi="Arial"/>
          <w:sz w:val="18"/>
          <w:szCs w:val="18"/>
          <w:b w:val="1"/>
          <w:bCs w:val="1"/>
          <w:i w:val="1"/>
          <w:iCs w:val="1"/>
          <w:color w:val="auto"/>
        </w:rPr>
        <w:t>Partially Meets Target</w:t>
      </w:r>
      <w:r>
        <w:rPr>
          <w:rFonts w:ascii="Arial" w:cs="Arial" w:eastAsia="Arial" w:hAnsi="Arial"/>
          <w:sz w:val="18"/>
          <w:szCs w:val="18"/>
          <w:color w:val="auto"/>
        </w:rPr>
        <w:t>. The Company supported advisors with new capabilities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technology as they continued their practices in a remote work environment. The Company met its performance goal for delivery and adoption of additional “householding” capabilities to advisors, as well as its savings goal through eDelivery. Although the Company delivered an improved web portal and mobile app for end-clients, self-service features were delayed and adoption rates were below target at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-8255</wp:posOffset>
            </wp:positionV>
            <wp:extent cx="4696460" cy="336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696460" cy="33655"/>
                    </a:xfrm>
                    <a:prstGeom prst="rect">
                      <a:avLst/>
                    </a:prstGeom>
                    <a:noFill/>
                  </pic:spPr>
                </pic:pic>
              </a:graphicData>
            </a:graphic>
          </wp:anchor>
        </w:drawing>
      </w:r>
    </w:p>
    <w:p>
      <w:pPr>
        <w:jc w:val="both"/>
        <w:spacing w:after="0" w:line="239" w:lineRule="auto"/>
        <w:rPr>
          <w:sz w:val="20"/>
          <w:szCs w:val="20"/>
          <w:color w:val="auto"/>
        </w:rPr>
      </w:pPr>
      <w:r>
        <w:rPr>
          <w:rFonts w:ascii="Arial" w:cs="Arial" w:eastAsia="Arial" w:hAnsi="Arial"/>
          <w:sz w:val="18"/>
          <w:szCs w:val="18"/>
          <w:b w:val="1"/>
          <w:bCs w:val="1"/>
          <w:i w:val="1"/>
          <w:iCs w:val="1"/>
          <w:color w:val="auto"/>
        </w:rPr>
        <w:t xml:space="preserve">Partially Meets Target. </w:t>
      </w:r>
      <w:r>
        <w:rPr>
          <w:rFonts w:ascii="Arial" w:cs="Arial" w:eastAsia="Arial" w:hAnsi="Arial"/>
          <w:sz w:val="18"/>
          <w:szCs w:val="18"/>
          <w:color w:val="auto"/>
        </w:rPr>
        <w:t>The Company made progress in the multi-year transformation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 service model into an omni-channel client care model, including voice, chat and digital support. Although the Company’s net promoter (“NPS”) improved in J.D. Power’s annual competitive survey, NPS scores decreased year-over-year in the Company’s internal surveys and reflected service levels and systems performance that were below expectation. The Company’s asset retention rate of 98% met its performance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-772795</wp:posOffset>
            </wp:positionV>
            <wp:extent cx="4696460" cy="7645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696460" cy="764540"/>
                    </a:xfrm>
                    <a:prstGeom prst="rect">
                      <a:avLst/>
                    </a:prstGeom>
                    <a:noFill/>
                  </pic:spPr>
                </pic:pic>
              </a:graphicData>
            </a:graphic>
          </wp:anchor>
        </w:drawing>
      </w:r>
    </w:p>
    <w:p>
      <w:pPr>
        <w:jc w:val="both"/>
        <w:spacing w:after="0" w:line="239" w:lineRule="auto"/>
        <w:rPr>
          <w:sz w:val="20"/>
          <w:szCs w:val="20"/>
          <w:color w:val="auto"/>
        </w:rPr>
      </w:pPr>
      <w:r>
        <w:rPr>
          <w:rFonts w:ascii="Arial" w:cs="Arial" w:eastAsia="Arial" w:hAnsi="Arial"/>
          <w:sz w:val="18"/>
          <w:szCs w:val="18"/>
          <w:b w:val="1"/>
          <w:bCs w:val="1"/>
          <w:i w:val="1"/>
          <w:iCs w:val="1"/>
          <w:color w:val="auto"/>
        </w:rPr>
        <w:t xml:space="preserve">Meets Target. </w:t>
      </w:r>
      <w:r>
        <w:rPr>
          <w:rFonts w:ascii="Arial" w:cs="Arial" w:eastAsia="Arial" w:hAnsi="Arial"/>
          <w:sz w:val="18"/>
          <w:szCs w:val="18"/>
          <w:color w:val="auto"/>
        </w:rPr>
        <w:t>The Company continued to scale its LPL Business Solutions offerings.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year-end 2021, the Company had approximately 3,000 subscriptions, more than double the number as of year-end 2020. Net new subscriptions for both Professional Services and Business Optimizers, the two categories of offerings, accelerated during the second half of 2021 and met full-year performance targets. The Company also met its revenue target for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-8255</wp:posOffset>
            </wp:positionV>
            <wp:extent cx="4696460" cy="336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696460" cy="33655"/>
                    </a:xfrm>
                    <a:prstGeom prst="rect">
                      <a:avLst/>
                    </a:prstGeom>
                    <a:noFill/>
                  </pic:spPr>
                </pic:pic>
              </a:graphicData>
            </a:graphic>
          </wp:anchor>
        </w:drawing>
      </w:r>
    </w:p>
    <w:p>
      <w:pPr>
        <w:jc w:val="both"/>
        <w:spacing w:after="0" w:line="238" w:lineRule="auto"/>
        <w:rPr>
          <w:sz w:val="20"/>
          <w:szCs w:val="20"/>
          <w:color w:val="auto"/>
        </w:rPr>
      </w:pPr>
      <w:r>
        <w:rPr>
          <w:rFonts w:ascii="Arial" w:cs="Arial" w:eastAsia="Arial" w:hAnsi="Arial"/>
          <w:sz w:val="18"/>
          <w:szCs w:val="18"/>
          <w:b w:val="1"/>
          <w:bCs w:val="1"/>
          <w:i w:val="1"/>
          <w:iCs w:val="1"/>
          <w:color w:val="auto"/>
        </w:rPr>
        <w:t xml:space="preserve">Meets Target. </w:t>
      </w:r>
      <w:r>
        <w:rPr>
          <w:rFonts w:ascii="Arial" w:cs="Arial" w:eastAsia="Arial" w:hAnsi="Arial"/>
          <w:sz w:val="18"/>
          <w:szCs w:val="18"/>
          <w:color w:val="auto"/>
        </w:rPr>
        <w:t>The Company met the ongoing operational challenges of the pandemic,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with regard to employee health and safety, and information security. The Company generally maintained its 2020 gains in its annual employee engagement survey, and its culture index scores and DEI program progress met expectations. The Company launched its Experience Design Center of Excellence, which is intended to drive consistency in product design and development, meeting its hiring and utilization goals for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-2369820</wp:posOffset>
            </wp:positionH>
            <wp:positionV relativeFrom="paragraph">
              <wp:posOffset>-899795</wp:posOffset>
            </wp:positionV>
            <wp:extent cx="6929755" cy="9004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29755" cy="900430"/>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3500" w:space="400"/>
            <w:col w:w="7180"/>
          </w:cols>
          <w:pgMar w:left="320" w:top="454" w:right="499" w:bottom="1440" w:gutter="0" w:footer="0" w:header="0"/>
          <w:type w:val="continuous"/>
        </w:sectPr>
      </w:pPr>
    </w:p>
    <w:p>
      <w:pPr>
        <w:jc w:val="both"/>
        <w:ind w:left="160"/>
        <w:spacing w:after="0" w:line="249" w:lineRule="auto"/>
        <w:rPr>
          <w:sz w:val="20"/>
          <w:szCs w:val="20"/>
          <w:color w:val="auto"/>
        </w:rPr>
      </w:pPr>
      <w:r>
        <w:rPr>
          <w:rFonts w:ascii="Arial" w:cs="Arial" w:eastAsia="Arial" w:hAnsi="Arial"/>
          <w:sz w:val="18"/>
          <w:szCs w:val="18"/>
          <w:color w:val="auto"/>
        </w:rPr>
        <w:t>As we look forward to 2022, the Board has recommitted our management team to goal categories that are generally consistent with those adopted in 2021. These goal categories are consistent with the Company’s goal-setting framework, which is composed of objectives, priority initiatives and key results that are based on the Company’s strategy.</w:t>
      </w:r>
    </w:p>
    <w:p>
      <w:pPr>
        <w:spacing w:after="0" w:line="105" w:lineRule="exact"/>
        <w:rPr>
          <w:sz w:val="20"/>
          <w:szCs w:val="20"/>
          <w:color w:val="auto"/>
        </w:rPr>
      </w:pPr>
    </w:p>
    <w:p>
      <w:pPr>
        <w:ind w:left="1000" w:hanging="690"/>
        <w:spacing w:after="0"/>
        <w:tabs>
          <w:tab w:leader="none" w:pos="1000" w:val="left"/>
        </w:tabs>
        <w:numPr>
          <w:ilvl w:val="0"/>
          <w:numId w:val="60"/>
        </w:numPr>
        <w:rPr>
          <w:rFonts w:ascii="Arial" w:cs="Arial" w:eastAsia="Arial" w:hAnsi="Arial"/>
          <w:sz w:val="18"/>
          <w:szCs w:val="18"/>
          <w:color w:val="050A54"/>
        </w:rPr>
      </w:pPr>
      <w:r>
        <w:rPr>
          <w:rFonts w:ascii="Arial" w:cs="Arial" w:eastAsia="Arial" w:hAnsi="Arial"/>
          <w:sz w:val="18"/>
          <w:szCs w:val="18"/>
          <w:b w:val="1"/>
          <w:bCs w:val="1"/>
          <w:color w:val="050A54"/>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-118745</wp:posOffset>
            </wp:positionV>
            <wp:extent cx="8255" cy="135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33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0A54"/>
        </w:rPr>
        <w:t>Individual Cash Bonus Award Determinations</w:t>
      </w:r>
    </w:p>
    <w:p>
      <w:pPr>
        <w:spacing w:after="0" w:line="206"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 xml:space="preserve">The Compensation Committee evaluates each NEO’s contribution to the Company’s overall performance, as well as the NEO’s individual performance with respect to Company goals under the bonus program. In determining whether and to what extent bonuses are paid, the Compensation Committee takes into account discussions with management and the Compensation Consultant. For additional information, including the assessment process for our chief executive officer, please see </w:t>
      </w:r>
      <w:r>
        <w:rPr>
          <w:rFonts w:ascii="Arial" w:cs="Arial" w:eastAsia="Arial" w:hAnsi="Arial"/>
          <w:sz w:val="18"/>
          <w:szCs w:val="18"/>
          <w:i w:val="1"/>
          <w:iCs w:val="1"/>
          <w:color w:val="auto"/>
        </w:rPr>
        <w:t>“How</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Decisions Were Made” </w:t>
      </w:r>
      <w:r>
        <w:rPr>
          <w:rFonts w:ascii="Arial" w:cs="Arial" w:eastAsia="Arial" w:hAnsi="Arial"/>
          <w:sz w:val="18"/>
          <w:szCs w:val="18"/>
          <w:color w:val="auto"/>
        </w:rPr>
        <w:t>in the CD&amp;A.</w:t>
      </w:r>
    </w:p>
    <w:p>
      <w:pPr>
        <w:spacing w:after="0" w:line="180"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The Compensation Committee has discretion to pay bonuses above or below the established targets based upon its assessment of each NEO’s contributions, performance and potential, and other considerations such as internal pay equity.</w:t>
      </w:r>
    </w:p>
    <w:p>
      <w:pPr>
        <w:spacing w:after="0" w:line="178"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Our chief financial officer provided updates on the Company’s actual performance compared to its financial and corporate goals for 2021 at each quarterly meeting of the Compensation Committee, and he also presented updates at a meeting of the Compensation Committee in January 2022. In February 2022, the Compensation Committee reviewed the individual performance in 2021 of each of our NEOs, including their respective contributions to the Company’s overall performance against its financial and corporate goals. The Compensation Consultant participated in each of the meetings.</w:t>
      </w:r>
    </w:p>
    <w:p>
      <w:pPr>
        <w:spacing w:after="0" w:line="185"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Based primarily on these assessments, the Compensation Committee exercised its discretion to award annual cash bonuses</w:t>
      </w:r>
    </w:p>
    <w:p>
      <w:pPr>
        <w:jc w:val="both"/>
        <w:ind w:left="160" w:firstLine="7"/>
        <w:spacing w:after="0" w:line="236" w:lineRule="auto"/>
        <w:tabs>
          <w:tab w:leader="none" w:pos="513"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Messrs. Arnold, Audette and Steinmeier above their respective target award amount for 2021, (2) to Mr. Semerjian at his target award amount for 2021, and (3) to Mr. Fandrey below his target award amount for 2021. In making its individual determinations, the Compensation</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Committee considered the collective level of achievement of the Company’s financial and corporate goals and each such NEO’s individual performance, including against applicable 2021 OKRs:</w:t>
      </w:r>
    </w:p>
    <w:p>
      <w:pPr>
        <w:spacing w:after="0" w:line="78" w:lineRule="exact"/>
        <w:rPr>
          <w:sz w:val="20"/>
          <w:szCs w:val="20"/>
          <w:color w:val="auto"/>
        </w:rPr>
      </w:pPr>
    </w:p>
    <w:p>
      <w:pPr>
        <w:jc w:val="both"/>
        <w:ind w:left="680" w:right="20" w:hanging="366"/>
        <w:spacing w:after="0" w:line="243" w:lineRule="auto"/>
        <w:tabs>
          <w:tab w:leader="none" w:pos="6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Mr. Arnold’s strategic vision and leadership of the Company in delivering strong core business results, navigating a changing industry landscape and advancing the Company’s cultural transformation;</w:t>
      </w:r>
    </w:p>
    <w:p>
      <w:pPr>
        <w:spacing w:after="0" w:line="84" w:lineRule="exact"/>
        <w:rPr>
          <w:rFonts w:ascii="Arial" w:cs="Arial" w:eastAsia="Arial" w:hAnsi="Arial"/>
          <w:sz w:val="18"/>
          <w:szCs w:val="18"/>
          <w:color w:val="auto"/>
        </w:rPr>
      </w:pPr>
    </w:p>
    <w:p>
      <w:pPr>
        <w:jc w:val="both"/>
        <w:ind w:left="680" w:right="20" w:hanging="366"/>
        <w:spacing w:after="0" w:line="239" w:lineRule="auto"/>
        <w:tabs>
          <w:tab w:leader="none" w:pos="6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Mr. Audette’s development and execution of operating and capital plans that delivered strong financial results through expense discipline and capital deployment for organic and inorganic growth, as well as his contributions to the Company’s acquisition strategy and LPL Business Solutions offerings;</w:t>
      </w:r>
    </w:p>
    <w:p>
      <w:pPr>
        <w:spacing w:after="0" w:line="87" w:lineRule="exact"/>
        <w:rPr>
          <w:rFonts w:ascii="Arial" w:cs="Arial" w:eastAsia="Arial" w:hAnsi="Arial"/>
          <w:sz w:val="18"/>
          <w:szCs w:val="18"/>
          <w:color w:val="auto"/>
        </w:rPr>
      </w:pPr>
    </w:p>
    <w:p>
      <w:pPr>
        <w:jc w:val="both"/>
        <w:ind w:left="680" w:right="20" w:hanging="366"/>
        <w:spacing w:after="0" w:line="243" w:lineRule="auto"/>
        <w:tabs>
          <w:tab w:leader="none" w:pos="6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Mr. Fandrey’s effort in advancing the Company’s advisor-facing technology capabilities and sales management support, as well as his contributions to the Company’s achievement of its Experience Goal;</w:t>
      </w:r>
    </w:p>
    <w:p>
      <w:pPr>
        <w:spacing w:after="0" w:line="84" w:lineRule="exact"/>
        <w:rPr>
          <w:rFonts w:ascii="Arial" w:cs="Arial" w:eastAsia="Arial" w:hAnsi="Arial"/>
          <w:sz w:val="18"/>
          <w:szCs w:val="18"/>
          <w:color w:val="auto"/>
        </w:rPr>
      </w:pPr>
    </w:p>
    <w:p>
      <w:pPr>
        <w:jc w:val="both"/>
        <w:ind w:left="680" w:right="20" w:hanging="366"/>
        <w:spacing w:after="0"/>
        <w:tabs>
          <w:tab w:leader="none" w:pos="6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Mr. Semerjian’s progress in advancing the multi-year transformation of our service model into an omni-channel client care model, particularly in the context of ongoing operational challenges in 2021, as well as the Company’s level of achievement of the Service Goal; and</w:t>
      </w:r>
    </w:p>
    <w:p>
      <w:pPr>
        <w:spacing w:after="0" w:line="88" w:lineRule="exact"/>
        <w:rPr>
          <w:rFonts w:ascii="Arial" w:cs="Arial" w:eastAsia="Arial" w:hAnsi="Arial"/>
          <w:sz w:val="18"/>
          <w:szCs w:val="18"/>
          <w:color w:val="auto"/>
        </w:rPr>
      </w:pPr>
    </w:p>
    <w:p>
      <w:pPr>
        <w:jc w:val="both"/>
        <w:ind w:left="680" w:right="20" w:hanging="366"/>
        <w:spacing w:after="0" w:line="239" w:lineRule="auto"/>
        <w:tabs>
          <w:tab w:leader="none" w:pos="6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Mr. Steinmeier’s contribution to the outperformance of the Growth Goal, including his leadership in improving the efficacy of our business development efforts and developing and executing the Company’s strategy for expanding its addressable markets and delivering sustained growth and competitive advantage.</w:t>
      </w:r>
    </w:p>
    <w:p>
      <w:pPr>
        <w:spacing w:after="0" w:line="1055" w:lineRule="exact"/>
        <w:rPr>
          <w:sz w:val="20"/>
          <w:szCs w:val="20"/>
          <w:color w:val="auto"/>
        </w:rPr>
      </w:pPr>
    </w:p>
    <w:p>
      <w:pPr>
        <w:sectPr>
          <w:pgSz w:w="11900" w:h="16838" w:orient="portrait"/>
          <w:cols w:equalWidth="0" w:num="2">
            <w:col w:w="5400" w:space="340"/>
            <w:col w:w="5340"/>
          </w:cols>
          <w:pgMar w:left="320" w:top="454" w:right="499" w:bottom="1440" w:gutter="0" w:footer="0" w:header="0"/>
          <w:type w:val="continuous"/>
        </w:sectPr>
      </w:pPr>
    </w:p>
    <w:p>
      <w:pPr>
        <w:spacing w:after="0" w:line="155"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The table and chart below show the target annual cash bonus award opportunity established for each of our NEOs at the beginning of 2021, as well as the actual cash bonus awarded to each of our NEOs for 2021 (paid on March 11, 2022), as determined by the Compensation Committee.</w:t>
      </w:r>
    </w:p>
    <w:p>
      <w:pPr>
        <w:spacing w:after="0" w:line="207"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60" w:type="dxa"/>
            <w:vAlign w:val="bottom"/>
          </w:tcPr>
          <w:p>
            <w:pPr>
              <w:jc w:val="center"/>
              <w:ind w:left="184"/>
              <w:spacing w:after="0"/>
              <w:rPr>
                <w:sz w:val="20"/>
                <w:szCs w:val="20"/>
                <w:color w:val="auto"/>
              </w:rPr>
            </w:pPr>
            <w:r>
              <w:rPr>
                <w:rFonts w:ascii="Arial" w:cs="Arial" w:eastAsia="Arial" w:hAnsi="Arial"/>
                <w:sz w:val="14"/>
                <w:szCs w:val="14"/>
                <w:b w:val="1"/>
                <w:bCs w:val="1"/>
                <w:color w:val="050A54"/>
              </w:rPr>
              <w:t>Target Award</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50A54"/>
              </w:rPr>
              <w:t>Cash Bonus</w:t>
            </w:r>
          </w:p>
        </w:tc>
        <w:tc>
          <w:tcPr>
            <w:tcW w:w="1120" w:type="dxa"/>
            <w:vAlign w:val="bottom"/>
          </w:tcPr>
          <w:p>
            <w:pPr>
              <w:jc w:val="center"/>
              <w:ind w:left="84"/>
              <w:spacing w:after="0"/>
              <w:rPr>
                <w:sz w:val="20"/>
                <w:szCs w:val="20"/>
                <w:color w:val="auto"/>
              </w:rPr>
            </w:pPr>
            <w:r>
              <w:rPr>
                <w:rFonts w:ascii="Arial" w:cs="Arial" w:eastAsia="Arial" w:hAnsi="Arial"/>
                <w:sz w:val="14"/>
                <w:szCs w:val="14"/>
                <w:b w:val="1"/>
                <w:bCs w:val="1"/>
                <w:color w:val="050A54"/>
              </w:rPr>
              <w:t>Cash Bonus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60" w:type="dxa"/>
            <w:vAlign w:val="bottom"/>
          </w:tcPr>
          <w:p>
            <w:pPr>
              <w:jc w:val="center"/>
              <w:ind w:left="164"/>
              <w:spacing w:after="0"/>
              <w:rPr>
                <w:sz w:val="20"/>
                <w:szCs w:val="20"/>
                <w:color w:val="auto"/>
              </w:rPr>
            </w:pPr>
            <w:r>
              <w:rPr>
                <w:rFonts w:ascii="Arial" w:cs="Arial" w:eastAsia="Arial" w:hAnsi="Arial"/>
                <w:sz w:val="14"/>
                <w:szCs w:val="14"/>
                <w:b w:val="1"/>
                <w:bCs w:val="1"/>
                <w:color w:val="050A54"/>
              </w:rPr>
              <w:t>as a</w:t>
            </w: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50A54"/>
              </w:rPr>
              <w:t>Awarded as a</w:t>
            </w:r>
          </w:p>
        </w:tc>
        <w:tc>
          <w:tcPr>
            <w:tcW w:w="1120" w:type="dxa"/>
            <w:vAlign w:val="bottom"/>
          </w:tcPr>
          <w:p>
            <w:pPr>
              <w:jc w:val="center"/>
              <w:ind w:left="84"/>
              <w:spacing w:after="0"/>
              <w:rPr>
                <w:sz w:val="20"/>
                <w:szCs w:val="20"/>
                <w:color w:val="auto"/>
              </w:rPr>
            </w:pPr>
            <w:r>
              <w:rPr>
                <w:rFonts w:ascii="Arial" w:cs="Arial" w:eastAsia="Arial" w:hAnsi="Arial"/>
                <w:sz w:val="14"/>
                <w:szCs w:val="14"/>
                <w:b w:val="1"/>
                <w:bCs w:val="1"/>
                <w:color w:val="050A54"/>
              </w:rPr>
              <w:t>Awarded as a</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80" w:type="dxa"/>
            <w:vAlign w:val="bottom"/>
          </w:tcPr>
          <w:p>
            <w:pPr>
              <w:jc w:val="right"/>
              <w:ind w:right="562"/>
              <w:spacing w:after="0"/>
              <w:rPr>
                <w:sz w:val="20"/>
                <w:szCs w:val="20"/>
                <w:color w:val="auto"/>
              </w:rPr>
            </w:pPr>
            <w:r>
              <w:rPr>
                <w:rFonts w:ascii="Arial" w:cs="Arial" w:eastAsia="Arial" w:hAnsi="Arial"/>
                <w:sz w:val="14"/>
                <w:szCs w:val="14"/>
                <w:b w:val="1"/>
                <w:bCs w:val="1"/>
                <w:color w:val="050A54"/>
              </w:rPr>
              <w:t>Target</w:t>
            </w:r>
          </w:p>
        </w:tc>
        <w:tc>
          <w:tcPr>
            <w:tcW w:w="1560" w:type="dxa"/>
            <w:vAlign w:val="bottom"/>
          </w:tcPr>
          <w:p>
            <w:pPr>
              <w:jc w:val="center"/>
              <w:ind w:left="184"/>
              <w:spacing w:after="0"/>
              <w:rPr>
                <w:sz w:val="20"/>
                <w:szCs w:val="20"/>
                <w:color w:val="auto"/>
              </w:rPr>
            </w:pPr>
            <w:r>
              <w:rPr>
                <w:rFonts w:ascii="Arial" w:cs="Arial" w:eastAsia="Arial" w:hAnsi="Arial"/>
                <w:sz w:val="14"/>
                <w:szCs w:val="14"/>
                <w:b w:val="1"/>
                <w:bCs w:val="1"/>
                <w:color w:val="050A54"/>
              </w:rPr>
              <w:t>Percentage of</w:t>
            </w:r>
          </w:p>
        </w:tc>
        <w:tc>
          <w:tcPr>
            <w:tcW w:w="260" w:type="dxa"/>
            <w:vAlign w:val="bottom"/>
          </w:tcPr>
          <w:p>
            <w:pPr>
              <w:spacing w:after="0"/>
              <w:rPr>
                <w:sz w:val="13"/>
                <w:szCs w:val="13"/>
                <w:color w:val="auto"/>
              </w:rPr>
            </w:pPr>
          </w:p>
        </w:tc>
        <w:tc>
          <w:tcPr>
            <w:tcW w:w="1120" w:type="dxa"/>
            <w:vAlign w:val="bottom"/>
          </w:tcPr>
          <w:p>
            <w:pPr>
              <w:jc w:val="right"/>
              <w:ind w:right="542"/>
              <w:spacing w:after="0"/>
              <w:rPr>
                <w:sz w:val="20"/>
                <w:szCs w:val="20"/>
                <w:color w:val="auto"/>
              </w:rPr>
            </w:pPr>
            <w:r>
              <w:rPr>
                <w:rFonts w:ascii="Arial" w:cs="Arial" w:eastAsia="Arial" w:hAnsi="Arial"/>
                <w:sz w:val="14"/>
                <w:szCs w:val="14"/>
                <w:b w:val="1"/>
                <w:bCs w:val="1"/>
                <w:color w:val="050A54"/>
              </w:rPr>
              <w:t>Cash</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50A54"/>
              </w:rPr>
              <w:t>Percentage of</w:t>
            </w:r>
          </w:p>
        </w:tc>
        <w:tc>
          <w:tcPr>
            <w:tcW w:w="1120" w:type="dxa"/>
            <w:vAlign w:val="bottom"/>
          </w:tcPr>
          <w:p>
            <w:pPr>
              <w:jc w:val="center"/>
              <w:ind w:left="104"/>
              <w:spacing w:after="0"/>
              <w:rPr>
                <w:sz w:val="20"/>
                <w:szCs w:val="20"/>
                <w:color w:val="auto"/>
              </w:rPr>
            </w:pPr>
            <w:r>
              <w:rPr>
                <w:rFonts w:ascii="Arial" w:cs="Arial" w:eastAsia="Arial" w:hAnsi="Arial"/>
                <w:sz w:val="14"/>
                <w:szCs w:val="14"/>
                <w:b w:val="1"/>
                <w:bCs w:val="1"/>
                <w:color w:val="050A54"/>
              </w:rPr>
              <w:t>Percentage of</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40" w:type="dxa"/>
            <w:vAlign w:val="bottom"/>
          </w:tcPr>
          <w:p>
            <w:pPr>
              <w:ind w:left="1560"/>
              <w:spacing w:after="0"/>
              <w:rPr>
                <w:sz w:val="20"/>
                <w:szCs w:val="20"/>
                <w:color w:val="auto"/>
              </w:rPr>
            </w:pPr>
            <w:r>
              <w:rPr>
                <w:rFonts w:ascii="Arial" w:cs="Arial" w:eastAsia="Arial" w:hAnsi="Arial"/>
                <w:sz w:val="14"/>
                <w:szCs w:val="14"/>
                <w:b w:val="1"/>
                <w:bCs w:val="1"/>
                <w:color w:val="050A54"/>
              </w:rPr>
              <w:t>NEO</w:t>
            </w:r>
          </w:p>
        </w:tc>
        <w:tc>
          <w:tcPr>
            <w:tcW w:w="1060" w:type="dxa"/>
            <w:vAlign w:val="bottom"/>
          </w:tcPr>
          <w:p>
            <w:pPr>
              <w:spacing w:after="0"/>
              <w:rPr>
                <w:sz w:val="16"/>
                <w:szCs w:val="16"/>
                <w:color w:val="auto"/>
              </w:rPr>
            </w:pPr>
          </w:p>
        </w:tc>
        <w:tc>
          <w:tcPr>
            <w:tcW w:w="1180" w:type="dxa"/>
            <w:vAlign w:val="bottom"/>
          </w:tcPr>
          <w:p>
            <w:pPr>
              <w:jc w:val="right"/>
              <w:ind w:right="562"/>
              <w:spacing w:after="0"/>
              <w:rPr>
                <w:sz w:val="20"/>
                <w:szCs w:val="20"/>
                <w:color w:val="auto"/>
              </w:rPr>
            </w:pPr>
            <w:r>
              <w:rPr>
                <w:rFonts w:ascii="Arial" w:cs="Arial" w:eastAsia="Arial" w:hAnsi="Arial"/>
                <w:sz w:val="14"/>
                <w:szCs w:val="14"/>
                <w:b w:val="1"/>
                <w:bCs w:val="1"/>
                <w:color w:val="050A54"/>
              </w:rPr>
              <w:t>Award</w:t>
            </w:r>
          </w:p>
        </w:tc>
        <w:tc>
          <w:tcPr>
            <w:tcW w:w="1560" w:type="dxa"/>
            <w:vAlign w:val="bottom"/>
          </w:tcPr>
          <w:p>
            <w:pPr>
              <w:jc w:val="center"/>
              <w:ind w:left="184"/>
              <w:spacing w:after="0"/>
              <w:rPr>
                <w:sz w:val="20"/>
                <w:szCs w:val="20"/>
                <w:color w:val="auto"/>
              </w:rPr>
            </w:pPr>
            <w:r>
              <w:rPr>
                <w:rFonts w:ascii="Arial" w:cs="Arial" w:eastAsia="Arial" w:hAnsi="Arial"/>
                <w:sz w:val="14"/>
                <w:szCs w:val="14"/>
                <w:b w:val="1"/>
                <w:bCs w:val="1"/>
                <w:color w:val="050A54"/>
              </w:rPr>
              <w:t>Base Salary</w:t>
            </w:r>
          </w:p>
        </w:tc>
        <w:tc>
          <w:tcPr>
            <w:tcW w:w="260" w:type="dxa"/>
            <w:vAlign w:val="bottom"/>
          </w:tcPr>
          <w:p>
            <w:pPr>
              <w:spacing w:after="0"/>
              <w:rPr>
                <w:sz w:val="16"/>
                <w:szCs w:val="16"/>
                <w:color w:val="auto"/>
              </w:rPr>
            </w:pPr>
          </w:p>
        </w:tc>
        <w:tc>
          <w:tcPr>
            <w:tcW w:w="1120" w:type="dxa"/>
            <w:vAlign w:val="bottom"/>
          </w:tcPr>
          <w:p>
            <w:pPr>
              <w:jc w:val="right"/>
              <w:ind w:right="502"/>
              <w:spacing w:after="0"/>
              <w:rPr>
                <w:sz w:val="20"/>
                <w:szCs w:val="20"/>
                <w:color w:val="auto"/>
              </w:rPr>
            </w:pPr>
            <w:r>
              <w:rPr>
                <w:rFonts w:ascii="Arial" w:cs="Arial" w:eastAsia="Arial" w:hAnsi="Arial"/>
                <w:sz w:val="14"/>
                <w:szCs w:val="14"/>
                <w:b w:val="1"/>
                <w:bCs w:val="1"/>
                <w:color w:val="050A54"/>
              </w:rPr>
              <w:t>Bonus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50A54"/>
              </w:rPr>
              <w:t>Base Salary</w:t>
            </w:r>
          </w:p>
        </w:tc>
        <w:tc>
          <w:tcPr>
            <w:tcW w:w="1120" w:type="dxa"/>
            <w:vAlign w:val="bottom"/>
          </w:tcPr>
          <w:p>
            <w:pPr>
              <w:jc w:val="center"/>
              <w:ind w:left="104"/>
              <w:spacing w:after="0"/>
              <w:rPr>
                <w:sz w:val="20"/>
                <w:szCs w:val="20"/>
                <w:color w:val="auto"/>
              </w:rPr>
            </w:pPr>
            <w:r>
              <w:rPr>
                <w:rFonts w:ascii="Arial" w:cs="Arial" w:eastAsia="Arial" w:hAnsi="Arial"/>
                <w:sz w:val="14"/>
                <w:szCs w:val="14"/>
                <w:b w:val="1"/>
                <w:bCs w:val="1"/>
                <w:color w:val="050A54"/>
              </w:rPr>
              <w:t>Target Award</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840" w:type="dxa"/>
            <w:vAlign w:val="bottom"/>
            <w:tcBorders>
              <w:bottom w:val="single" w:sz="8" w:color="050A54"/>
            </w:tcBorders>
          </w:tcPr>
          <w:p>
            <w:pPr>
              <w:spacing w:after="0"/>
              <w:rPr>
                <w:sz w:val="4"/>
                <w:szCs w:val="4"/>
                <w:color w:val="auto"/>
              </w:rPr>
            </w:pPr>
          </w:p>
        </w:tc>
        <w:tc>
          <w:tcPr>
            <w:tcW w:w="1060" w:type="dxa"/>
            <w:vAlign w:val="bottom"/>
            <w:tcBorders>
              <w:bottom w:val="single" w:sz="8" w:color="050A54"/>
            </w:tcBorders>
          </w:tcPr>
          <w:p>
            <w:pPr>
              <w:spacing w:after="0"/>
              <w:rPr>
                <w:sz w:val="4"/>
                <w:szCs w:val="4"/>
                <w:color w:val="auto"/>
              </w:rPr>
            </w:pPr>
          </w:p>
        </w:tc>
        <w:tc>
          <w:tcPr>
            <w:tcW w:w="1180" w:type="dxa"/>
            <w:vAlign w:val="bottom"/>
            <w:tcBorders>
              <w:bottom w:val="single" w:sz="8" w:color="050A54"/>
            </w:tcBorders>
          </w:tcPr>
          <w:p>
            <w:pPr>
              <w:spacing w:after="0"/>
              <w:rPr>
                <w:sz w:val="4"/>
                <w:szCs w:val="4"/>
                <w:color w:val="auto"/>
              </w:rPr>
            </w:pPr>
          </w:p>
        </w:tc>
        <w:tc>
          <w:tcPr>
            <w:tcW w:w="1560" w:type="dxa"/>
            <w:vAlign w:val="bottom"/>
            <w:tcBorders>
              <w:bottom w:val="single" w:sz="8" w:color="050A54"/>
            </w:tcBorders>
          </w:tcPr>
          <w:p>
            <w:pPr>
              <w:spacing w:after="0"/>
              <w:rPr>
                <w:sz w:val="4"/>
                <w:szCs w:val="4"/>
                <w:color w:val="auto"/>
              </w:rPr>
            </w:pPr>
          </w:p>
        </w:tc>
        <w:tc>
          <w:tcPr>
            <w:tcW w:w="260" w:type="dxa"/>
            <w:vAlign w:val="bottom"/>
            <w:tcBorders>
              <w:bottom w:val="single" w:sz="8" w:color="050A54"/>
            </w:tcBorders>
          </w:tcPr>
          <w:p>
            <w:pPr>
              <w:spacing w:after="0"/>
              <w:rPr>
                <w:sz w:val="4"/>
                <w:szCs w:val="4"/>
                <w:color w:val="auto"/>
              </w:rPr>
            </w:pPr>
          </w:p>
        </w:tc>
        <w:tc>
          <w:tcPr>
            <w:tcW w:w="1120" w:type="dxa"/>
            <w:vAlign w:val="bottom"/>
            <w:tcBorders>
              <w:bottom w:val="single" w:sz="8" w:color="050A54"/>
            </w:tcBorders>
          </w:tcPr>
          <w:p>
            <w:pPr>
              <w:spacing w:after="0"/>
              <w:rPr>
                <w:sz w:val="4"/>
                <w:szCs w:val="4"/>
                <w:color w:val="auto"/>
              </w:rPr>
            </w:pPr>
          </w:p>
        </w:tc>
        <w:tc>
          <w:tcPr>
            <w:tcW w:w="1320" w:type="dxa"/>
            <w:vAlign w:val="bottom"/>
            <w:tcBorders>
              <w:bottom w:val="single" w:sz="8" w:color="050A54"/>
            </w:tcBorders>
          </w:tcPr>
          <w:p>
            <w:pPr>
              <w:spacing w:after="0"/>
              <w:rPr>
                <w:sz w:val="4"/>
                <w:szCs w:val="4"/>
                <w:color w:val="auto"/>
              </w:rPr>
            </w:pPr>
          </w:p>
        </w:tc>
        <w:tc>
          <w:tcPr>
            <w:tcW w:w="1120" w:type="dxa"/>
            <w:vAlign w:val="bottom"/>
            <w:tcBorders>
              <w:bottom w:val="single" w:sz="8" w:color="050A54"/>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40" w:type="dxa"/>
            <w:vAlign w:val="bottom"/>
            <w:tcBorders>
              <w:bottom w:val="single" w:sz="8" w:color="E8E8E8"/>
            </w:tcBorders>
            <w:shd w:val="clear" w:color="auto" w:fill="E8E8E8"/>
          </w:tcPr>
          <w:p>
            <w:pPr>
              <w:spacing w:after="0"/>
              <w:rPr>
                <w:sz w:val="20"/>
                <w:szCs w:val="20"/>
                <w:color w:val="auto"/>
              </w:rPr>
            </w:pPr>
            <w:r>
              <w:rPr>
                <w:rFonts w:ascii="Arial" w:cs="Arial" w:eastAsia="Arial" w:hAnsi="Arial"/>
                <w:sz w:val="16"/>
                <w:szCs w:val="16"/>
                <w:color w:val="auto"/>
              </w:rPr>
              <w:t>Dan H. Arnold</w:t>
            </w:r>
          </w:p>
        </w:tc>
        <w:tc>
          <w:tcPr>
            <w:tcW w:w="106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E8E8E8"/>
            </w:tcBorders>
            <w:shd w:val="clear" w:color="auto" w:fill="E8E8E8"/>
          </w:tcPr>
          <w:p>
            <w:pPr>
              <w:jc w:val="right"/>
              <w:ind w:right="382"/>
              <w:spacing w:after="0"/>
              <w:rPr>
                <w:sz w:val="20"/>
                <w:szCs w:val="20"/>
                <w:color w:val="auto"/>
              </w:rPr>
            </w:pPr>
            <w:r>
              <w:rPr>
                <w:rFonts w:ascii="Arial" w:cs="Arial" w:eastAsia="Arial" w:hAnsi="Arial"/>
                <w:sz w:val="16"/>
                <w:szCs w:val="16"/>
                <w:color w:val="auto"/>
                <w:w w:val="98"/>
              </w:rPr>
              <w:t>2,250,000</w:t>
            </w:r>
          </w:p>
        </w:tc>
        <w:tc>
          <w:tcPr>
            <w:tcW w:w="1560" w:type="dxa"/>
            <w:vAlign w:val="bottom"/>
            <w:tcBorders>
              <w:bottom w:val="single" w:sz="8" w:color="E8E8E8"/>
            </w:tcBorders>
            <w:shd w:val="clear" w:color="auto" w:fill="E8E8E8"/>
          </w:tcPr>
          <w:p>
            <w:pPr>
              <w:jc w:val="center"/>
              <w:ind w:left="184"/>
              <w:spacing w:after="0"/>
              <w:rPr>
                <w:sz w:val="20"/>
                <w:szCs w:val="20"/>
                <w:color w:val="auto"/>
              </w:rPr>
            </w:pPr>
            <w:r>
              <w:rPr>
                <w:rFonts w:ascii="Arial" w:cs="Arial" w:eastAsia="Arial" w:hAnsi="Arial"/>
                <w:sz w:val="16"/>
                <w:szCs w:val="16"/>
                <w:color w:val="auto"/>
              </w:rPr>
              <w:t>250%</w:t>
            </w:r>
          </w:p>
        </w:tc>
        <w:tc>
          <w:tcPr>
            <w:tcW w:w="26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E8E8E8"/>
            </w:tcBorders>
            <w:shd w:val="clear" w:color="auto" w:fill="E8E8E8"/>
          </w:tcPr>
          <w:p>
            <w:pPr>
              <w:jc w:val="right"/>
              <w:ind w:right="322"/>
              <w:spacing w:after="0"/>
              <w:rPr>
                <w:sz w:val="20"/>
                <w:szCs w:val="20"/>
                <w:color w:val="auto"/>
              </w:rPr>
            </w:pPr>
            <w:r>
              <w:rPr>
                <w:rFonts w:ascii="Arial" w:cs="Arial" w:eastAsia="Arial" w:hAnsi="Arial"/>
                <w:sz w:val="16"/>
                <w:szCs w:val="16"/>
                <w:color w:val="auto"/>
                <w:w w:val="98"/>
              </w:rPr>
              <w:t>3,375,000</w:t>
            </w:r>
          </w:p>
        </w:tc>
        <w:tc>
          <w:tcPr>
            <w:tcW w:w="1320" w:type="dxa"/>
            <w:vAlign w:val="bottom"/>
            <w:tcBorders>
              <w:bottom w:val="single" w:sz="8" w:color="E8E8E8"/>
            </w:tcBorders>
            <w:shd w:val="clear" w:color="auto" w:fill="E8E8E8"/>
          </w:tcPr>
          <w:p>
            <w:pPr>
              <w:jc w:val="center"/>
              <w:spacing w:after="0"/>
              <w:rPr>
                <w:sz w:val="20"/>
                <w:szCs w:val="20"/>
                <w:color w:val="auto"/>
              </w:rPr>
            </w:pPr>
            <w:r>
              <w:rPr>
                <w:rFonts w:ascii="Arial" w:cs="Arial" w:eastAsia="Arial" w:hAnsi="Arial"/>
                <w:sz w:val="16"/>
                <w:szCs w:val="16"/>
                <w:color w:val="auto"/>
              </w:rPr>
              <w:t>375%</w:t>
            </w:r>
          </w:p>
        </w:tc>
        <w:tc>
          <w:tcPr>
            <w:tcW w:w="1120" w:type="dxa"/>
            <w:vAlign w:val="bottom"/>
            <w:tcBorders>
              <w:bottom w:val="single" w:sz="8" w:color="E8E8E8"/>
            </w:tcBorders>
            <w:shd w:val="clear" w:color="auto" w:fill="E8E8E8"/>
          </w:tcPr>
          <w:p>
            <w:pPr>
              <w:jc w:val="center"/>
              <w:ind w:left="104"/>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6"/>
                <w:szCs w:val="16"/>
                <w:color w:val="auto"/>
              </w:rPr>
              <w:t>Matthew J. Audette</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82"/>
              <w:spacing w:after="0"/>
              <w:rPr>
                <w:sz w:val="20"/>
                <w:szCs w:val="20"/>
                <w:color w:val="auto"/>
              </w:rPr>
            </w:pPr>
            <w:r>
              <w:rPr>
                <w:rFonts w:ascii="Arial" w:cs="Arial" w:eastAsia="Arial" w:hAnsi="Arial"/>
                <w:sz w:val="16"/>
                <w:szCs w:val="16"/>
                <w:color w:val="auto"/>
                <w:w w:val="98"/>
              </w:rPr>
              <w:t>1,050,000</w:t>
            </w:r>
          </w:p>
        </w:tc>
        <w:tc>
          <w:tcPr>
            <w:tcW w:w="1560" w:type="dxa"/>
            <w:vAlign w:val="bottom"/>
          </w:tcPr>
          <w:p>
            <w:pPr>
              <w:jc w:val="center"/>
              <w:ind w:left="184"/>
              <w:spacing w:after="0"/>
              <w:rPr>
                <w:sz w:val="20"/>
                <w:szCs w:val="20"/>
                <w:color w:val="auto"/>
              </w:rPr>
            </w:pPr>
            <w:r>
              <w:rPr>
                <w:rFonts w:ascii="Arial" w:cs="Arial" w:eastAsia="Arial" w:hAnsi="Arial"/>
                <w:sz w:val="16"/>
                <w:szCs w:val="16"/>
                <w:color w:val="auto"/>
              </w:rPr>
              <w:t>175%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22"/>
              <w:spacing w:after="0"/>
              <w:rPr>
                <w:sz w:val="20"/>
                <w:szCs w:val="20"/>
                <w:color w:val="auto"/>
              </w:rPr>
            </w:pPr>
            <w:r>
              <w:rPr>
                <w:rFonts w:ascii="Arial" w:cs="Arial" w:eastAsia="Arial" w:hAnsi="Arial"/>
                <w:sz w:val="16"/>
                <w:szCs w:val="16"/>
                <w:color w:val="auto"/>
                <w:w w:val="98"/>
              </w:rPr>
              <w:t>1,365,000</w:t>
            </w:r>
          </w:p>
        </w:tc>
        <w:tc>
          <w:tcPr>
            <w:tcW w:w="1320" w:type="dxa"/>
            <w:vAlign w:val="bottom"/>
          </w:tcPr>
          <w:p>
            <w:pPr>
              <w:jc w:val="center"/>
              <w:spacing w:after="0"/>
              <w:rPr>
                <w:sz w:val="20"/>
                <w:szCs w:val="20"/>
                <w:color w:val="auto"/>
              </w:rPr>
            </w:pPr>
            <w:r>
              <w:rPr>
                <w:rFonts w:ascii="Arial" w:cs="Arial" w:eastAsia="Arial" w:hAnsi="Arial"/>
                <w:sz w:val="16"/>
                <w:szCs w:val="16"/>
                <w:color w:val="auto"/>
              </w:rPr>
              <w:t>228%</w:t>
            </w:r>
          </w:p>
        </w:tc>
        <w:tc>
          <w:tcPr>
            <w:tcW w:w="1120" w:type="dxa"/>
            <w:vAlign w:val="bottom"/>
          </w:tcPr>
          <w:p>
            <w:pPr>
              <w:jc w:val="center"/>
              <w:ind w:left="104"/>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2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9"/>
                <w:szCs w:val="19"/>
                <w:color w:val="auto"/>
              </w:rPr>
            </w:pPr>
          </w:p>
        </w:tc>
        <w:tc>
          <w:tcPr>
            <w:tcW w:w="2840" w:type="dxa"/>
            <w:vAlign w:val="bottom"/>
            <w:tcBorders>
              <w:bottom w:val="single" w:sz="8" w:color="E8E8E8"/>
            </w:tcBorders>
            <w:shd w:val="clear" w:color="auto" w:fill="E8E8E8"/>
          </w:tcPr>
          <w:p>
            <w:pPr>
              <w:spacing w:after="0"/>
              <w:rPr>
                <w:sz w:val="20"/>
                <w:szCs w:val="20"/>
                <w:color w:val="auto"/>
              </w:rPr>
            </w:pPr>
            <w:r>
              <w:rPr>
                <w:rFonts w:ascii="Arial" w:cs="Arial" w:eastAsia="Arial" w:hAnsi="Arial"/>
                <w:sz w:val="16"/>
                <w:szCs w:val="16"/>
                <w:color w:val="auto"/>
              </w:rPr>
              <w:t>Edward Fandrey</w:t>
            </w:r>
          </w:p>
        </w:tc>
        <w:tc>
          <w:tcPr>
            <w:tcW w:w="106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E8E8E8"/>
            </w:tcBorders>
            <w:shd w:val="clear" w:color="auto" w:fill="E8E8E8"/>
          </w:tcPr>
          <w:p>
            <w:pPr>
              <w:jc w:val="right"/>
              <w:ind w:right="382"/>
              <w:spacing w:after="0"/>
              <w:rPr>
                <w:sz w:val="20"/>
                <w:szCs w:val="20"/>
                <w:color w:val="auto"/>
              </w:rPr>
            </w:pPr>
            <w:r>
              <w:rPr>
                <w:rFonts w:ascii="Arial" w:cs="Arial" w:eastAsia="Arial" w:hAnsi="Arial"/>
                <w:sz w:val="16"/>
                <w:szCs w:val="16"/>
                <w:color w:val="auto"/>
              </w:rPr>
              <w:t>800,000</w:t>
            </w:r>
          </w:p>
        </w:tc>
        <w:tc>
          <w:tcPr>
            <w:tcW w:w="1560" w:type="dxa"/>
            <w:vAlign w:val="bottom"/>
            <w:tcBorders>
              <w:bottom w:val="single" w:sz="8" w:color="E8E8E8"/>
            </w:tcBorders>
            <w:shd w:val="clear" w:color="auto" w:fill="E8E8E8"/>
          </w:tcPr>
          <w:p>
            <w:pPr>
              <w:jc w:val="center"/>
              <w:ind w:left="184"/>
              <w:spacing w:after="0"/>
              <w:rPr>
                <w:sz w:val="20"/>
                <w:szCs w:val="20"/>
                <w:color w:val="auto"/>
              </w:rPr>
            </w:pPr>
            <w:r>
              <w:rPr>
                <w:rFonts w:ascii="Arial" w:cs="Arial" w:eastAsia="Arial" w:hAnsi="Arial"/>
                <w:sz w:val="16"/>
                <w:szCs w:val="16"/>
                <w:color w:val="auto"/>
              </w:rPr>
              <w:t>160%</w:t>
            </w:r>
          </w:p>
        </w:tc>
        <w:tc>
          <w:tcPr>
            <w:tcW w:w="26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E8E8E8"/>
            </w:tcBorders>
            <w:shd w:val="clear" w:color="auto" w:fill="E8E8E8"/>
          </w:tcPr>
          <w:p>
            <w:pPr>
              <w:jc w:val="right"/>
              <w:ind w:right="122"/>
              <w:spacing w:after="0"/>
              <w:rPr>
                <w:sz w:val="20"/>
                <w:szCs w:val="20"/>
                <w:color w:val="auto"/>
              </w:rPr>
            </w:pPr>
            <w:r>
              <w:rPr>
                <w:rFonts w:ascii="Arial" w:cs="Arial" w:eastAsia="Arial" w:hAnsi="Arial"/>
                <w:sz w:val="16"/>
                <w:szCs w:val="16"/>
                <w:color w:val="auto"/>
              </w:rPr>
              <w:t>640,000(1)</w:t>
            </w:r>
          </w:p>
        </w:tc>
        <w:tc>
          <w:tcPr>
            <w:tcW w:w="1320" w:type="dxa"/>
            <w:vAlign w:val="bottom"/>
            <w:tcBorders>
              <w:bottom w:val="single" w:sz="8" w:color="E8E8E8"/>
            </w:tcBorders>
            <w:shd w:val="clear" w:color="auto" w:fill="E8E8E8"/>
          </w:tcPr>
          <w:p>
            <w:pPr>
              <w:jc w:val="center"/>
              <w:spacing w:after="0"/>
              <w:rPr>
                <w:sz w:val="20"/>
                <w:szCs w:val="20"/>
                <w:color w:val="auto"/>
              </w:rPr>
            </w:pPr>
            <w:r>
              <w:rPr>
                <w:rFonts w:ascii="Arial" w:cs="Arial" w:eastAsia="Arial" w:hAnsi="Arial"/>
                <w:sz w:val="16"/>
                <w:szCs w:val="16"/>
                <w:color w:val="auto"/>
              </w:rPr>
              <w:t>128%</w:t>
            </w:r>
          </w:p>
        </w:tc>
        <w:tc>
          <w:tcPr>
            <w:tcW w:w="1120" w:type="dxa"/>
            <w:vAlign w:val="bottom"/>
            <w:tcBorders>
              <w:bottom w:val="single" w:sz="8" w:color="E8E8E8"/>
            </w:tcBorders>
            <w:shd w:val="clear" w:color="auto" w:fill="E8E8E8"/>
          </w:tcPr>
          <w:p>
            <w:pPr>
              <w:jc w:val="center"/>
              <w:ind w:left="84"/>
              <w:spacing w:after="0"/>
              <w:rPr>
                <w:sz w:val="20"/>
                <w:szCs w:val="20"/>
                <w:color w:val="auto"/>
              </w:rPr>
            </w:pPr>
            <w:r>
              <w:rPr>
                <w:rFonts w:ascii="Arial" w:cs="Arial" w:eastAsia="Arial" w:hAnsi="Arial"/>
                <w:sz w:val="16"/>
                <w:szCs w:val="16"/>
                <w:color w:val="auto"/>
                <w:w w:val="99"/>
              </w:rPr>
              <w:t>80%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6"/>
                <w:szCs w:val="16"/>
                <w:color w:val="auto"/>
              </w:rPr>
              <w:t>Dayton Semerjian</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82"/>
              <w:spacing w:after="0"/>
              <w:rPr>
                <w:sz w:val="20"/>
                <w:szCs w:val="20"/>
                <w:color w:val="auto"/>
              </w:rPr>
            </w:pPr>
            <w:r>
              <w:rPr>
                <w:rFonts w:ascii="Arial" w:cs="Arial" w:eastAsia="Arial" w:hAnsi="Arial"/>
                <w:sz w:val="16"/>
                <w:szCs w:val="16"/>
                <w:color w:val="auto"/>
              </w:rPr>
              <w:t>800,000</w:t>
            </w:r>
          </w:p>
        </w:tc>
        <w:tc>
          <w:tcPr>
            <w:tcW w:w="1560" w:type="dxa"/>
            <w:vAlign w:val="bottom"/>
          </w:tcPr>
          <w:p>
            <w:pPr>
              <w:jc w:val="center"/>
              <w:ind w:left="184"/>
              <w:spacing w:after="0"/>
              <w:rPr>
                <w:sz w:val="20"/>
                <w:szCs w:val="20"/>
                <w:color w:val="auto"/>
              </w:rPr>
            </w:pPr>
            <w:r>
              <w:rPr>
                <w:rFonts w:ascii="Arial" w:cs="Arial" w:eastAsia="Arial" w:hAnsi="Arial"/>
                <w:sz w:val="16"/>
                <w:szCs w:val="16"/>
                <w:color w:val="auto"/>
              </w:rPr>
              <w:t>160%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22"/>
              <w:spacing w:after="0"/>
              <w:rPr>
                <w:sz w:val="20"/>
                <w:szCs w:val="20"/>
                <w:color w:val="auto"/>
              </w:rPr>
            </w:pPr>
            <w:r>
              <w:rPr>
                <w:rFonts w:ascii="Arial" w:cs="Arial" w:eastAsia="Arial" w:hAnsi="Arial"/>
                <w:sz w:val="16"/>
                <w:szCs w:val="16"/>
                <w:color w:val="auto"/>
              </w:rPr>
              <w:t>800,000</w:t>
            </w:r>
          </w:p>
        </w:tc>
        <w:tc>
          <w:tcPr>
            <w:tcW w:w="1320" w:type="dxa"/>
            <w:vAlign w:val="bottom"/>
          </w:tcPr>
          <w:p>
            <w:pPr>
              <w:jc w:val="center"/>
              <w:spacing w:after="0"/>
              <w:rPr>
                <w:sz w:val="20"/>
                <w:szCs w:val="20"/>
                <w:color w:val="auto"/>
              </w:rPr>
            </w:pPr>
            <w:r>
              <w:rPr>
                <w:rFonts w:ascii="Arial" w:cs="Arial" w:eastAsia="Arial" w:hAnsi="Arial"/>
                <w:sz w:val="16"/>
                <w:szCs w:val="16"/>
                <w:color w:val="auto"/>
              </w:rPr>
              <w:t>160%</w:t>
            </w:r>
          </w:p>
        </w:tc>
        <w:tc>
          <w:tcPr>
            <w:tcW w:w="1120" w:type="dxa"/>
            <w:vAlign w:val="bottom"/>
          </w:tcPr>
          <w:p>
            <w:pPr>
              <w:jc w:val="center"/>
              <w:ind w:left="104"/>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2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9"/>
                <w:szCs w:val="19"/>
                <w:color w:val="auto"/>
              </w:rPr>
            </w:pPr>
          </w:p>
        </w:tc>
        <w:tc>
          <w:tcPr>
            <w:tcW w:w="2840" w:type="dxa"/>
            <w:vAlign w:val="bottom"/>
            <w:tcBorders>
              <w:bottom w:val="single" w:sz="8" w:color="E8E8E8"/>
            </w:tcBorders>
            <w:shd w:val="clear" w:color="auto" w:fill="E8E8E8"/>
          </w:tcPr>
          <w:p>
            <w:pPr>
              <w:spacing w:after="0"/>
              <w:rPr>
                <w:sz w:val="20"/>
                <w:szCs w:val="20"/>
                <w:color w:val="auto"/>
              </w:rPr>
            </w:pPr>
            <w:r>
              <w:rPr>
                <w:rFonts w:ascii="Arial" w:cs="Arial" w:eastAsia="Arial" w:hAnsi="Arial"/>
                <w:sz w:val="16"/>
                <w:szCs w:val="16"/>
                <w:color w:val="auto"/>
              </w:rPr>
              <w:t>Richard Steinmeier</w:t>
            </w:r>
          </w:p>
        </w:tc>
        <w:tc>
          <w:tcPr>
            <w:tcW w:w="106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E8E8E8"/>
            </w:tcBorders>
            <w:shd w:val="clear" w:color="auto" w:fill="E8E8E8"/>
          </w:tcPr>
          <w:p>
            <w:pPr>
              <w:jc w:val="right"/>
              <w:ind w:right="382"/>
              <w:spacing w:after="0"/>
              <w:rPr>
                <w:sz w:val="20"/>
                <w:szCs w:val="20"/>
                <w:color w:val="auto"/>
              </w:rPr>
            </w:pPr>
            <w:r>
              <w:rPr>
                <w:rFonts w:ascii="Arial" w:cs="Arial" w:eastAsia="Arial" w:hAnsi="Arial"/>
                <w:sz w:val="16"/>
                <w:szCs w:val="16"/>
                <w:color w:val="auto"/>
              </w:rPr>
              <w:t>800,000</w:t>
            </w:r>
          </w:p>
        </w:tc>
        <w:tc>
          <w:tcPr>
            <w:tcW w:w="1560" w:type="dxa"/>
            <w:vAlign w:val="bottom"/>
            <w:tcBorders>
              <w:bottom w:val="single" w:sz="8" w:color="E8E8E8"/>
            </w:tcBorders>
            <w:shd w:val="clear" w:color="auto" w:fill="E8E8E8"/>
          </w:tcPr>
          <w:p>
            <w:pPr>
              <w:jc w:val="center"/>
              <w:ind w:left="184"/>
              <w:spacing w:after="0"/>
              <w:rPr>
                <w:sz w:val="20"/>
                <w:szCs w:val="20"/>
                <w:color w:val="auto"/>
              </w:rPr>
            </w:pPr>
            <w:r>
              <w:rPr>
                <w:rFonts w:ascii="Arial" w:cs="Arial" w:eastAsia="Arial" w:hAnsi="Arial"/>
                <w:sz w:val="16"/>
                <w:szCs w:val="16"/>
                <w:color w:val="auto"/>
              </w:rPr>
              <w:t>160%</w:t>
            </w:r>
          </w:p>
        </w:tc>
        <w:tc>
          <w:tcPr>
            <w:tcW w:w="26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E8E8E8"/>
            </w:tcBorders>
            <w:shd w:val="clear" w:color="auto" w:fill="E8E8E8"/>
          </w:tcPr>
          <w:p>
            <w:pPr>
              <w:jc w:val="right"/>
              <w:ind w:right="322"/>
              <w:spacing w:after="0"/>
              <w:rPr>
                <w:sz w:val="20"/>
                <w:szCs w:val="20"/>
                <w:color w:val="auto"/>
              </w:rPr>
            </w:pPr>
            <w:r>
              <w:rPr>
                <w:rFonts w:ascii="Arial" w:cs="Arial" w:eastAsia="Arial" w:hAnsi="Arial"/>
                <w:sz w:val="16"/>
                <w:szCs w:val="16"/>
                <w:color w:val="auto"/>
                <w:w w:val="98"/>
              </w:rPr>
              <w:t>1,280,000</w:t>
            </w:r>
          </w:p>
        </w:tc>
        <w:tc>
          <w:tcPr>
            <w:tcW w:w="1320" w:type="dxa"/>
            <w:vAlign w:val="bottom"/>
            <w:tcBorders>
              <w:bottom w:val="single" w:sz="8" w:color="E8E8E8"/>
            </w:tcBorders>
            <w:shd w:val="clear" w:color="auto" w:fill="E8E8E8"/>
          </w:tcPr>
          <w:p>
            <w:pPr>
              <w:jc w:val="center"/>
              <w:spacing w:after="0"/>
              <w:rPr>
                <w:sz w:val="20"/>
                <w:szCs w:val="20"/>
                <w:color w:val="auto"/>
              </w:rPr>
            </w:pPr>
            <w:r>
              <w:rPr>
                <w:rFonts w:ascii="Arial" w:cs="Arial" w:eastAsia="Arial" w:hAnsi="Arial"/>
                <w:sz w:val="16"/>
                <w:szCs w:val="16"/>
                <w:color w:val="auto"/>
              </w:rPr>
              <w:t>256%</w:t>
            </w:r>
          </w:p>
        </w:tc>
        <w:tc>
          <w:tcPr>
            <w:tcW w:w="1120" w:type="dxa"/>
            <w:vAlign w:val="bottom"/>
            <w:tcBorders>
              <w:bottom w:val="single" w:sz="8" w:color="E8E8E8"/>
            </w:tcBorders>
            <w:shd w:val="clear" w:color="auto" w:fill="E8E8E8"/>
          </w:tcPr>
          <w:p>
            <w:pPr>
              <w:jc w:val="center"/>
              <w:ind w:left="104"/>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shd w:val="clear" w:color="auto" w:fill="050A54"/>
          </w:tcPr>
          <w:p>
            <w:pPr>
              <w:spacing w:after="0" w:line="20" w:lineRule="exact"/>
              <w:rPr>
                <w:sz w:val="1"/>
                <w:szCs w:val="1"/>
                <w:color w:val="auto"/>
              </w:rPr>
            </w:pPr>
          </w:p>
        </w:tc>
        <w:tc>
          <w:tcPr>
            <w:tcW w:w="1060" w:type="dxa"/>
            <w:vAlign w:val="bottom"/>
            <w:shd w:val="clear" w:color="auto" w:fill="050A54"/>
          </w:tcPr>
          <w:p>
            <w:pPr>
              <w:spacing w:after="0" w:line="20" w:lineRule="exact"/>
              <w:rPr>
                <w:sz w:val="1"/>
                <w:szCs w:val="1"/>
                <w:color w:val="auto"/>
              </w:rPr>
            </w:pPr>
          </w:p>
        </w:tc>
        <w:tc>
          <w:tcPr>
            <w:tcW w:w="1180" w:type="dxa"/>
            <w:vAlign w:val="bottom"/>
            <w:shd w:val="clear" w:color="auto" w:fill="050A54"/>
          </w:tcPr>
          <w:p>
            <w:pPr>
              <w:spacing w:after="0" w:line="20" w:lineRule="exact"/>
              <w:rPr>
                <w:sz w:val="1"/>
                <w:szCs w:val="1"/>
                <w:color w:val="auto"/>
              </w:rPr>
            </w:pPr>
          </w:p>
        </w:tc>
        <w:tc>
          <w:tcPr>
            <w:tcW w:w="1560" w:type="dxa"/>
            <w:vAlign w:val="bottom"/>
            <w:shd w:val="clear" w:color="auto" w:fill="050A54"/>
          </w:tcPr>
          <w:p>
            <w:pPr>
              <w:spacing w:after="0" w:line="20" w:lineRule="exact"/>
              <w:rPr>
                <w:sz w:val="1"/>
                <w:szCs w:val="1"/>
                <w:color w:val="auto"/>
              </w:rPr>
            </w:pPr>
          </w:p>
        </w:tc>
        <w:tc>
          <w:tcPr>
            <w:tcW w:w="260" w:type="dxa"/>
            <w:vAlign w:val="bottom"/>
            <w:shd w:val="clear" w:color="auto" w:fill="050A54"/>
          </w:tcPr>
          <w:p>
            <w:pPr>
              <w:spacing w:after="0" w:line="20" w:lineRule="exact"/>
              <w:rPr>
                <w:sz w:val="1"/>
                <w:szCs w:val="1"/>
                <w:color w:val="auto"/>
              </w:rPr>
            </w:pPr>
          </w:p>
        </w:tc>
        <w:tc>
          <w:tcPr>
            <w:tcW w:w="1120" w:type="dxa"/>
            <w:vAlign w:val="bottom"/>
            <w:shd w:val="clear" w:color="auto" w:fill="050A54"/>
          </w:tcPr>
          <w:p>
            <w:pPr>
              <w:spacing w:after="0" w:line="20" w:lineRule="exact"/>
              <w:rPr>
                <w:sz w:val="1"/>
                <w:szCs w:val="1"/>
                <w:color w:val="auto"/>
              </w:rPr>
            </w:pPr>
          </w:p>
        </w:tc>
        <w:tc>
          <w:tcPr>
            <w:tcW w:w="1320" w:type="dxa"/>
            <w:vAlign w:val="bottom"/>
            <w:shd w:val="clear" w:color="auto" w:fill="050A54"/>
          </w:tcPr>
          <w:p>
            <w:pPr>
              <w:spacing w:after="0" w:line="20" w:lineRule="exact"/>
              <w:rPr>
                <w:sz w:val="1"/>
                <w:szCs w:val="1"/>
                <w:color w:val="auto"/>
              </w:rPr>
            </w:pPr>
          </w:p>
        </w:tc>
        <w:tc>
          <w:tcPr>
            <w:tcW w:w="1120" w:type="dxa"/>
            <w:vAlign w:val="bottom"/>
            <w:shd w:val="clear" w:color="auto" w:fill="050A5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00" w:right="20" w:hanging="433"/>
        <w:spacing w:after="0" w:line="261" w:lineRule="auto"/>
        <w:tabs>
          <w:tab w:leader="none" w:pos="6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Mr. Fandrey received a cash sign-on bonus in the amount of $400,000 in 2021 that reflected negotiations in recruiting him to accept employment with the Company, which amount is not reflected in this table.</w:t>
      </w:r>
    </w:p>
    <w:p>
      <w:pPr>
        <w:spacing w:after="0" w:line="103" w:lineRule="exact"/>
        <w:rPr>
          <w:sz w:val="20"/>
          <w:szCs w:val="20"/>
          <w:color w:val="auto"/>
        </w:rPr>
      </w:pPr>
    </w:p>
    <w:tbl>
      <w:tblPr>
        <w:tblLayout w:type="fixed"/>
        <w:tblInd w:w="8500" w:type="dxa"/>
        <w:tblCellMar>
          <w:top w:w="0" w:type="dxa"/>
          <w:left w:w="0" w:type="dxa"/>
          <w:bottom w:w="0" w:type="dxa"/>
          <w:right w:w="0" w:type="dxa"/>
        </w:tblCellMar>
      </w:tblPr>
      <w:tr>
        <w:trPr>
          <w:trHeight w:val="233"/>
        </w:trPr>
        <w:tc>
          <w:tcPr>
            <w:tcW w:w="2060" w:type="dxa"/>
            <w:vAlign w:val="bottom"/>
            <w:tcBorders>
              <w:right w:val="single" w:sz="8" w:color="050A54"/>
            </w:tcBorders>
          </w:tcPr>
          <w:p>
            <w:pPr>
              <w:spacing w:after="0"/>
              <w:rPr>
                <w:sz w:val="20"/>
                <w:szCs w:val="20"/>
                <w:color w:val="auto"/>
              </w:rPr>
            </w:pPr>
            <w:r>
              <w:rPr>
                <w:rFonts w:ascii="Arial" w:cs="Arial" w:eastAsia="Arial" w:hAnsi="Arial"/>
                <w:sz w:val="18"/>
                <w:szCs w:val="18"/>
                <w:b w:val="1"/>
                <w:bCs w:val="1"/>
                <w:color w:val="050A54"/>
              </w:rPr>
              <w:t>2022 Proxy Statement</w:t>
            </w:r>
          </w:p>
        </w:tc>
        <w:tc>
          <w:tcPr>
            <w:tcW w:w="520" w:type="dxa"/>
            <w:vAlign w:val="bottom"/>
          </w:tcPr>
          <w:p>
            <w:pPr>
              <w:jc w:val="right"/>
              <w:spacing w:after="0"/>
              <w:rPr>
                <w:sz w:val="20"/>
                <w:szCs w:val="20"/>
                <w:color w:val="auto"/>
              </w:rPr>
            </w:pPr>
            <w:r>
              <w:rPr>
                <w:rFonts w:ascii="Arial" w:cs="Arial" w:eastAsia="Arial" w:hAnsi="Arial"/>
                <w:sz w:val="18"/>
                <w:szCs w:val="18"/>
                <w:color w:val="050A54"/>
              </w:rPr>
              <w:t>39</w:t>
            </w:r>
          </w:p>
        </w:tc>
      </w:tr>
    </w:tbl>
    <w:p>
      <w:pPr>
        <w:sectPr>
          <w:pgSz w:w="11900" w:h="16838" w:orient="portrait"/>
          <w:cols w:equalWidth="0" w:num="1">
            <w:col w:w="11080"/>
          </w:cols>
          <w:pgMar w:left="320" w:top="454" w:right="499" w:bottom="1440" w:gutter="0" w:footer="0" w:header="0"/>
          <w:type w:val="continuous"/>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050A54"/>
        </w:rPr>
        <w:t>Annual Cash Bonus Awards</w:t>
      </w:r>
    </w:p>
    <w:p>
      <w:pPr>
        <w:spacing w:after="0" w:line="1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050A54"/>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73025</wp:posOffset>
            </wp:positionV>
            <wp:extent cx="5299075" cy="10191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299075" cy="101917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Long-Term Equity Incentive Awards</w:t>
      </w:r>
    </w:p>
    <w:p>
      <w:pPr>
        <w:spacing w:after="0" w:line="176"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The purposes of our LTI program are to promote the achievement of corporate goals that drive long-term stockholder value, to align the interests of our executive officers and other key employees with our stakeholders and to retain key executives. Our LTI program is critical to our efforts to hire and retain the best talent in the financial services industry.</w:t>
      </w:r>
    </w:p>
    <w:p>
      <w:pPr>
        <w:spacing w:after="0" w:line="181"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At the beginning of each year, the Compensation Committee establishes annual LTI award targets for executive officers after reviewing the recommendations of our chief executive officer (for NEOs other than himself) and additional information, including benchmarking data. Annual target award amounts are based on an executive’s position, including job scope, and base salary, after consideration of benchmarking data and prior awards to the executive.</w:t>
      </w:r>
    </w:p>
    <w:p>
      <w:pPr>
        <w:spacing w:after="0" w:line="184"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After the conclusion of the year, the Compensation Committee determines the actual amounts of the LTI award to be granted to each of our NEOs. Because the value of the LTI awards depends on the Company’s longer-term performance, LTI awards are an element of our executive retention strategy. In determining the LTI awards, the Compensation Committee takes into account discussions with management and the Compensation Consultant, and an NEO’s actual LTI award may vary from the target amount previously established for that executive by the Compensation Committee.</w:t>
      </w:r>
    </w:p>
    <w:p>
      <w:pPr>
        <w:spacing w:after="0" w:line="185" w:lineRule="exact"/>
        <w:rPr>
          <w:sz w:val="20"/>
          <w:szCs w:val="20"/>
          <w:color w:val="auto"/>
        </w:rPr>
      </w:pPr>
    </w:p>
    <w:p>
      <w:pPr>
        <w:jc w:val="both"/>
        <w:ind w:left="160"/>
        <w:spacing w:after="0" w:line="256" w:lineRule="auto"/>
        <w:rPr>
          <w:sz w:val="20"/>
          <w:szCs w:val="20"/>
          <w:color w:val="auto"/>
        </w:rPr>
      </w:pPr>
      <w:r>
        <w:rPr>
          <w:rFonts w:ascii="Arial" w:cs="Arial" w:eastAsia="Arial" w:hAnsi="Arial"/>
          <w:sz w:val="17"/>
          <w:szCs w:val="17"/>
          <w:color w:val="auto"/>
        </w:rPr>
        <w:t>In accordance with SEC rules, the equity awards shown in our Summary Compensation Table and Grants of Plan-Based Awards Table reflect LTI awards that were granted during calendar year 2021. The awards shown in such tables include the LTI awards granted in February 2021 described below but not the LTI awards granted in February 2022, which we also describe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50A54"/>
        </w:rPr>
        <w:t>LTI Awards in 2021</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February 2021, the Compensation Committee approved equity grants to our NEOs. These awards were based on each NEO’s 2020 LTI award target, as well as his individual performance during 2020 and over time, leadership responsibilities and potential, as well as retention considerations.</w:t>
      </w:r>
    </w:p>
    <w:p>
      <w:pPr>
        <w:spacing w:after="0" w:line="18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equity grant to Mr. Arnold consisted of 70% performance stock units (“PSUs”) and 30% time-based restricted stock units (“RSUs”), and equity grants to Messrs. Audette, Fandrey (excluding his sign-on award, described below), Semerjian and Steinmeier consisted of 60% PSUs and 40% RSUs. We believe that this blended approach provided appropriate incentives for long-term stockholder value creation while also serving as a retention tool for the Company. We also believe that the use of PSUs aligned with our pay-for-performance principles and put appropriate focus on long-term alignment and pay relative both to market peers and stockholder returns.</w:t>
      </w:r>
    </w:p>
    <w:p>
      <w:pPr>
        <w:spacing w:after="0" w:line="18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Pursuant to the terms of his offer letter, the Compensation Committee granted Mr. Fandrey a sign-on award of 24,572 RSUs in February 2021, which vest quarterly over two years. This award reflected the results of negotiations in recruiting him to accept employment with the Company and was intended to address the value and liquidity of equity awards forfeited by Mr. Fandrey with his previous employer.</w:t>
      </w:r>
    </w:p>
    <w:p>
      <w:pPr>
        <w:spacing w:after="0" w:line="18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050A54"/>
        </w:rPr>
        <w:t xml:space="preserve">2021 Performance Stock Unit Awards. </w:t>
      </w:r>
      <w:r>
        <w:rPr>
          <w:rFonts w:ascii="Arial" w:cs="Arial" w:eastAsia="Arial" w:hAnsi="Arial"/>
          <w:sz w:val="18"/>
          <w:szCs w:val="18"/>
          <w:color w:val="000000"/>
        </w:rPr>
        <w:t>The PSUs granted in 2021</w:t>
      </w:r>
      <w:r>
        <w:rPr>
          <w:rFonts w:ascii="Arial" w:cs="Arial" w:eastAsia="Arial" w:hAnsi="Arial"/>
          <w:sz w:val="18"/>
          <w:szCs w:val="18"/>
          <w:i w:val="1"/>
          <w:iCs w:val="1"/>
          <w:color w:val="050A54"/>
        </w:rPr>
        <w:t xml:space="preserve"> </w:t>
      </w:r>
      <w:r>
        <w:rPr>
          <w:rFonts w:ascii="Arial" w:cs="Arial" w:eastAsia="Arial" w:hAnsi="Arial"/>
          <w:sz w:val="18"/>
          <w:szCs w:val="18"/>
          <w:color w:val="000000"/>
        </w:rPr>
        <w:t>are eligible to become earned PSUs based on the Company’s TSR relative to the Comparator Group over a three-year performance period ending on December 31, 2023 (the “Performance Period”). The number of earned PSUs is based on the Company’s relative ranking between the 25th and 80th percentiles of the Comparator Group’s TSR results.</w:t>
      </w:r>
    </w:p>
    <w:p>
      <w:pPr>
        <w:spacing w:after="0" w:line="201" w:lineRule="exact"/>
        <w:rPr>
          <w:sz w:val="20"/>
          <w:szCs w:val="20"/>
          <w:color w:val="auto"/>
        </w:rPr>
      </w:pPr>
    </w:p>
    <w:p>
      <w:pPr>
        <w:sectPr>
          <w:pgSz w:w="11900" w:h="16838" w:orient="portrait"/>
          <w:cols w:equalWidth="0" w:num="2">
            <w:col w:w="5400" w:space="340"/>
            <w:col w:w="5340"/>
          </w:cols>
          <w:pgMar w:left="320" w:top="454" w:right="499" w:bottom="1440" w:gutter="0" w:footer="0" w:header="0"/>
          <w:type w:val="continuous"/>
        </w:sectPr>
      </w:pPr>
    </w:p>
    <w:p>
      <w:pPr>
        <w:spacing w:after="0" w:line="60" w:lineRule="exact"/>
        <w:rPr>
          <w:sz w:val="20"/>
          <w:szCs w:val="20"/>
          <w:color w:val="auto"/>
        </w:rPr>
      </w:pPr>
    </w:p>
    <w:p>
      <w:pPr>
        <w:ind w:left="1000" w:hanging="690"/>
        <w:spacing w:after="0"/>
        <w:tabs>
          <w:tab w:leader="none" w:pos="1000" w:val="left"/>
        </w:tabs>
        <w:numPr>
          <w:ilvl w:val="0"/>
          <w:numId w:val="64"/>
        </w:numPr>
        <w:rPr>
          <w:rFonts w:ascii="Arial" w:cs="Arial" w:eastAsia="Arial" w:hAnsi="Arial"/>
          <w:sz w:val="17"/>
          <w:szCs w:val="17"/>
          <w:color w:val="050A54"/>
        </w:rPr>
      </w:pPr>
      <w:r>
        <w:rPr>
          <w:rFonts w:ascii="Arial" w:cs="Arial" w:eastAsia="Arial" w:hAnsi="Arial"/>
          <w:sz w:val="17"/>
          <w:szCs w:val="17"/>
          <w:b w:val="1"/>
          <w:bCs w:val="1"/>
          <w:color w:val="050A54"/>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-111760</wp:posOffset>
            </wp:positionV>
            <wp:extent cx="8255" cy="135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336"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For the PSUs granted in 2021, the Compensation Committee determined to change the prespecified comparator group from the Standard &amp; Poor’s 1500 Capital Markets Companies to the Comparator Group described above under “</w:t>
      </w:r>
      <w:r>
        <w:rPr>
          <w:rFonts w:ascii="Arial" w:cs="Arial" w:eastAsia="Arial" w:hAnsi="Arial"/>
          <w:sz w:val="18"/>
          <w:szCs w:val="18"/>
          <w:i w:val="1"/>
          <w:iCs w:val="1"/>
          <w:color w:val="auto"/>
        </w:rPr>
        <w:t>Bonus Pool Funding</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r>
        <w:rPr>
          <w:rFonts w:ascii="Arial" w:cs="Arial" w:eastAsia="Arial" w:hAnsi="Arial"/>
          <w:sz w:val="18"/>
          <w:szCs w:val="18"/>
          <w:color w:val="auto"/>
        </w:rPr>
        <w:t>” in order to better align with companies facing a</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level of macroeconomic sensitivity, particularly to short-term interest rates.</w:t>
      </w:r>
    </w:p>
    <w:p>
      <w:pPr>
        <w:spacing w:after="0" w:line="181"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Based on the Company’s relative performance, the number of earned PSUs can range between 0% (below threshold) and 200% (maximum) of the target award as shown below:</w:t>
      </w:r>
    </w:p>
    <w:p>
      <w:pPr>
        <w:spacing w:after="0" w:line="20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1860" w:type="dxa"/>
            <w:vAlign w:val="bottom"/>
          </w:tcPr>
          <w:p>
            <w:pPr>
              <w:jc w:val="center"/>
              <w:ind w:left="185"/>
              <w:spacing w:after="0"/>
              <w:rPr>
                <w:sz w:val="20"/>
                <w:szCs w:val="20"/>
                <w:color w:val="auto"/>
              </w:rPr>
            </w:pPr>
            <w:r>
              <w:rPr>
                <w:rFonts w:ascii="Arial" w:cs="Arial" w:eastAsia="Arial" w:hAnsi="Arial"/>
                <w:sz w:val="14"/>
                <w:szCs w:val="14"/>
                <w:b w:val="1"/>
                <w:bCs w:val="1"/>
                <w:color w:val="050A54"/>
              </w:rPr>
              <w:t>Relative TSR</w:t>
            </w:r>
          </w:p>
        </w:tc>
        <w:tc>
          <w:tcPr>
            <w:tcW w:w="1120" w:type="dxa"/>
            <w:vAlign w:val="bottom"/>
          </w:tcPr>
          <w:p>
            <w:pPr>
              <w:spacing w:after="0"/>
              <w:rPr>
                <w:sz w:val="14"/>
                <w:szCs w:val="14"/>
                <w:color w:val="auto"/>
              </w:rPr>
            </w:pPr>
          </w:p>
        </w:tc>
      </w:tr>
      <w:tr>
        <w:trPr>
          <w:trHeight w:val="160"/>
        </w:trPr>
        <w:tc>
          <w:tcPr>
            <w:tcW w:w="2260" w:type="dxa"/>
            <w:vAlign w:val="bottom"/>
          </w:tcPr>
          <w:p>
            <w:pPr>
              <w:spacing w:after="0"/>
              <w:rPr>
                <w:sz w:val="13"/>
                <w:szCs w:val="13"/>
                <w:color w:val="auto"/>
              </w:rPr>
            </w:pPr>
          </w:p>
        </w:tc>
        <w:tc>
          <w:tcPr>
            <w:tcW w:w="1860" w:type="dxa"/>
            <w:vAlign w:val="bottom"/>
          </w:tcPr>
          <w:p>
            <w:pPr>
              <w:jc w:val="center"/>
              <w:ind w:left="165"/>
              <w:spacing w:after="0"/>
              <w:rPr>
                <w:sz w:val="20"/>
                <w:szCs w:val="20"/>
                <w:color w:val="auto"/>
              </w:rPr>
            </w:pPr>
            <w:r>
              <w:rPr>
                <w:rFonts w:ascii="Arial" w:cs="Arial" w:eastAsia="Arial" w:hAnsi="Arial"/>
                <w:sz w:val="14"/>
                <w:szCs w:val="14"/>
                <w:b w:val="1"/>
                <w:bCs w:val="1"/>
                <w:color w:val="050A54"/>
              </w:rPr>
              <w:t>Percentile Rank</w:t>
            </w:r>
          </w:p>
        </w:tc>
        <w:tc>
          <w:tcPr>
            <w:tcW w:w="1120" w:type="dxa"/>
            <w:vAlign w:val="bottom"/>
          </w:tcPr>
          <w:p>
            <w:pPr>
              <w:jc w:val="center"/>
              <w:ind w:left="184"/>
              <w:spacing w:after="0"/>
              <w:rPr>
                <w:sz w:val="20"/>
                <w:szCs w:val="20"/>
                <w:color w:val="auto"/>
              </w:rPr>
            </w:pPr>
            <w:r>
              <w:rPr>
                <w:rFonts w:ascii="Arial" w:cs="Arial" w:eastAsia="Arial" w:hAnsi="Arial"/>
                <w:sz w:val="14"/>
                <w:szCs w:val="14"/>
                <w:b w:val="1"/>
                <w:bCs w:val="1"/>
                <w:color w:val="050A54"/>
              </w:rPr>
              <w:t>Common</w:t>
            </w:r>
          </w:p>
        </w:tc>
      </w:tr>
      <w:tr>
        <w:trPr>
          <w:trHeight w:val="160"/>
        </w:trPr>
        <w:tc>
          <w:tcPr>
            <w:tcW w:w="2260" w:type="dxa"/>
            <w:vAlign w:val="bottom"/>
          </w:tcPr>
          <w:p>
            <w:pPr>
              <w:spacing w:after="0"/>
              <w:rPr>
                <w:sz w:val="13"/>
                <w:szCs w:val="13"/>
                <w:color w:val="auto"/>
              </w:rPr>
            </w:pPr>
          </w:p>
        </w:tc>
        <w:tc>
          <w:tcPr>
            <w:tcW w:w="1860" w:type="dxa"/>
            <w:vAlign w:val="bottom"/>
          </w:tcPr>
          <w:p>
            <w:pPr>
              <w:jc w:val="center"/>
              <w:ind w:left="185"/>
              <w:spacing w:after="0"/>
              <w:rPr>
                <w:sz w:val="20"/>
                <w:szCs w:val="20"/>
                <w:color w:val="auto"/>
              </w:rPr>
            </w:pPr>
            <w:r>
              <w:rPr>
                <w:rFonts w:ascii="Arial" w:cs="Arial" w:eastAsia="Arial" w:hAnsi="Arial"/>
                <w:sz w:val="14"/>
                <w:szCs w:val="14"/>
                <w:b w:val="1"/>
                <w:bCs w:val="1"/>
                <w:color w:val="050A54"/>
              </w:rPr>
              <w:t>(based on</w:t>
            </w:r>
          </w:p>
        </w:tc>
        <w:tc>
          <w:tcPr>
            <w:tcW w:w="1120" w:type="dxa"/>
            <w:vAlign w:val="bottom"/>
          </w:tcPr>
          <w:p>
            <w:pPr>
              <w:jc w:val="center"/>
              <w:ind w:left="204"/>
              <w:spacing w:after="0"/>
              <w:rPr>
                <w:sz w:val="20"/>
                <w:szCs w:val="20"/>
                <w:color w:val="auto"/>
              </w:rPr>
            </w:pPr>
            <w:r>
              <w:rPr>
                <w:rFonts w:ascii="Arial" w:cs="Arial" w:eastAsia="Arial" w:hAnsi="Arial"/>
                <w:sz w:val="14"/>
                <w:szCs w:val="14"/>
                <w:b w:val="1"/>
                <w:bCs w:val="1"/>
                <w:color w:val="050A54"/>
              </w:rPr>
              <w:t>Shares</w:t>
            </w:r>
          </w:p>
        </w:tc>
      </w:tr>
      <w:tr>
        <w:trPr>
          <w:trHeight w:val="160"/>
        </w:trPr>
        <w:tc>
          <w:tcPr>
            <w:tcW w:w="2260" w:type="dxa"/>
            <w:vAlign w:val="bottom"/>
          </w:tcPr>
          <w:p>
            <w:pPr>
              <w:spacing w:after="0"/>
              <w:rPr>
                <w:sz w:val="13"/>
                <w:szCs w:val="13"/>
                <w:color w:val="auto"/>
              </w:rPr>
            </w:pPr>
          </w:p>
        </w:tc>
        <w:tc>
          <w:tcPr>
            <w:tcW w:w="1860" w:type="dxa"/>
            <w:vAlign w:val="bottom"/>
          </w:tcPr>
          <w:p>
            <w:pPr>
              <w:jc w:val="center"/>
              <w:ind w:left="185"/>
              <w:spacing w:after="0"/>
              <w:rPr>
                <w:sz w:val="20"/>
                <w:szCs w:val="20"/>
                <w:color w:val="auto"/>
              </w:rPr>
            </w:pPr>
            <w:r>
              <w:rPr>
                <w:rFonts w:ascii="Arial" w:cs="Arial" w:eastAsia="Arial" w:hAnsi="Arial"/>
                <w:sz w:val="14"/>
                <w:szCs w:val="14"/>
                <w:b w:val="1"/>
                <w:bCs w:val="1"/>
                <w:color w:val="050A54"/>
              </w:rPr>
              <w:t>Comparator</w:t>
            </w:r>
          </w:p>
        </w:tc>
        <w:tc>
          <w:tcPr>
            <w:tcW w:w="1120" w:type="dxa"/>
            <w:vAlign w:val="bottom"/>
          </w:tcPr>
          <w:p>
            <w:pPr>
              <w:jc w:val="center"/>
              <w:ind w:left="184"/>
              <w:spacing w:after="0"/>
              <w:rPr>
                <w:sz w:val="20"/>
                <w:szCs w:val="20"/>
                <w:color w:val="auto"/>
              </w:rPr>
            </w:pPr>
            <w:r>
              <w:rPr>
                <w:rFonts w:ascii="Arial" w:cs="Arial" w:eastAsia="Arial" w:hAnsi="Arial"/>
                <w:sz w:val="14"/>
                <w:szCs w:val="14"/>
                <w:b w:val="1"/>
                <w:bCs w:val="1"/>
                <w:color w:val="050A54"/>
              </w:rPr>
              <w:t>Earned (as a</w:t>
            </w:r>
          </w:p>
        </w:tc>
      </w:tr>
      <w:tr>
        <w:trPr>
          <w:trHeight w:val="170"/>
        </w:trPr>
        <w:tc>
          <w:tcPr>
            <w:tcW w:w="2260" w:type="dxa"/>
            <w:vAlign w:val="bottom"/>
            <w:tcBorders>
              <w:bottom w:val="single" w:sz="8" w:color="050A54"/>
            </w:tcBorders>
          </w:tcPr>
          <w:p>
            <w:pPr>
              <w:ind w:left="460"/>
              <w:spacing w:after="0"/>
              <w:rPr>
                <w:sz w:val="20"/>
                <w:szCs w:val="20"/>
                <w:color w:val="auto"/>
              </w:rPr>
            </w:pPr>
            <w:r>
              <w:rPr>
                <w:rFonts w:ascii="Arial" w:cs="Arial" w:eastAsia="Arial" w:hAnsi="Arial"/>
                <w:sz w:val="14"/>
                <w:szCs w:val="14"/>
                <w:b w:val="1"/>
                <w:bCs w:val="1"/>
                <w:color w:val="050A54"/>
              </w:rPr>
              <w:t>Performance Level</w:t>
            </w:r>
          </w:p>
        </w:tc>
        <w:tc>
          <w:tcPr>
            <w:tcW w:w="1860" w:type="dxa"/>
            <w:vAlign w:val="bottom"/>
            <w:tcBorders>
              <w:bottom w:val="single" w:sz="8" w:color="050A54"/>
            </w:tcBorders>
          </w:tcPr>
          <w:p>
            <w:pPr>
              <w:jc w:val="center"/>
              <w:ind w:left="185"/>
              <w:spacing w:after="0"/>
              <w:rPr>
                <w:sz w:val="20"/>
                <w:szCs w:val="20"/>
                <w:color w:val="auto"/>
              </w:rPr>
            </w:pPr>
            <w:r>
              <w:rPr>
                <w:rFonts w:ascii="Arial" w:cs="Arial" w:eastAsia="Arial" w:hAnsi="Arial"/>
                <w:sz w:val="14"/>
                <w:szCs w:val="14"/>
                <w:b w:val="1"/>
                <w:bCs w:val="1"/>
                <w:color w:val="050A54"/>
              </w:rPr>
              <w:t>Group)</w:t>
            </w:r>
          </w:p>
        </w:tc>
        <w:tc>
          <w:tcPr>
            <w:tcW w:w="1120" w:type="dxa"/>
            <w:vAlign w:val="bottom"/>
            <w:tcBorders>
              <w:bottom w:val="single" w:sz="8" w:color="050A54"/>
            </w:tcBorders>
          </w:tcPr>
          <w:p>
            <w:pPr>
              <w:jc w:val="center"/>
              <w:ind w:left="184"/>
              <w:spacing w:after="0"/>
              <w:rPr>
                <w:sz w:val="20"/>
                <w:szCs w:val="20"/>
                <w:color w:val="auto"/>
              </w:rPr>
            </w:pPr>
            <w:r>
              <w:rPr>
                <w:rFonts w:ascii="Arial" w:cs="Arial" w:eastAsia="Arial" w:hAnsi="Arial"/>
                <w:sz w:val="14"/>
                <w:szCs w:val="14"/>
                <w:b w:val="1"/>
                <w:bCs w:val="1"/>
                <w:color w:val="050A54"/>
              </w:rPr>
              <w:t>% of Target)</w:t>
            </w:r>
          </w:p>
        </w:tc>
      </w:tr>
      <w:tr>
        <w:trPr>
          <w:trHeight w:val="234"/>
        </w:trPr>
        <w:tc>
          <w:tcPr>
            <w:tcW w:w="2260" w:type="dxa"/>
            <w:vAlign w:val="bottom"/>
            <w:shd w:val="clear" w:color="auto" w:fill="E8E8E8"/>
          </w:tcPr>
          <w:p>
            <w:pPr>
              <w:ind w:left="20"/>
              <w:spacing w:after="0"/>
              <w:rPr>
                <w:sz w:val="20"/>
                <w:szCs w:val="20"/>
                <w:color w:val="auto"/>
              </w:rPr>
            </w:pPr>
            <w:r>
              <w:rPr>
                <w:rFonts w:ascii="Arial" w:cs="Arial" w:eastAsia="Arial" w:hAnsi="Arial"/>
                <w:sz w:val="16"/>
                <w:szCs w:val="16"/>
                <w:color w:val="auto"/>
              </w:rPr>
              <w:t>Maximum</w:t>
            </w:r>
          </w:p>
        </w:tc>
        <w:tc>
          <w:tcPr>
            <w:tcW w:w="1860" w:type="dxa"/>
            <w:vAlign w:val="bottom"/>
            <w:shd w:val="clear" w:color="auto" w:fill="E8E8E8"/>
          </w:tcPr>
          <w:p>
            <w:pPr>
              <w:jc w:val="center"/>
              <w:ind w:left="165"/>
              <w:spacing w:after="0" w:line="233" w:lineRule="exact"/>
              <w:rPr>
                <w:sz w:val="20"/>
                <w:szCs w:val="20"/>
                <w:color w:val="auto"/>
              </w:rPr>
            </w:pPr>
            <w:r>
              <w:rPr>
                <w:rFonts w:ascii="Arial" w:cs="Arial" w:eastAsia="Arial" w:hAnsi="Arial"/>
                <w:sz w:val="16"/>
                <w:szCs w:val="16"/>
                <w:color w:val="auto"/>
                <w:w w:val="91"/>
              </w:rPr>
              <w:t>80</w:t>
            </w:r>
            <w:r>
              <w:rPr>
                <w:rFonts w:ascii="Arial" w:cs="Arial" w:eastAsia="Arial" w:hAnsi="Arial"/>
                <w:sz w:val="27"/>
                <w:szCs w:val="27"/>
                <w:color w:val="auto"/>
                <w:w w:val="91"/>
                <w:vertAlign w:val="superscript"/>
              </w:rPr>
              <w:t>th</w:t>
            </w:r>
          </w:p>
        </w:tc>
        <w:tc>
          <w:tcPr>
            <w:tcW w:w="1120" w:type="dxa"/>
            <w:vAlign w:val="bottom"/>
            <w:shd w:val="clear" w:color="auto" w:fill="E8E8E8"/>
          </w:tcPr>
          <w:p>
            <w:pPr>
              <w:jc w:val="center"/>
              <w:ind w:left="184"/>
              <w:spacing w:after="0"/>
              <w:rPr>
                <w:sz w:val="20"/>
                <w:szCs w:val="20"/>
                <w:color w:val="auto"/>
              </w:rPr>
            </w:pPr>
            <w:r>
              <w:rPr>
                <w:rFonts w:ascii="Arial" w:cs="Arial" w:eastAsia="Arial" w:hAnsi="Arial"/>
                <w:sz w:val="16"/>
                <w:szCs w:val="16"/>
                <w:color w:val="auto"/>
              </w:rPr>
              <w:t>200%</w:t>
            </w:r>
          </w:p>
        </w:tc>
      </w:tr>
      <w:tr>
        <w:trPr>
          <w:trHeight w:val="241"/>
        </w:trPr>
        <w:tc>
          <w:tcPr>
            <w:tcW w:w="2260" w:type="dxa"/>
            <w:vAlign w:val="bottom"/>
          </w:tcPr>
          <w:p>
            <w:pPr>
              <w:ind w:left="20"/>
              <w:spacing w:after="0"/>
              <w:rPr>
                <w:sz w:val="20"/>
                <w:szCs w:val="20"/>
                <w:color w:val="auto"/>
              </w:rPr>
            </w:pPr>
            <w:r>
              <w:rPr>
                <w:rFonts w:ascii="Arial" w:cs="Arial" w:eastAsia="Arial" w:hAnsi="Arial"/>
                <w:sz w:val="16"/>
                <w:szCs w:val="16"/>
                <w:color w:val="auto"/>
              </w:rPr>
              <w:t>Target</w:t>
            </w:r>
          </w:p>
        </w:tc>
        <w:tc>
          <w:tcPr>
            <w:tcW w:w="1860" w:type="dxa"/>
            <w:vAlign w:val="bottom"/>
          </w:tcPr>
          <w:p>
            <w:pPr>
              <w:jc w:val="center"/>
              <w:ind w:left="165"/>
              <w:spacing w:after="0" w:line="241" w:lineRule="exact"/>
              <w:rPr>
                <w:sz w:val="20"/>
                <w:szCs w:val="20"/>
                <w:color w:val="auto"/>
              </w:rPr>
            </w:pPr>
            <w:r>
              <w:rPr>
                <w:rFonts w:ascii="Arial" w:cs="Arial" w:eastAsia="Arial" w:hAnsi="Arial"/>
                <w:sz w:val="16"/>
                <w:szCs w:val="16"/>
                <w:color w:val="auto"/>
                <w:w w:val="91"/>
              </w:rPr>
              <w:t>50</w:t>
            </w:r>
            <w:r>
              <w:rPr>
                <w:rFonts w:ascii="Arial" w:cs="Arial" w:eastAsia="Arial" w:hAnsi="Arial"/>
                <w:sz w:val="27"/>
                <w:szCs w:val="27"/>
                <w:color w:val="auto"/>
                <w:w w:val="91"/>
                <w:vertAlign w:val="superscript"/>
              </w:rPr>
              <w:t>th</w:t>
            </w:r>
          </w:p>
        </w:tc>
        <w:tc>
          <w:tcPr>
            <w:tcW w:w="1120" w:type="dxa"/>
            <w:vAlign w:val="bottom"/>
          </w:tcPr>
          <w:p>
            <w:pPr>
              <w:jc w:val="center"/>
              <w:ind w:left="184"/>
              <w:spacing w:after="0"/>
              <w:rPr>
                <w:sz w:val="20"/>
                <w:szCs w:val="20"/>
                <w:color w:val="auto"/>
              </w:rPr>
            </w:pPr>
            <w:r>
              <w:rPr>
                <w:rFonts w:ascii="Arial" w:cs="Arial" w:eastAsia="Arial" w:hAnsi="Arial"/>
                <w:sz w:val="16"/>
                <w:szCs w:val="16"/>
                <w:color w:val="auto"/>
              </w:rPr>
              <w:t>100%</w:t>
            </w:r>
          </w:p>
        </w:tc>
      </w:tr>
      <w:tr>
        <w:trPr>
          <w:trHeight w:val="241"/>
        </w:trPr>
        <w:tc>
          <w:tcPr>
            <w:tcW w:w="2260" w:type="dxa"/>
            <w:vAlign w:val="bottom"/>
            <w:shd w:val="clear" w:color="auto" w:fill="E8E8E8"/>
          </w:tcPr>
          <w:p>
            <w:pPr>
              <w:ind w:left="20"/>
              <w:spacing w:after="0"/>
              <w:rPr>
                <w:sz w:val="20"/>
                <w:szCs w:val="20"/>
                <w:color w:val="auto"/>
              </w:rPr>
            </w:pPr>
            <w:r>
              <w:rPr>
                <w:rFonts w:ascii="Arial" w:cs="Arial" w:eastAsia="Arial" w:hAnsi="Arial"/>
                <w:sz w:val="16"/>
                <w:szCs w:val="16"/>
                <w:color w:val="auto"/>
              </w:rPr>
              <w:t>Threshold</w:t>
            </w:r>
          </w:p>
        </w:tc>
        <w:tc>
          <w:tcPr>
            <w:tcW w:w="1860" w:type="dxa"/>
            <w:vAlign w:val="bottom"/>
            <w:shd w:val="clear" w:color="auto" w:fill="E8E8E8"/>
          </w:tcPr>
          <w:p>
            <w:pPr>
              <w:jc w:val="center"/>
              <w:ind w:left="165"/>
              <w:spacing w:after="0" w:line="241" w:lineRule="exact"/>
              <w:rPr>
                <w:sz w:val="20"/>
                <w:szCs w:val="20"/>
                <w:color w:val="auto"/>
              </w:rPr>
            </w:pPr>
            <w:r>
              <w:rPr>
                <w:rFonts w:ascii="Arial" w:cs="Arial" w:eastAsia="Arial" w:hAnsi="Arial"/>
                <w:sz w:val="16"/>
                <w:szCs w:val="16"/>
                <w:color w:val="auto"/>
                <w:w w:val="91"/>
              </w:rPr>
              <w:t>25</w:t>
            </w:r>
            <w:r>
              <w:rPr>
                <w:rFonts w:ascii="Arial" w:cs="Arial" w:eastAsia="Arial" w:hAnsi="Arial"/>
                <w:sz w:val="27"/>
                <w:szCs w:val="27"/>
                <w:color w:val="auto"/>
                <w:w w:val="91"/>
                <w:vertAlign w:val="superscript"/>
              </w:rPr>
              <w:t>th</w:t>
            </w:r>
          </w:p>
        </w:tc>
        <w:tc>
          <w:tcPr>
            <w:tcW w:w="1120" w:type="dxa"/>
            <w:vAlign w:val="bottom"/>
            <w:shd w:val="clear" w:color="auto" w:fill="E8E8E8"/>
          </w:tcPr>
          <w:p>
            <w:pPr>
              <w:jc w:val="center"/>
              <w:ind w:left="204"/>
              <w:spacing w:after="0"/>
              <w:rPr>
                <w:sz w:val="20"/>
                <w:szCs w:val="20"/>
                <w:color w:val="auto"/>
              </w:rPr>
            </w:pPr>
            <w:r>
              <w:rPr>
                <w:rFonts w:ascii="Arial" w:cs="Arial" w:eastAsia="Arial" w:hAnsi="Arial"/>
                <w:sz w:val="16"/>
                <w:szCs w:val="16"/>
                <w:color w:val="auto"/>
                <w:w w:val="99"/>
              </w:rPr>
              <w:t>50%</w:t>
            </w:r>
          </w:p>
        </w:tc>
      </w:tr>
      <w:tr>
        <w:trPr>
          <w:trHeight w:val="241"/>
        </w:trPr>
        <w:tc>
          <w:tcPr>
            <w:tcW w:w="2260" w:type="dxa"/>
            <w:vAlign w:val="bottom"/>
            <w:tcBorders>
              <w:bottom w:val="single" w:sz="8" w:color="050A54"/>
            </w:tcBorders>
          </w:tcPr>
          <w:p>
            <w:pPr>
              <w:ind w:left="20"/>
              <w:spacing w:after="0"/>
              <w:rPr>
                <w:sz w:val="20"/>
                <w:szCs w:val="20"/>
                <w:color w:val="auto"/>
              </w:rPr>
            </w:pPr>
            <w:r>
              <w:rPr>
                <w:rFonts w:ascii="Arial" w:cs="Arial" w:eastAsia="Arial" w:hAnsi="Arial"/>
                <w:sz w:val="16"/>
                <w:szCs w:val="16"/>
                <w:color w:val="auto"/>
              </w:rPr>
              <w:t>Below Threshold</w:t>
            </w:r>
          </w:p>
        </w:tc>
        <w:tc>
          <w:tcPr>
            <w:tcW w:w="1860" w:type="dxa"/>
            <w:vAlign w:val="bottom"/>
            <w:tcBorders>
              <w:bottom w:val="single" w:sz="8" w:color="050A54"/>
            </w:tcBorders>
          </w:tcPr>
          <w:p>
            <w:pPr>
              <w:jc w:val="center"/>
              <w:ind w:left="165"/>
              <w:spacing w:after="0" w:line="241" w:lineRule="exact"/>
              <w:rPr>
                <w:sz w:val="20"/>
                <w:szCs w:val="20"/>
                <w:color w:val="auto"/>
              </w:rPr>
            </w:pPr>
            <w:r>
              <w:rPr>
                <w:rFonts w:ascii="Arial" w:cs="Arial" w:eastAsia="Arial" w:hAnsi="Arial"/>
                <w:sz w:val="16"/>
                <w:szCs w:val="16"/>
                <w:color w:val="auto"/>
                <w:w w:val="96"/>
              </w:rPr>
              <w:t>Below 25</w:t>
            </w:r>
            <w:r>
              <w:rPr>
                <w:rFonts w:ascii="Arial" w:cs="Arial" w:eastAsia="Arial" w:hAnsi="Arial"/>
                <w:sz w:val="27"/>
                <w:szCs w:val="27"/>
                <w:color w:val="auto"/>
                <w:w w:val="96"/>
                <w:vertAlign w:val="superscript"/>
              </w:rPr>
              <w:t>th</w:t>
            </w:r>
          </w:p>
        </w:tc>
        <w:tc>
          <w:tcPr>
            <w:tcW w:w="1120" w:type="dxa"/>
            <w:vAlign w:val="bottom"/>
            <w:tcBorders>
              <w:bottom w:val="single" w:sz="8" w:color="050A54"/>
            </w:tcBorders>
          </w:tcPr>
          <w:p>
            <w:pPr>
              <w:jc w:val="center"/>
              <w:ind w:left="184"/>
              <w:spacing w:after="0"/>
              <w:rPr>
                <w:sz w:val="20"/>
                <w:szCs w:val="20"/>
                <w:color w:val="auto"/>
              </w:rPr>
            </w:pPr>
            <w:r>
              <w:rPr>
                <w:rFonts w:ascii="Arial" w:cs="Arial" w:eastAsia="Arial" w:hAnsi="Arial"/>
                <w:sz w:val="16"/>
                <w:szCs w:val="16"/>
                <w:color w:val="auto"/>
                <w:w w:val="94"/>
              </w:rPr>
              <w:t>0%</w:t>
            </w:r>
          </w:p>
        </w:tc>
      </w:tr>
    </w:tbl>
    <w:p>
      <w:pPr>
        <w:spacing w:after="0" w:line="195"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If the TSR Percentile Rank is greater than 25th but less than 80th, the number of earned PSUs will be interpolated on a straight-line basis between performance levels. The beginning and ending share price for TSR calculations will be based on the average closing price of our Common Stock for the trailing thirty consecutive trading days including each of the beginning and end dates of the Performance Period. Earned PSUs become vested on the later of the third anniversary of the grant date and the date on which the Compensation Committee certifies achievement of the performance criteria associated with the award. The number of earned PSUs is capped at 100% of the target award if the Company’s TSR is negative over the Performance Period.</w:t>
      </w:r>
    </w:p>
    <w:p>
      <w:pPr>
        <w:spacing w:after="0" w:line="189"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In granting PSUs in 2021, the Compensation Committee calculated the number of shares</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underlying each award using a price per share equal to the average closing price of our Common Stock for the trailing thirty consecutive trading days including the grant date. This approach was intended to mitigate the effect of stock price volatility.</w:t>
      </w:r>
    </w:p>
    <w:p>
      <w:pPr>
        <w:spacing w:after="0" w:line="178" w:lineRule="exact"/>
        <w:rPr>
          <w:sz w:val="20"/>
          <w:szCs w:val="20"/>
          <w:color w:val="auto"/>
        </w:rPr>
      </w:pPr>
    </w:p>
    <w:p>
      <w:pPr>
        <w:jc w:val="both"/>
        <w:spacing w:after="0" w:line="251" w:lineRule="auto"/>
        <w:rPr>
          <w:sz w:val="20"/>
          <w:szCs w:val="20"/>
          <w:color w:val="auto"/>
        </w:rPr>
      </w:pPr>
      <w:r>
        <w:rPr>
          <w:rFonts w:ascii="Arial" w:cs="Arial" w:eastAsia="Arial" w:hAnsi="Arial"/>
          <w:sz w:val="17"/>
          <w:szCs w:val="17"/>
          <w:i w:val="1"/>
          <w:iCs w:val="1"/>
          <w:color w:val="auto"/>
        </w:rPr>
        <w:t xml:space="preserve">2021 Restricted Stock Unit Awards. </w:t>
      </w:r>
      <w:r>
        <w:rPr>
          <w:rFonts w:ascii="Arial" w:cs="Arial" w:eastAsia="Arial" w:hAnsi="Arial"/>
          <w:sz w:val="17"/>
          <w:szCs w:val="17"/>
          <w:color w:val="auto"/>
        </w:rPr>
        <w:t>Each RSU granted in 2021</w:t>
      </w:r>
      <w:r>
        <w:rPr>
          <w:rFonts w:ascii="Arial" w:cs="Arial" w:eastAsia="Arial" w:hAnsi="Arial"/>
          <w:sz w:val="17"/>
          <w:szCs w:val="17"/>
          <w:i w:val="1"/>
          <w:iCs w:val="1"/>
          <w:color w:val="auto"/>
        </w:rPr>
        <w:t xml:space="preserve"> </w:t>
      </w:r>
      <w:r>
        <w:rPr>
          <w:rFonts w:ascii="Arial" w:cs="Arial" w:eastAsia="Arial" w:hAnsi="Arial"/>
          <w:sz w:val="17"/>
          <w:szCs w:val="17"/>
          <w:color w:val="auto"/>
        </w:rPr>
        <w:t>entitles the grantee to receive one share of our Common Stock upon vesting. RSUs granted to our NEOs, other than Mr. Fandrey’s sign-on award, vest over time in three equal annual installments. Mr. Fandrey’s sign-on award of 24,572 RSUs vests quarterly over two years. In granting RSUs in 2021, the Compensation Committee calculated the number of shares underlying each award using a price per share equal to the average closing price of our Common Stock for the trailing thirty consecutive trading days including the grant date, consistent with the approach for PSUs.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50A54"/>
        </w:rPr>
        <w:t>LTI Awards in 2022</w:t>
      </w:r>
    </w:p>
    <w:p>
      <w:pPr>
        <w:spacing w:after="0" w:line="206"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For 2021, the Compensation Committee established annual LTI award targets for our NEOs that ranged from 175% to 667% of base salary.</w:t>
      </w:r>
    </w:p>
    <w:p>
      <w:pPr>
        <w:spacing w:after="0" w:line="17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February 2022, our chief executive officer and chief human capital officer met with the Compensation Committee and discussed the target award previously set by the Compensation Committee for each NEO, as well as each NEO’s individual performance both during 2021 and over time, leadership responsibilities and potential, and retention considerations. The Compensation Consultant participated in the meeting.</w:t>
      </w:r>
    </w:p>
    <w:p>
      <w:pPr>
        <w:spacing w:after="0" w:line="18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Based on these considerations, including those listed under “</w:t>
      </w:r>
      <w:r>
        <w:rPr>
          <w:rFonts w:ascii="Arial" w:cs="Arial" w:eastAsia="Arial" w:hAnsi="Arial"/>
          <w:sz w:val="18"/>
          <w:szCs w:val="18"/>
          <w:i w:val="1"/>
          <w:iCs w:val="1"/>
          <w:color w:val="auto"/>
        </w:rPr>
        <w:t>Individual Cash Bonus Award Determinations</w:t>
      </w:r>
      <w:r>
        <w:rPr>
          <w:rFonts w:ascii="Arial" w:cs="Arial" w:eastAsia="Arial" w:hAnsi="Arial"/>
          <w:sz w:val="18"/>
          <w:szCs w:val="18"/>
          <w:color w:val="auto"/>
        </w:rPr>
        <w:t>,” for 2021 the Compensation Committee exercised its discretion to award LTI awards to our NEOs at or above the executive’s target award amount to Messrs. Arnold, Audette, Semerjian and Steinmeier, and below the executive’s target award amount for Mr. Fandrey.</w:t>
      </w:r>
    </w:p>
    <w:p>
      <w:pPr>
        <w:spacing w:after="0" w:line="200" w:lineRule="exact"/>
        <w:rPr>
          <w:sz w:val="20"/>
          <w:szCs w:val="20"/>
          <w:color w:val="auto"/>
        </w:rPr>
      </w:pPr>
    </w:p>
    <w:p>
      <w:pPr>
        <w:spacing w:after="0" w:line="262" w:lineRule="exact"/>
        <w:rPr>
          <w:sz w:val="20"/>
          <w:szCs w:val="20"/>
          <w:color w:val="auto"/>
        </w:rPr>
      </w:pPr>
    </w:p>
    <w:tbl>
      <w:tblPr>
        <w:tblLayout w:type="fixed"/>
        <w:tblInd w:w="2760" w:type="dxa"/>
        <w:tblCellMar>
          <w:top w:w="0" w:type="dxa"/>
          <w:left w:w="0" w:type="dxa"/>
          <w:bottom w:w="0" w:type="dxa"/>
          <w:right w:w="0" w:type="dxa"/>
        </w:tblCellMar>
      </w:tblPr>
      <w:tr>
        <w:trPr>
          <w:trHeight w:val="233"/>
        </w:trPr>
        <w:tc>
          <w:tcPr>
            <w:tcW w:w="2060" w:type="dxa"/>
            <w:vAlign w:val="bottom"/>
            <w:tcBorders>
              <w:right w:val="single" w:sz="8" w:color="050A54"/>
            </w:tcBorders>
          </w:tcPr>
          <w:p>
            <w:pPr>
              <w:spacing w:after="0"/>
              <w:rPr>
                <w:sz w:val="20"/>
                <w:szCs w:val="20"/>
                <w:color w:val="auto"/>
              </w:rPr>
            </w:pPr>
            <w:r>
              <w:rPr>
                <w:rFonts w:ascii="Arial" w:cs="Arial" w:eastAsia="Arial" w:hAnsi="Arial"/>
                <w:sz w:val="18"/>
                <w:szCs w:val="18"/>
                <w:b w:val="1"/>
                <w:bCs w:val="1"/>
                <w:color w:val="050A54"/>
              </w:rPr>
              <w:t>2022 Proxy Statement</w:t>
            </w:r>
          </w:p>
        </w:tc>
        <w:tc>
          <w:tcPr>
            <w:tcW w:w="520" w:type="dxa"/>
            <w:vAlign w:val="bottom"/>
          </w:tcPr>
          <w:p>
            <w:pPr>
              <w:jc w:val="right"/>
              <w:spacing w:after="0"/>
              <w:rPr>
                <w:sz w:val="20"/>
                <w:szCs w:val="20"/>
                <w:color w:val="auto"/>
              </w:rPr>
            </w:pPr>
            <w:r>
              <w:rPr>
                <w:rFonts w:ascii="Arial" w:cs="Arial" w:eastAsia="Arial" w:hAnsi="Arial"/>
                <w:sz w:val="18"/>
                <w:szCs w:val="18"/>
                <w:color w:val="050A54"/>
              </w:rPr>
              <w:t>41</w:t>
            </w:r>
          </w:p>
        </w:tc>
      </w:tr>
    </w:tbl>
    <w:p>
      <w:pPr>
        <w:sectPr>
          <w:pgSz w:w="11900" w:h="16838" w:orient="portrait"/>
          <w:cols w:equalWidth="0" w:num="2">
            <w:col w:w="5400" w:space="340"/>
            <w:col w:w="5340"/>
          </w:cols>
          <w:pgMar w:left="320" w:top="454" w:right="499" w:bottom="1440" w:gutter="0" w:footer="0" w:header="0"/>
          <w:type w:val="continuous"/>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120"/>
        <w:spacing w:after="0"/>
        <w:rPr>
          <w:sz w:val="20"/>
          <w:szCs w:val="20"/>
          <w:color w:val="auto"/>
        </w:rPr>
      </w:pPr>
      <w:r>
        <w:rPr>
          <w:rFonts w:ascii="Arial" w:cs="Arial" w:eastAsia="Arial" w:hAnsi="Arial"/>
          <w:sz w:val="20"/>
          <w:szCs w:val="20"/>
          <w:b w:val="1"/>
          <w:bCs w:val="1"/>
          <w:color w:val="050A54"/>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3"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color w:val="auto"/>
        </w:rPr>
        <w:t>The table and chart below show the target LTI award established for each of our NEOs for 2021, as well as the actual LTI award granted to our NEOs in February 2022 for 2021 performance, as determined by the Compensation Committee:</w:t>
      </w:r>
    </w:p>
    <w:p>
      <w:pPr>
        <w:spacing w:after="0" w:line="194"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050A54"/>
                <w:w w:val="99"/>
              </w:rPr>
              <w:t>LTI Target %</w:t>
            </w: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vMerge w:val="restart"/>
          </w:tcPr>
          <w:p>
            <w:pPr>
              <w:jc w:val="right"/>
              <w:ind w:right="383"/>
              <w:spacing w:after="0"/>
              <w:rPr>
                <w:sz w:val="20"/>
                <w:szCs w:val="20"/>
                <w:color w:val="auto"/>
              </w:rPr>
            </w:pPr>
            <w:r>
              <w:rPr>
                <w:rFonts w:ascii="Arial" w:cs="Arial" w:eastAsia="Arial" w:hAnsi="Arial"/>
                <w:sz w:val="14"/>
                <w:szCs w:val="14"/>
                <w:b w:val="1"/>
                <w:bCs w:val="1"/>
                <w:color w:val="050A54"/>
              </w:rPr>
              <w:t>LTI $</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240" w:type="dxa"/>
            <w:vAlign w:val="bottom"/>
            <w:gridSpan w:val="2"/>
          </w:tcPr>
          <w:p>
            <w:pPr>
              <w:ind w:left="1180"/>
              <w:spacing w:after="0" w:line="143" w:lineRule="exact"/>
              <w:rPr>
                <w:sz w:val="20"/>
                <w:szCs w:val="20"/>
                <w:color w:val="auto"/>
              </w:rPr>
            </w:pPr>
            <w:r>
              <w:rPr>
                <w:rFonts w:ascii="Arial" w:cs="Arial" w:eastAsia="Arial" w:hAnsi="Arial"/>
                <w:sz w:val="14"/>
                <w:szCs w:val="14"/>
                <w:b w:val="1"/>
                <w:bCs w:val="1"/>
                <w:color w:val="050A54"/>
              </w:rPr>
              <w:t>2021 Annual</w:t>
            </w:r>
          </w:p>
        </w:tc>
        <w:tc>
          <w:tcPr>
            <w:tcW w:w="1220" w:type="dxa"/>
            <w:vAlign w:val="bottom"/>
          </w:tcPr>
          <w:p>
            <w:pPr>
              <w:jc w:val="center"/>
              <w:spacing w:after="0" w:line="143" w:lineRule="exact"/>
              <w:rPr>
                <w:sz w:val="20"/>
                <w:szCs w:val="20"/>
                <w:color w:val="auto"/>
              </w:rPr>
            </w:pPr>
            <w:r>
              <w:rPr>
                <w:rFonts w:ascii="Arial" w:cs="Arial" w:eastAsia="Arial" w:hAnsi="Arial"/>
                <w:sz w:val="14"/>
                <w:szCs w:val="14"/>
                <w:b w:val="1"/>
                <w:bCs w:val="1"/>
                <w:color w:val="050A54"/>
              </w:rPr>
              <w:t>of Base</w:t>
            </w:r>
          </w:p>
        </w:tc>
        <w:tc>
          <w:tcPr>
            <w:tcW w:w="1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160" w:type="dxa"/>
            <w:vAlign w:val="bottom"/>
          </w:tcPr>
          <w:p>
            <w:pPr>
              <w:jc w:val="right"/>
              <w:ind w:right="122"/>
              <w:spacing w:after="0" w:line="143" w:lineRule="exact"/>
              <w:rPr>
                <w:sz w:val="20"/>
                <w:szCs w:val="20"/>
                <w:color w:val="auto"/>
              </w:rPr>
            </w:pPr>
            <w:r>
              <w:rPr>
                <w:rFonts w:ascii="Arial" w:cs="Arial" w:eastAsia="Arial" w:hAnsi="Arial"/>
                <w:sz w:val="14"/>
                <w:szCs w:val="14"/>
                <w:b w:val="1"/>
                <w:bCs w:val="1"/>
                <w:color w:val="050A54"/>
              </w:rPr>
              <w:t>LTI as % of</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860" w:type="dxa"/>
            <w:vAlign w:val="bottom"/>
            <w:tcBorders>
              <w:bottom w:val="single" w:sz="8" w:color="050A54"/>
            </w:tcBorders>
          </w:tcPr>
          <w:p>
            <w:pPr>
              <w:ind w:left="2000"/>
              <w:spacing w:after="0"/>
              <w:rPr>
                <w:sz w:val="20"/>
                <w:szCs w:val="20"/>
                <w:color w:val="auto"/>
              </w:rPr>
            </w:pPr>
            <w:r>
              <w:rPr>
                <w:rFonts w:ascii="Arial" w:cs="Arial" w:eastAsia="Arial" w:hAnsi="Arial"/>
                <w:sz w:val="14"/>
                <w:szCs w:val="14"/>
                <w:b w:val="1"/>
                <w:bCs w:val="1"/>
                <w:color w:val="050A54"/>
              </w:rPr>
              <w:t>Executive</w:t>
            </w:r>
          </w:p>
        </w:tc>
        <w:tc>
          <w:tcPr>
            <w:tcW w:w="2240" w:type="dxa"/>
            <w:vAlign w:val="bottom"/>
            <w:tcBorders>
              <w:bottom w:val="single" w:sz="8" w:color="050A54"/>
            </w:tcBorders>
            <w:gridSpan w:val="2"/>
          </w:tcPr>
          <w:p>
            <w:pPr>
              <w:ind w:left="1200"/>
              <w:spacing w:after="0"/>
              <w:rPr>
                <w:sz w:val="20"/>
                <w:szCs w:val="20"/>
                <w:color w:val="auto"/>
              </w:rPr>
            </w:pPr>
            <w:r>
              <w:rPr>
                <w:rFonts w:ascii="Arial" w:cs="Arial" w:eastAsia="Arial" w:hAnsi="Arial"/>
                <w:sz w:val="14"/>
                <w:szCs w:val="14"/>
                <w:b w:val="1"/>
                <w:bCs w:val="1"/>
                <w:color w:val="050A54"/>
              </w:rPr>
              <w:t>Base Salary</w:t>
            </w:r>
          </w:p>
        </w:tc>
        <w:tc>
          <w:tcPr>
            <w:tcW w:w="1220" w:type="dxa"/>
            <w:vAlign w:val="bottom"/>
            <w:tcBorders>
              <w:bottom w:val="single" w:sz="8" w:color="050A54"/>
            </w:tcBorders>
          </w:tcPr>
          <w:p>
            <w:pPr>
              <w:jc w:val="center"/>
              <w:spacing w:after="0"/>
              <w:rPr>
                <w:sz w:val="20"/>
                <w:szCs w:val="20"/>
                <w:color w:val="auto"/>
              </w:rPr>
            </w:pPr>
            <w:r>
              <w:rPr>
                <w:rFonts w:ascii="Arial" w:cs="Arial" w:eastAsia="Arial" w:hAnsi="Arial"/>
                <w:sz w:val="14"/>
                <w:szCs w:val="14"/>
                <w:b w:val="1"/>
                <w:bCs w:val="1"/>
                <w:color w:val="050A54"/>
              </w:rPr>
              <w:t>Salary</w:t>
            </w:r>
          </w:p>
        </w:tc>
        <w:tc>
          <w:tcPr>
            <w:tcW w:w="1200" w:type="dxa"/>
            <w:vAlign w:val="bottom"/>
            <w:tcBorders>
              <w:bottom w:val="single" w:sz="8" w:color="050A54"/>
            </w:tcBorders>
          </w:tcPr>
          <w:p>
            <w:pPr>
              <w:ind w:left="180"/>
              <w:spacing w:after="0"/>
              <w:rPr>
                <w:sz w:val="20"/>
                <w:szCs w:val="20"/>
                <w:color w:val="auto"/>
              </w:rPr>
            </w:pPr>
            <w:r>
              <w:rPr>
                <w:rFonts w:ascii="Arial" w:cs="Arial" w:eastAsia="Arial" w:hAnsi="Arial"/>
                <w:sz w:val="14"/>
                <w:szCs w:val="14"/>
                <w:b w:val="1"/>
                <w:bCs w:val="1"/>
                <w:color w:val="050A54"/>
              </w:rPr>
              <w:t>LTI Target $</w:t>
            </w:r>
          </w:p>
        </w:tc>
        <w:tc>
          <w:tcPr>
            <w:tcW w:w="1220" w:type="dxa"/>
            <w:vAlign w:val="bottom"/>
            <w:tcBorders>
              <w:bottom w:val="single" w:sz="8" w:color="050A54"/>
            </w:tcBorders>
            <w:gridSpan w:val="2"/>
          </w:tcPr>
          <w:p>
            <w:pPr>
              <w:jc w:val="right"/>
              <w:ind w:right="183"/>
              <w:spacing w:after="0" w:line="188" w:lineRule="exact"/>
              <w:rPr>
                <w:sz w:val="20"/>
                <w:szCs w:val="20"/>
                <w:color w:val="auto"/>
              </w:rPr>
            </w:pPr>
            <w:r>
              <w:rPr>
                <w:rFonts w:ascii="Arial" w:cs="Arial" w:eastAsia="Arial" w:hAnsi="Arial"/>
                <w:sz w:val="13"/>
                <w:szCs w:val="13"/>
                <w:b w:val="1"/>
                <w:bCs w:val="1"/>
                <w:color w:val="050A54"/>
              </w:rPr>
              <w:t>Granted</w:t>
            </w:r>
            <w:r>
              <w:rPr>
                <w:rFonts w:ascii="Arial" w:cs="Arial" w:eastAsia="Arial" w:hAnsi="Arial"/>
                <w:sz w:val="21"/>
                <w:szCs w:val="21"/>
                <w:b w:val="1"/>
                <w:bCs w:val="1"/>
                <w:color w:val="050A54"/>
                <w:vertAlign w:val="superscript"/>
              </w:rPr>
              <w:t>(1)</w:t>
            </w:r>
          </w:p>
        </w:tc>
        <w:tc>
          <w:tcPr>
            <w:tcW w:w="1160" w:type="dxa"/>
            <w:vAlign w:val="bottom"/>
            <w:tcBorders>
              <w:bottom w:val="single" w:sz="8" w:color="050A54"/>
            </w:tcBorders>
          </w:tcPr>
          <w:p>
            <w:pPr>
              <w:jc w:val="right"/>
              <w:ind w:right="282"/>
              <w:spacing w:after="0"/>
              <w:rPr>
                <w:sz w:val="20"/>
                <w:szCs w:val="20"/>
                <w:color w:val="auto"/>
              </w:rPr>
            </w:pPr>
            <w:r>
              <w:rPr>
                <w:rFonts w:ascii="Arial" w:cs="Arial" w:eastAsia="Arial" w:hAnsi="Arial"/>
                <w:sz w:val="14"/>
                <w:szCs w:val="14"/>
                <w:b w:val="1"/>
                <w:bCs w:val="1"/>
                <w:color w:val="050A54"/>
              </w:rPr>
              <w:t>Target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60" w:type="dxa"/>
            <w:vAlign w:val="bottom"/>
            <w:tcBorders>
              <w:bottom w:val="single" w:sz="8" w:color="E8E8E8"/>
            </w:tcBorders>
            <w:shd w:val="clear" w:color="auto" w:fill="E8E8E8"/>
          </w:tcPr>
          <w:p>
            <w:pPr>
              <w:spacing w:after="0"/>
              <w:rPr>
                <w:sz w:val="20"/>
                <w:szCs w:val="20"/>
                <w:color w:val="auto"/>
              </w:rPr>
            </w:pPr>
            <w:r>
              <w:rPr>
                <w:rFonts w:ascii="Arial" w:cs="Arial" w:eastAsia="Arial" w:hAnsi="Arial"/>
                <w:sz w:val="16"/>
                <w:szCs w:val="16"/>
                <w:color w:val="auto"/>
              </w:rPr>
              <w:t>Dan H. Arnold</w:t>
            </w:r>
          </w:p>
        </w:tc>
        <w:tc>
          <w:tcPr>
            <w:tcW w:w="1360" w:type="dxa"/>
            <w:vAlign w:val="bottom"/>
            <w:tcBorders>
              <w:bottom w:val="single" w:sz="8" w:color="E8E8E8"/>
            </w:tcBorders>
            <w:shd w:val="clear" w:color="auto" w:fill="E8E8E8"/>
          </w:tcPr>
          <w:p>
            <w:pPr>
              <w:ind w:left="118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E8E8E8"/>
            </w:tcBorders>
            <w:shd w:val="clear" w:color="auto" w:fill="E8E8E8"/>
          </w:tcPr>
          <w:p>
            <w:pPr>
              <w:jc w:val="right"/>
              <w:ind w:right="140"/>
              <w:spacing w:after="0"/>
              <w:rPr>
                <w:sz w:val="20"/>
                <w:szCs w:val="20"/>
                <w:color w:val="auto"/>
              </w:rPr>
            </w:pPr>
            <w:r>
              <w:rPr>
                <w:rFonts w:ascii="Arial" w:cs="Arial" w:eastAsia="Arial" w:hAnsi="Arial"/>
                <w:sz w:val="16"/>
                <w:szCs w:val="16"/>
                <w:color w:val="auto"/>
              </w:rPr>
              <w:t>900,000</w:t>
            </w:r>
          </w:p>
        </w:tc>
        <w:tc>
          <w:tcPr>
            <w:tcW w:w="1220" w:type="dxa"/>
            <w:vAlign w:val="bottom"/>
            <w:tcBorders>
              <w:bottom w:val="single" w:sz="8" w:color="E8E8E8"/>
            </w:tcBorders>
            <w:shd w:val="clear" w:color="auto" w:fill="E8E8E8"/>
          </w:tcPr>
          <w:p>
            <w:pPr>
              <w:jc w:val="center"/>
              <w:spacing w:after="0"/>
              <w:rPr>
                <w:sz w:val="20"/>
                <w:szCs w:val="20"/>
                <w:color w:val="auto"/>
              </w:rPr>
            </w:pPr>
            <w:r>
              <w:rPr>
                <w:rFonts w:ascii="Arial" w:cs="Arial" w:eastAsia="Arial" w:hAnsi="Arial"/>
                <w:sz w:val="16"/>
                <w:szCs w:val="16"/>
                <w:color w:val="auto"/>
                <w:w w:val="97"/>
              </w:rPr>
              <w:t>667%</w:t>
            </w:r>
          </w:p>
        </w:tc>
        <w:tc>
          <w:tcPr>
            <w:tcW w:w="1200" w:type="dxa"/>
            <w:vAlign w:val="bottom"/>
            <w:tcBorders>
              <w:bottom w:val="single" w:sz="8" w:color="E8E8E8"/>
            </w:tcBorders>
            <w:shd w:val="clear" w:color="auto" w:fill="E8E8E8"/>
          </w:tcPr>
          <w:p>
            <w:pPr>
              <w:ind w:left="180"/>
              <w:spacing w:after="0"/>
              <w:rPr>
                <w:sz w:val="20"/>
                <w:szCs w:val="20"/>
                <w:color w:val="auto"/>
              </w:rPr>
            </w:pPr>
            <w:r>
              <w:rPr>
                <w:rFonts w:ascii="Arial" w:cs="Arial" w:eastAsia="Arial" w:hAnsi="Arial"/>
                <w:sz w:val="16"/>
                <w:szCs w:val="16"/>
                <w:color w:val="auto"/>
              </w:rPr>
              <w:t>$6,000,000</w:t>
            </w:r>
          </w:p>
        </w:tc>
        <w:tc>
          <w:tcPr>
            <w:tcW w:w="1220" w:type="dxa"/>
            <w:vAlign w:val="bottom"/>
            <w:tcBorders>
              <w:bottom w:val="single" w:sz="8" w:color="E8E8E8"/>
            </w:tcBorders>
            <w:gridSpan w:val="2"/>
            <w:shd w:val="clear" w:color="auto" w:fill="E8E8E8"/>
          </w:tcPr>
          <w:p>
            <w:pPr>
              <w:jc w:val="right"/>
              <w:ind w:right="123"/>
              <w:spacing w:after="0"/>
              <w:rPr>
                <w:sz w:val="20"/>
                <w:szCs w:val="20"/>
                <w:color w:val="auto"/>
              </w:rPr>
            </w:pPr>
            <w:r>
              <w:rPr>
                <w:rFonts w:ascii="Arial" w:cs="Arial" w:eastAsia="Arial" w:hAnsi="Arial"/>
                <w:sz w:val="16"/>
                <w:szCs w:val="16"/>
                <w:color w:val="auto"/>
              </w:rPr>
              <w:t>$6,900,000</w:t>
            </w:r>
          </w:p>
        </w:tc>
        <w:tc>
          <w:tcPr>
            <w:tcW w:w="116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6"/>
                <w:szCs w:val="16"/>
                <w:color w:val="auto"/>
              </w:rPr>
              <w:t>Matthew J. Audette</w:t>
            </w:r>
          </w:p>
        </w:tc>
        <w:tc>
          <w:tcPr>
            <w:tcW w:w="1360" w:type="dxa"/>
            <w:vAlign w:val="bottom"/>
          </w:tcPr>
          <w:p>
            <w:pPr>
              <w:ind w:left="118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600,000</w:t>
            </w:r>
          </w:p>
        </w:tc>
        <w:tc>
          <w:tcPr>
            <w:tcW w:w="1220" w:type="dxa"/>
            <w:vAlign w:val="bottom"/>
          </w:tcPr>
          <w:p>
            <w:pPr>
              <w:jc w:val="center"/>
              <w:spacing w:after="0"/>
              <w:rPr>
                <w:sz w:val="20"/>
                <w:szCs w:val="20"/>
                <w:color w:val="auto"/>
              </w:rPr>
            </w:pPr>
            <w:r>
              <w:rPr>
                <w:rFonts w:ascii="Arial" w:cs="Arial" w:eastAsia="Arial" w:hAnsi="Arial"/>
                <w:sz w:val="16"/>
                <w:szCs w:val="16"/>
                <w:color w:val="auto"/>
                <w:w w:val="97"/>
              </w:rPr>
              <w:t>175%</w:t>
            </w:r>
          </w:p>
        </w:tc>
        <w:tc>
          <w:tcPr>
            <w:tcW w:w="1200" w:type="dxa"/>
            <w:vAlign w:val="bottom"/>
          </w:tcPr>
          <w:p>
            <w:pPr>
              <w:ind w:left="180"/>
              <w:spacing w:after="0"/>
              <w:rPr>
                <w:sz w:val="20"/>
                <w:szCs w:val="20"/>
                <w:color w:val="auto"/>
              </w:rPr>
            </w:pPr>
            <w:r>
              <w:rPr>
                <w:rFonts w:ascii="Arial" w:cs="Arial" w:eastAsia="Arial" w:hAnsi="Arial"/>
                <w:sz w:val="16"/>
                <w:szCs w:val="16"/>
                <w:color w:val="auto"/>
              </w:rPr>
              <w:t>$1,050,000</w:t>
            </w:r>
          </w:p>
        </w:tc>
        <w:tc>
          <w:tcPr>
            <w:tcW w:w="1220" w:type="dxa"/>
            <w:vAlign w:val="bottom"/>
            <w:gridSpan w:val="2"/>
          </w:tcPr>
          <w:p>
            <w:pPr>
              <w:jc w:val="right"/>
              <w:ind w:right="123"/>
              <w:spacing w:after="0"/>
              <w:rPr>
                <w:sz w:val="20"/>
                <w:szCs w:val="20"/>
                <w:color w:val="auto"/>
              </w:rPr>
            </w:pPr>
            <w:r>
              <w:rPr>
                <w:rFonts w:ascii="Arial" w:cs="Arial" w:eastAsia="Arial" w:hAnsi="Arial"/>
                <w:sz w:val="16"/>
                <w:szCs w:val="16"/>
                <w:color w:val="auto"/>
              </w:rPr>
              <w:t>$1,050,000</w:t>
            </w:r>
          </w:p>
        </w:tc>
        <w:tc>
          <w:tcPr>
            <w:tcW w:w="116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9"/>
                <w:szCs w:val="19"/>
                <w:color w:val="auto"/>
              </w:rPr>
            </w:pPr>
          </w:p>
        </w:tc>
        <w:tc>
          <w:tcPr>
            <w:tcW w:w="3860" w:type="dxa"/>
            <w:vAlign w:val="bottom"/>
            <w:tcBorders>
              <w:bottom w:val="single" w:sz="8" w:color="E8E8E8"/>
            </w:tcBorders>
            <w:shd w:val="clear" w:color="auto" w:fill="E8E8E8"/>
          </w:tcPr>
          <w:p>
            <w:pPr>
              <w:spacing w:after="0"/>
              <w:rPr>
                <w:sz w:val="20"/>
                <w:szCs w:val="20"/>
                <w:color w:val="auto"/>
              </w:rPr>
            </w:pPr>
            <w:r>
              <w:rPr>
                <w:rFonts w:ascii="Arial" w:cs="Arial" w:eastAsia="Arial" w:hAnsi="Arial"/>
                <w:sz w:val="16"/>
                <w:szCs w:val="16"/>
                <w:color w:val="auto"/>
              </w:rPr>
              <w:t>Edward Fandrey</w:t>
            </w:r>
          </w:p>
        </w:tc>
        <w:tc>
          <w:tcPr>
            <w:tcW w:w="1360" w:type="dxa"/>
            <w:vAlign w:val="bottom"/>
            <w:tcBorders>
              <w:bottom w:val="single" w:sz="8" w:color="E8E8E8"/>
            </w:tcBorders>
            <w:shd w:val="clear" w:color="auto" w:fill="E8E8E8"/>
          </w:tcPr>
          <w:p>
            <w:pPr>
              <w:ind w:left="118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E8E8E8"/>
            </w:tcBorders>
            <w:shd w:val="clear" w:color="auto" w:fill="E8E8E8"/>
          </w:tcPr>
          <w:p>
            <w:pPr>
              <w:jc w:val="right"/>
              <w:ind w:right="140"/>
              <w:spacing w:after="0"/>
              <w:rPr>
                <w:sz w:val="20"/>
                <w:szCs w:val="20"/>
                <w:color w:val="auto"/>
              </w:rPr>
            </w:pPr>
            <w:r>
              <w:rPr>
                <w:rFonts w:ascii="Arial" w:cs="Arial" w:eastAsia="Arial" w:hAnsi="Arial"/>
                <w:sz w:val="16"/>
                <w:szCs w:val="16"/>
                <w:color w:val="auto"/>
              </w:rPr>
              <w:t>500,000</w:t>
            </w:r>
          </w:p>
        </w:tc>
        <w:tc>
          <w:tcPr>
            <w:tcW w:w="1220" w:type="dxa"/>
            <w:vAlign w:val="bottom"/>
            <w:tcBorders>
              <w:bottom w:val="single" w:sz="8" w:color="E8E8E8"/>
            </w:tcBorders>
            <w:shd w:val="clear" w:color="auto" w:fill="E8E8E8"/>
          </w:tcPr>
          <w:p>
            <w:pPr>
              <w:jc w:val="center"/>
              <w:spacing w:after="0"/>
              <w:rPr>
                <w:sz w:val="20"/>
                <w:szCs w:val="20"/>
                <w:color w:val="auto"/>
              </w:rPr>
            </w:pPr>
            <w:r>
              <w:rPr>
                <w:rFonts w:ascii="Arial" w:cs="Arial" w:eastAsia="Arial" w:hAnsi="Arial"/>
                <w:sz w:val="16"/>
                <w:szCs w:val="16"/>
                <w:color w:val="auto"/>
                <w:w w:val="97"/>
              </w:rPr>
              <w:t>220%</w:t>
            </w:r>
          </w:p>
        </w:tc>
        <w:tc>
          <w:tcPr>
            <w:tcW w:w="1200" w:type="dxa"/>
            <w:vAlign w:val="bottom"/>
            <w:tcBorders>
              <w:bottom w:val="single" w:sz="8" w:color="E8E8E8"/>
            </w:tcBorders>
            <w:shd w:val="clear" w:color="auto" w:fill="E8E8E8"/>
          </w:tcPr>
          <w:p>
            <w:pPr>
              <w:ind w:left="180"/>
              <w:spacing w:after="0"/>
              <w:rPr>
                <w:sz w:val="20"/>
                <w:szCs w:val="20"/>
                <w:color w:val="auto"/>
              </w:rPr>
            </w:pPr>
            <w:r>
              <w:rPr>
                <w:rFonts w:ascii="Arial" w:cs="Arial" w:eastAsia="Arial" w:hAnsi="Arial"/>
                <w:sz w:val="16"/>
                <w:szCs w:val="16"/>
                <w:color w:val="auto"/>
              </w:rPr>
              <w:t>$1,100,000</w:t>
            </w:r>
          </w:p>
        </w:tc>
        <w:tc>
          <w:tcPr>
            <w:tcW w:w="360" w:type="dxa"/>
            <w:vAlign w:val="bottom"/>
            <w:tcBorders>
              <w:bottom w:val="single" w:sz="8" w:color="E8E8E8"/>
            </w:tcBorders>
            <w:shd w:val="clear" w:color="auto" w:fill="E8E8E8"/>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E8E8E8"/>
            </w:tcBorders>
            <w:shd w:val="clear" w:color="auto" w:fill="E8E8E8"/>
          </w:tcPr>
          <w:p>
            <w:pPr>
              <w:jc w:val="right"/>
              <w:ind w:right="123"/>
              <w:spacing w:after="0"/>
              <w:rPr>
                <w:sz w:val="20"/>
                <w:szCs w:val="20"/>
                <w:color w:val="auto"/>
              </w:rPr>
            </w:pPr>
            <w:r>
              <w:rPr>
                <w:rFonts w:ascii="Arial" w:cs="Arial" w:eastAsia="Arial" w:hAnsi="Arial"/>
                <w:sz w:val="16"/>
                <w:szCs w:val="16"/>
                <w:color w:val="auto"/>
              </w:rPr>
              <w:t>0</w:t>
            </w:r>
          </w:p>
        </w:tc>
        <w:tc>
          <w:tcPr>
            <w:tcW w:w="116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6"/>
                <w:szCs w:val="16"/>
                <w:color w:val="auto"/>
              </w:rPr>
              <w:t>Dayton Semerjian</w:t>
            </w:r>
          </w:p>
        </w:tc>
        <w:tc>
          <w:tcPr>
            <w:tcW w:w="1360" w:type="dxa"/>
            <w:vAlign w:val="bottom"/>
          </w:tcPr>
          <w:p>
            <w:pPr>
              <w:ind w:left="118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500,000</w:t>
            </w:r>
          </w:p>
        </w:tc>
        <w:tc>
          <w:tcPr>
            <w:tcW w:w="1220" w:type="dxa"/>
            <w:vAlign w:val="bottom"/>
          </w:tcPr>
          <w:p>
            <w:pPr>
              <w:jc w:val="center"/>
              <w:spacing w:after="0"/>
              <w:rPr>
                <w:sz w:val="20"/>
                <w:szCs w:val="20"/>
                <w:color w:val="auto"/>
              </w:rPr>
            </w:pPr>
            <w:r>
              <w:rPr>
                <w:rFonts w:ascii="Arial" w:cs="Arial" w:eastAsia="Arial" w:hAnsi="Arial"/>
                <w:sz w:val="16"/>
                <w:szCs w:val="16"/>
                <w:color w:val="auto"/>
                <w:w w:val="97"/>
              </w:rPr>
              <w:t>180%</w:t>
            </w:r>
          </w:p>
        </w:tc>
        <w:tc>
          <w:tcPr>
            <w:tcW w:w="1200" w:type="dxa"/>
            <w:vAlign w:val="bottom"/>
          </w:tcPr>
          <w:p>
            <w:pPr>
              <w:ind w:left="180"/>
              <w:spacing w:after="0"/>
              <w:rPr>
                <w:sz w:val="20"/>
                <w:szCs w:val="20"/>
                <w:color w:val="auto"/>
              </w:rPr>
            </w:pPr>
            <w:r>
              <w:rPr>
                <w:rFonts w:ascii="Arial" w:cs="Arial" w:eastAsia="Arial" w:hAnsi="Arial"/>
                <w:sz w:val="16"/>
                <w:szCs w:val="16"/>
                <w:color w:val="auto"/>
              </w:rPr>
              <w:t>$  900,000</w:t>
            </w:r>
          </w:p>
        </w:tc>
        <w:tc>
          <w:tcPr>
            <w:tcW w:w="3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23"/>
              <w:spacing w:after="0"/>
              <w:rPr>
                <w:sz w:val="20"/>
                <w:szCs w:val="20"/>
                <w:color w:val="auto"/>
              </w:rPr>
            </w:pPr>
            <w:r>
              <w:rPr>
                <w:rFonts w:ascii="Arial" w:cs="Arial" w:eastAsia="Arial" w:hAnsi="Arial"/>
                <w:sz w:val="16"/>
                <w:szCs w:val="16"/>
                <w:color w:val="auto"/>
              </w:rPr>
              <w:t>900,000</w:t>
            </w:r>
          </w:p>
        </w:tc>
        <w:tc>
          <w:tcPr>
            <w:tcW w:w="116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9"/>
                <w:szCs w:val="19"/>
                <w:color w:val="auto"/>
              </w:rPr>
            </w:pPr>
          </w:p>
        </w:tc>
        <w:tc>
          <w:tcPr>
            <w:tcW w:w="3860" w:type="dxa"/>
            <w:vAlign w:val="bottom"/>
            <w:tcBorders>
              <w:bottom w:val="single" w:sz="8" w:color="E8E8E8"/>
            </w:tcBorders>
            <w:shd w:val="clear" w:color="auto" w:fill="E8E8E8"/>
          </w:tcPr>
          <w:p>
            <w:pPr>
              <w:spacing w:after="0"/>
              <w:rPr>
                <w:sz w:val="20"/>
                <w:szCs w:val="20"/>
                <w:color w:val="auto"/>
              </w:rPr>
            </w:pPr>
            <w:r>
              <w:rPr>
                <w:rFonts w:ascii="Arial" w:cs="Arial" w:eastAsia="Arial" w:hAnsi="Arial"/>
                <w:sz w:val="16"/>
                <w:szCs w:val="16"/>
                <w:color w:val="auto"/>
              </w:rPr>
              <w:t>Richard Steinmeier</w:t>
            </w:r>
          </w:p>
        </w:tc>
        <w:tc>
          <w:tcPr>
            <w:tcW w:w="1360" w:type="dxa"/>
            <w:vAlign w:val="bottom"/>
            <w:tcBorders>
              <w:bottom w:val="single" w:sz="8" w:color="E8E8E8"/>
            </w:tcBorders>
            <w:shd w:val="clear" w:color="auto" w:fill="E8E8E8"/>
          </w:tcPr>
          <w:p>
            <w:pPr>
              <w:ind w:left="118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E8E8E8"/>
            </w:tcBorders>
            <w:shd w:val="clear" w:color="auto" w:fill="E8E8E8"/>
          </w:tcPr>
          <w:p>
            <w:pPr>
              <w:jc w:val="right"/>
              <w:ind w:right="140"/>
              <w:spacing w:after="0"/>
              <w:rPr>
                <w:sz w:val="20"/>
                <w:szCs w:val="20"/>
                <w:color w:val="auto"/>
              </w:rPr>
            </w:pPr>
            <w:r>
              <w:rPr>
                <w:rFonts w:ascii="Arial" w:cs="Arial" w:eastAsia="Arial" w:hAnsi="Arial"/>
                <w:sz w:val="16"/>
                <w:szCs w:val="16"/>
                <w:color w:val="auto"/>
              </w:rPr>
              <w:t>500,000</w:t>
            </w:r>
          </w:p>
        </w:tc>
        <w:tc>
          <w:tcPr>
            <w:tcW w:w="1220" w:type="dxa"/>
            <w:vAlign w:val="bottom"/>
            <w:tcBorders>
              <w:bottom w:val="single" w:sz="8" w:color="E8E8E8"/>
            </w:tcBorders>
            <w:shd w:val="clear" w:color="auto" w:fill="E8E8E8"/>
          </w:tcPr>
          <w:p>
            <w:pPr>
              <w:jc w:val="center"/>
              <w:spacing w:after="0"/>
              <w:rPr>
                <w:sz w:val="20"/>
                <w:szCs w:val="20"/>
                <w:color w:val="auto"/>
              </w:rPr>
            </w:pPr>
            <w:r>
              <w:rPr>
                <w:rFonts w:ascii="Arial" w:cs="Arial" w:eastAsia="Arial" w:hAnsi="Arial"/>
                <w:sz w:val="16"/>
                <w:szCs w:val="16"/>
                <w:color w:val="auto"/>
                <w:w w:val="97"/>
              </w:rPr>
              <w:t>200%</w:t>
            </w:r>
          </w:p>
        </w:tc>
        <w:tc>
          <w:tcPr>
            <w:tcW w:w="1200" w:type="dxa"/>
            <w:vAlign w:val="bottom"/>
            <w:tcBorders>
              <w:bottom w:val="single" w:sz="8" w:color="E8E8E8"/>
            </w:tcBorders>
            <w:shd w:val="clear" w:color="auto" w:fill="E8E8E8"/>
          </w:tcPr>
          <w:p>
            <w:pPr>
              <w:ind w:left="180"/>
              <w:spacing w:after="0"/>
              <w:rPr>
                <w:sz w:val="20"/>
                <w:szCs w:val="20"/>
                <w:color w:val="auto"/>
              </w:rPr>
            </w:pPr>
            <w:r>
              <w:rPr>
                <w:rFonts w:ascii="Arial" w:cs="Arial" w:eastAsia="Arial" w:hAnsi="Arial"/>
                <w:sz w:val="16"/>
                <w:szCs w:val="16"/>
                <w:color w:val="auto"/>
              </w:rPr>
              <w:t>$1,000,000</w:t>
            </w:r>
          </w:p>
        </w:tc>
        <w:tc>
          <w:tcPr>
            <w:tcW w:w="1220" w:type="dxa"/>
            <w:vAlign w:val="bottom"/>
            <w:tcBorders>
              <w:bottom w:val="single" w:sz="8" w:color="E8E8E8"/>
            </w:tcBorders>
            <w:gridSpan w:val="2"/>
            <w:shd w:val="clear" w:color="auto" w:fill="E8E8E8"/>
          </w:tcPr>
          <w:p>
            <w:pPr>
              <w:jc w:val="right"/>
              <w:ind w:right="123"/>
              <w:spacing w:after="0"/>
              <w:rPr>
                <w:sz w:val="20"/>
                <w:szCs w:val="20"/>
                <w:color w:val="auto"/>
              </w:rPr>
            </w:pPr>
            <w:r>
              <w:rPr>
                <w:rFonts w:ascii="Arial" w:cs="Arial" w:eastAsia="Arial" w:hAnsi="Arial"/>
                <w:sz w:val="16"/>
                <w:szCs w:val="16"/>
                <w:color w:val="auto"/>
              </w:rPr>
              <w:t>$1,150,000</w:t>
            </w:r>
          </w:p>
        </w:tc>
        <w:tc>
          <w:tcPr>
            <w:tcW w:w="116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shd w:val="clear" w:color="auto" w:fill="050A54"/>
          </w:tcPr>
          <w:p>
            <w:pPr>
              <w:spacing w:after="0" w:line="20" w:lineRule="exact"/>
              <w:rPr>
                <w:sz w:val="1"/>
                <w:szCs w:val="1"/>
                <w:color w:val="auto"/>
              </w:rPr>
            </w:pPr>
          </w:p>
        </w:tc>
        <w:tc>
          <w:tcPr>
            <w:tcW w:w="1360" w:type="dxa"/>
            <w:vAlign w:val="bottom"/>
            <w:shd w:val="clear" w:color="auto" w:fill="050A54"/>
          </w:tcPr>
          <w:p>
            <w:pPr>
              <w:spacing w:after="0" w:line="20" w:lineRule="exact"/>
              <w:rPr>
                <w:sz w:val="1"/>
                <w:szCs w:val="1"/>
                <w:color w:val="auto"/>
              </w:rPr>
            </w:pPr>
          </w:p>
        </w:tc>
        <w:tc>
          <w:tcPr>
            <w:tcW w:w="880" w:type="dxa"/>
            <w:vAlign w:val="bottom"/>
            <w:shd w:val="clear" w:color="auto" w:fill="050A54"/>
          </w:tcPr>
          <w:p>
            <w:pPr>
              <w:spacing w:after="0" w:line="20" w:lineRule="exact"/>
              <w:rPr>
                <w:sz w:val="1"/>
                <w:szCs w:val="1"/>
                <w:color w:val="auto"/>
              </w:rPr>
            </w:pPr>
          </w:p>
        </w:tc>
        <w:tc>
          <w:tcPr>
            <w:tcW w:w="1220" w:type="dxa"/>
            <w:vAlign w:val="bottom"/>
            <w:shd w:val="clear" w:color="auto" w:fill="050A54"/>
          </w:tcPr>
          <w:p>
            <w:pPr>
              <w:spacing w:after="0" w:line="20" w:lineRule="exact"/>
              <w:rPr>
                <w:sz w:val="1"/>
                <w:szCs w:val="1"/>
                <w:color w:val="auto"/>
              </w:rPr>
            </w:pPr>
          </w:p>
        </w:tc>
        <w:tc>
          <w:tcPr>
            <w:tcW w:w="1200" w:type="dxa"/>
            <w:vAlign w:val="bottom"/>
            <w:shd w:val="clear" w:color="auto" w:fill="050A54"/>
          </w:tcPr>
          <w:p>
            <w:pPr>
              <w:spacing w:after="0" w:line="20" w:lineRule="exact"/>
              <w:rPr>
                <w:sz w:val="1"/>
                <w:szCs w:val="1"/>
                <w:color w:val="auto"/>
              </w:rPr>
            </w:pPr>
          </w:p>
        </w:tc>
        <w:tc>
          <w:tcPr>
            <w:tcW w:w="360" w:type="dxa"/>
            <w:vAlign w:val="bottom"/>
            <w:shd w:val="clear" w:color="auto" w:fill="050A54"/>
          </w:tcPr>
          <w:p>
            <w:pPr>
              <w:spacing w:after="0" w:line="20" w:lineRule="exact"/>
              <w:rPr>
                <w:sz w:val="1"/>
                <w:szCs w:val="1"/>
                <w:color w:val="auto"/>
              </w:rPr>
            </w:pPr>
          </w:p>
        </w:tc>
        <w:tc>
          <w:tcPr>
            <w:tcW w:w="860" w:type="dxa"/>
            <w:vAlign w:val="bottom"/>
            <w:shd w:val="clear" w:color="auto" w:fill="050A54"/>
          </w:tcPr>
          <w:p>
            <w:pPr>
              <w:spacing w:after="0" w:line="20" w:lineRule="exact"/>
              <w:rPr>
                <w:sz w:val="1"/>
                <w:szCs w:val="1"/>
                <w:color w:val="auto"/>
              </w:rPr>
            </w:pPr>
          </w:p>
        </w:tc>
        <w:tc>
          <w:tcPr>
            <w:tcW w:w="1160" w:type="dxa"/>
            <w:vAlign w:val="bottom"/>
            <w:shd w:val="clear" w:color="auto" w:fill="050A5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jc w:val="both"/>
        <w:ind w:left="600" w:hanging="433"/>
        <w:spacing w:after="0" w:line="256" w:lineRule="auto"/>
        <w:tabs>
          <w:tab w:leader="none" w:pos="6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These LTI awards were granted on February 25, 2022 for services provided during fiscal year 2021. Mr. Arnold received 70% of his LTI award as PSUs and 30% as RSUs. The other NEOs received 60% of their awards as PSUs and 40% as RSUs. PSUs are eligible to become earned and vested based on the achievement of performance criteria over a three-year period, as described above. RSUs are scheduled to vest in equal annual installments over a three-year period.</w:t>
      </w:r>
    </w:p>
    <w:p>
      <w:pPr>
        <w:spacing w:after="0" w:line="17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050A54"/>
        </w:rPr>
        <w:t>Long-Term Incentive Awards</w:t>
      </w:r>
    </w:p>
    <w:p>
      <w:pPr>
        <w:spacing w:after="0" w:line="1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050A54"/>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149225</wp:posOffset>
            </wp:positionV>
            <wp:extent cx="5299075" cy="11207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299075" cy="112077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For the PSUs granted in 2022, the Comparator Group, payout range and performance period length remained the same as the PSUs granted in 2021. However, for the PSUs granted in 2022, the start of the three -year performance period shifted to February 15, 2022 rather than January 1, 2022. The rationale for this shift was to more closely align the start date of the performance period with the grant date of the awards, in order to reduce potential variance between the award value approved by the Compensation Committee and the grant date fair value, which is the value assigned to the PSUs for purposes of the Summary Compensation Table. The performance period for the PSUs granted in 2022 will end on February 14, 2025, rather than December 31, 2024.</w:t>
      </w:r>
    </w:p>
    <w:p>
      <w:pPr>
        <w:spacing w:after="0" w:line="187"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Because the NEO LTI awards described in the table above were granted in 2022, they are not reflected in our Summary Compensation Table or Grants of Plan-Based Awards Table.</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0A54"/>
        </w:rPr>
        <w:t>Payout of 2019 PSUs</w:t>
      </w:r>
    </w:p>
    <w:p>
      <w:pPr>
        <w:spacing w:after="0" w:line="206"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In February 2019, the Compensation Committee granted PSUs with terms substantially similar to the 2021 PSUs described above. Each of Messrs.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Arnold, Audette and Steinmeier received an award of PSUs in 2019, the Performance Period for which ended on December 31, 2021. The Company’s TSR during this Performance Period ranked in the 80th percentile of the Comparator Group, which resulted in a number of earned PSUs of 200% of the target award for each of Messrs. Arnold, Audette and Steinmeier. The earned PSUs vested on February 25, 2022.</w:t>
      </w:r>
    </w:p>
    <w:p>
      <w:pPr>
        <w:spacing w:after="0" w:line="183"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b w:val="1"/>
          <w:bCs w:val="1"/>
          <w:i w:val="1"/>
          <w:iCs w:val="1"/>
          <w:color w:val="050A54"/>
        </w:rPr>
        <w:t>Effect of Termination of Employment and Retirement on Equity Awards</w:t>
      </w:r>
    </w:p>
    <w:p>
      <w:pPr>
        <w:spacing w:after="0" w:line="14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Unvested stock options, RSUs and PSUs generally are forfeited if an NEO voluntarily leaves the Company other than upon retirement. In the event of retirement, stock options and RSUs will become fully vested, stock options will generally remain exercisable for a period of two years following termination and PSUs will generally remain outstanding and eligible to become earned PSUs in accordance with the terms of the award. “Retirement” means the termination of employment other than for cause following either:</w:t>
      </w:r>
    </w:p>
    <w:p>
      <w:pPr>
        <w:spacing w:after="0" w:line="197" w:lineRule="exact"/>
        <w:rPr>
          <w:sz w:val="20"/>
          <w:szCs w:val="20"/>
          <w:color w:val="auto"/>
        </w:rPr>
      </w:pPr>
    </w:p>
    <w:p>
      <w:pPr>
        <w:ind w:left="360" w:right="20"/>
        <w:spacing w:after="0" w:line="265" w:lineRule="auto"/>
        <w:rPr>
          <w:sz w:val="20"/>
          <w:szCs w:val="20"/>
          <w:color w:val="auto"/>
        </w:rPr>
      </w:pPr>
      <w:r>
        <w:rPr>
          <w:rFonts w:ascii="Arial" w:cs="Arial" w:eastAsia="Arial" w:hAnsi="Arial"/>
          <w:sz w:val="18"/>
          <w:szCs w:val="18"/>
          <w:color w:val="auto"/>
        </w:rPr>
        <w:t>attainment of age 65 and completion of five years of continuous service with the Company; or</w:t>
      </w:r>
    </w:p>
    <w:p>
      <w:pPr>
        <w:spacing w:after="0" w:line="360" w:lineRule="exact"/>
        <w:rPr>
          <w:sz w:val="20"/>
          <w:szCs w:val="20"/>
          <w:color w:val="auto"/>
        </w:rPr>
      </w:pPr>
    </w:p>
    <w:p>
      <w:pPr>
        <w:sectPr>
          <w:pgSz w:w="11900" w:h="16838" w:orient="portrait"/>
          <w:cols w:equalWidth="0" w:num="2">
            <w:col w:w="5400" w:space="340"/>
            <w:col w:w="5340"/>
          </w:cols>
          <w:pgMar w:left="320" w:top="454" w:right="499" w:bottom="1440" w:gutter="0" w:footer="0" w:header="0"/>
          <w:type w:val="continuous"/>
        </w:sectPr>
      </w:pPr>
    </w:p>
    <w:p>
      <w:pPr>
        <w:spacing w:after="0" w:line="52" w:lineRule="exact"/>
        <w:rPr>
          <w:sz w:val="20"/>
          <w:szCs w:val="20"/>
          <w:color w:val="auto"/>
        </w:rPr>
      </w:pPr>
    </w:p>
    <w:p>
      <w:pPr>
        <w:ind w:left="1000" w:hanging="690"/>
        <w:spacing w:after="0"/>
        <w:tabs>
          <w:tab w:leader="none" w:pos="1000" w:val="left"/>
        </w:tabs>
        <w:numPr>
          <w:ilvl w:val="0"/>
          <w:numId w:val="67"/>
        </w:numPr>
        <w:rPr>
          <w:rFonts w:ascii="Arial" w:cs="Arial" w:eastAsia="Arial" w:hAnsi="Arial"/>
          <w:sz w:val="17"/>
          <w:szCs w:val="17"/>
          <w:color w:val="050A54"/>
        </w:rPr>
      </w:pPr>
      <w:r>
        <w:rPr>
          <w:rFonts w:ascii="Arial" w:cs="Arial" w:eastAsia="Arial" w:hAnsi="Arial"/>
          <w:sz w:val="17"/>
          <w:szCs w:val="17"/>
          <w:b w:val="1"/>
          <w:bCs w:val="1"/>
          <w:color w:val="050A54"/>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-111760</wp:posOffset>
            </wp:positionV>
            <wp:extent cx="8255" cy="135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336" w:lineRule="exact"/>
        <w:rPr>
          <w:sz w:val="20"/>
          <w:szCs w:val="20"/>
          <w:color w:val="auto"/>
        </w:rPr>
      </w:pPr>
    </w:p>
    <w:p>
      <w:pPr>
        <w:ind w:left="520"/>
        <w:spacing w:after="0" w:line="265" w:lineRule="auto"/>
        <w:rPr>
          <w:sz w:val="20"/>
          <w:szCs w:val="20"/>
          <w:color w:val="auto"/>
        </w:rPr>
      </w:pPr>
      <w:r>
        <w:rPr>
          <w:rFonts w:ascii="Arial" w:cs="Arial" w:eastAsia="Arial" w:hAnsi="Arial"/>
          <w:sz w:val="18"/>
          <w:szCs w:val="18"/>
          <w:color w:val="auto"/>
        </w:rPr>
        <w:t>attainment of age 55 and completion of ten years of continuous service with the Company.</w:t>
      </w:r>
    </w:p>
    <w:p>
      <w:pPr>
        <w:spacing w:after="0" w:line="158"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Mr. Arnold has attained the age of 55 and completed more than ten years of continuous service with the Company. No other NEO was retirement-eligible as of December 31, 2021.</w:t>
      </w:r>
    </w:p>
    <w:p>
      <w:pPr>
        <w:spacing w:after="0" w:line="16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Additional Compensation Elements</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0A54"/>
        </w:rPr>
        <w:t>Severance and Change-in-Control Benefits</w:t>
      </w:r>
    </w:p>
    <w:p>
      <w:pPr>
        <w:spacing w:after="0" w:line="206"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Our Executive Severance Plan enables us to offer protection to our NEOs in the event their employment with us is involuntarily terminated by the Company or is terminated for good reason by the executive (each, a “qualifying termination”). We believe that providing these benefits helps us compete for executive talent and may help us retain current key employees. All of our NEOs are eligible for severance benefits under the Executive Severance Plan.</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0A54"/>
        </w:rPr>
        <w:t>Executive Perquisites</w:t>
      </w:r>
    </w:p>
    <w:p>
      <w:pPr>
        <w:spacing w:after="0" w:line="206"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Executive perquisites are not a core component of our executive compensation program. However, we offer an executive health and wellness program as well as an executive financial services policy, pursuant to which our NEOs are eligible to receive annual reimbursement of up to $15,000 for qualifying personal financial planning services. We also provide for reimbursement of relocation expenses in connection with an executive’s work-related relocation. In 2021, in connection with his joining the Company, the Company provided Mr. Fandrey with relocation benefits, including a payment to make him whole for any taxable income he incurred with respect to these relocation benefits.</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0A54"/>
        </w:rPr>
        <w:t>Other Compensation Components</w:t>
      </w:r>
    </w:p>
    <w:p>
      <w:pPr>
        <w:spacing w:after="0" w:line="206"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i w:val="1"/>
          <w:iCs w:val="1"/>
          <w:color w:val="F25900"/>
        </w:rPr>
        <w:t xml:space="preserve">401(k) Plan. </w:t>
      </w:r>
      <w:r>
        <w:rPr>
          <w:rFonts w:ascii="Arial" w:cs="Arial" w:eastAsia="Arial" w:hAnsi="Arial"/>
          <w:sz w:val="18"/>
          <w:szCs w:val="18"/>
          <w:color w:val="000000"/>
        </w:rPr>
        <w:t>We maintain a retirement savings plan (the “401(k)</w:t>
      </w:r>
      <w:r>
        <w:rPr>
          <w:rFonts w:ascii="Arial" w:cs="Arial" w:eastAsia="Arial" w:hAnsi="Arial"/>
          <w:sz w:val="18"/>
          <w:szCs w:val="18"/>
          <w:i w:val="1"/>
          <w:iCs w:val="1"/>
          <w:color w:val="F25900"/>
        </w:rPr>
        <w:t xml:space="preserve"> </w:t>
      </w:r>
      <w:r>
        <w:rPr>
          <w:rFonts w:ascii="Arial" w:cs="Arial" w:eastAsia="Arial" w:hAnsi="Arial"/>
          <w:sz w:val="18"/>
          <w:szCs w:val="18"/>
          <w:color w:val="000000"/>
        </w:rPr>
        <w:t>Plan”), for the benefit of all eligible employees, including our NEOs. Under the terms of the 401(k) Plan, employees may elect to make pre-tax 401(k) and Roth 401(k) contributions up to the statutorily prescribed limit. We provide a match in an amount equal to 75% of an employee’s elective deferral up to 8% of his or her eligible compensation</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a pay period basis after six months of service. We provide this benefit to all of our eligible employees, and it is provided to our NEOs on the same basis as all other eligible employees.</w:t>
      </w:r>
    </w:p>
    <w:p>
      <w:pPr>
        <w:spacing w:after="0" w:line="17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i w:val="1"/>
          <w:iCs w:val="1"/>
          <w:color w:val="F25900"/>
        </w:rPr>
        <w:t xml:space="preserve">Nonqualified Deferred Compensation. </w:t>
      </w:r>
      <w:r>
        <w:rPr>
          <w:rFonts w:ascii="Arial" w:cs="Arial" w:eastAsia="Arial" w:hAnsi="Arial"/>
          <w:sz w:val="18"/>
          <w:szCs w:val="18"/>
          <w:color w:val="000000"/>
        </w:rPr>
        <w:t>In 2021, Messrs. Arnold and</w:t>
      </w:r>
      <w:r>
        <w:rPr>
          <w:rFonts w:ascii="Arial" w:cs="Arial" w:eastAsia="Arial" w:hAnsi="Arial"/>
          <w:sz w:val="18"/>
          <w:szCs w:val="18"/>
          <w:i w:val="1"/>
          <w:iCs w:val="1"/>
          <w:color w:val="F25900"/>
        </w:rPr>
        <w:t xml:space="preserve"> </w:t>
      </w:r>
      <w:r>
        <w:rPr>
          <w:rFonts w:ascii="Arial" w:cs="Arial" w:eastAsia="Arial" w:hAnsi="Arial"/>
          <w:sz w:val="18"/>
          <w:szCs w:val="18"/>
          <w:color w:val="000000"/>
        </w:rPr>
        <w:t>Audette participated in our Executive Nonqualified Excess Plan (the “Deferred Compensation Plan”). The Deferred Compensation Plan allows a select group of highly compensated or management employees to defer up to 100% of their current compensation, which includes for this purpose base salary, service bonus, performance-based compensation, and commissions. Distributions of deferred amounts may be made only upon a qualifying distribution event, and at the time an election is made to defer compensation under the Deferred Compensation Plan, participants may choose, with respect to each potential qualifying distribution event, to receive amounts in either a lump sum or in equal annual installments over a number of years (but not to exceed five years for fixed date elections or ten years for separation from service elections). Deferred amounts are credited with an investment return determined as if the amounts were invested in one or more investment funds made available by the Deferred Compensation Plan and selected by a participant. The amounts of compensation Messrs. Arnold and Audette elected to defer under the Deferred Compensation Plan in 2021 are described in the table titled “</w:t>
      </w:r>
      <w:r>
        <w:rPr>
          <w:rFonts w:ascii="Arial" w:cs="Arial" w:eastAsia="Arial" w:hAnsi="Arial"/>
          <w:sz w:val="18"/>
          <w:szCs w:val="18"/>
          <w:i w:val="1"/>
          <w:iCs w:val="1"/>
          <w:color w:val="000000"/>
        </w:rPr>
        <w:t>Nonqualified Deferred Compensation for the Year Ended</w:t>
      </w:r>
      <w:r>
        <w:rPr>
          <w:rFonts w:ascii="Arial" w:cs="Arial" w:eastAsia="Arial" w:hAnsi="Arial"/>
          <w:sz w:val="18"/>
          <w:szCs w:val="18"/>
          <w:color w:val="000000"/>
        </w:rPr>
        <w:t xml:space="preserve"> </w:t>
      </w:r>
      <w:r>
        <w:rPr>
          <w:rFonts w:ascii="Arial" w:cs="Arial" w:eastAsia="Arial" w:hAnsi="Arial"/>
          <w:sz w:val="18"/>
          <w:szCs w:val="18"/>
          <w:i w:val="1"/>
          <w:iCs w:val="1"/>
          <w:color w:val="000000"/>
        </w:rPr>
        <w:t>December 31, 2021.”</w:t>
      </w:r>
    </w:p>
    <w:p>
      <w:pPr>
        <w:spacing w:after="0" w:line="18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The chart below shows the total 2021 compensation paid or granted to our NEOs, by component, including the value of the NEO’s LTI award that was granted in February 2022 in respect of services performed in 2021 as described above under </w:t>
      </w:r>
      <w:r>
        <w:rPr>
          <w:rFonts w:ascii="Arial" w:cs="Arial" w:eastAsia="Arial" w:hAnsi="Arial"/>
          <w:sz w:val="18"/>
          <w:szCs w:val="18"/>
          <w:i w:val="1"/>
          <w:iCs w:val="1"/>
          <w:color w:val="auto"/>
        </w:rPr>
        <w:t>“LTI Awards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 2022,” </w:t>
      </w:r>
      <w:r>
        <w:rPr>
          <w:rFonts w:ascii="Arial" w:cs="Arial" w:eastAsia="Arial" w:hAnsi="Arial"/>
          <w:sz w:val="18"/>
          <w:szCs w:val="18"/>
          <w:color w:val="auto"/>
        </w:rPr>
        <w:t>but excluding the value of the NEO’s LTI award that was</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in February 2021 in respect of services performed in 2020 or, in the case of Mr. Fandrey, excluding the value of the LTI award received upon joining the Company in 2021, as described above under “</w:t>
      </w:r>
      <w:r>
        <w:rPr>
          <w:rFonts w:ascii="Arial" w:cs="Arial" w:eastAsia="Arial" w:hAnsi="Arial"/>
          <w:sz w:val="18"/>
          <w:szCs w:val="18"/>
          <w:i w:val="1"/>
          <w:iCs w:val="1"/>
          <w:color w:val="auto"/>
        </w:rPr>
        <w:t>LTI Awards in 2021</w:t>
      </w:r>
      <w:r>
        <w:rPr>
          <w:rFonts w:ascii="Arial" w:cs="Arial" w:eastAsia="Arial" w:hAnsi="Arial"/>
          <w:sz w:val="18"/>
          <w:szCs w:val="18"/>
          <w:color w:val="auto"/>
        </w:rPr>
        <w:t xml:space="preserve">” and the value of the cash sign-on award received upon joining the Company, as described above under </w:t>
      </w:r>
      <w:r>
        <w:rPr>
          <w:rFonts w:ascii="Arial" w:cs="Arial" w:eastAsia="Arial" w:hAnsi="Arial"/>
          <w:sz w:val="18"/>
          <w:szCs w:val="18"/>
          <w:i w:val="1"/>
          <w:iCs w:val="1"/>
          <w:color w:val="auto"/>
        </w:rPr>
        <w:t>“Individual Cash Bonus Award Determinations.”</w:t>
      </w:r>
    </w:p>
    <w:p>
      <w:pPr>
        <w:spacing w:after="0" w:line="1297" w:lineRule="exact"/>
        <w:rPr>
          <w:sz w:val="20"/>
          <w:szCs w:val="20"/>
          <w:color w:val="auto"/>
        </w:rPr>
      </w:pPr>
    </w:p>
    <w:p>
      <w:pPr>
        <w:sectPr>
          <w:pgSz w:w="11900" w:h="16838" w:orient="portrait"/>
          <w:cols w:equalWidth="0" w:num="2">
            <w:col w:w="5400" w:space="340"/>
            <w:col w:w="5340"/>
          </w:cols>
          <w:pgMar w:left="320" w:top="454" w:right="499" w:bottom="1440" w:gutter="0" w:footer="0" w:header="0"/>
          <w:type w:val="continuous"/>
        </w:sectPr>
      </w:pPr>
    </w:p>
    <w:p>
      <w:pPr>
        <w:spacing w:after="0" w:line="62" w:lineRule="exact"/>
        <w:rPr>
          <w:sz w:val="20"/>
          <w:szCs w:val="20"/>
          <w:color w:val="auto"/>
        </w:rPr>
      </w:pPr>
    </w:p>
    <w:tbl>
      <w:tblPr>
        <w:tblLayout w:type="fixed"/>
        <w:tblInd w:w="8500" w:type="dxa"/>
        <w:tblCellMar>
          <w:top w:w="0" w:type="dxa"/>
          <w:left w:w="0" w:type="dxa"/>
          <w:bottom w:w="0" w:type="dxa"/>
          <w:right w:w="0" w:type="dxa"/>
        </w:tblCellMar>
      </w:tblPr>
      <w:tr>
        <w:trPr>
          <w:trHeight w:val="233"/>
        </w:trPr>
        <w:tc>
          <w:tcPr>
            <w:tcW w:w="2060" w:type="dxa"/>
            <w:vAlign w:val="bottom"/>
            <w:tcBorders>
              <w:right w:val="single" w:sz="8" w:color="050A54"/>
            </w:tcBorders>
          </w:tcPr>
          <w:p>
            <w:pPr>
              <w:spacing w:after="0"/>
              <w:rPr>
                <w:sz w:val="20"/>
                <w:szCs w:val="20"/>
                <w:color w:val="auto"/>
              </w:rPr>
            </w:pPr>
            <w:r>
              <w:rPr>
                <w:rFonts w:ascii="Arial" w:cs="Arial" w:eastAsia="Arial" w:hAnsi="Arial"/>
                <w:sz w:val="18"/>
                <w:szCs w:val="18"/>
                <w:b w:val="1"/>
                <w:bCs w:val="1"/>
                <w:color w:val="050A54"/>
              </w:rPr>
              <w:t>2022 Proxy Statement</w:t>
            </w:r>
          </w:p>
        </w:tc>
        <w:tc>
          <w:tcPr>
            <w:tcW w:w="520" w:type="dxa"/>
            <w:vAlign w:val="bottom"/>
          </w:tcPr>
          <w:p>
            <w:pPr>
              <w:jc w:val="right"/>
              <w:spacing w:after="0"/>
              <w:rPr>
                <w:sz w:val="20"/>
                <w:szCs w:val="20"/>
                <w:color w:val="auto"/>
              </w:rPr>
            </w:pPr>
            <w:r>
              <w:rPr>
                <w:rFonts w:ascii="Arial" w:cs="Arial" w:eastAsia="Arial" w:hAnsi="Arial"/>
                <w:sz w:val="18"/>
                <w:szCs w:val="18"/>
                <w:color w:val="050A54"/>
              </w:rPr>
              <w:t>43</w:t>
            </w:r>
          </w:p>
        </w:tc>
      </w:tr>
    </w:tbl>
    <w:p>
      <w:pPr>
        <w:sectPr>
          <w:pgSz w:w="11900" w:h="16838" w:orient="portrait"/>
          <w:cols w:equalWidth="0" w:num="1">
            <w:col w:w="11080"/>
          </w:cols>
          <w:pgMar w:left="320" w:top="454" w:right="499" w:bottom="1440" w:gutter="0" w:footer="0" w:header="0"/>
          <w:type w:val="continuous"/>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050A54"/>
        </w:rPr>
        <w:t>NEO Compensation Mix</w:t>
      </w:r>
    </w:p>
    <w:p>
      <w:pPr>
        <w:spacing w:after="0" w:line="1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050A54"/>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1049020</wp:posOffset>
            </wp:positionH>
            <wp:positionV relativeFrom="paragraph">
              <wp:posOffset>149225</wp:posOffset>
            </wp:positionV>
            <wp:extent cx="5044440" cy="33547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044440" cy="335470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How Compensation Decisions Were Made</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0A54"/>
        </w:rPr>
        <w:t>Role of Compensation Committee</w:t>
      </w:r>
    </w:p>
    <w:p>
      <w:pPr>
        <w:spacing w:after="0" w:line="206"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The Compensation Committee is composed entirely of directors who meet the Nasdaq standards for independence, including the heightened standards applicable to compensation committee members. The Compensation Committee is responsible for establishing our human resources policies, including our compensation philosophy and principles, and overseeing our executive compensation policies and program. The Compensation Committee reviews and gives final approval of the total compensation payable to each of our NEOs, as well as the structure and implementation of the Company’s overall compensation programs. In establishing total target compensation levels for our NEOs, the Compensation Committee, with input from the Compensation Consultant, determines the ranges of market compensation that it believes will enable us to effectively compete for and retain high-performing, qualified executives. The Compensation Committee’s charter sets forth the Compensation Committee’s responsibilities.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50A54"/>
        </w:rPr>
        <w:t>CEO Assessment Process</w:t>
      </w:r>
    </w:p>
    <w:p>
      <w:pPr>
        <w:spacing w:after="0" w:line="20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At the beginning of each year, our chief executive officer sets and reviews with the Board his priorities for the year based on the corporate goals approved by our Board and additional feedback from our non-employee directors. For 2021, Mr. Arnold’s priorities related to the Company’s strategic direction, cultural transformation and accountability for executing plans to deliver value to its stakeholders, as well as personal development goals related to his position as chief executive officer.</w:t>
      </w:r>
    </w:p>
    <w:p>
      <w:pPr>
        <w:spacing w:after="0" w:line="18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At the end of each year, the Compensation Committee requests that our chief executive officer prepare a written self-evaluation of performance against the year’s corporate goals and CEO priorities. The chair of the Compensation Committee distributes the completed self-evaluation to each non-employee director, who completes an assessment of the chief executive officer’s performance relative to these priorities.</w:t>
      </w:r>
    </w:p>
    <w:p>
      <w:pPr>
        <w:spacing w:after="0" w:line="803" w:lineRule="exact"/>
        <w:rPr>
          <w:sz w:val="20"/>
          <w:szCs w:val="20"/>
          <w:color w:val="auto"/>
        </w:rPr>
      </w:pPr>
    </w:p>
    <w:p>
      <w:pPr>
        <w:sectPr>
          <w:pgSz w:w="11900" w:h="16838" w:orient="portrait"/>
          <w:cols w:equalWidth="0" w:num="2">
            <w:col w:w="5400" w:space="340"/>
            <w:col w:w="5340"/>
          </w:cols>
          <w:pgMar w:left="320" w:top="454" w:right="499" w:bottom="1440" w:gutter="0" w:footer="0" w:header="0"/>
          <w:type w:val="continuous"/>
        </w:sectPr>
      </w:pPr>
    </w:p>
    <w:p>
      <w:pPr>
        <w:spacing w:after="0" w:line="74" w:lineRule="exact"/>
        <w:rPr>
          <w:sz w:val="20"/>
          <w:szCs w:val="20"/>
          <w:color w:val="auto"/>
        </w:rPr>
      </w:pPr>
    </w:p>
    <w:p>
      <w:pPr>
        <w:ind w:left="1000" w:hanging="690"/>
        <w:spacing w:after="0"/>
        <w:tabs>
          <w:tab w:leader="none" w:pos="1000" w:val="left"/>
        </w:tabs>
        <w:numPr>
          <w:ilvl w:val="0"/>
          <w:numId w:val="69"/>
        </w:numPr>
        <w:rPr>
          <w:rFonts w:ascii="Arial" w:cs="Arial" w:eastAsia="Arial" w:hAnsi="Arial"/>
          <w:sz w:val="17"/>
          <w:szCs w:val="17"/>
          <w:color w:val="050A54"/>
        </w:rPr>
      </w:pPr>
      <w:r>
        <w:rPr>
          <w:rFonts w:ascii="Arial" w:cs="Arial" w:eastAsia="Arial" w:hAnsi="Arial"/>
          <w:sz w:val="17"/>
          <w:szCs w:val="17"/>
          <w:b w:val="1"/>
          <w:bCs w:val="1"/>
          <w:color w:val="050A54"/>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-111760</wp:posOffset>
            </wp:positionV>
            <wp:extent cx="8255" cy="135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336"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Our chief human capital officer provides a summary of the results of the assessments to each of the non-employee directors, including the members of the Compensation Committee, who consider the chief executive officer’s self-evaluation and the results of the non-employee directors’ assessments in evaluating the chief executive officer’s performance for the year. The materials are also discussed by the Board in an executive session led by the chair of the Compensation Committee and, after such discussion, feedback and compensation decisions are provided to the chief executive officer by the chair of the Compensation Committee and the chair of the Board.</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0A54"/>
        </w:rPr>
        <w:t>Role of Executive Officers</w:t>
      </w:r>
    </w:p>
    <w:p>
      <w:pPr>
        <w:spacing w:after="0" w:line="206"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Prior to the beginning of each year, our executive officers develop the corporate goals and objectives that they believe should be achieved for the Company to be successful, which are approved by the Board and used by the Compensation Committee for the purpose of establishing how executive performance will be assessed for compensation-setting purposes. These objectives are derived largely from the Company’s annual financial and strategic planning sessions, and are prioritized and aligned with the Company’s long-term strategic plan. The objectives include both quantitative financial and operating metrics and operational deliverables and goals. The chief financial officer provides quarterly reports to the Compensation Committee assessing the Company’s performance against the corporate goals and objectives.</w:t>
      </w:r>
    </w:p>
    <w:p>
      <w:pPr>
        <w:spacing w:after="0" w:line="185"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Our chief executive officer annually reviews the individual performance of each of his direct reports, including the NEOs (but excluding himself), and provides the Compensation Committee with evaluations of each such direct report as well as recommendations regarding such person’s base salary level, annual cash bonus and LTI award. Our chief human capital officer also attends Compensation Committee meetings and assists the Compensation Committee and the chief executive officer in recommending the final compensation levels for our NEOs and other executive officers (other than herself). Both the chief executive officer and the chief human capital officer leave the meetings during discussions of compensation actions affecting them personally.</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0A54"/>
        </w:rPr>
        <w:t>Role of Compensation Consultant</w:t>
      </w:r>
    </w:p>
    <w:p>
      <w:pPr>
        <w:spacing w:after="0" w:line="206"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The Compensation Committee has the authority to engage its own advisors to assist it in carrying out its responsibilities. The Compensation Committee</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engaged the Compensation Consultant to advise it on compensation matters and provide experiential guidance on what is considered fair and competitive practice in our industry, primarily with respect to the compensation of our executive officers, and also with respect to director compensation.</w:t>
      </w:r>
    </w:p>
    <w:p>
      <w:pPr>
        <w:spacing w:after="0" w:line="18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2021, the Compensation Consultant worked directly with the Compensation Committee to develop recommendations for compensation levels for our executive officers and non-employee directors. In addition, the Compensation Consultant provided data and other information regarding competitive compensation programs and policies, as well as information concerning compensation plan design and regulatory developments. Finally, the Compensation Consultant conducted a risk assessment of the Company’s executive compensation policies and practices.</w:t>
      </w:r>
    </w:p>
    <w:p>
      <w:pPr>
        <w:spacing w:after="0" w:line="18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Compensation Committee has assessed the independence of the Compensation Consultant pursuant to SEC rules and has determined that the work provided by the Compensation Consultant did not raise a conflict of interest.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50A54"/>
        </w:rPr>
        <w:t>Benchmarking</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believe that a competitive pay package is a critical tool in our efforts to attract and retain qualified executives. The Compensation Committee’s goal is to ensure that we continue to measure our compensation practices against organizations that compete with us for key executives, that are considered important benchmarks in our industry, and that are comparable in size and scope to our business.</w:t>
      </w:r>
    </w:p>
    <w:p>
      <w:pPr>
        <w:spacing w:after="0" w:line="181"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During 2021, the Compensation Committee engaged the Compensation Consultant to prepare analyses to benchmark and assess our overall compensation program and practices against marketplace standards. The Compensation Committee’s purpose in requesting these analyses was to be provided with general market perspective on executive officer and director pay levels and compensation design practices, and to ensure that the Company’s practices are competitive with our peers, as well as other companies, including technology companies, with which we increasingly compete for talent. Although the Compensation Committee believes the analyses provide a representative view of the market in which the Company competes for talent, the analyses are among several considerations used by the Compensation Committee in assessing executive and director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2760" w:type="dxa"/>
        <w:tblCellMar>
          <w:top w:w="0" w:type="dxa"/>
          <w:left w:w="0" w:type="dxa"/>
          <w:bottom w:w="0" w:type="dxa"/>
          <w:right w:w="0" w:type="dxa"/>
        </w:tblCellMar>
      </w:tblPr>
      <w:tr>
        <w:trPr>
          <w:trHeight w:val="233"/>
        </w:trPr>
        <w:tc>
          <w:tcPr>
            <w:tcW w:w="2060" w:type="dxa"/>
            <w:vAlign w:val="bottom"/>
            <w:tcBorders>
              <w:right w:val="single" w:sz="8" w:color="050A54"/>
            </w:tcBorders>
          </w:tcPr>
          <w:p>
            <w:pPr>
              <w:spacing w:after="0"/>
              <w:rPr>
                <w:sz w:val="20"/>
                <w:szCs w:val="20"/>
                <w:color w:val="auto"/>
              </w:rPr>
            </w:pPr>
            <w:r>
              <w:rPr>
                <w:rFonts w:ascii="Arial" w:cs="Arial" w:eastAsia="Arial" w:hAnsi="Arial"/>
                <w:sz w:val="18"/>
                <w:szCs w:val="18"/>
                <w:b w:val="1"/>
                <w:bCs w:val="1"/>
                <w:color w:val="050A54"/>
              </w:rPr>
              <w:t>2022 Proxy Statement</w:t>
            </w:r>
          </w:p>
        </w:tc>
        <w:tc>
          <w:tcPr>
            <w:tcW w:w="520" w:type="dxa"/>
            <w:vAlign w:val="bottom"/>
          </w:tcPr>
          <w:p>
            <w:pPr>
              <w:jc w:val="right"/>
              <w:spacing w:after="0"/>
              <w:rPr>
                <w:sz w:val="20"/>
                <w:szCs w:val="20"/>
                <w:color w:val="auto"/>
              </w:rPr>
            </w:pPr>
            <w:r>
              <w:rPr>
                <w:rFonts w:ascii="Arial" w:cs="Arial" w:eastAsia="Arial" w:hAnsi="Arial"/>
                <w:sz w:val="18"/>
                <w:szCs w:val="18"/>
                <w:color w:val="050A54"/>
              </w:rPr>
              <w:t>45</w:t>
            </w:r>
          </w:p>
        </w:tc>
      </w:tr>
    </w:tbl>
    <w:p>
      <w:pPr>
        <w:sectPr>
          <w:pgSz w:w="11900" w:h="16838" w:orient="portrait"/>
          <w:cols w:equalWidth="0" w:num="2">
            <w:col w:w="5400" w:space="340"/>
            <w:col w:w="5340"/>
          </w:cols>
          <w:pgMar w:left="320" w:top="454" w:right="499" w:bottom="1440" w:gutter="0" w:footer="0" w:header="0"/>
          <w:type w:val="continuous"/>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336"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Working with Meridian, the Compensation Committee reviewed each NEO’s 2021 total target compensation against the compensation levels of comparable positions within our peer group, for Messrs. Arnold and Audette, or from Equilar’s Executive Compensation survey covering financial services and investment services companies, for Messrs. Fandrey, Semerjian and Steinmeier, as well as supplemental market data from asset management, data processing and investment firms. The companies within our peer group used in the review of 2021 total target compensation consisted of:</w:t>
      </w:r>
    </w:p>
    <w:p>
      <w:pPr>
        <w:spacing w:after="0" w:line="210" w:lineRule="exact"/>
        <w:rPr>
          <w:sz w:val="20"/>
          <w:szCs w:val="20"/>
          <w:color w:val="auto"/>
        </w:rPr>
      </w:pPr>
    </w:p>
    <w:tbl>
      <w:tblPr>
        <w:tblLayout w:type="fixed"/>
        <w:tblInd w:w="160" w:type="dxa"/>
        <w:tblCellMar>
          <w:top w:w="0" w:type="dxa"/>
          <w:left w:w="0" w:type="dxa"/>
          <w:bottom w:w="0" w:type="dxa"/>
          <w:right w:w="0" w:type="dxa"/>
        </w:tblCellMar>
      </w:tblPr>
      <w:tr>
        <w:trPr>
          <w:trHeight w:val="200"/>
        </w:trPr>
        <w:tc>
          <w:tcPr>
            <w:tcW w:w="27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Alliance Data Systems</w:t>
            </w:r>
          </w:p>
        </w:tc>
        <w:tc>
          <w:tcPr>
            <w:tcW w:w="2460" w:type="dxa"/>
            <w:vAlign w:val="bottom"/>
            <w:tcBorders>
              <w:top w:val="single" w:sz="8" w:color="auto"/>
            </w:tcBorders>
          </w:tcPr>
          <w:p>
            <w:pPr>
              <w:ind w:left="140"/>
              <w:spacing w:after="0"/>
              <w:rPr>
                <w:sz w:val="20"/>
                <w:szCs w:val="20"/>
                <w:color w:val="auto"/>
              </w:rPr>
            </w:pPr>
            <w:r>
              <w:rPr>
                <w:rFonts w:ascii="Arial" w:cs="Arial" w:eastAsia="Arial" w:hAnsi="Arial"/>
                <w:sz w:val="16"/>
                <w:szCs w:val="16"/>
                <w:color w:val="auto"/>
              </w:rPr>
              <w:t>Raymond James Financial,</w:t>
            </w:r>
          </w:p>
        </w:tc>
      </w:tr>
      <w:tr>
        <w:trPr>
          <w:trHeight w:val="211"/>
        </w:trPr>
        <w:tc>
          <w:tcPr>
            <w:tcW w:w="2780" w:type="dxa"/>
            <w:vAlign w:val="bottom"/>
          </w:tcPr>
          <w:p>
            <w:pPr>
              <w:ind w:left="420"/>
              <w:spacing w:after="0"/>
              <w:rPr>
                <w:sz w:val="20"/>
                <w:szCs w:val="20"/>
                <w:color w:val="auto"/>
              </w:rPr>
            </w:pPr>
            <w:r>
              <w:rPr>
                <w:rFonts w:ascii="Arial" w:cs="Arial" w:eastAsia="Arial" w:hAnsi="Arial"/>
                <w:sz w:val="16"/>
                <w:szCs w:val="16"/>
                <w:color w:val="auto"/>
              </w:rPr>
              <w:t>Corporation</w:t>
            </w:r>
          </w:p>
        </w:tc>
        <w:tc>
          <w:tcPr>
            <w:tcW w:w="2460" w:type="dxa"/>
            <w:vAlign w:val="bottom"/>
          </w:tcPr>
          <w:p>
            <w:pPr>
              <w:ind w:left="420"/>
              <w:spacing w:after="0"/>
              <w:rPr>
                <w:sz w:val="20"/>
                <w:szCs w:val="20"/>
                <w:color w:val="auto"/>
              </w:rPr>
            </w:pPr>
            <w:r>
              <w:rPr>
                <w:rFonts w:ascii="Arial" w:cs="Arial" w:eastAsia="Arial" w:hAnsi="Arial"/>
                <w:sz w:val="16"/>
                <w:szCs w:val="16"/>
                <w:color w:val="auto"/>
              </w:rPr>
              <w:t>Inc.</w:t>
            </w:r>
          </w:p>
        </w:tc>
      </w:tr>
      <w:tr>
        <w:trPr>
          <w:trHeight w:val="227"/>
        </w:trPr>
        <w:tc>
          <w:tcPr>
            <w:tcW w:w="2780" w:type="dxa"/>
            <w:vAlign w:val="bottom"/>
          </w:tcPr>
          <w:p>
            <w:pPr>
              <w:ind w:left="20"/>
              <w:spacing w:after="0"/>
              <w:rPr>
                <w:sz w:val="20"/>
                <w:szCs w:val="20"/>
                <w:color w:val="auto"/>
              </w:rPr>
            </w:pPr>
            <w:r>
              <w:rPr>
                <w:rFonts w:ascii="Arial" w:cs="Arial" w:eastAsia="Arial" w:hAnsi="Arial"/>
                <w:sz w:val="16"/>
                <w:szCs w:val="16"/>
                <w:color w:val="auto"/>
              </w:rPr>
              <w:t>Ameriprise Financial, Inc.</w:t>
            </w:r>
          </w:p>
        </w:tc>
        <w:tc>
          <w:tcPr>
            <w:tcW w:w="2460" w:type="dxa"/>
            <w:vAlign w:val="bottom"/>
          </w:tcPr>
          <w:p>
            <w:pPr>
              <w:ind w:left="140"/>
              <w:spacing w:after="0"/>
              <w:rPr>
                <w:sz w:val="20"/>
                <w:szCs w:val="20"/>
                <w:color w:val="auto"/>
              </w:rPr>
            </w:pPr>
            <w:r>
              <w:rPr>
                <w:rFonts w:ascii="Arial" w:cs="Arial" w:eastAsia="Arial" w:hAnsi="Arial"/>
                <w:sz w:val="16"/>
                <w:szCs w:val="16"/>
                <w:color w:val="auto"/>
              </w:rPr>
              <w:t>SEI Investments Company</w:t>
            </w:r>
          </w:p>
        </w:tc>
      </w:tr>
      <w:tr>
        <w:trPr>
          <w:trHeight w:val="244"/>
        </w:trPr>
        <w:tc>
          <w:tcPr>
            <w:tcW w:w="2780" w:type="dxa"/>
            <w:vAlign w:val="bottom"/>
          </w:tcPr>
          <w:p>
            <w:pPr>
              <w:ind w:left="20"/>
              <w:spacing w:after="0"/>
              <w:rPr>
                <w:sz w:val="20"/>
                <w:szCs w:val="20"/>
                <w:color w:val="auto"/>
              </w:rPr>
            </w:pPr>
            <w:r>
              <w:rPr>
                <w:rFonts w:ascii="Arial" w:cs="Arial" w:eastAsia="Arial" w:hAnsi="Arial"/>
                <w:sz w:val="16"/>
                <w:szCs w:val="16"/>
                <w:color w:val="auto"/>
              </w:rPr>
              <w:t>Broadridge Financial Solutions,</w:t>
            </w:r>
          </w:p>
        </w:tc>
        <w:tc>
          <w:tcPr>
            <w:tcW w:w="2460" w:type="dxa"/>
            <w:vAlign w:val="bottom"/>
          </w:tcPr>
          <w:p>
            <w:pPr>
              <w:ind w:left="140"/>
              <w:spacing w:after="0"/>
              <w:rPr>
                <w:sz w:val="20"/>
                <w:szCs w:val="20"/>
                <w:color w:val="auto"/>
              </w:rPr>
            </w:pPr>
            <w:r>
              <w:rPr>
                <w:rFonts w:ascii="Arial" w:cs="Arial" w:eastAsia="Arial" w:hAnsi="Arial"/>
                <w:sz w:val="16"/>
                <w:szCs w:val="16"/>
                <w:color w:val="auto"/>
              </w:rPr>
              <w:t>SS&amp;C Technologies</w:t>
            </w:r>
          </w:p>
        </w:tc>
      </w:tr>
      <w:tr>
        <w:trPr>
          <w:trHeight w:val="211"/>
        </w:trPr>
        <w:tc>
          <w:tcPr>
            <w:tcW w:w="2780" w:type="dxa"/>
            <w:vAlign w:val="bottom"/>
          </w:tcPr>
          <w:p>
            <w:pPr>
              <w:ind w:left="420"/>
              <w:spacing w:after="0"/>
              <w:rPr>
                <w:sz w:val="20"/>
                <w:szCs w:val="20"/>
                <w:color w:val="auto"/>
              </w:rPr>
            </w:pPr>
            <w:r>
              <w:rPr>
                <w:rFonts w:ascii="Arial" w:cs="Arial" w:eastAsia="Arial" w:hAnsi="Arial"/>
                <w:sz w:val="16"/>
                <w:szCs w:val="16"/>
                <w:color w:val="auto"/>
              </w:rPr>
              <w:t>Inc.</w:t>
            </w:r>
          </w:p>
        </w:tc>
        <w:tc>
          <w:tcPr>
            <w:tcW w:w="2460" w:type="dxa"/>
            <w:vAlign w:val="bottom"/>
          </w:tcPr>
          <w:p>
            <w:pPr>
              <w:ind w:left="420"/>
              <w:spacing w:after="0"/>
              <w:rPr>
                <w:sz w:val="20"/>
                <w:szCs w:val="20"/>
                <w:color w:val="auto"/>
              </w:rPr>
            </w:pPr>
            <w:r>
              <w:rPr>
                <w:rFonts w:ascii="Arial" w:cs="Arial" w:eastAsia="Arial" w:hAnsi="Arial"/>
                <w:sz w:val="16"/>
                <w:szCs w:val="16"/>
                <w:color w:val="auto"/>
              </w:rPr>
              <w:t>Holdings, Inc.</w:t>
            </w:r>
          </w:p>
        </w:tc>
      </w:tr>
      <w:tr>
        <w:trPr>
          <w:trHeight w:val="227"/>
        </w:trPr>
        <w:tc>
          <w:tcPr>
            <w:tcW w:w="2780" w:type="dxa"/>
            <w:vAlign w:val="bottom"/>
          </w:tcPr>
          <w:p>
            <w:pPr>
              <w:ind w:left="20"/>
              <w:spacing w:after="0"/>
              <w:rPr>
                <w:sz w:val="20"/>
                <w:szCs w:val="20"/>
                <w:color w:val="auto"/>
              </w:rPr>
            </w:pPr>
            <w:r>
              <w:rPr>
                <w:rFonts w:ascii="Arial" w:cs="Arial" w:eastAsia="Arial" w:hAnsi="Arial"/>
                <w:sz w:val="16"/>
                <w:szCs w:val="16"/>
                <w:color w:val="auto"/>
              </w:rPr>
              <w:t>E*TRADE Financial Corp.</w:t>
            </w:r>
          </w:p>
        </w:tc>
        <w:tc>
          <w:tcPr>
            <w:tcW w:w="2460" w:type="dxa"/>
            <w:vAlign w:val="bottom"/>
          </w:tcPr>
          <w:p>
            <w:pPr>
              <w:ind w:left="140"/>
              <w:spacing w:after="0"/>
              <w:rPr>
                <w:sz w:val="20"/>
                <w:szCs w:val="20"/>
                <w:color w:val="auto"/>
              </w:rPr>
            </w:pPr>
            <w:r>
              <w:rPr>
                <w:rFonts w:ascii="Arial" w:cs="Arial" w:eastAsia="Arial" w:hAnsi="Arial"/>
                <w:sz w:val="16"/>
                <w:szCs w:val="16"/>
                <w:color w:val="auto"/>
              </w:rPr>
              <w:t>Stifel Financial Corp.</w:t>
            </w:r>
          </w:p>
        </w:tc>
      </w:tr>
      <w:tr>
        <w:trPr>
          <w:trHeight w:val="244"/>
        </w:trPr>
        <w:tc>
          <w:tcPr>
            <w:tcW w:w="2780" w:type="dxa"/>
            <w:vAlign w:val="bottom"/>
          </w:tcPr>
          <w:p>
            <w:pPr>
              <w:ind w:left="20"/>
              <w:spacing w:after="0"/>
              <w:rPr>
                <w:sz w:val="20"/>
                <w:szCs w:val="20"/>
                <w:color w:val="auto"/>
              </w:rPr>
            </w:pPr>
            <w:r>
              <w:rPr>
                <w:rFonts w:ascii="Arial" w:cs="Arial" w:eastAsia="Arial" w:hAnsi="Arial"/>
                <w:sz w:val="16"/>
                <w:szCs w:val="16"/>
                <w:color w:val="auto"/>
              </w:rPr>
              <w:t>Eaton Vance Corp.</w:t>
            </w:r>
          </w:p>
        </w:tc>
        <w:tc>
          <w:tcPr>
            <w:tcW w:w="2460" w:type="dxa"/>
            <w:vAlign w:val="bottom"/>
          </w:tcPr>
          <w:p>
            <w:pPr>
              <w:ind w:left="140"/>
              <w:spacing w:after="0"/>
              <w:rPr>
                <w:sz w:val="20"/>
                <w:szCs w:val="20"/>
                <w:color w:val="auto"/>
              </w:rPr>
            </w:pPr>
            <w:r>
              <w:rPr>
                <w:rFonts w:ascii="Arial" w:cs="Arial" w:eastAsia="Arial" w:hAnsi="Arial"/>
                <w:sz w:val="16"/>
                <w:szCs w:val="16"/>
                <w:color w:val="auto"/>
              </w:rPr>
              <w:t>TD Ameritrade Holding</w:t>
            </w:r>
          </w:p>
        </w:tc>
      </w:tr>
      <w:tr>
        <w:trPr>
          <w:trHeight w:val="211"/>
        </w:trPr>
        <w:tc>
          <w:tcPr>
            <w:tcW w:w="2780" w:type="dxa"/>
            <w:vAlign w:val="bottom"/>
          </w:tcPr>
          <w:p>
            <w:pPr>
              <w:spacing w:after="0"/>
              <w:rPr>
                <w:sz w:val="18"/>
                <w:szCs w:val="18"/>
                <w:color w:val="auto"/>
              </w:rPr>
            </w:pPr>
          </w:p>
        </w:tc>
        <w:tc>
          <w:tcPr>
            <w:tcW w:w="2460" w:type="dxa"/>
            <w:vAlign w:val="bottom"/>
          </w:tcPr>
          <w:p>
            <w:pPr>
              <w:ind w:left="420"/>
              <w:spacing w:after="0"/>
              <w:rPr>
                <w:sz w:val="20"/>
                <w:szCs w:val="20"/>
                <w:color w:val="auto"/>
              </w:rPr>
            </w:pPr>
            <w:r>
              <w:rPr>
                <w:rFonts w:ascii="Arial" w:cs="Arial" w:eastAsia="Arial" w:hAnsi="Arial"/>
                <w:sz w:val="16"/>
                <w:szCs w:val="16"/>
                <w:color w:val="auto"/>
              </w:rPr>
              <w:t>Corporation</w:t>
            </w:r>
          </w:p>
        </w:tc>
      </w:tr>
      <w:tr>
        <w:trPr>
          <w:trHeight w:val="217"/>
        </w:trPr>
        <w:tc>
          <w:tcPr>
            <w:tcW w:w="2780" w:type="dxa"/>
            <w:vAlign w:val="bottom"/>
          </w:tcPr>
          <w:p>
            <w:pPr>
              <w:ind w:left="20"/>
              <w:spacing w:after="0"/>
              <w:rPr>
                <w:sz w:val="20"/>
                <w:szCs w:val="20"/>
                <w:color w:val="auto"/>
              </w:rPr>
            </w:pPr>
            <w:r>
              <w:rPr>
                <w:rFonts w:ascii="Arial" w:cs="Arial" w:eastAsia="Arial" w:hAnsi="Arial"/>
                <w:sz w:val="16"/>
                <w:szCs w:val="16"/>
                <w:color w:val="auto"/>
              </w:rPr>
              <w:t>Invesco Ltd.</w:t>
            </w:r>
          </w:p>
        </w:tc>
        <w:tc>
          <w:tcPr>
            <w:tcW w:w="2460" w:type="dxa"/>
            <w:vAlign w:val="bottom"/>
          </w:tcPr>
          <w:p>
            <w:pPr>
              <w:ind w:left="140"/>
              <w:spacing w:after="0"/>
              <w:rPr>
                <w:sz w:val="20"/>
                <w:szCs w:val="20"/>
                <w:color w:val="auto"/>
              </w:rPr>
            </w:pPr>
            <w:r>
              <w:rPr>
                <w:rFonts w:ascii="Arial" w:cs="Arial" w:eastAsia="Arial" w:hAnsi="Arial"/>
                <w:sz w:val="16"/>
                <w:szCs w:val="16"/>
                <w:color w:val="auto"/>
              </w:rPr>
              <w:t>The Charles Schwab</w:t>
            </w:r>
          </w:p>
        </w:tc>
      </w:tr>
      <w:tr>
        <w:trPr>
          <w:trHeight w:val="211"/>
        </w:trPr>
        <w:tc>
          <w:tcPr>
            <w:tcW w:w="2780" w:type="dxa"/>
            <w:vAlign w:val="bottom"/>
          </w:tcPr>
          <w:p>
            <w:pPr>
              <w:spacing w:after="0"/>
              <w:rPr>
                <w:sz w:val="18"/>
                <w:szCs w:val="18"/>
                <w:color w:val="auto"/>
              </w:rPr>
            </w:pPr>
          </w:p>
        </w:tc>
        <w:tc>
          <w:tcPr>
            <w:tcW w:w="2460" w:type="dxa"/>
            <w:vAlign w:val="bottom"/>
          </w:tcPr>
          <w:p>
            <w:pPr>
              <w:ind w:left="420"/>
              <w:spacing w:after="0"/>
              <w:rPr>
                <w:sz w:val="20"/>
                <w:szCs w:val="20"/>
                <w:color w:val="auto"/>
              </w:rPr>
            </w:pPr>
            <w:r>
              <w:rPr>
                <w:rFonts w:ascii="Arial" w:cs="Arial" w:eastAsia="Arial" w:hAnsi="Arial"/>
                <w:sz w:val="16"/>
                <w:szCs w:val="16"/>
                <w:color w:val="auto"/>
              </w:rPr>
              <w:t>Corporation</w:t>
            </w:r>
          </w:p>
        </w:tc>
      </w:tr>
      <w:tr>
        <w:trPr>
          <w:trHeight w:val="217"/>
        </w:trPr>
        <w:tc>
          <w:tcPr>
            <w:tcW w:w="2780" w:type="dxa"/>
            <w:vAlign w:val="bottom"/>
          </w:tcPr>
          <w:p>
            <w:pPr>
              <w:ind w:left="20"/>
              <w:spacing w:after="0"/>
              <w:rPr>
                <w:sz w:val="20"/>
                <w:szCs w:val="20"/>
                <w:color w:val="auto"/>
              </w:rPr>
            </w:pPr>
            <w:r>
              <w:rPr>
                <w:rFonts w:ascii="Arial" w:cs="Arial" w:eastAsia="Arial" w:hAnsi="Arial"/>
                <w:sz w:val="16"/>
                <w:szCs w:val="16"/>
                <w:color w:val="auto"/>
              </w:rPr>
              <w:t>Legg Mason, Inc.</w:t>
            </w:r>
          </w:p>
        </w:tc>
        <w:tc>
          <w:tcPr>
            <w:tcW w:w="2460" w:type="dxa"/>
            <w:vAlign w:val="bottom"/>
          </w:tcPr>
          <w:p>
            <w:pPr>
              <w:ind w:left="140"/>
              <w:spacing w:after="0"/>
              <w:rPr>
                <w:sz w:val="20"/>
                <w:szCs w:val="20"/>
                <w:color w:val="auto"/>
              </w:rPr>
            </w:pPr>
            <w:r>
              <w:rPr>
                <w:rFonts w:ascii="Arial" w:cs="Arial" w:eastAsia="Arial" w:hAnsi="Arial"/>
                <w:sz w:val="16"/>
                <w:szCs w:val="16"/>
                <w:color w:val="auto"/>
              </w:rPr>
              <w:t>Waddell &amp; Reed Financial,</w:t>
            </w:r>
          </w:p>
        </w:tc>
      </w:tr>
      <w:tr>
        <w:trPr>
          <w:trHeight w:val="211"/>
        </w:trPr>
        <w:tc>
          <w:tcPr>
            <w:tcW w:w="2780" w:type="dxa"/>
            <w:vAlign w:val="bottom"/>
          </w:tcPr>
          <w:p>
            <w:pPr>
              <w:spacing w:after="0"/>
              <w:rPr>
                <w:sz w:val="18"/>
                <w:szCs w:val="18"/>
                <w:color w:val="auto"/>
              </w:rPr>
            </w:pPr>
          </w:p>
        </w:tc>
        <w:tc>
          <w:tcPr>
            <w:tcW w:w="2460" w:type="dxa"/>
            <w:vAlign w:val="bottom"/>
          </w:tcPr>
          <w:p>
            <w:pPr>
              <w:ind w:left="420"/>
              <w:spacing w:after="0"/>
              <w:rPr>
                <w:sz w:val="20"/>
                <w:szCs w:val="20"/>
                <w:color w:val="auto"/>
              </w:rPr>
            </w:pPr>
            <w:r>
              <w:rPr>
                <w:rFonts w:ascii="Arial" w:cs="Arial" w:eastAsia="Arial" w:hAnsi="Arial"/>
                <w:sz w:val="16"/>
                <w:szCs w:val="16"/>
                <w:color w:val="auto"/>
              </w:rPr>
              <w:t>Inc.</w:t>
            </w:r>
          </w:p>
        </w:tc>
      </w:tr>
    </w:tbl>
    <w:p>
      <w:pPr>
        <w:spacing w:after="0" w:line="171"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The chart below compares the 2020 revenues and market capitalization as of December 30, 2020 of the Company and the median of the peer group described immediately above (in billions), excluding TD Ameritrade, E*TRADE Financial Corp. and Legg Mason, Inc., which were acquired prior to 2020 year-end:</w:t>
      </w:r>
    </w:p>
    <w:p>
      <w:pPr>
        <w:spacing w:after="0" w:line="21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jc w:val="right"/>
              <w:ind w:right="223"/>
              <w:spacing w:after="0"/>
              <w:rPr>
                <w:sz w:val="20"/>
                <w:szCs w:val="20"/>
                <w:color w:val="auto"/>
              </w:rPr>
            </w:pPr>
            <w:r>
              <w:rPr>
                <w:rFonts w:ascii="Arial" w:cs="Arial" w:eastAsia="Arial" w:hAnsi="Arial"/>
                <w:sz w:val="14"/>
                <w:szCs w:val="14"/>
                <w:b w:val="1"/>
                <w:bCs w:val="1"/>
                <w:color w:val="050A54"/>
              </w:rPr>
              <w:t>Market</w:t>
            </w:r>
          </w:p>
        </w:tc>
      </w:tr>
      <w:tr>
        <w:trPr>
          <w:trHeight w:val="170"/>
        </w:trPr>
        <w:tc>
          <w:tcPr>
            <w:tcW w:w="2460" w:type="dxa"/>
            <w:vAlign w:val="bottom"/>
            <w:tcBorders>
              <w:bottom w:val="single" w:sz="8" w:color="050A54"/>
            </w:tcBorders>
          </w:tcPr>
          <w:p>
            <w:pPr>
              <w:spacing w:after="0"/>
              <w:rPr>
                <w:sz w:val="14"/>
                <w:szCs w:val="14"/>
                <w:color w:val="auto"/>
              </w:rPr>
            </w:pPr>
          </w:p>
        </w:tc>
        <w:tc>
          <w:tcPr>
            <w:tcW w:w="1440" w:type="dxa"/>
            <w:vAlign w:val="bottom"/>
            <w:tcBorders>
              <w:bottom w:val="single" w:sz="8" w:color="050A54"/>
            </w:tcBorders>
            <w:gridSpan w:val="2"/>
          </w:tcPr>
          <w:p>
            <w:pPr>
              <w:ind w:left="500"/>
              <w:spacing w:after="0"/>
              <w:rPr>
                <w:sz w:val="20"/>
                <w:szCs w:val="20"/>
                <w:color w:val="auto"/>
              </w:rPr>
            </w:pPr>
            <w:r>
              <w:rPr>
                <w:rFonts w:ascii="Arial" w:cs="Arial" w:eastAsia="Arial" w:hAnsi="Arial"/>
                <w:sz w:val="14"/>
                <w:szCs w:val="14"/>
                <w:b w:val="1"/>
                <w:bCs w:val="1"/>
                <w:color w:val="050A54"/>
              </w:rPr>
              <w:t>Revenue</w:t>
            </w:r>
          </w:p>
        </w:tc>
        <w:tc>
          <w:tcPr>
            <w:tcW w:w="1340" w:type="dxa"/>
            <w:vAlign w:val="bottom"/>
            <w:tcBorders>
              <w:bottom w:val="single" w:sz="8" w:color="050A54"/>
            </w:tcBorders>
            <w:gridSpan w:val="2"/>
          </w:tcPr>
          <w:p>
            <w:pPr>
              <w:ind w:left="360"/>
              <w:spacing w:after="0"/>
              <w:rPr>
                <w:sz w:val="20"/>
                <w:szCs w:val="20"/>
                <w:color w:val="auto"/>
              </w:rPr>
            </w:pPr>
            <w:r>
              <w:rPr>
                <w:rFonts w:ascii="Arial" w:cs="Arial" w:eastAsia="Arial" w:hAnsi="Arial"/>
                <w:sz w:val="14"/>
                <w:szCs w:val="14"/>
                <w:b w:val="1"/>
                <w:bCs w:val="1"/>
                <w:color w:val="050A54"/>
              </w:rPr>
              <w:t>Capitalization</w:t>
            </w:r>
          </w:p>
        </w:tc>
      </w:tr>
      <w:tr>
        <w:trPr>
          <w:trHeight w:val="214"/>
        </w:trPr>
        <w:tc>
          <w:tcPr>
            <w:tcW w:w="2460" w:type="dxa"/>
            <w:vAlign w:val="bottom"/>
            <w:tcBorders>
              <w:bottom w:val="single" w:sz="8" w:color="E8E8E8"/>
            </w:tcBorders>
            <w:shd w:val="clear" w:color="auto" w:fill="E8E8E8"/>
          </w:tcPr>
          <w:p>
            <w:pPr>
              <w:ind w:left="20"/>
              <w:spacing w:after="0"/>
              <w:rPr>
                <w:sz w:val="20"/>
                <w:szCs w:val="20"/>
                <w:color w:val="auto"/>
              </w:rPr>
            </w:pPr>
            <w:r>
              <w:rPr>
                <w:rFonts w:ascii="Arial" w:cs="Arial" w:eastAsia="Arial" w:hAnsi="Arial"/>
                <w:sz w:val="16"/>
                <w:szCs w:val="16"/>
                <w:color w:val="auto"/>
              </w:rPr>
              <w:t>Peer Group (Median)</w:t>
            </w:r>
          </w:p>
        </w:tc>
        <w:tc>
          <w:tcPr>
            <w:tcW w:w="720" w:type="dxa"/>
            <w:vAlign w:val="bottom"/>
            <w:tcBorders>
              <w:bottom w:val="single" w:sz="8" w:color="E8E8E8"/>
            </w:tcBorders>
            <w:shd w:val="clear" w:color="auto" w:fill="E8E8E8"/>
          </w:tcPr>
          <w:p>
            <w:pPr>
              <w:ind w:left="50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E8E8E8"/>
            </w:tcBorders>
            <w:shd w:val="clear" w:color="auto" w:fill="E8E8E8"/>
          </w:tcPr>
          <w:p>
            <w:pPr>
              <w:jc w:val="right"/>
              <w:ind w:right="260"/>
              <w:spacing w:after="0"/>
              <w:rPr>
                <w:sz w:val="20"/>
                <w:szCs w:val="20"/>
                <w:color w:val="auto"/>
              </w:rPr>
            </w:pPr>
            <w:r>
              <w:rPr>
                <w:rFonts w:ascii="Arial" w:cs="Arial" w:eastAsia="Arial" w:hAnsi="Arial"/>
                <w:sz w:val="16"/>
                <w:szCs w:val="16"/>
                <w:color w:val="auto"/>
              </w:rPr>
              <w:t>4.7</w:t>
            </w:r>
          </w:p>
        </w:tc>
        <w:tc>
          <w:tcPr>
            <w:tcW w:w="520" w:type="dxa"/>
            <w:vAlign w:val="bottom"/>
            <w:tcBorders>
              <w:bottom w:val="single" w:sz="8" w:color="E8E8E8"/>
            </w:tcBorders>
            <w:shd w:val="clear" w:color="auto" w:fill="E8E8E8"/>
          </w:tcPr>
          <w:p>
            <w:pPr>
              <w:ind w:left="36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8.3</w:t>
            </w:r>
          </w:p>
        </w:tc>
      </w:tr>
      <w:tr>
        <w:trPr>
          <w:trHeight w:val="211"/>
        </w:trPr>
        <w:tc>
          <w:tcPr>
            <w:tcW w:w="2460" w:type="dxa"/>
            <w:vAlign w:val="bottom"/>
          </w:tcPr>
          <w:p>
            <w:pPr>
              <w:ind w:left="20"/>
              <w:spacing w:after="0"/>
              <w:rPr>
                <w:sz w:val="20"/>
                <w:szCs w:val="20"/>
                <w:color w:val="auto"/>
              </w:rPr>
            </w:pPr>
            <w:r>
              <w:rPr>
                <w:rFonts w:ascii="Arial" w:cs="Arial" w:eastAsia="Arial" w:hAnsi="Arial"/>
                <w:sz w:val="16"/>
                <w:szCs w:val="16"/>
                <w:color w:val="auto"/>
              </w:rPr>
              <w:t>LPL Financial Holdings Inc.</w:t>
            </w:r>
          </w:p>
        </w:tc>
        <w:tc>
          <w:tcPr>
            <w:tcW w:w="720" w:type="dxa"/>
            <w:vAlign w:val="bottom"/>
          </w:tcPr>
          <w:p>
            <w:pPr>
              <w:ind w:left="50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60"/>
              <w:spacing w:after="0"/>
              <w:rPr>
                <w:sz w:val="20"/>
                <w:szCs w:val="20"/>
                <w:color w:val="auto"/>
              </w:rPr>
            </w:pPr>
            <w:r>
              <w:rPr>
                <w:rFonts w:ascii="Arial" w:cs="Arial" w:eastAsia="Arial" w:hAnsi="Arial"/>
                <w:sz w:val="16"/>
                <w:szCs w:val="16"/>
                <w:color w:val="auto"/>
              </w:rPr>
              <w:t>5.9</w:t>
            </w:r>
          </w:p>
        </w:tc>
        <w:tc>
          <w:tcPr>
            <w:tcW w:w="520" w:type="dxa"/>
            <w:vAlign w:val="bottom"/>
          </w:tcPr>
          <w:p>
            <w:pPr>
              <w:ind w:left="3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9"/>
        </w:trPr>
        <w:tc>
          <w:tcPr>
            <w:tcW w:w="2460" w:type="dxa"/>
            <w:vAlign w:val="bottom"/>
            <w:tcBorders>
              <w:bottom w:val="single" w:sz="8" w:color="050A54"/>
            </w:tcBorders>
          </w:tcPr>
          <w:p>
            <w:pPr>
              <w:spacing w:after="0"/>
              <w:rPr>
                <w:sz w:val="2"/>
                <w:szCs w:val="2"/>
                <w:color w:val="auto"/>
              </w:rPr>
            </w:pPr>
          </w:p>
        </w:tc>
        <w:tc>
          <w:tcPr>
            <w:tcW w:w="720" w:type="dxa"/>
            <w:vAlign w:val="bottom"/>
            <w:tcBorders>
              <w:bottom w:val="single" w:sz="8" w:color="050A54"/>
            </w:tcBorders>
          </w:tcPr>
          <w:p>
            <w:pPr>
              <w:spacing w:after="0"/>
              <w:rPr>
                <w:sz w:val="2"/>
                <w:szCs w:val="2"/>
                <w:color w:val="auto"/>
              </w:rPr>
            </w:pPr>
          </w:p>
        </w:tc>
        <w:tc>
          <w:tcPr>
            <w:tcW w:w="720" w:type="dxa"/>
            <w:vAlign w:val="bottom"/>
            <w:tcBorders>
              <w:bottom w:val="single" w:sz="8" w:color="050A54"/>
            </w:tcBorders>
          </w:tcPr>
          <w:p>
            <w:pPr>
              <w:spacing w:after="0"/>
              <w:rPr>
                <w:sz w:val="2"/>
                <w:szCs w:val="2"/>
                <w:color w:val="auto"/>
              </w:rPr>
            </w:pPr>
          </w:p>
        </w:tc>
        <w:tc>
          <w:tcPr>
            <w:tcW w:w="520" w:type="dxa"/>
            <w:vAlign w:val="bottom"/>
            <w:tcBorders>
              <w:bottom w:val="single" w:sz="8" w:color="050A54"/>
            </w:tcBorders>
          </w:tcPr>
          <w:p>
            <w:pPr>
              <w:spacing w:after="0"/>
              <w:rPr>
                <w:sz w:val="2"/>
                <w:szCs w:val="2"/>
                <w:color w:val="auto"/>
              </w:rPr>
            </w:pPr>
          </w:p>
        </w:tc>
        <w:tc>
          <w:tcPr>
            <w:tcW w:w="820" w:type="dxa"/>
            <w:vAlign w:val="bottom"/>
            <w:tcBorders>
              <w:bottom w:val="single" w:sz="8" w:color="050A54"/>
            </w:tcBorders>
          </w:tcPr>
          <w:p>
            <w:pPr>
              <w:spacing w:after="0"/>
              <w:rPr>
                <w:sz w:val="2"/>
                <w:szCs w:val="2"/>
                <w:color w:val="auto"/>
              </w:rPr>
            </w:pPr>
          </w:p>
        </w:tc>
      </w:tr>
    </w:tbl>
    <w:p>
      <w:pPr>
        <w:spacing w:after="0" w:line="195"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In late 2021, with the assistance of the Compensation Consultant, the Compensation Committee conducted a focused review of the size and composition of the Company’s peer group in order to assist with 2021 year-end compensation decision-making and the review of 2022 total target compensation. In particular, the Compensation Committee considered the continued appropriateness of the peer companies, merger and acquisition activity affecting certain members of the peer group and consideration of additional candidates for potential inclusion in the peer group, particularly in light of the Company’s evolving talent acquisition strategies. Following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000" w:hanging="690"/>
        <w:spacing w:after="0"/>
        <w:tabs>
          <w:tab w:leader="none" w:pos="1000" w:val="left"/>
        </w:tabs>
        <w:numPr>
          <w:ilvl w:val="0"/>
          <w:numId w:val="70"/>
        </w:numPr>
        <w:rPr>
          <w:rFonts w:ascii="Arial" w:cs="Arial" w:eastAsia="Arial" w:hAnsi="Arial"/>
          <w:sz w:val="18"/>
          <w:szCs w:val="18"/>
          <w:color w:val="050A54"/>
        </w:rPr>
      </w:pPr>
      <w:r>
        <w:rPr>
          <w:rFonts w:ascii="Arial" w:cs="Arial" w:eastAsia="Arial" w:hAnsi="Arial"/>
          <w:sz w:val="18"/>
          <w:szCs w:val="18"/>
          <w:b w:val="1"/>
          <w:bCs w:val="1"/>
          <w:color w:val="050A54"/>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-118745</wp:posOffset>
            </wp:positionV>
            <wp:extent cx="8255" cy="135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assessment, the Compensation Committee determined to amend the group by:</w:t>
      </w:r>
    </w:p>
    <w:p>
      <w:pPr>
        <w:spacing w:after="0" w:line="185" w:lineRule="exact"/>
        <w:rPr>
          <w:sz w:val="20"/>
          <w:szCs w:val="20"/>
          <w:color w:val="auto"/>
        </w:rPr>
      </w:pPr>
    </w:p>
    <w:p>
      <w:pPr>
        <w:ind w:left="360" w:right="20"/>
        <w:spacing w:after="0" w:line="249" w:lineRule="auto"/>
        <w:rPr>
          <w:sz w:val="20"/>
          <w:szCs w:val="20"/>
          <w:color w:val="auto"/>
        </w:rPr>
      </w:pPr>
      <w:r>
        <w:rPr>
          <w:rFonts w:ascii="Arial" w:cs="Arial" w:eastAsia="Arial" w:hAnsi="Arial"/>
          <w:sz w:val="18"/>
          <w:szCs w:val="18"/>
          <w:color w:val="auto"/>
        </w:rPr>
        <w:t>removing E*TRADE Financial Corp., Legg Mason, Inc., TD Ameritrade Holding Corporation and Waddell &amp; Reed Financial, Inc.; and</w:t>
      </w:r>
    </w:p>
    <w:p>
      <w:pPr>
        <w:spacing w:after="0" w:line="198" w:lineRule="exact"/>
        <w:rPr>
          <w:sz w:val="20"/>
          <w:szCs w:val="20"/>
          <w:color w:val="auto"/>
        </w:rPr>
      </w:pPr>
    </w:p>
    <w:p>
      <w:pPr>
        <w:ind w:left="360" w:right="20"/>
        <w:spacing w:after="0" w:line="249" w:lineRule="auto"/>
        <w:rPr>
          <w:sz w:val="20"/>
          <w:szCs w:val="20"/>
          <w:color w:val="auto"/>
        </w:rPr>
      </w:pPr>
      <w:r>
        <w:rPr>
          <w:rFonts w:ascii="Arial" w:cs="Arial" w:eastAsia="Arial" w:hAnsi="Arial"/>
          <w:sz w:val="18"/>
          <w:szCs w:val="18"/>
          <w:color w:val="auto"/>
        </w:rPr>
        <w:t>adding Franklin Resources, Inc., Interactive Brokers Group, Inc., Nasdaq, Inc., Northern Trust Corp. and The Western Union Company.</w:t>
      </w:r>
    </w:p>
    <w:p>
      <w:pPr>
        <w:spacing w:after="0" w:line="17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As a result, the companies within our peer group used for 2021 year-end compensation decision-making and in the review of 2022 total target compensation consisted of:</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Alliance Data Systems CorporationNorthern Trust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33883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88360" cy="8255"/>
                    </a:xfrm>
                    <a:prstGeom prst="rect">
                      <a:avLst/>
                    </a:prstGeom>
                    <a:noFill/>
                  </pic:spPr>
                </pic:pic>
              </a:graphicData>
            </a:graphic>
          </wp:anchor>
        </w:drawing>
      </w:r>
    </w:p>
    <w:p>
      <w:pPr>
        <w:spacing w:after="0" w:line="7" w:lineRule="exact"/>
        <w:rPr>
          <w:sz w:val="20"/>
          <w:szCs w:val="20"/>
          <w:color w:val="auto"/>
        </w:rPr>
      </w:pPr>
    </w:p>
    <w:p>
      <w:pPr>
        <w:spacing w:after="0"/>
        <w:tabs>
          <w:tab w:leader="none" w:pos="3220" w:val="left"/>
        </w:tabs>
        <w:rPr>
          <w:sz w:val="20"/>
          <w:szCs w:val="20"/>
          <w:color w:val="auto"/>
        </w:rPr>
      </w:pPr>
      <w:r>
        <w:rPr>
          <w:rFonts w:ascii="Arial" w:cs="Arial" w:eastAsia="Arial" w:hAnsi="Arial"/>
          <w:sz w:val="16"/>
          <w:szCs w:val="16"/>
          <w:color w:val="auto"/>
        </w:rPr>
        <w:t>Ameriprise Financial, Inc.</w:t>
      </w:r>
      <w:r>
        <w:rPr>
          <w:sz w:val="20"/>
          <w:szCs w:val="20"/>
          <w:color w:val="auto"/>
        </w:rPr>
        <w:tab/>
      </w:r>
      <w:r>
        <w:rPr>
          <w:rFonts w:ascii="Arial" w:cs="Arial" w:eastAsia="Arial" w:hAnsi="Arial"/>
          <w:sz w:val="16"/>
          <w:szCs w:val="16"/>
          <w:color w:val="auto"/>
        </w:rPr>
        <w:t>Raymond James Financial,</w:t>
      </w:r>
    </w:p>
    <w:p>
      <w:pPr>
        <w:spacing w:after="0" w:line="62"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Inc.</w:t>
      </w:r>
    </w:p>
    <w:p>
      <w:pPr>
        <w:spacing w:after="0" w:line="11" w:lineRule="exact"/>
        <w:rPr>
          <w:sz w:val="20"/>
          <w:szCs w:val="20"/>
          <w:color w:val="auto"/>
        </w:rPr>
      </w:pPr>
    </w:p>
    <w:p>
      <w:pPr>
        <w:spacing w:after="0"/>
        <w:tabs>
          <w:tab w:leader="none" w:pos="3220" w:val="left"/>
        </w:tabs>
        <w:rPr>
          <w:sz w:val="20"/>
          <w:szCs w:val="20"/>
          <w:color w:val="auto"/>
        </w:rPr>
      </w:pPr>
      <w:r>
        <w:rPr>
          <w:rFonts w:ascii="Arial" w:cs="Arial" w:eastAsia="Arial" w:hAnsi="Arial"/>
          <w:sz w:val="16"/>
          <w:szCs w:val="16"/>
          <w:color w:val="auto"/>
        </w:rPr>
        <w:t>Broadridge Financial Solutions,</w:t>
      </w:r>
      <w:r>
        <w:rPr>
          <w:sz w:val="20"/>
          <w:szCs w:val="20"/>
          <w:color w:val="auto"/>
        </w:rPr>
        <w:tab/>
      </w:r>
      <w:r>
        <w:rPr>
          <w:rFonts w:ascii="Arial" w:cs="Arial" w:eastAsia="Arial" w:hAnsi="Arial"/>
          <w:sz w:val="16"/>
          <w:szCs w:val="16"/>
          <w:color w:val="auto"/>
        </w:rPr>
        <w:t>SEI Investments Company</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Inc.</w:t>
      </w:r>
    </w:p>
    <w:p>
      <w:pPr>
        <w:spacing w:after="0" w:line="11" w:lineRule="exact"/>
        <w:rPr>
          <w:sz w:val="20"/>
          <w:szCs w:val="20"/>
          <w:color w:val="auto"/>
        </w:rPr>
      </w:pPr>
    </w:p>
    <w:p>
      <w:pPr>
        <w:spacing w:after="0"/>
        <w:tabs>
          <w:tab w:leader="none" w:pos="3220" w:val="left"/>
        </w:tabs>
        <w:rPr>
          <w:sz w:val="20"/>
          <w:szCs w:val="20"/>
          <w:color w:val="auto"/>
        </w:rPr>
      </w:pPr>
      <w:r>
        <w:rPr>
          <w:rFonts w:ascii="Arial" w:cs="Arial" w:eastAsia="Arial" w:hAnsi="Arial"/>
          <w:sz w:val="16"/>
          <w:szCs w:val="16"/>
          <w:color w:val="auto"/>
        </w:rPr>
        <w:t>Eaton Vance Corp.</w:t>
      </w:r>
      <w:r>
        <w:rPr>
          <w:sz w:val="20"/>
          <w:szCs w:val="20"/>
          <w:color w:val="auto"/>
        </w:rPr>
        <w:tab/>
      </w:r>
      <w:r>
        <w:rPr>
          <w:rFonts w:ascii="Arial" w:cs="Arial" w:eastAsia="Arial" w:hAnsi="Arial"/>
          <w:sz w:val="15"/>
          <w:szCs w:val="15"/>
          <w:color w:val="auto"/>
        </w:rPr>
        <w:t>SS&amp;C Technologies</w:t>
      </w:r>
    </w:p>
    <w:p>
      <w:pPr>
        <w:spacing w:after="0" w:line="49"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Holdings, Inc.</w:t>
      </w:r>
    </w:p>
    <w:p>
      <w:pPr>
        <w:spacing w:after="0" w:line="41" w:lineRule="exact"/>
        <w:rPr>
          <w:sz w:val="20"/>
          <w:szCs w:val="20"/>
          <w:color w:val="auto"/>
        </w:rPr>
      </w:pPr>
    </w:p>
    <w:p>
      <w:pPr>
        <w:spacing w:after="0"/>
        <w:tabs>
          <w:tab w:leader="none" w:pos="3220" w:val="left"/>
        </w:tabs>
        <w:rPr>
          <w:sz w:val="20"/>
          <w:szCs w:val="20"/>
          <w:color w:val="auto"/>
        </w:rPr>
      </w:pPr>
      <w:r>
        <w:rPr>
          <w:rFonts w:ascii="Arial" w:cs="Arial" w:eastAsia="Arial" w:hAnsi="Arial"/>
          <w:sz w:val="16"/>
          <w:szCs w:val="16"/>
          <w:color w:val="auto"/>
        </w:rPr>
        <w:t>Franklin Resources, Inc.</w:t>
      </w:r>
      <w:r>
        <w:rPr>
          <w:sz w:val="20"/>
          <w:szCs w:val="20"/>
          <w:color w:val="auto"/>
        </w:rPr>
        <w:tab/>
      </w:r>
      <w:r>
        <w:rPr>
          <w:rFonts w:ascii="Arial" w:cs="Arial" w:eastAsia="Arial" w:hAnsi="Arial"/>
          <w:sz w:val="16"/>
          <w:szCs w:val="16"/>
          <w:color w:val="auto"/>
        </w:rPr>
        <w:t>Stifel Financial Corp.</w:t>
      </w:r>
    </w:p>
    <w:p>
      <w:pPr>
        <w:spacing w:after="0" w:line="27" w:lineRule="exact"/>
        <w:rPr>
          <w:sz w:val="20"/>
          <w:szCs w:val="20"/>
          <w:color w:val="auto"/>
        </w:rPr>
      </w:pPr>
    </w:p>
    <w:p>
      <w:pPr>
        <w:spacing w:after="0"/>
        <w:tabs>
          <w:tab w:leader="none" w:pos="3220" w:val="left"/>
        </w:tabs>
        <w:rPr>
          <w:sz w:val="20"/>
          <w:szCs w:val="20"/>
          <w:color w:val="auto"/>
        </w:rPr>
      </w:pPr>
      <w:r>
        <w:rPr>
          <w:rFonts w:ascii="Arial" w:cs="Arial" w:eastAsia="Arial" w:hAnsi="Arial"/>
          <w:sz w:val="16"/>
          <w:szCs w:val="16"/>
          <w:color w:val="auto"/>
        </w:rPr>
        <w:t>Interactive Brokers Group, Inc.</w:t>
      </w:r>
      <w:r>
        <w:rPr>
          <w:sz w:val="20"/>
          <w:szCs w:val="20"/>
          <w:color w:val="auto"/>
        </w:rPr>
        <w:tab/>
      </w:r>
      <w:r>
        <w:rPr>
          <w:rFonts w:ascii="Arial" w:cs="Arial" w:eastAsia="Arial" w:hAnsi="Arial"/>
          <w:sz w:val="16"/>
          <w:szCs w:val="16"/>
          <w:color w:val="auto"/>
        </w:rPr>
        <w:t>The Charles Schwab</w:t>
      </w:r>
    </w:p>
    <w:p>
      <w:pPr>
        <w:spacing w:after="0" w:line="62"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Corporation</w:t>
      </w:r>
    </w:p>
    <w:p>
      <w:pPr>
        <w:spacing w:after="0" w:line="11" w:lineRule="exact"/>
        <w:rPr>
          <w:sz w:val="20"/>
          <w:szCs w:val="20"/>
          <w:color w:val="auto"/>
        </w:rPr>
      </w:pPr>
    </w:p>
    <w:p>
      <w:pPr>
        <w:spacing w:after="0"/>
        <w:tabs>
          <w:tab w:leader="none" w:pos="3220" w:val="left"/>
        </w:tabs>
        <w:rPr>
          <w:sz w:val="20"/>
          <w:szCs w:val="20"/>
          <w:color w:val="auto"/>
        </w:rPr>
      </w:pPr>
      <w:r>
        <w:rPr>
          <w:rFonts w:ascii="Arial" w:cs="Arial" w:eastAsia="Arial" w:hAnsi="Arial"/>
          <w:sz w:val="16"/>
          <w:szCs w:val="16"/>
          <w:color w:val="auto"/>
        </w:rPr>
        <w:t>Invesco Ltd.</w:t>
      </w:r>
      <w:r>
        <w:rPr>
          <w:sz w:val="20"/>
          <w:szCs w:val="20"/>
          <w:color w:val="auto"/>
        </w:rPr>
        <w:tab/>
      </w:r>
      <w:r>
        <w:rPr>
          <w:rFonts w:ascii="Arial" w:cs="Arial" w:eastAsia="Arial" w:hAnsi="Arial"/>
          <w:sz w:val="16"/>
          <w:szCs w:val="16"/>
          <w:color w:val="auto"/>
        </w:rPr>
        <w:t>The Western Union</w:t>
      </w:r>
    </w:p>
    <w:p>
      <w:pPr>
        <w:spacing w:after="0" w:line="49"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Company</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Nasdaq, Inc.</w:t>
      </w:r>
    </w:p>
    <w:p>
      <w:pPr>
        <w:spacing w:after="0" w:line="22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chart below compares the 2021 revenue and market capitalization as of December 31, 2021 of the Company and the median of the peer group described immediately above (in billions):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jc w:val="right"/>
              <w:ind w:right="223"/>
              <w:spacing w:after="0"/>
              <w:rPr>
                <w:sz w:val="20"/>
                <w:szCs w:val="20"/>
                <w:color w:val="auto"/>
              </w:rPr>
            </w:pPr>
            <w:r>
              <w:rPr>
                <w:rFonts w:ascii="Arial" w:cs="Arial" w:eastAsia="Arial" w:hAnsi="Arial"/>
                <w:sz w:val="14"/>
                <w:szCs w:val="14"/>
                <w:b w:val="1"/>
                <w:bCs w:val="1"/>
                <w:color w:val="050A54"/>
              </w:rPr>
              <w:t>Market</w:t>
            </w:r>
          </w:p>
        </w:tc>
      </w:tr>
      <w:tr>
        <w:trPr>
          <w:trHeight w:val="170"/>
        </w:trPr>
        <w:tc>
          <w:tcPr>
            <w:tcW w:w="20" w:type="dxa"/>
            <w:vAlign w:val="bottom"/>
          </w:tcPr>
          <w:p>
            <w:pPr>
              <w:spacing w:after="0"/>
              <w:rPr>
                <w:sz w:val="14"/>
                <w:szCs w:val="14"/>
                <w:color w:val="auto"/>
              </w:rPr>
            </w:pPr>
          </w:p>
        </w:tc>
        <w:tc>
          <w:tcPr>
            <w:tcW w:w="2480" w:type="dxa"/>
            <w:vAlign w:val="bottom"/>
            <w:tcBorders>
              <w:bottom w:val="single" w:sz="8" w:color="050A54"/>
            </w:tcBorders>
          </w:tcPr>
          <w:p>
            <w:pPr>
              <w:spacing w:after="0"/>
              <w:rPr>
                <w:sz w:val="14"/>
                <w:szCs w:val="14"/>
                <w:color w:val="auto"/>
              </w:rPr>
            </w:pPr>
          </w:p>
        </w:tc>
        <w:tc>
          <w:tcPr>
            <w:tcW w:w="1500" w:type="dxa"/>
            <w:vAlign w:val="bottom"/>
            <w:tcBorders>
              <w:bottom w:val="single" w:sz="8" w:color="050A54"/>
            </w:tcBorders>
            <w:gridSpan w:val="2"/>
          </w:tcPr>
          <w:p>
            <w:pPr>
              <w:ind w:left="560"/>
              <w:spacing w:after="0"/>
              <w:rPr>
                <w:sz w:val="20"/>
                <w:szCs w:val="20"/>
                <w:color w:val="auto"/>
              </w:rPr>
            </w:pPr>
            <w:r>
              <w:rPr>
                <w:rFonts w:ascii="Arial" w:cs="Arial" w:eastAsia="Arial" w:hAnsi="Arial"/>
                <w:sz w:val="14"/>
                <w:szCs w:val="14"/>
                <w:b w:val="1"/>
                <w:bCs w:val="1"/>
                <w:color w:val="050A54"/>
              </w:rPr>
              <w:t>Revenue</w:t>
            </w:r>
          </w:p>
        </w:tc>
        <w:tc>
          <w:tcPr>
            <w:tcW w:w="1340" w:type="dxa"/>
            <w:vAlign w:val="bottom"/>
            <w:tcBorders>
              <w:bottom w:val="single" w:sz="8" w:color="050A54"/>
            </w:tcBorders>
            <w:gridSpan w:val="2"/>
          </w:tcPr>
          <w:p>
            <w:pPr>
              <w:ind w:left="340"/>
              <w:spacing w:after="0"/>
              <w:rPr>
                <w:sz w:val="20"/>
                <w:szCs w:val="20"/>
                <w:color w:val="auto"/>
              </w:rPr>
            </w:pPr>
            <w:r>
              <w:rPr>
                <w:rFonts w:ascii="Arial" w:cs="Arial" w:eastAsia="Arial" w:hAnsi="Arial"/>
                <w:sz w:val="14"/>
                <w:szCs w:val="14"/>
                <w:b w:val="1"/>
                <w:bCs w:val="1"/>
                <w:color w:val="050A54"/>
              </w:rPr>
              <w:t>Capitalization</w:t>
            </w:r>
          </w:p>
        </w:tc>
      </w:tr>
      <w:tr>
        <w:trPr>
          <w:trHeight w:val="214"/>
        </w:trPr>
        <w:tc>
          <w:tcPr>
            <w:tcW w:w="20" w:type="dxa"/>
            <w:vAlign w:val="bottom"/>
          </w:tcPr>
          <w:p>
            <w:pPr>
              <w:spacing w:after="0"/>
              <w:rPr>
                <w:sz w:val="18"/>
                <w:szCs w:val="18"/>
                <w:color w:val="auto"/>
              </w:rPr>
            </w:pPr>
          </w:p>
        </w:tc>
        <w:tc>
          <w:tcPr>
            <w:tcW w:w="2480" w:type="dxa"/>
            <w:vAlign w:val="bottom"/>
            <w:tcBorders>
              <w:bottom w:val="single" w:sz="8" w:color="E8E8E8"/>
            </w:tcBorders>
            <w:shd w:val="clear" w:color="auto" w:fill="E8E8E8"/>
          </w:tcPr>
          <w:p>
            <w:pPr>
              <w:spacing w:after="0"/>
              <w:rPr>
                <w:sz w:val="20"/>
                <w:szCs w:val="20"/>
                <w:color w:val="auto"/>
              </w:rPr>
            </w:pPr>
            <w:r>
              <w:rPr>
                <w:rFonts w:ascii="Arial" w:cs="Arial" w:eastAsia="Arial" w:hAnsi="Arial"/>
                <w:sz w:val="16"/>
                <w:szCs w:val="16"/>
                <w:color w:val="auto"/>
              </w:rPr>
              <w:t>Peer Group (Median)</w:t>
            </w:r>
          </w:p>
        </w:tc>
        <w:tc>
          <w:tcPr>
            <w:tcW w:w="800" w:type="dxa"/>
            <w:vAlign w:val="bottom"/>
            <w:tcBorders>
              <w:bottom w:val="single" w:sz="8" w:color="E8E8E8"/>
            </w:tcBorders>
            <w:shd w:val="clear" w:color="auto" w:fill="E8E8E8"/>
          </w:tcPr>
          <w:p>
            <w:pPr>
              <w:ind w:left="56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E8E8E8"/>
            </w:tcBorders>
            <w:shd w:val="clear" w:color="auto" w:fill="E8E8E8"/>
          </w:tcPr>
          <w:p>
            <w:pPr>
              <w:jc w:val="right"/>
              <w:ind w:right="260"/>
              <w:spacing w:after="0"/>
              <w:rPr>
                <w:sz w:val="20"/>
                <w:szCs w:val="20"/>
                <w:color w:val="auto"/>
              </w:rPr>
            </w:pPr>
            <w:r>
              <w:rPr>
                <w:rFonts w:ascii="Arial" w:cs="Arial" w:eastAsia="Arial" w:hAnsi="Arial"/>
                <w:sz w:val="16"/>
                <w:szCs w:val="16"/>
                <w:color w:val="auto"/>
              </w:rPr>
              <w:t>5.6</w:t>
            </w:r>
          </w:p>
        </w:tc>
        <w:tc>
          <w:tcPr>
            <w:tcW w:w="500" w:type="dxa"/>
            <w:vAlign w:val="bottom"/>
            <w:tcBorders>
              <w:bottom w:val="single" w:sz="8" w:color="E8E8E8"/>
            </w:tcBorders>
            <w:shd w:val="clear" w:color="auto" w:fill="E8E8E8"/>
          </w:tcPr>
          <w:p>
            <w:pPr>
              <w:ind w:left="3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18.7</w:t>
            </w:r>
          </w:p>
        </w:tc>
      </w:tr>
      <w:tr>
        <w:trPr>
          <w:trHeight w:val="211"/>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6"/>
                <w:szCs w:val="16"/>
                <w:color w:val="auto"/>
              </w:rPr>
              <w:t>LPL Financial Holdings Inc.</w:t>
            </w:r>
          </w:p>
        </w:tc>
        <w:tc>
          <w:tcPr>
            <w:tcW w:w="800" w:type="dxa"/>
            <w:vAlign w:val="bottom"/>
          </w:tcPr>
          <w:p>
            <w:pPr>
              <w:ind w:left="56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60"/>
              <w:spacing w:after="0"/>
              <w:rPr>
                <w:sz w:val="20"/>
                <w:szCs w:val="20"/>
                <w:color w:val="auto"/>
              </w:rPr>
            </w:pPr>
            <w:r>
              <w:rPr>
                <w:rFonts w:ascii="Arial" w:cs="Arial" w:eastAsia="Arial" w:hAnsi="Arial"/>
                <w:sz w:val="16"/>
                <w:szCs w:val="16"/>
                <w:color w:val="auto"/>
              </w:rPr>
              <w:t>7.7</w:t>
            </w:r>
          </w:p>
        </w:tc>
        <w:tc>
          <w:tcPr>
            <w:tcW w:w="500" w:type="dxa"/>
            <w:vAlign w:val="bottom"/>
          </w:tcPr>
          <w:p>
            <w:pPr>
              <w:ind w:left="3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29"/>
        </w:trPr>
        <w:tc>
          <w:tcPr>
            <w:tcW w:w="20" w:type="dxa"/>
            <w:vAlign w:val="bottom"/>
            <w:tcBorders>
              <w:bottom w:val="single" w:sz="8" w:color="050A54"/>
            </w:tcBorders>
          </w:tcPr>
          <w:p>
            <w:pPr>
              <w:spacing w:after="0"/>
              <w:rPr>
                <w:sz w:val="2"/>
                <w:szCs w:val="2"/>
                <w:color w:val="auto"/>
              </w:rPr>
            </w:pPr>
          </w:p>
        </w:tc>
        <w:tc>
          <w:tcPr>
            <w:tcW w:w="2480" w:type="dxa"/>
            <w:vAlign w:val="bottom"/>
            <w:tcBorders>
              <w:bottom w:val="single" w:sz="8" w:color="050A54"/>
            </w:tcBorders>
          </w:tcPr>
          <w:p>
            <w:pPr>
              <w:spacing w:after="0"/>
              <w:rPr>
                <w:sz w:val="2"/>
                <w:szCs w:val="2"/>
                <w:color w:val="auto"/>
              </w:rPr>
            </w:pPr>
          </w:p>
        </w:tc>
        <w:tc>
          <w:tcPr>
            <w:tcW w:w="800" w:type="dxa"/>
            <w:vAlign w:val="bottom"/>
            <w:tcBorders>
              <w:bottom w:val="single" w:sz="8" w:color="050A54"/>
            </w:tcBorders>
          </w:tcPr>
          <w:p>
            <w:pPr>
              <w:spacing w:after="0"/>
              <w:rPr>
                <w:sz w:val="2"/>
                <w:szCs w:val="2"/>
                <w:color w:val="auto"/>
              </w:rPr>
            </w:pPr>
          </w:p>
        </w:tc>
        <w:tc>
          <w:tcPr>
            <w:tcW w:w="700" w:type="dxa"/>
            <w:vAlign w:val="bottom"/>
            <w:tcBorders>
              <w:bottom w:val="single" w:sz="8" w:color="050A54"/>
            </w:tcBorders>
          </w:tcPr>
          <w:p>
            <w:pPr>
              <w:spacing w:after="0"/>
              <w:rPr>
                <w:sz w:val="2"/>
                <w:szCs w:val="2"/>
                <w:color w:val="auto"/>
              </w:rPr>
            </w:pPr>
          </w:p>
        </w:tc>
        <w:tc>
          <w:tcPr>
            <w:tcW w:w="500" w:type="dxa"/>
            <w:vAlign w:val="bottom"/>
            <w:tcBorders>
              <w:bottom w:val="single" w:sz="8" w:color="050A54"/>
            </w:tcBorders>
          </w:tcPr>
          <w:p>
            <w:pPr>
              <w:spacing w:after="0"/>
              <w:rPr>
                <w:sz w:val="2"/>
                <w:szCs w:val="2"/>
                <w:color w:val="auto"/>
              </w:rPr>
            </w:pPr>
          </w:p>
        </w:tc>
        <w:tc>
          <w:tcPr>
            <w:tcW w:w="840" w:type="dxa"/>
            <w:vAlign w:val="bottom"/>
            <w:tcBorders>
              <w:bottom w:val="single" w:sz="8" w:color="050A54"/>
            </w:tcBorders>
          </w:tcPr>
          <w:p>
            <w:pPr>
              <w:spacing w:after="0"/>
              <w:rPr>
                <w:sz w:val="2"/>
                <w:szCs w:val="2"/>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050A54"/>
        </w:rPr>
        <w:t>Compensation Policies and Practices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50A54"/>
        </w:rPr>
        <w:t>No Employment Agreements</w:t>
      </w:r>
    </w:p>
    <w:p>
      <w:pPr>
        <w:spacing w:after="0" w:line="9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do not have individual employment agreements with any of our executive officers, including our NEOs, although we have a practice of entering into offer letters with new executive officers that generally lay out the expected terms and conditions of their employment, including potential levels of compensation. Our executives serve at the will of the Board, and their rights to severance benefits following a termination of employment, if any, are determined</w:t>
      </w:r>
    </w:p>
    <w:p>
      <w:pPr>
        <w:sectPr>
          <w:pgSz w:w="11900" w:h="16838" w:orient="portrait"/>
          <w:cols w:equalWidth="0" w:num="2">
            <w:col w:w="5400" w:space="340"/>
            <w:col w:w="5340"/>
          </w:cols>
          <w:pgMar w:left="320" w:top="454" w:right="499" w:bottom="1440" w:gutter="0" w:footer="0" w:header="0"/>
          <w:type w:val="continuous"/>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336"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under our Executive Severance Plan, which applies uniformly to executives at the managing director level and above.</w:t>
      </w:r>
    </w:p>
    <w:p>
      <w:pPr>
        <w:spacing w:after="0" w:line="16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0A54"/>
        </w:rPr>
        <w:t>Executive Severance Plan</w:t>
      </w:r>
    </w:p>
    <w:p>
      <w:pPr>
        <w:spacing w:after="0" w:line="206" w:lineRule="exact"/>
        <w:rPr>
          <w:sz w:val="20"/>
          <w:szCs w:val="20"/>
          <w:color w:val="auto"/>
        </w:rPr>
      </w:pPr>
    </w:p>
    <w:p>
      <w:pPr>
        <w:jc w:val="both"/>
        <w:ind w:left="160"/>
        <w:spacing w:after="0" w:line="258" w:lineRule="auto"/>
        <w:rPr>
          <w:sz w:val="20"/>
          <w:szCs w:val="20"/>
          <w:color w:val="auto"/>
        </w:rPr>
      </w:pPr>
      <w:r>
        <w:rPr>
          <w:rFonts w:ascii="Arial" w:cs="Arial" w:eastAsia="Arial" w:hAnsi="Arial"/>
          <w:sz w:val="17"/>
          <w:szCs w:val="17"/>
          <w:color w:val="auto"/>
        </w:rPr>
        <w:t>Under our Executive Severance Plan, participants who experience a qualifying termination of employment are eligible to receive continued payment of base salary for one year, an amount equal to the most recent annual bonus paid or payable to the executive and a subsidy of COBRA continuation benefits for one year.</w:t>
      </w:r>
    </w:p>
    <w:p>
      <w:pPr>
        <w:spacing w:after="0" w:line="166"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Additional benefits, including possible accelerated vesting of equity-based awards, are described elsewhere in this proxy statement under “</w:t>
      </w:r>
      <w:r>
        <w:rPr>
          <w:rFonts w:ascii="Arial" w:cs="Arial" w:eastAsia="Arial" w:hAnsi="Arial"/>
          <w:sz w:val="18"/>
          <w:szCs w:val="18"/>
          <w:i w:val="1"/>
          <w:iCs w:val="1"/>
          <w:color w:val="auto"/>
        </w:rPr>
        <w:t>Potential Payments upon Termination or</w:t>
      </w:r>
      <w:r>
        <w:rPr>
          <w:rFonts w:ascii="Arial" w:cs="Arial" w:eastAsia="Arial" w:hAnsi="Arial"/>
          <w:sz w:val="18"/>
          <w:szCs w:val="18"/>
          <w:color w:val="auto"/>
        </w:rPr>
        <w:t xml:space="preserve"> </w:t>
      </w:r>
      <w:r>
        <w:rPr>
          <w:rFonts w:ascii="Arial" w:cs="Arial" w:eastAsia="Arial" w:hAnsi="Arial"/>
          <w:sz w:val="18"/>
          <w:szCs w:val="18"/>
          <w:i w:val="1"/>
          <w:iCs w:val="1"/>
          <w:color w:val="auto"/>
        </w:rPr>
        <w:t>Change-in-Control for the Year Ended December 31, 2021</w:t>
      </w:r>
      <w:r>
        <w:rPr>
          <w:rFonts w:ascii="Arial" w:cs="Arial" w:eastAsia="Arial" w:hAnsi="Arial"/>
          <w:sz w:val="18"/>
          <w:szCs w:val="18"/>
          <w:color w:val="auto"/>
        </w:rPr>
        <w:t>.”</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0A54"/>
        </w:rPr>
        <w:t>Equity Ownership Guidelines</w:t>
      </w:r>
    </w:p>
    <w:p>
      <w:pPr>
        <w:spacing w:after="0" w:line="206" w:lineRule="exact"/>
        <w:rPr>
          <w:sz w:val="20"/>
          <w:szCs w:val="20"/>
          <w:color w:val="auto"/>
        </w:rPr>
      </w:pPr>
    </w:p>
    <w:p>
      <w:pPr>
        <w:jc w:val="both"/>
        <w:ind w:left="160"/>
        <w:spacing w:after="0" w:line="249" w:lineRule="auto"/>
        <w:rPr>
          <w:sz w:val="20"/>
          <w:szCs w:val="20"/>
          <w:color w:val="auto"/>
        </w:rPr>
      </w:pPr>
      <w:r>
        <w:rPr>
          <w:rFonts w:ascii="Arial" w:cs="Arial" w:eastAsia="Arial" w:hAnsi="Arial"/>
          <w:sz w:val="17"/>
          <w:szCs w:val="17"/>
          <w:color w:val="auto"/>
        </w:rPr>
        <w:t>We have adopted equity ownership guidelines that are intended to better align the interests of our executive officers with the interests of our stockholders. Each executive at the managing director level and above (which includes our NEOs) is required to achieve and maintain ownership of our Common Stock at a threshold equal to three times his or her base salary, while our chief executive officer is required to achieve and maintain a threshold equal to six times his base salary. Generally, executive officers have five years from the time they become an executive officer to meet the minimum ownership requirements. In 2022, with the assistance of the Compensation Consultant, the Compensation Committee reviewed and amended the equity ownership guidelines to better align with market practice and proxy advisor policy amendments. Following the amendments, the after-tax value of all unvested RSUs, as well as all outstanding shares, held by the executive count as shares for purposes of satisfying the minimum ownership requirement. Stock options and unvested PSUs do not count, however. Our equity ownership guidelines may be found on our website at www.lpl.com.</w:t>
      </w:r>
    </w:p>
    <w:p>
      <w:pPr>
        <w:spacing w:after="0" w:line="375"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As of March 21, 2022, each of our NEOs satisfied the minimum ownership requirement. Under the equity ownership guidelines, an NEO is not required to purchase additional shares to satisfy the ownership requirement in the event of a decline in the Company’s stock price, but the NEO is generally prohibited from selling or transferring shares (with limited exceptions) until the minimum ownership</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requirement has been achieved, except as otherwise determined by the Compensation Committee.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50A54"/>
        </w:rPr>
        <w:t>Anti-Hedging and Anti-Pledging Policy</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We believe that hedging transactions may permit executives to own Company securities obtained through our executive compensation program or otherwise without the full risks and rewards of ownership. When that occurs, an executive may no longer have the same interests as the Company’s other stockholders. As a result, we have adopted a policy, included within our Insider Trading Policy and applicable to all employees, officers, directors and consultants of the Company, which prohibits short sales, hedging or engaging in monetization transactions, including through the use of puts and call options, collars, exchange funds, prepaid variable forwards, and equity swaps. The policy also prohibits holding Company securities in a margin account or pledging Company securities as collateral for a loan, because a margin or foreclosure sale may occur when an executive is aware of material nonpublic information or otherwise not permitted to trade in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50A54"/>
        </w:rPr>
        <w:t>Rule 10b5-1 Plan Policy</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has adopted a policy (the “10b5-1 Policy”) for all executive officers and directors of the Company who adopt Rule 10b5-1 plans for trading in Company securities. The 10b5-1 Policy is designed to prevent inadvertent violations of the federal securities laws when implementing Rule 10b5-1 plans.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50A54"/>
        </w:rPr>
        <w:t>Annual Compensation Risk Assessment</w:t>
      </w:r>
    </w:p>
    <w:p>
      <w:pPr>
        <w:spacing w:after="0" w:line="20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Compensation Committee annually reviews our executive compensation policies and practices to ensure that they do not encourage unnecessary and excessive risks. The Compensation Consultant provided a report in connection with the 2021 review, the results of which are discussed elsewhere in this proxy statement under “</w:t>
      </w:r>
      <w:r>
        <w:rPr>
          <w:rFonts w:ascii="Arial" w:cs="Arial" w:eastAsia="Arial" w:hAnsi="Arial"/>
          <w:sz w:val="18"/>
          <w:szCs w:val="18"/>
          <w:i w:val="1"/>
          <w:iCs w:val="1"/>
          <w:color w:val="auto"/>
        </w:rPr>
        <w:t>Information Regarding Board and Committee</w:t>
      </w:r>
      <w:r>
        <w:rPr>
          <w:rFonts w:ascii="Arial" w:cs="Arial" w:eastAsia="Arial" w:hAnsi="Arial"/>
          <w:sz w:val="18"/>
          <w:szCs w:val="18"/>
          <w:color w:val="auto"/>
        </w:rPr>
        <w:t xml:space="preserve"> </w:t>
      </w:r>
      <w:r>
        <w:rPr>
          <w:rFonts w:ascii="Arial" w:cs="Arial" w:eastAsia="Arial" w:hAnsi="Arial"/>
          <w:sz w:val="18"/>
          <w:szCs w:val="18"/>
          <w:i w:val="1"/>
          <w:iCs w:val="1"/>
          <w:color w:val="auto"/>
        </w:rPr>
        <w:t>Structure—Risk Management and Compensation Policies and Practices</w:t>
      </w:r>
      <w:r>
        <w:rPr>
          <w:rFonts w:ascii="Arial" w:cs="Arial" w:eastAsia="Arial" w:hAnsi="Arial"/>
          <w:sz w:val="18"/>
          <w:szCs w:val="18"/>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50A54"/>
        </w:rPr>
        <w:t>Say-on-Pay Feedback from Stockholders</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2017, we held an advisory vote on the frequency with which our NEO compensation program would be submitted to our stockholders for an advisory vote, commonly referred to as a “say-on-pay” vote. Our stockholders recommended that say-on-pay votes occur every year. Each year, the Compensation</w:t>
      </w:r>
    </w:p>
    <w:p>
      <w:pPr>
        <w:spacing w:after="0" w:line="200" w:lineRule="exact"/>
        <w:rPr>
          <w:sz w:val="20"/>
          <w:szCs w:val="20"/>
          <w:color w:val="auto"/>
        </w:rPr>
      </w:pPr>
    </w:p>
    <w:p>
      <w:pPr>
        <w:sectPr>
          <w:pgSz w:w="11900" w:h="16838" w:orient="portrait"/>
          <w:cols w:equalWidth="0" w:num="2">
            <w:col w:w="5400" w:space="340"/>
            <w:col w:w="5340"/>
          </w:cols>
          <w:pgMar w:left="320" w:top="454" w:right="499" w:bottom="1440" w:gutter="0" w:footer="0" w:header="0"/>
          <w:type w:val="continuous"/>
        </w:sectPr>
      </w:pPr>
    </w:p>
    <w:p>
      <w:pPr>
        <w:spacing w:after="0" w:line="62" w:lineRule="exact"/>
        <w:rPr>
          <w:sz w:val="20"/>
          <w:szCs w:val="20"/>
          <w:color w:val="auto"/>
        </w:rPr>
      </w:pPr>
    </w:p>
    <w:tbl>
      <w:tblPr>
        <w:tblLayout w:type="fixed"/>
        <w:tblInd w:w="8500" w:type="dxa"/>
        <w:tblCellMar>
          <w:top w:w="0" w:type="dxa"/>
          <w:left w:w="0" w:type="dxa"/>
          <w:bottom w:w="0" w:type="dxa"/>
          <w:right w:w="0" w:type="dxa"/>
        </w:tblCellMar>
      </w:tblPr>
      <w:tr>
        <w:trPr>
          <w:trHeight w:val="233"/>
        </w:trPr>
        <w:tc>
          <w:tcPr>
            <w:tcW w:w="2060" w:type="dxa"/>
            <w:vAlign w:val="bottom"/>
            <w:tcBorders>
              <w:right w:val="single" w:sz="8" w:color="050A54"/>
            </w:tcBorders>
          </w:tcPr>
          <w:p>
            <w:pPr>
              <w:spacing w:after="0"/>
              <w:rPr>
                <w:sz w:val="20"/>
                <w:szCs w:val="20"/>
                <w:color w:val="auto"/>
              </w:rPr>
            </w:pPr>
            <w:r>
              <w:rPr>
                <w:rFonts w:ascii="Arial" w:cs="Arial" w:eastAsia="Arial" w:hAnsi="Arial"/>
                <w:sz w:val="18"/>
                <w:szCs w:val="18"/>
                <w:b w:val="1"/>
                <w:bCs w:val="1"/>
                <w:color w:val="050A54"/>
              </w:rPr>
              <w:t>2022 Proxy Statement</w:t>
            </w:r>
          </w:p>
        </w:tc>
        <w:tc>
          <w:tcPr>
            <w:tcW w:w="520" w:type="dxa"/>
            <w:vAlign w:val="bottom"/>
          </w:tcPr>
          <w:p>
            <w:pPr>
              <w:jc w:val="right"/>
              <w:spacing w:after="0"/>
              <w:rPr>
                <w:sz w:val="20"/>
                <w:szCs w:val="20"/>
                <w:color w:val="auto"/>
              </w:rPr>
            </w:pPr>
            <w:r>
              <w:rPr>
                <w:rFonts w:ascii="Arial" w:cs="Arial" w:eastAsia="Arial" w:hAnsi="Arial"/>
                <w:sz w:val="18"/>
                <w:szCs w:val="18"/>
                <w:color w:val="050A54"/>
              </w:rPr>
              <w:t>47</w:t>
            </w:r>
          </w:p>
        </w:tc>
      </w:tr>
    </w:tbl>
    <w:p>
      <w:pPr>
        <w:sectPr>
          <w:pgSz w:w="11900" w:h="16838" w:orient="portrait"/>
          <w:cols w:equalWidth="0" w:num="1">
            <w:col w:w="11080"/>
          </w:cols>
          <w:pgMar w:left="320" w:top="454" w:right="499" w:bottom="1440" w:gutter="0" w:footer="0" w:header="0"/>
          <w:type w:val="continuous"/>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336"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Committee considers the results of the prior year’s advisory vote as it reviews and determines the total compensation packages for our NEOs in the current year. In 2021, we received support for our NEO compensation program at our 2021 annual meeting of stockholders, as 99% of the total votes cast on the advisory vote on say-on-pay voted to approve the proposal.</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50A54"/>
        </w:rPr>
        <w:t>Impact of Tax Treatment on Compensation</w:t>
      </w:r>
    </w:p>
    <w:p>
      <w:pPr>
        <w:spacing w:after="0" w:line="20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light of the repeal of the performance-based compensation exemption under Section 162(m) of the Internal Revenue Code, the Compensation Committee authorizes compensation that is not fully deductible if the Compensation Committee determines it to be appropriate and in the best interests of the Company and our stockholders.</w:t>
      </w:r>
    </w:p>
    <w:p>
      <w:pPr>
        <w:spacing w:after="0" w:line="200" w:lineRule="exact"/>
        <w:rPr>
          <w:sz w:val="20"/>
          <w:szCs w:val="20"/>
          <w:color w:val="auto"/>
        </w:rPr>
      </w:pPr>
    </w:p>
    <w:p>
      <w:pPr>
        <w:sectPr>
          <w:pgSz w:w="11900" w:h="16838" w:orient="portrait"/>
          <w:cols w:equalWidth="0" w:num="2">
            <w:col w:w="5400" w:space="340"/>
            <w:col w:w="5340"/>
          </w:cols>
          <w:pgMar w:left="320" w:top="454" w:right="499" w:bottom="1440" w:gutter="0" w:footer="0" w:header="0"/>
          <w:type w:val="continuous"/>
        </w:sectPr>
      </w:pPr>
    </w:p>
    <w:p>
      <w:pPr>
        <w:spacing w:after="0" w:line="61" w:lineRule="exact"/>
        <w:rPr>
          <w:sz w:val="20"/>
          <w:szCs w:val="20"/>
          <w:color w:val="auto"/>
        </w:rPr>
      </w:pPr>
    </w:p>
    <w:p>
      <w:pPr>
        <w:ind w:left="1000" w:hanging="690"/>
        <w:spacing w:after="0"/>
        <w:tabs>
          <w:tab w:leader="none" w:pos="1000" w:val="left"/>
        </w:tabs>
        <w:numPr>
          <w:ilvl w:val="0"/>
          <w:numId w:val="73"/>
        </w:numPr>
        <w:rPr>
          <w:rFonts w:ascii="Arial" w:cs="Arial" w:eastAsia="Arial" w:hAnsi="Arial"/>
          <w:sz w:val="17"/>
          <w:szCs w:val="17"/>
          <w:color w:val="050A54"/>
        </w:rPr>
      </w:pPr>
      <w:r>
        <w:rPr>
          <w:rFonts w:ascii="Arial" w:cs="Arial" w:eastAsia="Arial" w:hAnsi="Arial"/>
          <w:sz w:val="17"/>
          <w:szCs w:val="17"/>
          <w:b w:val="1"/>
          <w:bCs w:val="1"/>
          <w:color w:val="050A54"/>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-111760</wp:posOffset>
            </wp:positionV>
            <wp:extent cx="8255" cy="135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11"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Report of the Compensation and Human Resources</w:t>
      </w:r>
    </w:p>
    <w:p>
      <w:pPr>
        <w:spacing w:after="0" w:line="4"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60325</wp:posOffset>
            </wp:positionV>
            <wp:extent cx="69297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33"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050A54"/>
        </w:rPr>
        <w:t>Report of the Compensation and Human Resources Committee of the Board of Directors</w:t>
      </w:r>
    </w:p>
    <w:p>
      <w:pPr>
        <w:spacing w:after="0" w:line="223"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color w:val="auto"/>
        </w:rPr>
        <w:t>The following independent directors, who constitute the Compensation Committee, have reviewed the Compensation Discussion and Analysis with our management and recommended that it be included in this proxy statement.</w:t>
      </w:r>
    </w:p>
    <w:p>
      <w:pPr>
        <w:spacing w:after="0" w:line="158" w:lineRule="exact"/>
        <w:rPr>
          <w:sz w:val="20"/>
          <w:szCs w:val="20"/>
          <w:color w:val="auto"/>
        </w:rPr>
      </w:pPr>
    </w:p>
    <w:p>
      <w:pPr>
        <w:jc w:val="center"/>
        <w:ind w:left="5780"/>
        <w:spacing w:after="0"/>
        <w:rPr>
          <w:sz w:val="20"/>
          <w:szCs w:val="20"/>
          <w:color w:val="auto"/>
        </w:rPr>
      </w:pPr>
      <w:r>
        <w:rPr>
          <w:rFonts w:ascii="Arial" w:cs="Arial" w:eastAsia="Arial" w:hAnsi="Arial"/>
          <w:sz w:val="18"/>
          <w:szCs w:val="18"/>
          <w:color w:val="auto"/>
        </w:rPr>
        <w:t>Anne M. Mulcahy, Chair</w:t>
      </w:r>
    </w:p>
    <w:p>
      <w:pPr>
        <w:spacing w:after="0" w:line="5" w:lineRule="exact"/>
        <w:rPr>
          <w:sz w:val="20"/>
          <w:szCs w:val="20"/>
          <w:color w:val="auto"/>
        </w:rPr>
      </w:pPr>
    </w:p>
    <w:p>
      <w:pPr>
        <w:jc w:val="center"/>
        <w:ind w:left="5780"/>
        <w:spacing w:after="0"/>
        <w:rPr>
          <w:sz w:val="20"/>
          <w:szCs w:val="20"/>
          <w:color w:val="auto"/>
        </w:rPr>
      </w:pPr>
      <w:r>
        <w:rPr>
          <w:rFonts w:ascii="Arial" w:cs="Arial" w:eastAsia="Arial" w:hAnsi="Arial"/>
          <w:sz w:val="18"/>
          <w:szCs w:val="18"/>
          <w:color w:val="auto"/>
        </w:rPr>
        <w:t>Edward C. Bernard</w:t>
      </w:r>
    </w:p>
    <w:p>
      <w:pPr>
        <w:jc w:val="center"/>
        <w:ind w:left="5780"/>
        <w:spacing w:after="0" w:line="232" w:lineRule="auto"/>
        <w:rPr>
          <w:sz w:val="20"/>
          <w:szCs w:val="20"/>
          <w:color w:val="auto"/>
        </w:rPr>
      </w:pPr>
      <w:r>
        <w:rPr>
          <w:rFonts w:ascii="Arial" w:cs="Arial" w:eastAsia="Arial" w:hAnsi="Arial"/>
          <w:sz w:val="18"/>
          <w:szCs w:val="18"/>
          <w:color w:val="auto"/>
        </w:rPr>
        <w:t>H. Paulett Eberhart</w:t>
      </w:r>
    </w:p>
    <w:p>
      <w:pPr>
        <w:jc w:val="center"/>
        <w:ind w:left="5780"/>
        <w:spacing w:after="0" w:line="233" w:lineRule="auto"/>
        <w:rPr>
          <w:sz w:val="20"/>
          <w:szCs w:val="20"/>
          <w:color w:val="auto"/>
        </w:rPr>
      </w:pPr>
      <w:r>
        <w:rPr>
          <w:rFonts w:ascii="Arial" w:cs="Arial" w:eastAsia="Arial" w:hAnsi="Arial"/>
          <w:sz w:val="18"/>
          <w:szCs w:val="18"/>
          <w:color w:val="auto"/>
        </w:rPr>
        <w:t>Allison H. Mnookin</w:t>
      </w:r>
    </w:p>
    <w:p>
      <w:pPr>
        <w:jc w:val="center"/>
        <w:ind w:left="5780"/>
        <w:spacing w:after="0"/>
        <w:rPr>
          <w:sz w:val="20"/>
          <w:szCs w:val="20"/>
          <w:color w:val="auto"/>
        </w:rPr>
      </w:pPr>
      <w:r>
        <w:rPr>
          <w:rFonts w:ascii="Arial" w:cs="Arial" w:eastAsia="Arial" w:hAnsi="Arial"/>
          <w:sz w:val="18"/>
          <w:szCs w:val="18"/>
          <w:color w:val="auto"/>
        </w:rPr>
        <w:t>James S. Putnam</w:t>
      </w:r>
    </w:p>
    <w:p>
      <w:pPr>
        <w:spacing w:after="0" w:line="190"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April 8, 2022</w:t>
      </w:r>
    </w:p>
    <w:p>
      <w:pPr>
        <w:spacing w:after="0" w:line="141" w:lineRule="exact"/>
        <w:rPr>
          <w:sz w:val="20"/>
          <w:szCs w:val="20"/>
          <w:color w:val="auto"/>
        </w:rPr>
      </w:pPr>
    </w:p>
    <w:tbl>
      <w:tblPr>
        <w:tblLayout w:type="fixed"/>
        <w:tblInd w:w="8500" w:type="dxa"/>
        <w:tblCellMar>
          <w:top w:w="0" w:type="dxa"/>
          <w:left w:w="0" w:type="dxa"/>
          <w:bottom w:w="0" w:type="dxa"/>
          <w:right w:w="0" w:type="dxa"/>
        </w:tblCellMar>
      </w:tblPr>
      <w:tr>
        <w:trPr>
          <w:trHeight w:val="233"/>
        </w:trPr>
        <w:tc>
          <w:tcPr>
            <w:tcW w:w="2060" w:type="dxa"/>
            <w:vAlign w:val="bottom"/>
            <w:tcBorders>
              <w:right w:val="single" w:sz="8" w:color="050A54"/>
            </w:tcBorders>
          </w:tcPr>
          <w:p>
            <w:pPr>
              <w:spacing w:after="0"/>
              <w:rPr>
                <w:sz w:val="20"/>
                <w:szCs w:val="20"/>
                <w:color w:val="auto"/>
              </w:rPr>
            </w:pPr>
            <w:r>
              <w:rPr>
                <w:rFonts w:ascii="Arial" w:cs="Arial" w:eastAsia="Arial" w:hAnsi="Arial"/>
                <w:sz w:val="18"/>
                <w:szCs w:val="18"/>
                <w:b w:val="1"/>
                <w:bCs w:val="1"/>
                <w:color w:val="050A54"/>
              </w:rPr>
              <w:t>2022 Proxy Statement</w:t>
            </w:r>
          </w:p>
        </w:tc>
        <w:tc>
          <w:tcPr>
            <w:tcW w:w="520" w:type="dxa"/>
            <w:vAlign w:val="bottom"/>
          </w:tcPr>
          <w:p>
            <w:pPr>
              <w:jc w:val="right"/>
              <w:spacing w:after="0"/>
              <w:rPr>
                <w:sz w:val="20"/>
                <w:szCs w:val="20"/>
                <w:color w:val="auto"/>
              </w:rPr>
            </w:pPr>
            <w:r>
              <w:rPr>
                <w:rFonts w:ascii="Arial" w:cs="Arial" w:eastAsia="Arial" w:hAnsi="Arial"/>
                <w:sz w:val="18"/>
                <w:szCs w:val="18"/>
                <w:color w:val="050A54"/>
              </w:rPr>
              <w:t>49</w:t>
            </w:r>
          </w:p>
        </w:tc>
      </w:tr>
    </w:tbl>
    <w:p>
      <w:pPr>
        <w:sectPr>
          <w:pgSz w:w="11900" w:h="16838" w:orient="portrait"/>
          <w:cols w:equalWidth="0" w:num="1">
            <w:col w:w="11080"/>
          </w:cols>
          <w:pgMar w:left="320" w:top="454" w:right="49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780"/>
        <w:spacing w:after="0"/>
        <w:rPr>
          <w:sz w:val="20"/>
          <w:szCs w:val="20"/>
          <w:color w:val="auto"/>
        </w:rPr>
      </w:pPr>
      <w:r>
        <w:rPr>
          <w:rFonts w:ascii="Arial" w:cs="Arial" w:eastAsia="Arial" w:hAnsi="Arial"/>
          <w:sz w:val="19"/>
          <w:szCs w:val="19"/>
          <w:b w:val="1"/>
          <w:bCs w:val="1"/>
          <w:color w:val="050A54"/>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80010</wp:posOffset>
            </wp:positionV>
            <wp:extent cx="692975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5" w:lineRule="exact"/>
        <w:rPr>
          <w:sz w:val="20"/>
          <w:szCs w:val="20"/>
          <w:color w:val="auto"/>
        </w:rPr>
      </w:pPr>
    </w:p>
    <w:p>
      <w:pPr>
        <w:jc w:val="center"/>
        <w:ind w:right="-179"/>
        <w:spacing w:after="0"/>
        <w:rPr>
          <w:sz w:val="20"/>
          <w:szCs w:val="20"/>
          <w:color w:val="auto"/>
        </w:rPr>
      </w:pPr>
      <w:r>
        <w:rPr>
          <w:rFonts w:ascii="Arial" w:cs="Arial" w:eastAsia="Arial" w:hAnsi="Arial"/>
          <w:sz w:val="21"/>
          <w:szCs w:val="21"/>
          <w:b w:val="1"/>
          <w:bCs w:val="1"/>
          <w:color w:val="050A54"/>
        </w:rPr>
        <w:t>Compensation of Named Executive Officers</w:t>
      </w:r>
    </w:p>
    <w:p>
      <w:pPr>
        <w:sectPr>
          <w:pgSz w:w="11900" w:h="16838" w:orient="portrait"/>
          <w:cols w:equalWidth="0" w:num="1">
            <w:col w:w="11080"/>
          </w:cols>
          <w:pgMar w:left="320" w:top="454" w:right="499" w:bottom="1440" w:gutter="0" w:footer="0" w:header="0"/>
        </w:sectPr>
      </w:pPr>
    </w:p>
    <w:p>
      <w:pPr>
        <w:spacing w:after="0" w:line="303"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Except where otherwise noted, the equity awards shown in the Summary Compensation Table and Grants of Plan-Based Awards Table for the fiscal year 2021 were granted in February 2021 in respect of services performed in 2020. Please refer to the Compensation Discussion and Analysis included in last year’s proxy statement for a discussion of these awards (other than awards to Mr. Fandrey, who was hired in 2021). Equity awards in respect of services performed in 2021 that were granted in 2022 do not appear in the Summary Compensation Table or Grants of Plan-Based Awards Table in accordance</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with SEC rules. Please refer to the Compensation Discussion and Analysis in this proxy statement for a discussion of these awards.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tables in the following sections of this proxy statement provide information required by the SEC regarding compensation paid to or earned by our NEOs. The footnotes to these tables provide important information to explain the values presented in the tables and are an important part of our disclosures.</w:t>
      </w:r>
    </w:p>
    <w:p>
      <w:pPr>
        <w:spacing w:after="0" w:line="585" w:lineRule="exact"/>
        <w:rPr>
          <w:sz w:val="20"/>
          <w:szCs w:val="20"/>
          <w:color w:val="auto"/>
        </w:rPr>
      </w:pPr>
    </w:p>
    <w:p>
      <w:pPr>
        <w:sectPr>
          <w:pgSz w:w="11900" w:h="16838" w:orient="portrait"/>
          <w:cols w:equalWidth="0" w:num="2">
            <w:col w:w="5400" w:space="340"/>
            <w:col w:w="5340"/>
          </w:cols>
          <w:pgMar w:left="320" w:top="454" w:right="499" w:bottom="1440" w:gutter="0" w:footer="0" w:header="0"/>
          <w:type w:val="continuous"/>
        </w:sectPr>
      </w:pPr>
    </w:p>
    <w:p>
      <w:pPr>
        <w:spacing w:after="0" w:line="15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Summary Compensation Table</w:t>
      </w:r>
    </w:p>
    <w:p>
      <w:pPr>
        <w:spacing w:after="0" w:line="203"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color w:val="auto"/>
        </w:rPr>
        <w:t>The following table sets forth information for our NEOs concerning the total compensation for the years ended December 31, 2021, 2020 and 2019, as applicable to such NEO (or such shorter period of the NEO’s service):</w:t>
      </w:r>
    </w:p>
    <w:p>
      <w:pPr>
        <w:spacing w:after="0" w:line="182"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4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Arial" w:cs="Arial" w:eastAsia="Arial" w:hAnsi="Arial"/>
                <w:sz w:val="12"/>
                <w:szCs w:val="12"/>
                <w:b w:val="1"/>
                <w:bCs w:val="1"/>
                <w:color w:val="050A54"/>
              </w:rPr>
              <w:t>Stock</w:t>
            </w:r>
          </w:p>
        </w:tc>
        <w:tc>
          <w:tcPr>
            <w:tcW w:w="34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050A54"/>
              </w:rPr>
              <w:t>Option</w:t>
            </w:r>
          </w:p>
        </w:tc>
        <w:tc>
          <w:tcPr>
            <w:tcW w:w="1020" w:type="dxa"/>
            <w:vAlign w:val="bottom"/>
          </w:tcPr>
          <w:p>
            <w:pPr>
              <w:jc w:val="center"/>
              <w:spacing w:after="0"/>
              <w:rPr>
                <w:sz w:val="20"/>
                <w:szCs w:val="20"/>
                <w:color w:val="auto"/>
              </w:rPr>
            </w:pPr>
            <w:r>
              <w:rPr>
                <w:rFonts w:ascii="Arial" w:cs="Arial" w:eastAsia="Arial" w:hAnsi="Arial"/>
                <w:sz w:val="12"/>
                <w:szCs w:val="12"/>
                <w:b w:val="1"/>
                <w:bCs w:val="1"/>
                <w:color w:val="050A54"/>
              </w:rPr>
              <w:t>Non-Equity</w:t>
            </w:r>
          </w:p>
        </w:tc>
        <w:tc>
          <w:tcPr>
            <w:tcW w:w="1040" w:type="dxa"/>
            <w:vAlign w:val="bottom"/>
            <w:vMerge w:val="restart"/>
          </w:tcPr>
          <w:p>
            <w:pPr>
              <w:jc w:val="center"/>
              <w:spacing w:after="0"/>
              <w:rPr>
                <w:sz w:val="20"/>
                <w:szCs w:val="20"/>
                <w:color w:val="auto"/>
              </w:rPr>
            </w:pPr>
            <w:r>
              <w:rPr>
                <w:rFonts w:ascii="Arial" w:cs="Arial" w:eastAsia="Arial" w:hAnsi="Arial"/>
                <w:sz w:val="12"/>
                <w:szCs w:val="12"/>
                <w:b w:val="1"/>
                <w:bCs w:val="1"/>
                <w:color w:val="050A54"/>
              </w:rPr>
              <w:t>All Other</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040" w:type="dxa"/>
            <w:vAlign w:val="bottom"/>
            <w:vMerge w:val="restart"/>
          </w:tcPr>
          <w:p>
            <w:pPr>
              <w:ind w:left="1720"/>
              <w:spacing w:after="0"/>
              <w:rPr>
                <w:sz w:val="20"/>
                <w:szCs w:val="20"/>
                <w:color w:val="auto"/>
              </w:rPr>
            </w:pPr>
            <w:r>
              <w:rPr>
                <w:rFonts w:ascii="Arial" w:cs="Arial" w:eastAsia="Arial" w:hAnsi="Arial"/>
                <w:sz w:val="12"/>
                <w:szCs w:val="12"/>
                <w:b w:val="1"/>
                <w:bCs w:val="1"/>
                <w:color w:val="050A54"/>
              </w:rPr>
              <w:t>Name and</w:t>
            </w:r>
          </w:p>
        </w:tc>
        <w:tc>
          <w:tcPr>
            <w:tcW w:w="520" w:type="dxa"/>
            <w:vAlign w:val="bottom"/>
          </w:tcPr>
          <w:p>
            <w:pPr>
              <w:spacing w:after="0"/>
              <w:rPr>
                <w:sz w:val="11"/>
                <w:szCs w:val="11"/>
                <w:color w:val="auto"/>
              </w:rPr>
            </w:pPr>
          </w:p>
        </w:tc>
        <w:tc>
          <w:tcPr>
            <w:tcW w:w="620" w:type="dxa"/>
            <w:vAlign w:val="bottom"/>
            <w:vMerge w:val="restart"/>
          </w:tcPr>
          <w:p>
            <w:pPr>
              <w:ind w:left="100"/>
              <w:spacing w:after="0"/>
              <w:rPr>
                <w:sz w:val="20"/>
                <w:szCs w:val="20"/>
                <w:color w:val="auto"/>
              </w:rPr>
            </w:pPr>
            <w:r>
              <w:rPr>
                <w:rFonts w:ascii="Arial" w:cs="Arial" w:eastAsia="Arial" w:hAnsi="Arial"/>
                <w:sz w:val="12"/>
                <w:szCs w:val="12"/>
                <w:b w:val="1"/>
                <w:bCs w:val="1"/>
                <w:color w:val="050A54"/>
              </w:rPr>
              <w:t>Salary</w:t>
            </w:r>
          </w:p>
        </w:tc>
        <w:tc>
          <w:tcPr>
            <w:tcW w:w="380" w:type="dxa"/>
            <w:vAlign w:val="bottom"/>
          </w:tcPr>
          <w:p>
            <w:pPr>
              <w:spacing w:after="0"/>
              <w:rPr>
                <w:sz w:val="11"/>
                <w:szCs w:val="11"/>
                <w:color w:val="auto"/>
              </w:rPr>
            </w:pPr>
          </w:p>
        </w:tc>
        <w:tc>
          <w:tcPr>
            <w:tcW w:w="560" w:type="dxa"/>
            <w:vAlign w:val="bottom"/>
            <w:vMerge w:val="restart"/>
          </w:tcPr>
          <w:p>
            <w:pPr>
              <w:jc w:val="right"/>
              <w:ind w:right="38"/>
              <w:spacing w:after="0"/>
              <w:rPr>
                <w:sz w:val="20"/>
                <w:szCs w:val="20"/>
                <w:color w:val="auto"/>
              </w:rPr>
            </w:pPr>
            <w:r>
              <w:rPr>
                <w:rFonts w:ascii="Arial" w:cs="Arial" w:eastAsia="Arial" w:hAnsi="Arial"/>
                <w:sz w:val="12"/>
                <w:szCs w:val="12"/>
                <w:b w:val="1"/>
                <w:bCs w:val="1"/>
                <w:color w:val="050A54"/>
              </w:rPr>
              <w:t>Bonus</w:t>
            </w: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20" w:type="dxa"/>
            <w:vAlign w:val="bottom"/>
          </w:tcPr>
          <w:p>
            <w:pPr>
              <w:jc w:val="center"/>
              <w:spacing w:after="0" w:line="134" w:lineRule="exact"/>
              <w:rPr>
                <w:sz w:val="20"/>
                <w:szCs w:val="20"/>
                <w:color w:val="auto"/>
              </w:rPr>
            </w:pPr>
            <w:r>
              <w:rPr>
                <w:rFonts w:ascii="Arial" w:cs="Arial" w:eastAsia="Arial" w:hAnsi="Arial"/>
                <w:sz w:val="12"/>
                <w:szCs w:val="12"/>
                <w:b w:val="1"/>
                <w:bCs w:val="1"/>
                <w:color w:val="050A54"/>
              </w:rPr>
              <w:t>Incentive Plan</w:t>
            </w:r>
          </w:p>
        </w:tc>
        <w:tc>
          <w:tcPr>
            <w:tcW w:w="1040" w:type="dxa"/>
            <w:vAlign w:val="bottom"/>
            <w:vMerge w:val="continue"/>
          </w:tcPr>
          <w:p>
            <w:pPr>
              <w:spacing w:after="0"/>
              <w:rPr>
                <w:sz w:val="11"/>
                <w:szCs w:val="11"/>
                <w:color w:val="auto"/>
              </w:rPr>
            </w:pPr>
          </w:p>
        </w:tc>
        <w:tc>
          <w:tcPr>
            <w:tcW w:w="760" w:type="dxa"/>
            <w:vAlign w:val="bottom"/>
            <w:vMerge w:val="restart"/>
          </w:tcPr>
          <w:p>
            <w:pPr>
              <w:jc w:val="right"/>
              <w:ind w:right="158"/>
              <w:spacing w:after="0"/>
              <w:rPr>
                <w:sz w:val="20"/>
                <w:szCs w:val="20"/>
                <w:color w:val="auto"/>
              </w:rPr>
            </w:pPr>
            <w:r>
              <w:rPr>
                <w:rFonts w:ascii="Arial" w:cs="Arial" w:eastAsia="Arial" w:hAnsi="Arial"/>
                <w:sz w:val="12"/>
                <w:szCs w:val="12"/>
                <w:b w:val="1"/>
                <w:bCs w:val="1"/>
                <w:color w:val="050A54"/>
              </w:rPr>
              <w:t>Total</w:t>
            </w:r>
          </w:p>
        </w:tc>
        <w:tc>
          <w:tcPr>
            <w:tcW w:w="0" w:type="dxa"/>
            <w:vAlign w:val="bottom"/>
          </w:tcPr>
          <w:p>
            <w:pPr>
              <w:spacing w:after="0"/>
              <w:rPr>
                <w:sz w:val="1"/>
                <w:szCs w:val="1"/>
                <w:color w:val="auto"/>
              </w:rPr>
            </w:pPr>
          </w:p>
        </w:tc>
      </w:tr>
      <w:tr>
        <w:trPr>
          <w:trHeight w:val="134"/>
        </w:trPr>
        <w:tc>
          <w:tcPr>
            <w:tcW w:w="404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center"/>
              <w:spacing w:after="0" w:line="134" w:lineRule="exact"/>
              <w:rPr>
                <w:sz w:val="20"/>
                <w:szCs w:val="20"/>
                <w:color w:val="auto"/>
              </w:rPr>
            </w:pPr>
            <w:r>
              <w:rPr>
                <w:rFonts w:ascii="Arial" w:cs="Arial" w:eastAsia="Arial" w:hAnsi="Arial"/>
                <w:sz w:val="12"/>
                <w:szCs w:val="12"/>
                <w:b w:val="1"/>
                <w:bCs w:val="1"/>
                <w:color w:val="050A54"/>
              </w:rPr>
              <w:t>Awards</w:t>
            </w:r>
          </w:p>
        </w:tc>
        <w:tc>
          <w:tcPr>
            <w:tcW w:w="340" w:type="dxa"/>
            <w:vAlign w:val="bottom"/>
          </w:tcPr>
          <w:p>
            <w:pPr>
              <w:spacing w:after="0"/>
              <w:rPr>
                <w:sz w:val="11"/>
                <w:szCs w:val="11"/>
                <w:color w:val="auto"/>
              </w:rPr>
            </w:pPr>
          </w:p>
        </w:tc>
        <w:tc>
          <w:tcPr>
            <w:tcW w:w="700" w:type="dxa"/>
            <w:vAlign w:val="bottom"/>
          </w:tcPr>
          <w:p>
            <w:pPr>
              <w:jc w:val="center"/>
              <w:spacing w:after="0" w:line="134" w:lineRule="exact"/>
              <w:rPr>
                <w:sz w:val="20"/>
                <w:szCs w:val="20"/>
                <w:color w:val="auto"/>
              </w:rPr>
            </w:pPr>
            <w:r>
              <w:rPr>
                <w:rFonts w:ascii="Arial" w:cs="Arial" w:eastAsia="Arial" w:hAnsi="Arial"/>
                <w:sz w:val="12"/>
                <w:szCs w:val="12"/>
                <w:b w:val="1"/>
                <w:bCs w:val="1"/>
                <w:color w:val="050A54"/>
              </w:rPr>
              <w:t>Awards</w:t>
            </w:r>
          </w:p>
        </w:tc>
        <w:tc>
          <w:tcPr>
            <w:tcW w:w="1020" w:type="dxa"/>
            <w:vAlign w:val="bottom"/>
          </w:tcPr>
          <w:p>
            <w:pPr>
              <w:jc w:val="center"/>
              <w:spacing w:after="0" w:line="134" w:lineRule="exact"/>
              <w:rPr>
                <w:sz w:val="20"/>
                <w:szCs w:val="20"/>
                <w:color w:val="auto"/>
              </w:rPr>
            </w:pPr>
            <w:r>
              <w:rPr>
                <w:rFonts w:ascii="Arial" w:cs="Arial" w:eastAsia="Arial" w:hAnsi="Arial"/>
                <w:sz w:val="12"/>
                <w:szCs w:val="12"/>
                <w:b w:val="1"/>
                <w:bCs w:val="1"/>
                <w:color w:val="050A54"/>
              </w:rPr>
              <w:t>Compensation</w:t>
            </w:r>
          </w:p>
        </w:tc>
        <w:tc>
          <w:tcPr>
            <w:tcW w:w="1040" w:type="dxa"/>
            <w:vAlign w:val="bottom"/>
          </w:tcPr>
          <w:p>
            <w:pPr>
              <w:jc w:val="center"/>
              <w:spacing w:after="0" w:line="134" w:lineRule="exact"/>
              <w:rPr>
                <w:sz w:val="20"/>
                <w:szCs w:val="20"/>
                <w:color w:val="auto"/>
              </w:rPr>
            </w:pPr>
            <w:r>
              <w:rPr>
                <w:rFonts w:ascii="Arial" w:cs="Arial" w:eastAsia="Arial" w:hAnsi="Arial"/>
                <w:sz w:val="12"/>
                <w:szCs w:val="12"/>
                <w:b w:val="1"/>
                <w:bCs w:val="1"/>
                <w:color w:val="050A54"/>
              </w:rPr>
              <w:t>Compensation</w:t>
            </w: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040" w:type="dxa"/>
            <w:vAlign w:val="bottom"/>
          </w:tcPr>
          <w:p>
            <w:pPr>
              <w:ind w:left="1500"/>
              <w:spacing w:after="0"/>
              <w:rPr>
                <w:sz w:val="20"/>
                <w:szCs w:val="20"/>
                <w:color w:val="auto"/>
              </w:rPr>
            </w:pPr>
            <w:r>
              <w:rPr>
                <w:rFonts w:ascii="Arial" w:cs="Arial" w:eastAsia="Arial" w:hAnsi="Arial"/>
                <w:sz w:val="12"/>
                <w:szCs w:val="12"/>
                <w:b w:val="1"/>
                <w:bCs w:val="1"/>
                <w:color w:val="050A54"/>
              </w:rPr>
              <w:t>Principal Position</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050A54"/>
              </w:rPr>
              <w:t>Year</w:t>
            </w:r>
          </w:p>
        </w:tc>
        <w:tc>
          <w:tcPr>
            <w:tcW w:w="620" w:type="dxa"/>
            <w:vAlign w:val="bottom"/>
          </w:tcPr>
          <w:p>
            <w:pPr>
              <w:ind w:left="220"/>
              <w:spacing w:after="0"/>
              <w:rPr>
                <w:sz w:val="20"/>
                <w:szCs w:val="20"/>
                <w:color w:val="auto"/>
              </w:rPr>
            </w:pPr>
            <w:r>
              <w:rPr>
                <w:rFonts w:ascii="Arial" w:cs="Arial" w:eastAsia="Arial" w:hAnsi="Arial"/>
                <w:sz w:val="12"/>
                <w:szCs w:val="12"/>
                <w:b w:val="1"/>
                <w:bCs w:val="1"/>
                <w:color w:val="050A54"/>
              </w:rPr>
              <w:t>($)</w:t>
            </w:r>
          </w:p>
        </w:tc>
        <w:tc>
          <w:tcPr>
            <w:tcW w:w="380" w:type="dxa"/>
            <w:vAlign w:val="bottom"/>
          </w:tcPr>
          <w:p>
            <w:pPr>
              <w:spacing w:after="0"/>
              <w:rPr>
                <w:sz w:val="16"/>
                <w:szCs w:val="16"/>
                <w:color w:val="auto"/>
              </w:rPr>
            </w:pPr>
          </w:p>
        </w:tc>
        <w:tc>
          <w:tcPr>
            <w:tcW w:w="560" w:type="dxa"/>
            <w:vAlign w:val="bottom"/>
          </w:tcPr>
          <w:p>
            <w:pPr>
              <w:jc w:val="right"/>
              <w:ind w:right="158"/>
              <w:spacing w:after="0"/>
              <w:rPr>
                <w:sz w:val="20"/>
                <w:szCs w:val="20"/>
                <w:color w:val="auto"/>
              </w:rPr>
            </w:pPr>
            <w:r>
              <w:rPr>
                <w:rFonts w:ascii="Arial" w:cs="Arial" w:eastAsia="Arial" w:hAnsi="Arial"/>
                <w:sz w:val="12"/>
                <w:szCs w:val="12"/>
                <w:b w:val="1"/>
                <w:bCs w:val="1"/>
                <w:color w:val="050A54"/>
              </w:rPr>
              <w:t>($)</w:t>
            </w:r>
          </w:p>
        </w:tc>
        <w:tc>
          <w:tcPr>
            <w:tcW w:w="28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2"/>
                <w:szCs w:val="12"/>
                <w:b w:val="1"/>
                <w:bCs w:val="1"/>
                <w:color w:val="050A54"/>
              </w:rPr>
              <w:t>($)(1)</w:t>
            </w:r>
          </w:p>
        </w:tc>
        <w:tc>
          <w:tcPr>
            <w:tcW w:w="34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050A54"/>
              </w:rPr>
              <w:t>($)(1)</w:t>
            </w:r>
          </w:p>
        </w:tc>
        <w:tc>
          <w:tcPr>
            <w:tcW w:w="1020" w:type="dxa"/>
            <w:vAlign w:val="bottom"/>
          </w:tcPr>
          <w:p>
            <w:pPr>
              <w:jc w:val="center"/>
              <w:spacing w:after="0"/>
              <w:rPr>
                <w:sz w:val="20"/>
                <w:szCs w:val="20"/>
                <w:color w:val="auto"/>
              </w:rPr>
            </w:pPr>
            <w:r>
              <w:rPr>
                <w:rFonts w:ascii="Arial" w:cs="Arial" w:eastAsia="Arial" w:hAnsi="Arial"/>
                <w:sz w:val="12"/>
                <w:szCs w:val="12"/>
                <w:b w:val="1"/>
                <w:bCs w:val="1"/>
                <w:color w:val="050A54"/>
              </w:rPr>
              <w:t>($)(2)</w:t>
            </w:r>
          </w:p>
        </w:tc>
        <w:tc>
          <w:tcPr>
            <w:tcW w:w="1040" w:type="dxa"/>
            <w:vAlign w:val="bottom"/>
          </w:tcPr>
          <w:p>
            <w:pPr>
              <w:jc w:val="center"/>
              <w:spacing w:after="0"/>
              <w:rPr>
                <w:sz w:val="20"/>
                <w:szCs w:val="20"/>
                <w:color w:val="auto"/>
              </w:rPr>
            </w:pPr>
            <w:r>
              <w:rPr>
                <w:rFonts w:ascii="Arial" w:cs="Arial" w:eastAsia="Arial" w:hAnsi="Arial"/>
                <w:sz w:val="12"/>
                <w:szCs w:val="12"/>
                <w:b w:val="1"/>
                <w:bCs w:val="1"/>
                <w:color w:val="050A54"/>
              </w:rPr>
              <w:t>($)(3)</w:t>
            </w:r>
          </w:p>
        </w:tc>
        <w:tc>
          <w:tcPr>
            <w:tcW w:w="760" w:type="dxa"/>
            <w:vAlign w:val="bottom"/>
          </w:tcPr>
          <w:p>
            <w:pPr>
              <w:jc w:val="right"/>
              <w:ind w:right="238"/>
              <w:spacing w:after="0"/>
              <w:rPr>
                <w:sz w:val="20"/>
                <w:szCs w:val="20"/>
                <w:color w:val="auto"/>
              </w:rPr>
            </w:pPr>
            <w:r>
              <w:rPr>
                <w:rFonts w:ascii="Arial" w:cs="Arial" w:eastAsia="Arial" w:hAnsi="Arial"/>
                <w:sz w:val="12"/>
                <w:szCs w:val="12"/>
                <w:b w:val="1"/>
                <w:bCs w:val="1"/>
                <w:color w:val="050A54"/>
              </w:rPr>
              <w:t>($)</w:t>
            </w:r>
          </w:p>
        </w:tc>
        <w:tc>
          <w:tcPr>
            <w:tcW w:w="0" w:type="dxa"/>
            <w:vAlign w:val="bottom"/>
          </w:tcPr>
          <w:p>
            <w:pPr>
              <w:spacing w:after="0"/>
              <w:rPr>
                <w:sz w:val="1"/>
                <w:szCs w:val="1"/>
                <w:color w:val="auto"/>
              </w:rPr>
            </w:pPr>
          </w:p>
        </w:tc>
      </w:tr>
      <w:tr>
        <w:trPr>
          <w:trHeight w:val="34"/>
        </w:trPr>
        <w:tc>
          <w:tcPr>
            <w:tcW w:w="4040" w:type="dxa"/>
            <w:vAlign w:val="bottom"/>
            <w:tcBorders>
              <w:bottom w:val="single" w:sz="8" w:color="050A54"/>
            </w:tcBorders>
          </w:tcPr>
          <w:p>
            <w:pPr>
              <w:spacing w:after="0"/>
              <w:rPr>
                <w:sz w:val="2"/>
                <w:szCs w:val="2"/>
                <w:color w:val="auto"/>
              </w:rPr>
            </w:pPr>
          </w:p>
        </w:tc>
        <w:tc>
          <w:tcPr>
            <w:tcW w:w="520" w:type="dxa"/>
            <w:vAlign w:val="bottom"/>
            <w:tcBorders>
              <w:bottom w:val="single" w:sz="8" w:color="050A54"/>
            </w:tcBorders>
          </w:tcPr>
          <w:p>
            <w:pPr>
              <w:spacing w:after="0"/>
              <w:rPr>
                <w:sz w:val="2"/>
                <w:szCs w:val="2"/>
                <w:color w:val="auto"/>
              </w:rPr>
            </w:pPr>
          </w:p>
        </w:tc>
        <w:tc>
          <w:tcPr>
            <w:tcW w:w="620" w:type="dxa"/>
            <w:vAlign w:val="bottom"/>
            <w:tcBorders>
              <w:bottom w:val="single" w:sz="8" w:color="050A54"/>
            </w:tcBorders>
          </w:tcPr>
          <w:p>
            <w:pPr>
              <w:spacing w:after="0"/>
              <w:rPr>
                <w:sz w:val="2"/>
                <w:szCs w:val="2"/>
                <w:color w:val="auto"/>
              </w:rPr>
            </w:pPr>
          </w:p>
        </w:tc>
        <w:tc>
          <w:tcPr>
            <w:tcW w:w="380" w:type="dxa"/>
            <w:vAlign w:val="bottom"/>
            <w:tcBorders>
              <w:bottom w:val="single" w:sz="8" w:color="050A54"/>
            </w:tcBorders>
          </w:tcPr>
          <w:p>
            <w:pPr>
              <w:spacing w:after="0"/>
              <w:rPr>
                <w:sz w:val="2"/>
                <w:szCs w:val="2"/>
                <w:color w:val="auto"/>
              </w:rPr>
            </w:pPr>
          </w:p>
        </w:tc>
        <w:tc>
          <w:tcPr>
            <w:tcW w:w="560" w:type="dxa"/>
            <w:vAlign w:val="bottom"/>
            <w:tcBorders>
              <w:bottom w:val="single" w:sz="8" w:color="050A54"/>
            </w:tcBorders>
          </w:tcPr>
          <w:p>
            <w:pPr>
              <w:spacing w:after="0"/>
              <w:rPr>
                <w:sz w:val="2"/>
                <w:szCs w:val="2"/>
                <w:color w:val="auto"/>
              </w:rPr>
            </w:pPr>
          </w:p>
        </w:tc>
        <w:tc>
          <w:tcPr>
            <w:tcW w:w="280" w:type="dxa"/>
            <w:vAlign w:val="bottom"/>
            <w:tcBorders>
              <w:bottom w:val="single" w:sz="8" w:color="050A54"/>
            </w:tcBorders>
          </w:tcPr>
          <w:p>
            <w:pPr>
              <w:spacing w:after="0"/>
              <w:rPr>
                <w:sz w:val="2"/>
                <w:szCs w:val="2"/>
                <w:color w:val="auto"/>
              </w:rPr>
            </w:pPr>
          </w:p>
        </w:tc>
        <w:tc>
          <w:tcPr>
            <w:tcW w:w="660" w:type="dxa"/>
            <w:vAlign w:val="bottom"/>
            <w:tcBorders>
              <w:bottom w:val="single" w:sz="8" w:color="050A54"/>
            </w:tcBorders>
          </w:tcPr>
          <w:p>
            <w:pPr>
              <w:spacing w:after="0"/>
              <w:rPr>
                <w:sz w:val="2"/>
                <w:szCs w:val="2"/>
                <w:color w:val="auto"/>
              </w:rPr>
            </w:pPr>
          </w:p>
        </w:tc>
        <w:tc>
          <w:tcPr>
            <w:tcW w:w="340" w:type="dxa"/>
            <w:vAlign w:val="bottom"/>
            <w:tcBorders>
              <w:bottom w:val="single" w:sz="8" w:color="050A54"/>
            </w:tcBorders>
          </w:tcPr>
          <w:p>
            <w:pPr>
              <w:spacing w:after="0"/>
              <w:rPr>
                <w:sz w:val="2"/>
                <w:szCs w:val="2"/>
                <w:color w:val="auto"/>
              </w:rPr>
            </w:pPr>
          </w:p>
        </w:tc>
        <w:tc>
          <w:tcPr>
            <w:tcW w:w="700" w:type="dxa"/>
            <w:vAlign w:val="bottom"/>
            <w:tcBorders>
              <w:bottom w:val="single" w:sz="8" w:color="050A54"/>
            </w:tcBorders>
          </w:tcPr>
          <w:p>
            <w:pPr>
              <w:spacing w:after="0"/>
              <w:rPr>
                <w:sz w:val="2"/>
                <w:szCs w:val="2"/>
                <w:color w:val="auto"/>
              </w:rPr>
            </w:pPr>
          </w:p>
        </w:tc>
        <w:tc>
          <w:tcPr>
            <w:tcW w:w="1020" w:type="dxa"/>
            <w:vAlign w:val="bottom"/>
            <w:tcBorders>
              <w:bottom w:val="single" w:sz="8" w:color="050A54"/>
            </w:tcBorders>
          </w:tcPr>
          <w:p>
            <w:pPr>
              <w:spacing w:after="0"/>
              <w:rPr>
                <w:sz w:val="2"/>
                <w:szCs w:val="2"/>
                <w:color w:val="auto"/>
              </w:rPr>
            </w:pPr>
          </w:p>
        </w:tc>
        <w:tc>
          <w:tcPr>
            <w:tcW w:w="1040" w:type="dxa"/>
            <w:vAlign w:val="bottom"/>
            <w:tcBorders>
              <w:bottom w:val="single" w:sz="8" w:color="050A54"/>
            </w:tcBorders>
          </w:tcPr>
          <w:p>
            <w:pPr>
              <w:spacing w:after="0"/>
              <w:rPr>
                <w:sz w:val="2"/>
                <w:szCs w:val="2"/>
                <w:color w:val="auto"/>
              </w:rPr>
            </w:pPr>
          </w:p>
        </w:tc>
        <w:tc>
          <w:tcPr>
            <w:tcW w:w="760" w:type="dxa"/>
            <w:vAlign w:val="bottom"/>
            <w:tcBorders>
              <w:bottom w:val="single" w:sz="8" w:color="050A54"/>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4040" w:type="dxa"/>
            <w:vAlign w:val="bottom"/>
            <w:shd w:val="clear" w:color="auto" w:fill="E8E8E8"/>
          </w:tcPr>
          <w:p>
            <w:pPr>
              <w:ind w:left="60"/>
              <w:spacing w:after="0"/>
              <w:rPr>
                <w:sz w:val="20"/>
                <w:szCs w:val="20"/>
                <w:color w:val="auto"/>
              </w:rPr>
            </w:pPr>
            <w:r>
              <w:rPr>
                <w:rFonts w:ascii="Arial" w:cs="Arial" w:eastAsia="Arial" w:hAnsi="Arial"/>
                <w:sz w:val="12"/>
                <w:szCs w:val="12"/>
                <w:color w:val="auto"/>
              </w:rPr>
              <w:t>Dan H. Arnold</w:t>
            </w:r>
          </w:p>
        </w:tc>
        <w:tc>
          <w:tcPr>
            <w:tcW w:w="520" w:type="dxa"/>
            <w:vAlign w:val="bottom"/>
            <w:shd w:val="clear" w:color="auto" w:fill="E8E8E8"/>
          </w:tcPr>
          <w:p>
            <w:pPr>
              <w:ind w:left="140"/>
              <w:spacing w:after="0"/>
              <w:rPr>
                <w:sz w:val="20"/>
                <w:szCs w:val="20"/>
                <w:color w:val="auto"/>
              </w:rPr>
            </w:pPr>
            <w:r>
              <w:rPr>
                <w:rFonts w:ascii="Arial" w:cs="Arial" w:eastAsia="Arial" w:hAnsi="Arial"/>
                <w:sz w:val="12"/>
                <w:szCs w:val="12"/>
                <w:color w:val="auto"/>
              </w:rPr>
              <w:t>2021</w:t>
            </w:r>
          </w:p>
        </w:tc>
        <w:tc>
          <w:tcPr>
            <w:tcW w:w="620" w:type="dxa"/>
            <w:vAlign w:val="bottom"/>
            <w:shd w:val="clear" w:color="auto" w:fill="E8E8E8"/>
          </w:tcPr>
          <w:p>
            <w:pPr>
              <w:ind w:left="100"/>
              <w:spacing w:after="0"/>
              <w:rPr>
                <w:sz w:val="20"/>
                <w:szCs w:val="20"/>
                <w:color w:val="auto"/>
              </w:rPr>
            </w:pPr>
            <w:r>
              <w:rPr>
                <w:rFonts w:ascii="Arial" w:cs="Arial" w:eastAsia="Arial" w:hAnsi="Arial"/>
                <w:sz w:val="12"/>
                <w:szCs w:val="12"/>
                <w:color w:val="auto"/>
              </w:rPr>
              <w:t>892,308</w:t>
            </w:r>
          </w:p>
        </w:tc>
        <w:tc>
          <w:tcPr>
            <w:tcW w:w="380" w:type="dxa"/>
            <w:vAlign w:val="bottom"/>
            <w:shd w:val="clear" w:color="auto" w:fill="E8E8E8"/>
          </w:tcPr>
          <w:p>
            <w:pPr>
              <w:ind w:left="80"/>
              <w:spacing w:after="0"/>
              <w:rPr>
                <w:sz w:val="20"/>
                <w:szCs w:val="20"/>
                <w:color w:val="auto"/>
              </w:rPr>
            </w:pPr>
            <w:r>
              <w:rPr>
                <w:rFonts w:ascii="Arial" w:cs="Arial" w:eastAsia="Arial" w:hAnsi="Arial"/>
                <w:sz w:val="12"/>
                <w:szCs w:val="12"/>
                <w:color w:val="auto"/>
              </w:rPr>
              <w:t>(4)</w:t>
            </w:r>
          </w:p>
        </w:tc>
        <w:tc>
          <w:tcPr>
            <w:tcW w:w="560" w:type="dxa"/>
            <w:vAlign w:val="bottom"/>
            <w:shd w:val="clear" w:color="auto" w:fill="E8E8E8"/>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E8E8E8"/>
          </w:tcPr>
          <w:p>
            <w:pPr>
              <w:spacing w:after="0"/>
              <w:rPr>
                <w:sz w:val="12"/>
                <w:szCs w:val="12"/>
                <w:color w:val="auto"/>
              </w:rPr>
            </w:pPr>
          </w:p>
        </w:tc>
        <w:tc>
          <w:tcPr>
            <w:tcW w:w="660" w:type="dxa"/>
            <w:vAlign w:val="bottom"/>
            <w:shd w:val="clear" w:color="auto" w:fill="E8E8E8"/>
          </w:tcPr>
          <w:p>
            <w:pPr>
              <w:jc w:val="right"/>
              <w:spacing w:after="0"/>
              <w:rPr>
                <w:sz w:val="20"/>
                <w:szCs w:val="20"/>
                <w:color w:val="auto"/>
              </w:rPr>
            </w:pPr>
            <w:r>
              <w:rPr>
                <w:rFonts w:ascii="Arial" w:cs="Arial" w:eastAsia="Arial" w:hAnsi="Arial"/>
                <w:sz w:val="12"/>
                <w:szCs w:val="12"/>
                <w:color w:val="auto"/>
              </w:rPr>
              <w:t>8,569,310</w:t>
            </w:r>
          </w:p>
        </w:tc>
        <w:tc>
          <w:tcPr>
            <w:tcW w:w="340" w:type="dxa"/>
            <w:vAlign w:val="bottom"/>
            <w:shd w:val="clear" w:color="auto" w:fill="E8E8E8"/>
          </w:tcPr>
          <w:p>
            <w:pPr>
              <w:spacing w:after="0"/>
              <w:rPr>
                <w:sz w:val="12"/>
                <w:szCs w:val="12"/>
                <w:color w:val="auto"/>
              </w:rPr>
            </w:pPr>
          </w:p>
        </w:tc>
        <w:tc>
          <w:tcPr>
            <w:tcW w:w="700" w:type="dxa"/>
            <w:vAlign w:val="bottom"/>
            <w:shd w:val="clear" w:color="auto" w:fill="E8E8E8"/>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3,375,000</w:t>
            </w:r>
          </w:p>
        </w:tc>
        <w:tc>
          <w:tcPr>
            <w:tcW w:w="1040" w:type="dxa"/>
            <w:vAlign w:val="bottom"/>
            <w:shd w:val="clear" w:color="auto" w:fill="E8E8E8"/>
          </w:tcPr>
          <w:p>
            <w:pPr>
              <w:jc w:val="right"/>
              <w:ind w:right="38"/>
              <w:spacing w:after="0"/>
              <w:rPr>
                <w:sz w:val="20"/>
                <w:szCs w:val="20"/>
                <w:color w:val="auto"/>
              </w:rPr>
            </w:pPr>
            <w:r>
              <w:rPr>
                <w:rFonts w:ascii="Arial" w:cs="Arial" w:eastAsia="Arial" w:hAnsi="Arial"/>
                <w:sz w:val="12"/>
                <w:szCs w:val="12"/>
                <w:color w:val="auto"/>
              </w:rPr>
              <w:t>39,250</w:t>
            </w:r>
          </w:p>
        </w:tc>
        <w:tc>
          <w:tcPr>
            <w:tcW w:w="760" w:type="dxa"/>
            <w:vAlign w:val="bottom"/>
            <w:shd w:val="clear" w:color="auto" w:fill="E8E8E8"/>
          </w:tcPr>
          <w:p>
            <w:pPr>
              <w:jc w:val="right"/>
              <w:spacing w:after="0"/>
              <w:rPr>
                <w:sz w:val="20"/>
                <w:szCs w:val="20"/>
                <w:color w:val="auto"/>
              </w:rPr>
            </w:pPr>
            <w:r>
              <w:rPr>
                <w:rFonts w:ascii="Arial" w:cs="Arial" w:eastAsia="Arial" w:hAnsi="Arial"/>
                <w:sz w:val="12"/>
                <w:szCs w:val="12"/>
                <w:color w:val="auto"/>
              </w:rPr>
              <w:t>12,875,868</w:t>
            </w:r>
          </w:p>
        </w:tc>
        <w:tc>
          <w:tcPr>
            <w:tcW w:w="0" w:type="dxa"/>
            <w:vAlign w:val="bottom"/>
          </w:tcPr>
          <w:p>
            <w:pPr>
              <w:spacing w:after="0"/>
              <w:rPr>
                <w:sz w:val="1"/>
                <w:szCs w:val="1"/>
                <w:color w:val="auto"/>
              </w:rPr>
            </w:pPr>
          </w:p>
        </w:tc>
      </w:tr>
      <w:tr>
        <w:trPr>
          <w:trHeight w:val="134"/>
        </w:trPr>
        <w:tc>
          <w:tcPr>
            <w:tcW w:w="4040" w:type="dxa"/>
            <w:vAlign w:val="bottom"/>
            <w:shd w:val="clear" w:color="auto" w:fill="E8E8E8"/>
          </w:tcPr>
          <w:p>
            <w:pPr>
              <w:ind w:left="60"/>
              <w:spacing w:after="0" w:line="134" w:lineRule="exact"/>
              <w:rPr>
                <w:sz w:val="20"/>
                <w:szCs w:val="20"/>
                <w:color w:val="auto"/>
              </w:rPr>
            </w:pPr>
            <w:r>
              <w:rPr>
                <w:rFonts w:ascii="Arial" w:cs="Arial" w:eastAsia="Arial" w:hAnsi="Arial"/>
                <w:sz w:val="12"/>
                <w:szCs w:val="12"/>
                <w:color w:val="auto"/>
              </w:rPr>
              <w:t>President and Chief Executive Officer</w:t>
            </w:r>
          </w:p>
        </w:tc>
        <w:tc>
          <w:tcPr>
            <w:tcW w:w="520" w:type="dxa"/>
            <w:vAlign w:val="bottom"/>
            <w:shd w:val="clear" w:color="auto" w:fill="E8E8E8"/>
          </w:tcPr>
          <w:p>
            <w:pPr>
              <w:ind w:left="140"/>
              <w:spacing w:after="0" w:line="134" w:lineRule="exact"/>
              <w:rPr>
                <w:sz w:val="20"/>
                <w:szCs w:val="20"/>
                <w:color w:val="auto"/>
              </w:rPr>
            </w:pPr>
            <w:r>
              <w:rPr>
                <w:rFonts w:ascii="Arial" w:cs="Arial" w:eastAsia="Arial" w:hAnsi="Arial"/>
                <w:sz w:val="12"/>
                <w:szCs w:val="12"/>
                <w:color w:val="auto"/>
              </w:rPr>
              <w:t>2020</w:t>
            </w:r>
          </w:p>
        </w:tc>
        <w:tc>
          <w:tcPr>
            <w:tcW w:w="620" w:type="dxa"/>
            <w:vAlign w:val="bottom"/>
            <w:shd w:val="clear" w:color="auto" w:fill="E8E8E8"/>
          </w:tcPr>
          <w:p>
            <w:pPr>
              <w:ind w:left="100"/>
              <w:spacing w:after="0" w:line="134" w:lineRule="exact"/>
              <w:rPr>
                <w:sz w:val="20"/>
                <w:szCs w:val="20"/>
                <w:color w:val="auto"/>
              </w:rPr>
            </w:pPr>
            <w:r>
              <w:rPr>
                <w:rFonts w:ascii="Arial" w:cs="Arial" w:eastAsia="Arial" w:hAnsi="Arial"/>
                <w:sz w:val="12"/>
                <w:szCs w:val="12"/>
                <w:color w:val="auto"/>
              </w:rPr>
              <w:t>850,000</w:t>
            </w:r>
          </w:p>
        </w:tc>
        <w:tc>
          <w:tcPr>
            <w:tcW w:w="380" w:type="dxa"/>
            <w:vAlign w:val="bottom"/>
            <w:shd w:val="clear" w:color="auto" w:fill="E8E8E8"/>
          </w:tcPr>
          <w:p>
            <w:pPr>
              <w:spacing w:after="0"/>
              <w:rPr>
                <w:sz w:val="11"/>
                <w:szCs w:val="11"/>
                <w:color w:val="auto"/>
              </w:rPr>
            </w:pPr>
          </w:p>
        </w:tc>
        <w:tc>
          <w:tcPr>
            <w:tcW w:w="560" w:type="dxa"/>
            <w:vAlign w:val="bottom"/>
            <w:shd w:val="clear" w:color="auto" w:fill="E8E8E8"/>
          </w:tcPr>
          <w:p>
            <w:pPr>
              <w:jc w:val="right"/>
              <w:spacing w:after="0" w:line="134" w:lineRule="exact"/>
              <w:rPr>
                <w:sz w:val="20"/>
                <w:szCs w:val="20"/>
                <w:color w:val="auto"/>
              </w:rPr>
            </w:pPr>
            <w:r>
              <w:rPr>
                <w:rFonts w:ascii="Arial" w:cs="Arial" w:eastAsia="Arial" w:hAnsi="Arial"/>
                <w:sz w:val="12"/>
                <w:szCs w:val="12"/>
                <w:color w:val="auto"/>
              </w:rPr>
              <w:t>—</w:t>
            </w:r>
          </w:p>
        </w:tc>
        <w:tc>
          <w:tcPr>
            <w:tcW w:w="280" w:type="dxa"/>
            <w:vAlign w:val="bottom"/>
            <w:shd w:val="clear" w:color="auto" w:fill="E8E8E8"/>
          </w:tcPr>
          <w:p>
            <w:pPr>
              <w:spacing w:after="0"/>
              <w:rPr>
                <w:sz w:val="11"/>
                <w:szCs w:val="11"/>
                <w:color w:val="auto"/>
              </w:rPr>
            </w:pPr>
          </w:p>
        </w:tc>
        <w:tc>
          <w:tcPr>
            <w:tcW w:w="660" w:type="dxa"/>
            <w:vAlign w:val="bottom"/>
            <w:shd w:val="clear" w:color="auto" w:fill="E8E8E8"/>
          </w:tcPr>
          <w:p>
            <w:pPr>
              <w:jc w:val="right"/>
              <w:spacing w:after="0" w:line="134" w:lineRule="exact"/>
              <w:rPr>
                <w:sz w:val="20"/>
                <w:szCs w:val="20"/>
                <w:color w:val="auto"/>
              </w:rPr>
            </w:pPr>
            <w:r>
              <w:rPr>
                <w:rFonts w:ascii="Arial" w:cs="Arial" w:eastAsia="Arial" w:hAnsi="Arial"/>
                <w:sz w:val="12"/>
                <w:szCs w:val="12"/>
                <w:color w:val="auto"/>
              </w:rPr>
              <w:t>4,171,168</w:t>
            </w:r>
          </w:p>
        </w:tc>
        <w:tc>
          <w:tcPr>
            <w:tcW w:w="340" w:type="dxa"/>
            <w:vAlign w:val="bottom"/>
            <w:shd w:val="clear" w:color="auto" w:fill="E8E8E8"/>
          </w:tcPr>
          <w:p>
            <w:pPr>
              <w:spacing w:after="0"/>
              <w:rPr>
                <w:sz w:val="11"/>
                <w:szCs w:val="11"/>
                <w:color w:val="auto"/>
              </w:rPr>
            </w:pPr>
          </w:p>
        </w:tc>
        <w:tc>
          <w:tcPr>
            <w:tcW w:w="700" w:type="dxa"/>
            <w:vAlign w:val="bottom"/>
            <w:shd w:val="clear" w:color="auto" w:fill="E8E8E8"/>
          </w:tcPr>
          <w:p>
            <w:pPr>
              <w:jc w:val="right"/>
              <w:spacing w:after="0" w:line="134" w:lineRule="exact"/>
              <w:rPr>
                <w:sz w:val="20"/>
                <w:szCs w:val="20"/>
                <w:color w:val="auto"/>
              </w:rPr>
            </w:pPr>
            <w:r>
              <w:rPr>
                <w:rFonts w:ascii="Arial" w:cs="Arial" w:eastAsia="Arial" w:hAnsi="Arial"/>
                <w:sz w:val="12"/>
                <w:szCs w:val="12"/>
                <w:color w:val="auto"/>
              </w:rPr>
              <w:t>—</w:t>
            </w:r>
          </w:p>
        </w:tc>
        <w:tc>
          <w:tcPr>
            <w:tcW w:w="1020" w:type="dxa"/>
            <w:vAlign w:val="bottom"/>
            <w:shd w:val="clear" w:color="auto" w:fill="E8E8E8"/>
          </w:tcPr>
          <w:p>
            <w:pPr>
              <w:jc w:val="right"/>
              <w:ind w:right="18"/>
              <w:spacing w:after="0" w:line="134" w:lineRule="exact"/>
              <w:rPr>
                <w:sz w:val="20"/>
                <w:szCs w:val="20"/>
                <w:color w:val="auto"/>
              </w:rPr>
            </w:pPr>
            <w:r>
              <w:rPr>
                <w:rFonts w:ascii="Arial" w:cs="Arial" w:eastAsia="Arial" w:hAnsi="Arial"/>
                <w:sz w:val="12"/>
                <w:szCs w:val="12"/>
                <w:color w:val="auto"/>
              </w:rPr>
              <w:t>2,199,375</w:t>
            </w:r>
          </w:p>
        </w:tc>
        <w:tc>
          <w:tcPr>
            <w:tcW w:w="1040" w:type="dxa"/>
            <w:vAlign w:val="bottom"/>
            <w:shd w:val="clear" w:color="auto" w:fill="E8E8E8"/>
          </w:tcPr>
          <w:p>
            <w:pPr>
              <w:jc w:val="right"/>
              <w:ind w:right="38"/>
              <w:spacing w:after="0" w:line="134" w:lineRule="exact"/>
              <w:rPr>
                <w:sz w:val="20"/>
                <w:szCs w:val="20"/>
                <w:color w:val="auto"/>
              </w:rPr>
            </w:pPr>
            <w:r>
              <w:rPr>
                <w:rFonts w:ascii="Arial" w:cs="Arial" w:eastAsia="Arial" w:hAnsi="Arial"/>
                <w:sz w:val="12"/>
                <w:szCs w:val="12"/>
                <w:color w:val="auto"/>
              </w:rPr>
              <w:t>36,170</w:t>
            </w:r>
          </w:p>
        </w:tc>
        <w:tc>
          <w:tcPr>
            <w:tcW w:w="760" w:type="dxa"/>
            <w:vAlign w:val="bottom"/>
            <w:shd w:val="clear" w:color="auto" w:fill="E8E8E8"/>
          </w:tcPr>
          <w:p>
            <w:pPr>
              <w:jc w:val="right"/>
              <w:spacing w:after="0" w:line="134" w:lineRule="exact"/>
              <w:rPr>
                <w:sz w:val="20"/>
                <w:szCs w:val="20"/>
                <w:color w:val="auto"/>
              </w:rPr>
            </w:pPr>
            <w:r>
              <w:rPr>
                <w:rFonts w:ascii="Arial" w:cs="Arial" w:eastAsia="Arial" w:hAnsi="Arial"/>
                <w:sz w:val="12"/>
                <w:szCs w:val="12"/>
                <w:color w:val="auto"/>
              </w:rPr>
              <w:t>7,256,713</w:t>
            </w:r>
          </w:p>
        </w:tc>
        <w:tc>
          <w:tcPr>
            <w:tcW w:w="0" w:type="dxa"/>
            <w:vAlign w:val="bottom"/>
          </w:tcPr>
          <w:p>
            <w:pPr>
              <w:spacing w:after="0"/>
              <w:rPr>
                <w:sz w:val="1"/>
                <w:szCs w:val="1"/>
                <w:color w:val="auto"/>
              </w:rPr>
            </w:pPr>
          </w:p>
        </w:tc>
      </w:tr>
      <w:tr>
        <w:trPr>
          <w:trHeight w:val="185"/>
        </w:trPr>
        <w:tc>
          <w:tcPr>
            <w:tcW w:w="4040" w:type="dxa"/>
            <w:vAlign w:val="bottom"/>
            <w:tcBorders>
              <w:bottom w:val="single" w:sz="8" w:color="E8E8E8"/>
            </w:tcBorders>
            <w:shd w:val="clear" w:color="auto" w:fill="E8E8E8"/>
          </w:tcPr>
          <w:p>
            <w:pPr>
              <w:spacing w:after="0"/>
              <w:rPr>
                <w:sz w:val="16"/>
                <w:szCs w:val="16"/>
                <w:color w:val="auto"/>
              </w:rPr>
            </w:pPr>
          </w:p>
        </w:tc>
        <w:tc>
          <w:tcPr>
            <w:tcW w:w="520" w:type="dxa"/>
            <w:vAlign w:val="bottom"/>
            <w:tcBorders>
              <w:bottom w:val="single" w:sz="8" w:color="E8E8E8"/>
            </w:tcBorders>
            <w:shd w:val="clear" w:color="auto" w:fill="E8E8E8"/>
          </w:tcPr>
          <w:p>
            <w:pPr>
              <w:ind w:left="140"/>
              <w:spacing w:after="0"/>
              <w:rPr>
                <w:sz w:val="20"/>
                <w:szCs w:val="20"/>
                <w:color w:val="auto"/>
              </w:rPr>
            </w:pPr>
            <w:r>
              <w:rPr>
                <w:rFonts w:ascii="Arial" w:cs="Arial" w:eastAsia="Arial" w:hAnsi="Arial"/>
                <w:sz w:val="12"/>
                <w:szCs w:val="12"/>
                <w:color w:val="auto"/>
              </w:rPr>
              <w:t>2019</w:t>
            </w:r>
          </w:p>
        </w:tc>
        <w:tc>
          <w:tcPr>
            <w:tcW w:w="620" w:type="dxa"/>
            <w:vAlign w:val="bottom"/>
            <w:tcBorders>
              <w:bottom w:val="single" w:sz="8" w:color="E8E8E8"/>
            </w:tcBorders>
            <w:shd w:val="clear" w:color="auto" w:fill="E8E8E8"/>
          </w:tcPr>
          <w:p>
            <w:pPr>
              <w:ind w:left="100"/>
              <w:spacing w:after="0"/>
              <w:rPr>
                <w:sz w:val="20"/>
                <w:szCs w:val="20"/>
                <w:color w:val="auto"/>
              </w:rPr>
            </w:pPr>
            <w:r>
              <w:rPr>
                <w:rFonts w:ascii="Arial" w:cs="Arial" w:eastAsia="Arial" w:hAnsi="Arial"/>
                <w:sz w:val="12"/>
                <w:szCs w:val="12"/>
                <w:color w:val="auto"/>
              </w:rPr>
              <w:t>842,308</w:t>
            </w:r>
          </w:p>
        </w:tc>
        <w:tc>
          <w:tcPr>
            <w:tcW w:w="380" w:type="dxa"/>
            <w:vAlign w:val="bottom"/>
            <w:tcBorders>
              <w:bottom w:val="single" w:sz="8" w:color="E8E8E8"/>
            </w:tcBorders>
            <w:shd w:val="clear" w:color="auto" w:fill="E8E8E8"/>
          </w:tcPr>
          <w:p>
            <w:pPr>
              <w:ind w:left="80"/>
              <w:spacing w:after="0"/>
              <w:rPr>
                <w:sz w:val="20"/>
                <w:szCs w:val="20"/>
                <w:color w:val="auto"/>
              </w:rPr>
            </w:pPr>
            <w:r>
              <w:rPr>
                <w:rFonts w:ascii="Arial" w:cs="Arial" w:eastAsia="Arial" w:hAnsi="Arial"/>
                <w:sz w:val="12"/>
                <w:szCs w:val="12"/>
                <w:color w:val="auto"/>
              </w:rPr>
              <w:t>(5)</w:t>
            </w:r>
          </w:p>
        </w:tc>
        <w:tc>
          <w:tcPr>
            <w:tcW w:w="56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E8E8E8"/>
            </w:tcBorders>
            <w:shd w:val="clear" w:color="auto" w:fill="E8E8E8"/>
          </w:tcPr>
          <w:p>
            <w:pPr>
              <w:spacing w:after="0"/>
              <w:rPr>
                <w:sz w:val="16"/>
                <w:szCs w:val="16"/>
                <w:color w:val="auto"/>
              </w:rPr>
            </w:pPr>
          </w:p>
        </w:tc>
        <w:tc>
          <w:tcPr>
            <w:tcW w:w="66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2"/>
                <w:szCs w:val="12"/>
                <w:color w:val="auto"/>
              </w:rPr>
              <w:t>2,616,773</w:t>
            </w:r>
          </w:p>
        </w:tc>
        <w:tc>
          <w:tcPr>
            <w:tcW w:w="340" w:type="dxa"/>
            <w:vAlign w:val="bottom"/>
            <w:tcBorders>
              <w:bottom w:val="single" w:sz="8" w:color="E8E8E8"/>
            </w:tcBorders>
            <w:shd w:val="clear" w:color="auto" w:fill="E8E8E8"/>
          </w:tcPr>
          <w:p>
            <w:pPr>
              <w:spacing w:after="0"/>
              <w:rPr>
                <w:sz w:val="16"/>
                <w:szCs w:val="16"/>
                <w:color w:val="auto"/>
              </w:rPr>
            </w:pPr>
          </w:p>
        </w:tc>
        <w:tc>
          <w:tcPr>
            <w:tcW w:w="70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2"/>
                <w:szCs w:val="12"/>
                <w:color w:val="auto"/>
              </w:rPr>
              <w:t>1,679,993</w:t>
            </w:r>
          </w:p>
        </w:tc>
        <w:tc>
          <w:tcPr>
            <w:tcW w:w="1020" w:type="dxa"/>
            <w:vAlign w:val="bottom"/>
            <w:tcBorders>
              <w:bottom w:val="single" w:sz="8" w:color="E8E8E8"/>
            </w:tcBorders>
            <w:shd w:val="clear" w:color="auto" w:fill="E8E8E8"/>
          </w:tcPr>
          <w:p>
            <w:pPr>
              <w:jc w:val="right"/>
              <w:ind w:right="18"/>
              <w:spacing w:after="0"/>
              <w:rPr>
                <w:sz w:val="20"/>
                <w:szCs w:val="20"/>
                <w:color w:val="auto"/>
              </w:rPr>
            </w:pPr>
            <w:r>
              <w:rPr>
                <w:rFonts w:ascii="Arial" w:cs="Arial" w:eastAsia="Arial" w:hAnsi="Arial"/>
                <w:sz w:val="12"/>
                <w:szCs w:val="12"/>
                <w:color w:val="auto"/>
              </w:rPr>
              <w:t>2,486,250</w:t>
            </w:r>
          </w:p>
        </w:tc>
        <w:tc>
          <w:tcPr>
            <w:tcW w:w="1040" w:type="dxa"/>
            <w:vAlign w:val="bottom"/>
            <w:tcBorders>
              <w:bottom w:val="single" w:sz="8" w:color="E8E8E8"/>
            </w:tcBorders>
            <w:shd w:val="clear" w:color="auto" w:fill="E8E8E8"/>
          </w:tcPr>
          <w:p>
            <w:pPr>
              <w:jc w:val="right"/>
              <w:ind w:right="38"/>
              <w:spacing w:after="0"/>
              <w:rPr>
                <w:sz w:val="20"/>
                <w:szCs w:val="20"/>
                <w:color w:val="auto"/>
              </w:rPr>
            </w:pPr>
            <w:r>
              <w:rPr>
                <w:rFonts w:ascii="Arial" w:cs="Arial" w:eastAsia="Arial" w:hAnsi="Arial"/>
                <w:sz w:val="12"/>
                <w:szCs w:val="12"/>
                <w:color w:val="auto"/>
              </w:rPr>
              <w:t>44,630</w:t>
            </w:r>
          </w:p>
        </w:tc>
        <w:tc>
          <w:tcPr>
            <w:tcW w:w="76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2"/>
                <w:szCs w:val="12"/>
                <w:color w:val="auto"/>
              </w:rPr>
              <w:t>7,669,954</w:t>
            </w:r>
          </w:p>
        </w:tc>
        <w:tc>
          <w:tcPr>
            <w:tcW w:w="0" w:type="dxa"/>
            <w:vAlign w:val="bottom"/>
          </w:tcPr>
          <w:p>
            <w:pPr>
              <w:spacing w:after="0"/>
              <w:rPr>
                <w:sz w:val="1"/>
                <w:szCs w:val="1"/>
                <w:color w:val="auto"/>
              </w:rPr>
            </w:pPr>
          </w:p>
        </w:tc>
      </w:tr>
      <w:tr>
        <w:trPr>
          <w:trHeight w:val="169"/>
        </w:trPr>
        <w:tc>
          <w:tcPr>
            <w:tcW w:w="4040" w:type="dxa"/>
            <w:vAlign w:val="bottom"/>
          </w:tcPr>
          <w:p>
            <w:pPr>
              <w:ind w:left="60"/>
              <w:spacing w:after="0"/>
              <w:rPr>
                <w:sz w:val="20"/>
                <w:szCs w:val="20"/>
                <w:color w:val="auto"/>
              </w:rPr>
            </w:pPr>
            <w:r>
              <w:rPr>
                <w:rFonts w:ascii="Arial" w:cs="Arial" w:eastAsia="Arial" w:hAnsi="Arial"/>
                <w:sz w:val="12"/>
                <w:szCs w:val="12"/>
                <w:color w:val="auto"/>
              </w:rPr>
              <w:t>Matthew J. Audette</w:t>
            </w:r>
          </w:p>
        </w:tc>
        <w:tc>
          <w:tcPr>
            <w:tcW w:w="520" w:type="dxa"/>
            <w:vAlign w:val="bottom"/>
          </w:tcPr>
          <w:p>
            <w:pPr>
              <w:ind w:left="140"/>
              <w:spacing w:after="0"/>
              <w:rPr>
                <w:sz w:val="20"/>
                <w:szCs w:val="20"/>
                <w:color w:val="auto"/>
              </w:rPr>
            </w:pPr>
            <w:r>
              <w:rPr>
                <w:rFonts w:ascii="Arial" w:cs="Arial" w:eastAsia="Arial" w:hAnsi="Arial"/>
                <w:sz w:val="12"/>
                <w:szCs w:val="12"/>
                <w:color w:val="auto"/>
              </w:rPr>
              <w:t>2021</w:t>
            </w:r>
          </w:p>
        </w:tc>
        <w:tc>
          <w:tcPr>
            <w:tcW w:w="620" w:type="dxa"/>
            <w:vAlign w:val="bottom"/>
          </w:tcPr>
          <w:p>
            <w:pPr>
              <w:ind w:left="100"/>
              <w:spacing w:after="0"/>
              <w:rPr>
                <w:sz w:val="20"/>
                <w:szCs w:val="20"/>
                <w:color w:val="auto"/>
              </w:rPr>
            </w:pPr>
            <w:r>
              <w:rPr>
                <w:rFonts w:ascii="Arial" w:cs="Arial" w:eastAsia="Arial" w:hAnsi="Arial"/>
                <w:sz w:val="12"/>
                <w:szCs w:val="12"/>
                <w:color w:val="auto"/>
              </w:rPr>
              <w:t>600,000</w:t>
            </w:r>
          </w:p>
        </w:tc>
        <w:tc>
          <w:tcPr>
            <w:tcW w:w="3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1,582,270</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18"/>
              <w:spacing w:after="0"/>
              <w:rPr>
                <w:sz w:val="20"/>
                <w:szCs w:val="20"/>
                <w:color w:val="auto"/>
              </w:rPr>
            </w:pPr>
            <w:r>
              <w:rPr>
                <w:rFonts w:ascii="Arial" w:cs="Arial" w:eastAsia="Arial" w:hAnsi="Arial"/>
                <w:sz w:val="12"/>
                <w:szCs w:val="12"/>
                <w:color w:val="auto"/>
              </w:rPr>
              <w:t>1,365,000</w:t>
            </w:r>
          </w:p>
        </w:tc>
        <w:tc>
          <w:tcPr>
            <w:tcW w:w="1040" w:type="dxa"/>
            <w:vAlign w:val="bottom"/>
          </w:tcPr>
          <w:p>
            <w:pPr>
              <w:jc w:val="right"/>
              <w:ind w:right="38"/>
              <w:spacing w:after="0"/>
              <w:rPr>
                <w:sz w:val="20"/>
                <w:szCs w:val="20"/>
                <w:color w:val="auto"/>
              </w:rPr>
            </w:pPr>
            <w:r>
              <w:rPr>
                <w:rFonts w:ascii="Arial" w:cs="Arial" w:eastAsia="Arial" w:hAnsi="Arial"/>
                <w:sz w:val="12"/>
                <w:szCs w:val="12"/>
                <w:color w:val="auto"/>
              </w:rPr>
              <w:t>37,122</w:t>
            </w:r>
          </w:p>
        </w:tc>
        <w:tc>
          <w:tcPr>
            <w:tcW w:w="760" w:type="dxa"/>
            <w:vAlign w:val="bottom"/>
          </w:tcPr>
          <w:p>
            <w:pPr>
              <w:jc w:val="right"/>
              <w:spacing w:after="0"/>
              <w:rPr>
                <w:sz w:val="20"/>
                <w:szCs w:val="20"/>
                <w:color w:val="auto"/>
              </w:rPr>
            </w:pPr>
            <w:r>
              <w:rPr>
                <w:rFonts w:ascii="Arial" w:cs="Arial" w:eastAsia="Arial" w:hAnsi="Arial"/>
                <w:sz w:val="12"/>
                <w:szCs w:val="12"/>
                <w:color w:val="auto"/>
              </w:rPr>
              <w:t>3,584,392</w:t>
            </w:r>
          </w:p>
        </w:tc>
        <w:tc>
          <w:tcPr>
            <w:tcW w:w="0" w:type="dxa"/>
            <w:vAlign w:val="bottom"/>
          </w:tcPr>
          <w:p>
            <w:pPr>
              <w:spacing w:after="0"/>
              <w:rPr>
                <w:sz w:val="1"/>
                <w:szCs w:val="1"/>
                <w:color w:val="auto"/>
              </w:rPr>
            </w:pPr>
          </w:p>
        </w:tc>
      </w:tr>
      <w:tr>
        <w:trPr>
          <w:trHeight w:val="134"/>
        </w:trPr>
        <w:tc>
          <w:tcPr>
            <w:tcW w:w="4040" w:type="dxa"/>
            <w:vAlign w:val="bottom"/>
          </w:tcPr>
          <w:p>
            <w:pPr>
              <w:ind w:left="60"/>
              <w:spacing w:after="0" w:line="134" w:lineRule="exact"/>
              <w:rPr>
                <w:sz w:val="20"/>
                <w:szCs w:val="20"/>
                <w:color w:val="auto"/>
              </w:rPr>
            </w:pPr>
            <w:r>
              <w:rPr>
                <w:rFonts w:ascii="Arial" w:cs="Arial" w:eastAsia="Arial" w:hAnsi="Arial"/>
                <w:sz w:val="12"/>
                <w:szCs w:val="12"/>
                <w:color w:val="auto"/>
              </w:rPr>
              <w:t>Chief Financial Officer</w:t>
            </w:r>
          </w:p>
        </w:tc>
        <w:tc>
          <w:tcPr>
            <w:tcW w:w="520" w:type="dxa"/>
            <w:vAlign w:val="bottom"/>
          </w:tcPr>
          <w:p>
            <w:pPr>
              <w:ind w:left="140"/>
              <w:spacing w:after="0" w:line="134" w:lineRule="exact"/>
              <w:rPr>
                <w:sz w:val="20"/>
                <w:szCs w:val="20"/>
                <w:color w:val="auto"/>
              </w:rPr>
            </w:pPr>
            <w:r>
              <w:rPr>
                <w:rFonts w:ascii="Arial" w:cs="Arial" w:eastAsia="Arial" w:hAnsi="Arial"/>
                <w:sz w:val="12"/>
                <w:szCs w:val="12"/>
                <w:color w:val="auto"/>
              </w:rPr>
              <w:t>2020</w:t>
            </w:r>
          </w:p>
        </w:tc>
        <w:tc>
          <w:tcPr>
            <w:tcW w:w="620" w:type="dxa"/>
            <w:vAlign w:val="bottom"/>
          </w:tcPr>
          <w:p>
            <w:pPr>
              <w:ind w:left="100"/>
              <w:spacing w:after="0" w:line="134" w:lineRule="exact"/>
              <w:rPr>
                <w:sz w:val="20"/>
                <w:szCs w:val="20"/>
                <w:color w:val="auto"/>
              </w:rPr>
            </w:pPr>
            <w:r>
              <w:rPr>
                <w:rFonts w:ascii="Arial" w:cs="Arial" w:eastAsia="Arial" w:hAnsi="Arial"/>
                <w:sz w:val="12"/>
                <w:szCs w:val="12"/>
                <w:color w:val="auto"/>
              </w:rPr>
              <w:t>600,000</w:t>
            </w:r>
          </w:p>
        </w:tc>
        <w:tc>
          <w:tcPr>
            <w:tcW w:w="380" w:type="dxa"/>
            <w:vAlign w:val="bottom"/>
          </w:tcPr>
          <w:p>
            <w:pPr>
              <w:spacing w:after="0"/>
              <w:rPr>
                <w:sz w:val="11"/>
                <w:szCs w:val="11"/>
                <w:color w:val="auto"/>
              </w:rPr>
            </w:pPr>
          </w:p>
        </w:tc>
        <w:tc>
          <w:tcPr>
            <w:tcW w:w="56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280" w:type="dxa"/>
            <w:vAlign w:val="bottom"/>
          </w:tcPr>
          <w:p>
            <w:pPr>
              <w:spacing w:after="0"/>
              <w:rPr>
                <w:sz w:val="11"/>
                <w:szCs w:val="11"/>
                <w:color w:val="auto"/>
              </w:rPr>
            </w:pPr>
          </w:p>
        </w:tc>
        <w:tc>
          <w:tcPr>
            <w:tcW w:w="660" w:type="dxa"/>
            <w:vAlign w:val="bottom"/>
          </w:tcPr>
          <w:p>
            <w:pPr>
              <w:jc w:val="right"/>
              <w:spacing w:after="0" w:line="134" w:lineRule="exact"/>
              <w:rPr>
                <w:sz w:val="20"/>
                <w:szCs w:val="20"/>
                <w:color w:val="auto"/>
              </w:rPr>
            </w:pPr>
            <w:r>
              <w:rPr>
                <w:rFonts w:ascii="Arial" w:cs="Arial" w:eastAsia="Arial" w:hAnsi="Arial"/>
                <w:sz w:val="12"/>
                <w:szCs w:val="12"/>
                <w:color w:val="auto"/>
              </w:rPr>
              <w:t>1,005,422</w:t>
            </w:r>
          </w:p>
        </w:tc>
        <w:tc>
          <w:tcPr>
            <w:tcW w:w="34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1020" w:type="dxa"/>
            <w:vAlign w:val="bottom"/>
          </w:tcPr>
          <w:p>
            <w:pPr>
              <w:jc w:val="right"/>
              <w:ind w:right="18"/>
              <w:spacing w:after="0" w:line="134" w:lineRule="exact"/>
              <w:rPr>
                <w:sz w:val="20"/>
                <w:szCs w:val="20"/>
                <w:color w:val="auto"/>
              </w:rPr>
            </w:pPr>
            <w:r>
              <w:rPr>
                <w:rFonts w:ascii="Arial" w:cs="Arial" w:eastAsia="Arial" w:hAnsi="Arial"/>
                <w:sz w:val="12"/>
                <w:szCs w:val="12"/>
                <w:color w:val="auto"/>
              </w:rPr>
              <w:t>1,192,000</w:t>
            </w:r>
          </w:p>
        </w:tc>
        <w:tc>
          <w:tcPr>
            <w:tcW w:w="1040" w:type="dxa"/>
            <w:vAlign w:val="bottom"/>
          </w:tcPr>
          <w:p>
            <w:pPr>
              <w:jc w:val="right"/>
              <w:ind w:right="38"/>
              <w:spacing w:after="0" w:line="134" w:lineRule="exact"/>
              <w:rPr>
                <w:sz w:val="20"/>
                <w:szCs w:val="20"/>
                <w:color w:val="auto"/>
              </w:rPr>
            </w:pPr>
            <w:r>
              <w:rPr>
                <w:rFonts w:ascii="Arial" w:cs="Arial" w:eastAsia="Arial" w:hAnsi="Arial"/>
                <w:sz w:val="12"/>
                <w:szCs w:val="12"/>
                <w:color w:val="auto"/>
              </w:rPr>
              <w:t>27,611</w:t>
            </w:r>
          </w:p>
        </w:tc>
        <w:tc>
          <w:tcPr>
            <w:tcW w:w="760" w:type="dxa"/>
            <w:vAlign w:val="bottom"/>
          </w:tcPr>
          <w:p>
            <w:pPr>
              <w:jc w:val="right"/>
              <w:spacing w:after="0" w:line="134" w:lineRule="exact"/>
              <w:rPr>
                <w:sz w:val="20"/>
                <w:szCs w:val="20"/>
                <w:color w:val="auto"/>
              </w:rPr>
            </w:pPr>
            <w:r>
              <w:rPr>
                <w:rFonts w:ascii="Arial" w:cs="Arial" w:eastAsia="Arial" w:hAnsi="Arial"/>
                <w:sz w:val="12"/>
                <w:szCs w:val="12"/>
                <w:color w:val="auto"/>
              </w:rPr>
              <w:t>2,825,033</w:t>
            </w:r>
          </w:p>
        </w:tc>
        <w:tc>
          <w:tcPr>
            <w:tcW w:w="0" w:type="dxa"/>
            <w:vAlign w:val="bottom"/>
          </w:tcPr>
          <w:p>
            <w:pPr>
              <w:spacing w:after="0"/>
              <w:rPr>
                <w:sz w:val="1"/>
                <w:szCs w:val="1"/>
                <w:color w:val="auto"/>
              </w:rPr>
            </w:pPr>
          </w:p>
        </w:tc>
      </w:tr>
      <w:tr>
        <w:trPr>
          <w:trHeight w:val="165"/>
        </w:trPr>
        <w:tc>
          <w:tcPr>
            <w:tcW w:w="4040" w:type="dxa"/>
            <w:vAlign w:val="bottom"/>
          </w:tcPr>
          <w:p>
            <w:pPr>
              <w:spacing w:after="0"/>
              <w:rPr>
                <w:sz w:val="14"/>
                <w:szCs w:val="14"/>
                <w:color w:val="auto"/>
              </w:rPr>
            </w:pPr>
          </w:p>
        </w:tc>
        <w:tc>
          <w:tcPr>
            <w:tcW w:w="520" w:type="dxa"/>
            <w:vAlign w:val="bottom"/>
          </w:tcPr>
          <w:p>
            <w:pPr>
              <w:ind w:left="140"/>
              <w:spacing w:after="0"/>
              <w:rPr>
                <w:sz w:val="20"/>
                <w:szCs w:val="20"/>
                <w:color w:val="auto"/>
              </w:rPr>
            </w:pPr>
            <w:r>
              <w:rPr>
                <w:rFonts w:ascii="Arial" w:cs="Arial" w:eastAsia="Arial" w:hAnsi="Arial"/>
                <w:sz w:val="12"/>
                <w:szCs w:val="12"/>
                <w:color w:val="auto"/>
              </w:rPr>
              <w:t>2019</w:t>
            </w:r>
          </w:p>
        </w:tc>
        <w:tc>
          <w:tcPr>
            <w:tcW w:w="620" w:type="dxa"/>
            <w:vAlign w:val="bottom"/>
          </w:tcPr>
          <w:p>
            <w:pPr>
              <w:ind w:left="100"/>
              <w:spacing w:after="0"/>
              <w:rPr>
                <w:sz w:val="20"/>
                <w:szCs w:val="20"/>
                <w:color w:val="auto"/>
              </w:rPr>
            </w:pPr>
            <w:r>
              <w:rPr>
                <w:rFonts w:ascii="Arial" w:cs="Arial" w:eastAsia="Arial" w:hAnsi="Arial"/>
                <w:sz w:val="12"/>
                <w:szCs w:val="12"/>
                <w:color w:val="auto"/>
              </w:rPr>
              <w:t>600,000</w:t>
            </w:r>
          </w:p>
        </w:tc>
        <w:tc>
          <w:tcPr>
            <w:tcW w:w="3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977,792</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314,980</w:t>
            </w:r>
          </w:p>
        </w:tc>
        <w:tc>
          <w:tcPr>
            <w:tcW w:w="1020" w:type="dxa"/>
            <w:vAlign w:val="bottom"/>
          </w:tcPr>
          <w:p>
            <w:pPr>
              <w:jc w:val="right"/>
              <w:ind w:right="18"/>
              <w:spacing w:after="0"/>
              <w:rPr>
                <w:sz w:val="20"/>
                <w:szCs w:val="20"/>
                <w:color w:val="auto"/>
              </w:rPr>
            </w:pPr>
            <w:r>
              <w:rPr>
                <w:rFonts w:ascii="Arial" w:cs="Arial" w:eastAsia="Arial" w:hAnsi="Arial"/>
                <w:sz w:val="12"/>
                <w:szCs w:val="12"/>
                <w:color w:val="auto"/>
              </w:rPr>
              <w:t>1,400,000</w:t>
            </w:r>
          </w:p>
        </w:tc>
        <w:tc>
          <w:tcPr>
            <w:tcW w:w="1040" w:type="dxa"/>
            <w:vAlign w:val="bottom"/>
          </w:tcPr>
          <w:p>
            <w:pPr>
              <w:jc w:val="right"/>
              <w:ind w:right="38"/>
              <w:spacing w:after="0"/>
              <w:rPr>
                <w:sz w:val="20"/>
                <w:szCs w:val="20"/>
                <w:color w:val="auto"/>
              </w:rPr>
            </w:pPr>
            <w:r>
              <w:rPr>
                <w:rFonts w:ascii="Arial" w:cs="Arial" w:eastAsia="Arial" w:hAnsi="Arial"/>
                <w:sz w:val="12"/>
                <w:szCs w:val="12"/>
                <w:color w:val="auto"/>
              </w:rPr>
              <w:t>32,155</w:t>
            </w:r>
          </w:p>
        </w:tc>
        <w:tc>
          <w:tcPr>
            <w:tcW w:w="760" w:type="dxa"/>
            <w:vAlign w:val="bottom"/>
          </w:tcPr>
          <w:p>
            <w:pPr>
              <w:jc w:val="right"/>
              <w:spacing w:after="0"/>
              <w:rPr>
                <w:sz w:val="20"/>
                <w:szCs w:val="20"/>
                <w:color w:val="auto"/>
              </w:rPr>
            </w:pPr>
            <w:r>
              <w:rPr>
                <w:rFonts w:ascii="Arial" w:cs="Arial" w:eastAsia="Arial" w:hAnsi="Arial"/>
                <w:sz w:val="12"/>
                <w:szCs w:val="12"/>
                <w:color w:val="auto"/>
              </w:rPr>
              <w:t>3,324,927</w:t>
            </w:r>
          </w:p>
        </w:tc>
        <w:tc>
          <w:tcPr>
            <w:tcW w:w="0" w:type="dxa"/>
            <w:vAlign w:val="bottom"/>
          </w:tcPr>
          <w:p>
            <w:pPr>
              <w:spacing w:after="0"/>
              <w:rPr>
                <w:sz w:val="1"/>
                <w:szCs w:val="1"/>
                <w:color w:val="auto"/>
              </w:rPr>
            </w:pPr>
          </w:p>
        </w:tc>
      </w:tr>
      <w:tr>
        <w:trPr>
          <w:trHeight w:val="40"/>
        </w:trPr>
        <w:tc>
          <w:tcPr>
            <w:tcW w:w="40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040" w:type="dxa"/>
            <w:vAlign w:val="bottom"/>
            <w:shd w:val="clear" w:color="auto" w:fill="E8E8E8"/>
          </w:tcPr>
          <w:p>
            <w:pPr>
              <w:ind w:left="60"/>
              <w:spacing w:after="0"/>
              <w:rPr>
                <w:sz w:val="20"/>
                <w:szCs w:val="20"/>
                <w:color w:val="auto"/>
              </w:rPr>
            </w:pPr>
            <w:r>
              <w:rPr>
                <w:rFonts w:ascii="Arial" w:cs="Arial" w:eastAsia="Arial" w:hAnsi="Arial"/>
                <w:sz w:val="12"/>
                <w:szCs w:val="12"/>
                <w:color w:val="auto"/>
              </w:rPr>
              <w:t>Edward Fandrey(6)</w:t>
            </w:r>
          </w:p>
        </w:tc>
        <w:tc>
          <w:tcPr>
            <w:tcW w:w="520" w:type="dxa"/>
            <w:vAlign w:val="bottom"/>
            <w:shd w:val="clear" w:color="auto" w:fill="E8E8E8"/>
          </w:tcPr>
          <w:p>
            <w:pPr>
              <w:ind w:left="140"/>
              <w:spacing w:after="0"/>
              <w:rPr>
                <w:sz w:val="20"/>
                <w:szCs w:val="20"/>
                <w:color w:val="auto"/>
              </w:rPr>
            </w:pPr>
            <w:r>
              <w:rPr>
                <w:rFonts w:ascii="Arial" w:cs="Arial" w:eastAsia="Arial" w:hAnsi="Arial"/>
                <w:sz w:val="12"/>
                <w:szCs w:val="12"/>
                <w:color w:val="auto"/>
              </w:rPr>
              <w:t>2021</w:t>
            </w:r>
          </w:p>
        </w:tc>
        <w:tc>
          <w:tcPr>
            <w:tcW w:w="620" w:type="dxa"/>
            <w:vAlign w:val="bottom"/>
            <w:shd w:val="clear" w:color="auto" w:fill="E8E8E8"/>
          </w:tcPr>
          <w:p>
            <w:pPr>
              <w:ind w:left="100"/>
              <w:spacing w:after="0"/>
              <w:rPr>
                <w:sz w:val="20"/>
                <w:szCs w:val="20"/>
                <w:color w:val="auto"/>
              </w:rPr>
            </w:pPr>
            <w:r>
              <w:rPr>
                <w:rFonts w:ascii="Arial" w:cs="Arial" w:eastAsia="Arial" w:hAnsi="Arial"/>
                <w:sz w:val="12"/>
                <w:szCs w:val="12"/>
                <w:color w:val="auto"/>
              </w:rPr>
              <w:t>459,615</w:t>
            </w:r>
          </w:p>
        </w:tc>
        <w:tc>
          <w:tcPr>
            <w:tcW w:w="380" w:type="dxa"/>
            <w:vAlign w:val="bottom"/>
            <w:shd w:val="clear" w:color="auto" w:fill="E8E8E8"/>
          </w:tcPr>
          <w:p>
            <w:pPr>
              <w:ind w:left="80"/>
              <w:spacing w:after="0"/>
              <w:rPr>
                <w:sz w:val="20"/>
                <w:szCs w:val="20"/>
                <w:color w:val="auto"/>
              </w:rPr>
            </w:pPr>
            <w:r>
              <w:rPr>
                <w:rFonts w:ascii="Arial" w:cs="Arial" w:eastAsia="Arial" w:hAnsi="Arial"/>
                <w:sz w:val="12"/>
                <w:szCs w:val="12"/>
                <w:color w:val="auto"/>
              </w:rPr>
              <w:t>(7)</w:t>
            </w:r>
          </w:p>
        </w:tc>
        <w:tc>
          <w:tcPr>
            <w:tcW w:w="560" w:type="dxa"/>
            <w:vAlign w:val="bottom"/>
            <w:shd w:val="clear" w:color="auto" w:fill="E8E8E8"/>
          </w:tcPr>
          <w:p>
            <w:pPr>
              <w:jc w:val="right"/>
              <w:spacing w:after="0"/>
              <w:rPr>
                <w:sz w:val="20"/>
                <w:szCs w:val="20"/>
                <w:color w:val="auto"/>
              </w:rPr>
            </w:pPr>
            <w:r>
              <w:rPr>
                <w:rFonts w:ascii="Arial" w:cs="Arial" w:eastAsia="Arial" w:hAnsi="Arial"/>
                <w:sz w:val="12"/>
                <w:szCs w:val="12"/>
                <w:color w:val="auto"/>
              </w:rPr>
              <w:t>400,000</w:t>
            </w:r>
          </w:p>
        </w:tc>
        <w:tc>
          <w:tcPr>
            <w:tcW w:w="28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(8)</w:t>
            </w:r>
          </w:p>
        </w:tc>
        <w:tc>
          <w:tcPr>
            <w:tcW w:w="660" w:type="dxa"/>
            <w:vAlign w:val="bottom"/>
            <w:shd w:val="clear" w:color="auto" w:fill="E8E8E8"/>
          </w:tcPr>
          <w:p>
            <w:pPr>
              <w:jc w:val="right"/>
              <w:spacing w:after="0"/>
              <w:rPr>
                <w:sz w:val="20"/>
                <w:szCs w:val="20"/>
                <w:color w:val="auto"/>
              </w:rPr>
            </w:pPr>
            <w:r>
              <w:rPr>
                <w:rFonts w:ascii="Arial" w:cs="Arial" w:eastAsia="Arial" w:hAnsi="Arial"/>
                <w:sz w:val="12"/>
                <w:szCs w:val="12"/>
                <w:color w:val="auto"/>
              </w:rPr>
              <w:t>4,751,056</w:t>
            </w:r>
          </w:p>
        </w:tc>
        <w:tc>
          <w:tcPr>
            <w:tcW w:w="340" w:type="dxa"/>
            <w:vAlign w:val="bottom"/>
            <w:shd w:val="clear" w:color="auto" w:fill="E8E8E8"/>
          </w:tcPr>
          <w:p>
            <w:pPr>
              <w:ind w:left="40"/>
              <w:spacing w:after="0"/>
              <w:rPr>
                <w:sz w:val="20"/>
                <w:szCs w:val="20"/>
                <w:color w:val="auto"/>
              </w:rPr>
            </w:pPr>
            <w:r>
              <w:rPr>
                <w:rFonts w:ascii="Arial" w:cs="Arial" w:eastAsia="Arial" w:hAnsi="Arial"/>
                <w:sz w:val="12"/>
                <w:szCs w:val="12"/>
                <w:color w:val="auto"/>
              </w:rPr>
              <w:t>(9)</w:t>
            </w:r>
          </w:p>
        </w:tc>
        <w:tc>
          <w:tcPr>
            <w:tcW w:w="700" w:type="dxa"/>
            <w:vAlign w:val="bottom"/>
            <w:shd w:val="clear" w:color="auto" w:fill="E8E8E8"/>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640,000</w:t>
            </w:r>
          </w:p>
        </w:tc>
        <w:tc>
          <w:tcPr>
            <w:tcW w:w="1040" w:type="dxa"/>
            <w:vAlign w:val="bottom"/>
            <w:shd w:val="clear" w:color="auto" w:fill="E8E8E8"/>
          </w:tcPr>
          <w:p>
            <w:pPr>
              <w:jc w:val="right"/>
              <w:ind w:right="38"/>
              <w:spacing w:after="0"/>
              <w:rPr>
                <w:sz w:val="20"/>
                <w:szCs w:val="20"/>
                <w:color w:val="auto"/>
              </w:rPr>
            </w:pPr>
            <w:r>
              <w:rPr>
                <w:rFonts w:ascii="Arial" w:cs="Arial" w:eastAsia="Arial" w:hAnsi="Arial"/>
                <w:sz w:val="12"/>
                <w:szCs w:val="12"/>
                <w:color w:val="auto"/>
              </w:rPr>
              <w:t>543,695</w:t>
            </w:r>
          </w:p>
        </w:tc>
        <w:tc>
          <w:tcPr>
            <w:tcW w:w="760" w:type="dxa"/>
            <w:vAlign w:val="bottom"/>
            <w:shd w:val="clear" w:color="auto" w:fill="E8E8E8"/>
          </w:tcPr>
          <w:p>
            <w:pPr>
              <w:jc w:val="right"/>
              <w:spacing w:after="0"/>
              <w:rPr>
                <w:sz w:val="20"/>
                <w:szCs w:val="20"/>
                <w:color w:val="auto"/>
              </w:rPr>
            </w:pPr>
            <w:r>
              <w:rPr>
                <w:rFonts w:ascii="Arial" w:cs="Arial" w:eastAsia="Arial" w:hAnsi="Arial"/>
                <w:sz w:val="12"/>
                <w:szCs w:val="12"/>
                <w:color w:val="auto"/>
              </w:rPr>
              <w:t>6,794,366</w:t>
            </w:r>
          </w:p>
        </w:tc>
        <w:tc>
          <w:tcPr>
            <w:tcW w:w="0" w:type="dxa"/>
            <w:vAlign w:val="bottom"/>
          </w:tcPr>
          <w:p>
            <w:pPr>
              <w:spacing w:after="0"/>
              <w:rPr>
                <w:sz w:val="1"/>
                <w:szCs w:val="1"/>
                <w:color w:val="auto"/>
              </w:rPr>
            </w:pPr>
          </w:p>
        </w:tc>
      </w:tr>
      <w:tr>
        <w:trPr>
          <w:trHeight w:val="199"/>
        </w:trPr>
        <w:tc>
          <w:tcPr>
            <w:tcW w:w="4040" w:type="dxa"/>
            <w:vAlign w:val="bottom"/>
            <w:tcBorders>
              <w:bottom w:val="single" w:sz="8" w:color="E8E8E8"/>
            </w:tcBorders>
            <w:shd w:val="clear" w:color="auto" w:fill="E8E8E8"/>
          </w:tcPr>
          <w:p>
            <w:pPr>
              <w:ind w:left="60"/>
              <w:spacing w:after="0"/>
              <w:rPr>
                <w:sz w:val="20"/>
                <w:szCs w:val="20"/>
                <w:color w:val="auto"/>
              </w:rPr>
            </w:pPr>
            <w:r>
              <w:rPr>
                <w:rFonts w:ascii="Arial" w:cs="Arial" w:eastAsia="Arial" w:hAnsi="Arial"/>
                <w:sz w:val="12"/>
                <w:szCs w:val="12"/>
                <w:color w:val="auto"/>
              </w:rPr>
              <w:t>Managing Director, Divisional President</w:t>
            </w:r>
          </w:p>
        </w:tc>
        <w:tc>
          <w:tcPr>
            <w:tcW w:w="520" w:type="dxa"/>
            <w:vAlign w:val="bottom"/>
            <w:tcBorders>
              <w:bottom w:val="single" w:sz="8" w:color="E8E8E8"/>
            </w:tcBorders>
            <w:shd w:val="clear" w:color="auto" w:fill="E8E8E8"/>
          </w:tcPr>
          <w:p>
            <w:pPr>
              <w:spacing w:after="0"/>
              <w:rPr>
                <w:sz w:val="17"/>
                <w:szCs w:val="17"/>
                <w:color w:val="auto"/>
              </w:rPr>
            </w:pPr>
          </w:p>
        </w:tc>
        <w:tc>
          <w:tcPr>
            <w:tcW w:w="620" w:type="dxa"/>
            <w:vAlign w:val="bottom"/>
            <w:tcBorders>
              <w:bottom w:val="single" w:sz="8" w:color="E8E8E8"/>
            </w:tcBorders>
            <w:shd w:val="clear" w:color="auto" w:fill="E8E8E8"/>
          </w:tcPr>
          <w:p>
            <w:pPr>
              <w:spacing w:after="0"/>
              <w:rPr>
                <w:sz w:val="17"/>
                <w:szCs w:val="17"/>
                <w:color w:val="auto"/>
              </w:rPr>
            </w:pPr>
          </w:p>
        </w:tc>
        <w:tc>
          <w:tcPr>
            <w:tcW w:w="380" w:type="dxa"/>
            <w:vAlign w:val="bottom"/>
            <w:tcBorders>
              <w:bottom w:val="single" w:sz="8" w:color="E8E8E8"/>
            </w:tcBorders>
            <w:shd w:val="clear" w:color="auto" w:fill="E8E8E8"/>
          </w:tcPr>
          <w:p>
            <w:pPr>
              <w:spacing w:after="0"/>
              <w:rPr>
                <w:sz w:val="17"/>
                <w:szCs w:val="17"/>
                <w:color w:val="auto"/>
              </w:rPr>
            </w:pPr>
          </w:p>
        </w:tc>
        <w:tc>
          <w:tcPr>
            <w:tcW w:w="560" w:type="dxa"/>
            <w:vAlign w:val="bottom"/>
            <w:tcBorders>
              <w:bottom w:val="single" w:sz="8" w:color="E8E8E8"/>
            </w:tcBorders>
            <w:shd w:val="clear" w:color="auto" w:fill="E8E8E8"/>
          </w:tcPr>
          <w:p>
            <w:pPr>
              <w:spacing w:after="0"/>
              <w:rPr>
                <w:sz w:val="17"/>
                <w:szCs w:val="17"/>
                <w:color w:val="auto"/>
              </w:rPr>
            </w:pPr>
          </w:p>
        </w:tc>
        <w:tc>
          <w:tcPr>
            <w:tcW w:w="280" w:type="dxa"/>
            <w:vAlign w:val="bottom"/>
            <w:tcBorders>
              <w:bottom w:val="single" w:sz="8" w:color="E8E8E8"/>
            </w:tcBorders>
            <w:shd w:val="clear" w:color="auto" w:fill="E8E8E8"/>
          </w:tcPr>
          <w:p>
            <w:pPr>
              <w:spacing w:after="0"/>
              <w:rPr>
                <w:sz w:val="17"/>
                <w:szCs w:val="17"/>
                <w:color w:val="auto"/>
              </w:rPr>
            </w:pPr>
          </w:p>
        </w:tc>
        <w:tc>
          <w:tcPr>
            <w:tcW w:w="660" w:type="dxa"/>
            <w:vAlign w:val="bottom"/>
            <w:tcBorders>
              <w:bottom w:val="single" w:sz="8" w:color="E8E8E8"/>
            </w:tcBorders>
            <w:shd w:val="clear" w:color="auto" w:fill="E8E8E8"/>
          </w:tcPr>
          <w:p>
            <w:pPr>
              <w:spacing w:after="0"/>
              <w:rPr>
                <w:sz w:val="17"/>
                <w:szCs w:val="17"/>
                <w:color w:val="auto"/>
              </w:rPr>
            </w:pPr>
          </w:p>
        </w:tc>
        <w:tc>
          <w:tcPr>
            <w:tcW w:w="340" w:type="dxa"/>
            <w:vAlign w:val="bottom"/>
            <w:tcBorders>
              <w:bottom w:val="single" w:sz="8" w:color="E8E8E8"/>
            </w:tcBorders>
            <w:shd w:val="clear" w:color="auto" w:fill="E8E8E8"/>
          </w:tcPr>
          <w:p>
            <w:pPr>
              <w:spacing w:after="0"/>
              <w:rPr>
                <w:sz w:val="17"/>
                <w:szCs w:val="17"/>
                <w:color w:val="auto"/>
              </w:rPr>
            </w:pPr>
          </w:p>
        </w:tc>
        <w:tc>
          <w:tcPr>
            <w:tcW w:w="700" w:type="dxa"/>
            <w:vAlign w:val="bottom"/>
            <w:tcBorders>
              <w:bottom w:val="single" w:sz="8" w:color="E8E8E8"/>
            </w:tcBorders>
            <w:shd w:val="clear" w:color="auto" w:fill="E8E8E8"/>
          </w:tcPr>
          <w:p>
            <w:pPr>
              <w:spacing w:after="0"/>
              <w:rPr>
                <w:sz w:val="17"/>
                <w:szCs w:val="17"/>
                <w:color w:val="auto"/>
              </w:rPr>
            </w:pPr>
          </w:p>
        </w:tc>
        <w:tc>
          <w:tcPr>
            <w:tcW w:w="1020" w:type="dxa"/>
            <w:vAlign w:val="bottom"/>
            <w:tcBorders>
              <w:bottom w:val="single" w:sz="8" w:color="E8E8E8"/>
            </w:tcBorders>
            <w:shd w:val="clear" w:color="auto" w:fill="E8E8E8"/>
          </w:tcPr>
          <w:p>
            <w:pPr>
              <w:spacing w:after="0"/>
              <w:rPr>
                <w:sz w:val="17"/>
                <w:szCs w:val="17"/>
                <w:color w:val="auto"/>
              </w:rPr>
            </w:pPr>
          </w:p>
        </w:tc>
        <w:tc>
          <w:tcPr>
            <w:tcW w:w="1040" w:type="dxa"/>
            <w:vAlign w:val="bottom"/>
            <w:tcBorders>
              <w:bottom w:val="single" w:sz="8" w:color="E8E8E8"/>
            </w:tcBorders>
            <w:shd w:val="clear" w:color="auto" w:fill="E8E8E8"/>
          </w:tcPr>
          <w:p>
            <w:pPr>
              <w:spacing w:after="0"/>
              <w:rPr>
                <w:sz w:val="17"/>
                <w:szCs w:val="17"/>
                <w:color w:val="auto"/>
              </w:rPr>
            </w:pPr>
          </w:p>
        </w:tc>
        <w:tc>
          <w:tcPr>
            <w:tcW w:w="760" w:type="dxa"/>
            <w:vAlign w:val="bottom"/>
            <w:tcBorders>
              <w:bottom w:val="single" w:sz="8" w:color="E8E8E8"/>
            </w:tcBorders>
            <w:shd w:val="clear" w:color="auto" w:fill="E8E8E8"/>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040" w:type="dxa"/>
            <w:vAlign w:val="bottom"/>
          </w:tcPr>
          <w:p>
            <w:pPr>
              <w:ind w:left="60"/>
              <w:spacing w:after="0"/>
              <w:rPr>
                <w:sz w:val="20"/>
                <w:szCs w:val="20"/>
                <w:color w:val="auto"/>
              </w:rPr>
            </w:pPr>
            <w:r>
              <w:rPr>
                <w:rFonts w:ascii="Arial" w:cs="Arial" w:eastAsia="Arial" w:hAnsi="Arial"/>
                <w:sz w:val="12"/>
                <w:szCs w:val="12"/>
                <w:color w:val="auto"/>
              </w:rPr>
              <w:t>Dayton Semerjian</w:t>
            </w:r>
          </w:p>
        </w:tc>
        <w:tc>
          <w:tcPr>
            <w:tcW w:w="520" w:type="dxa"/>
            <w:vAlign w:val="bottom"/>
          </w:tcPr>
          <w:p>
            <w:pPr>
              <w:ind w:left="140"/>
              <w:spacing w:after="0"/>
              <w:rPr>
                <w:sz w:val="20"/>
                <w:szCs w:val="20"/>
                <w:color w:val="auto"/>
              </w:rPr>
            </w:pPr>
            <w:r>
              <w:rPr>
                <w:rFonts w:ascii="Arial" w:cs="Arial" w:eastAsia="Arial" w:hAnsi="Arial"/>
                <w:sz w:val="12"/>
                <w:szCs w:val="12"/>
                <w:color w:val="auto"/>
              </w:rPr>
              <w:t>2021</w:t>
            </w:r>
          </w:p>
        </w:tc>
        <w:tc>
          <w:tcPr>
            <w:tcW w:w="620" w:type="dxa"/>
            <w:vAlign w:val="bottom"/>
          </w:tcPr>
          <w:p>
            <w:pPr>
              <w:ind w:left="100"/>
              <w:spacing w:after="0"/>
              <w:rPr>
                <w:sz w:val="20"/>
                <w:szCs w:val="20"/>
                <w:color w:val="auto"/>
              </w:rPr>
            </w:pPr>
            <w:r>
              <w:rPr>
                <w:rFonts w:ascii="Arial" w:cs="Arial" w:eastAsia="Arial" w:hAnsi="Arial"/>
                <w:sz w:val="12"/>
                <w:szCs w:val="12"/>
                <w:color w:val="auto"/>
              </w:rPr>
              <w:t>500,000</w:t>
            </w:r>
          </w:p>
        </w:tc>
        <w:tc>
          <w:tcPr>
            <w:tcW w:w="3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1,203,938</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18"/>
              <w:spacing w:after="0"/>
              <w:rPr>
                <w:sz w:val="20"/>
                <w:szCs w:val="20"/>
                <w:color w:val="auto"/>
              </w:rPr>
            </w:pPr>
            <w:r>
              <w:rPr>
                <w:rFonts w:ascii="Arial" w:cs="Arial" w:eastAsia="Arial" w:hAnsi="Arial"/>
                <w:sz w:val="12"/>
                <w:szCs w:val="12"/>
                <w:color w:val="auto"/>
              </w:rPr>
              <w:t>800,000</w:t>
            </w:r>
          </w:p>
        </w:tc>
        <w:tc>
          <w:tcPr>
            <w:tcW w:w="1040" w:type="dxa"/>
            <w:vAlign w:val="bottom"/>
          </w:tcPr>
          <w:p>
            <w:pPr>
              <w:jc w:val="right"/>
              <w:ind w:right="38"/>
              <w:spacing w:after="0"/>
              <w:rPr>
                <w:sz w:val="20"/>
                <w:szCs w:val="20"/>
                <w:color w:val="auto"/>
              </w:rPr>
            </w:pPr>
            <w:r>
              <w:rPr>
                <w:rFonts w:ascii="Arial" w:cs="Arial" w:eastAsia="Arial" w:hAnsi="Arial"/>
                <w:sz w:val="12"/>
                <w:szCs w:val="12"/>
                <w:color w:val="auto"/>
              </w:rPr>
              <w:t>40,182</w:t>
            </w:r>
          </w:p>
        </w:tc>
        <w:tc>
          <w:tcPr>
            <w:tcW w:w="760" w:type="dxa"/>
            <w:vAlign w:val="bottom"/>
          </w:tcPr>
          <w:p>
            <w:pPr>
              <w:jc w:val="right"/>
              <w:spacing w:after="0"/>
              <w:rPr>
                <w:sz w:val="20"/>
                <w:szCs w:val="20"/>
                <w:color w:val="auto"/>
              </w:rPr>
            </w:pPr>
            <w:r>
              <w:rPr>
                <w:rFonts w:ascii="Arial" w:cs="Arial" w:eastAsia="Arial" w:hAnsi="Arial"/>
                <w:sz w:val="12"/>
                <w:szCs w:val="12"/>
                <w:color w:val="auto"/>
              </w:rPr>
              <w:t>2,544,120</w:t>
            </w:r>
          </w:p>
        </w:tc>
        <w:tc>
          <w:tcPr>
            <w:tcW w:w="0" w:type="dxa"/>
            <w:vAlign w:val="bottom"/>
          </w:tcPr>
          <w:p>
            <w:pPr>
              <w:spacing w:after="0"/>
              <w:rPr>
                <w:sz w:val="1"/>
                <w:szCs w:val="1"/>
                <w:color w:val="auto"/>
              </w:rPr>
            </w:pPr>
          </w:p>
        </w:tc>
      </w:tr>
      <w:tr>
        <w:trPr>
          <w:trHeight w:val="134"/>
        </w:trPr>
        <w:tc>
          <w:tcPr>
            <w:tcW w:w="4040" w:type="dxa"/>
            <w:vAlign w:val="bottom"/>
          </w:tcPr>
          <w:p>
            <w:pPr>
              <w:ind w:left="60"/>
              <w:spacing w:after="0" w:line="134" w:lineRule="exact"/>
              <w:rPr>
                <w:sz w:val="20"/>
                <w:szCs w:val="20"/>
                <w:color w:val="auto"/>
              </w:rPr>
            </w:pPr>
            <w:r>
              <w:rPr>
                <w:rFonts w:ascii="Arial" w:cs="Arial" w:eastAsia="Arial" w:hAnsi="Arial"/>
                <w:sz w:val="12"/>
                <w:szCs w:val="12"/>
                <w:color w:val="auto"/>
              </w:rPr>
              <w:t>Managing Director, Chief Customer Care Officer</w:t>
            </w:r>
          </w:p>
        </w:tc>
        <w:tc>
          <w:tcPr>
            <w:tcW w:w="520" w:type="dxa"/>
            <w:vAlign w:val="bottom"/>
          </w:tcPr>
          <w:p>
            <w:pPr>
              <w:ind w:left="140"/>
              <w:spacing w:after="0" w:line="134" w:lineRule="exact"/>
              <w:rPr>
                <w:sz w:val="20"/>
                <w:szCs w:val="20"/>
                <w:color w:val="auto"/>
              </w:rPr>
            </w:pPr>
            <w:r>
              <w:rPr>
                <w:rFonts w:ascii="Arial" w:cs="Arial" w:eastAsia="Arial" w:hAnsi="Arial"/>
                <w:sz w:val="12"/>
                <w:szCs w:val="12"/>
                <w:color w:val="auto"/>
              </w:rPr>
              <w:t>2020</w:t>
            </w:r>
          </w:p>
        </w:tc>
        <w:tc>
          <w:tcPr>
            <w:tcW w:w="620" w:type="dxa"/>
            <w:vAlign w:val="bottom"/>
          </w:tcPr>
          <w:p>
            <w:pPr>
              <w:ind w:left="100"/>
              <w:spacing w:after="0" w:line="134" w:lineRule="exact"/>
              <w:rPr>
                <w:sz w:val="20"/>
                <w:szCs w:val="20"/>
                <w:color w:val="auto"/>
              </w:rPr>
            </w:pPr>
            <w:r>
              <w:rPr>
                <w:rFonts w:ascii="Arial" w:cs="Arial" w:eastAsia="Arial" w:hAnsi="Arial"/>
                <w:sz w:val="12"/>
                <w:szCs w:val="12"/>
                <w:color w:val="auto"/>
              </w:rPr>
              <w:t>500,000</w:t>
            </w:r>
          </w:p>
        </w:tc>
        <w:tc>
          <w:tcPr>
            <w:tcW w:w="380" w:type="dxa"/>
            <w:vAlign w:val="bottom"/>
          </w:tcPr>
          <w:p>
            <w:pPr>
              <w:spacing w:after="0"/>
              <w:rPr>
                <w:sz w:val="11"/>
                <w:szCs w:val="11"/>
                <w:color w:val="auto"/>
              </w:rPr>
            </w:pPr>
          </w:p>
        </w:tc>
        <w:tc>
          <w:tcPr>
            <w:tcW w:w="56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280" w:type="dxa"/>
            <w:vAlign w:val="bottom"/>
          </w:tcPr>
          <w:p>
            <w:pPr>
              <w:spacing w:after="0"/>
              <w:rPr>
                <w:sz w:val="11"/>
                <w:szCs w:val="11"/>
                <w:color w:val="auto"/>
              </w:rPr>
            </w:pPr>
          </w:p>
        </w:tc>
        <w:tc>
          <w:tcPr>
            <w:tcW w:w="660" w:type="dxa"/>
            <w:vAlign w:val="bottom"/>
          </w:tcPr>
          <w:p>
            <w:pPr>
              <w:jc w:val="right"/>
              <w:spacing w:after="0" w:line="134" w:lineRule="exact"/>
              <w:rPr>
                <w:sz w:val="20"/>
                <w:szCs w:val="20"/>
                <w:color w:val="auto"/>
              </w:rPr>
            </w:pPr>
            <w:r>
              <w:rPr>
                <w:rFonts w:ascii="Arial" w:cs="Arial" w:eastAsia="Arial" w:hAnsi="Arial"/>
                <w:sz w:val="12"/>
                <w:szCs w:val="12"/>
                <w:color w:val="auto"/>
              </w:rPr>
              <w:t>788,991</w:t>
            </w:r>
          </w:p>
        </w:tc>
        <w:tc>
          <w:tcPr>
            <w:tcW w:w="34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1020" w:type="dxa"/>
            <w:vAlign w:val="bottom"/>
          </w:tcPr>
          <w:p>
            <w:pPr>
              <w:jc w:val="right"/>
              <w:ind w:right="18"/>
              <w:spacing w:after="0" w:line="134" w:lineRule="exact"/>
              <w:rPr>
                <w:sz w:val="20"/>
                <w:szCs w:val="20"/>
                <w:color w:val="auto"/>
              </w:rPr>
            </w:pPr>
            <w:r>
              <w:rPr>
                <w:rFonts w:ascii="Arial" w:cs="Arial" w:eastAsia="Arial" w:hAnsi="Arial"/>
                <w:sz w:val="12"/>
                <w:szCs w:val="12"/>
                <w:color w:val="auto"/>
              </w:rPr>
              <w:t>922,000</w:t>
            </w:r>
          </w:p>
        </w:tc>
        <w:tc>
          <w:tcPr>
            <w:tcW w:w="1040" w:type="dxa"/>
            <w:vAlign w:val="bottom"/>
          </w:tcPr>
          <w:p>
            <w:pPr>
              <w:jc w:val="right"/>
              <w:ind w:right="38"/>
              <w:spacing w:after="0" w:line="134" w:lineRule="exact"/>
              <w:rPr>
                <w:sz w:val="20"/>
                <w:szCs w:val="20"/>
                <w:color w:val="auto"/>
              </w:rPr>
            </w:pPr>
            <w:r>
              <w:rPr>
                <w:rFonts w:ascii="Arial" w:cs="Arial" w:eastAsia="Arial" w:hAnsi="Arial"/>
                <w:sz w:val="12"/>
                <w:szCs w:val="12"/>
                <w:color w:val="auto"/>
              </w:rPr>
              <w:t>102,496</w:t>
            </w:r>
          </w:p>
        </w:tc>
        <w:tc>
          <w:tcPr>
            <w:tcW w:w="760" w:type="dxa"/>
            <w:vAlign w:val="bottom"/>
          </w:tcPr>
          <w:p>
            <w:pPr>
              <w:jc w:val="right"/>
              <w:spacing w:after="0" w:line="134" w:lineRule="exact"/>
              <w:rPr>
                <w:sz w:val="20"/>
                <w:szCs w:val="20"/>
                <w:color w:val="auto"/>
              </w:rPr>
            </w:pPr>
            <w:r>
              <w:rPr>
                <w:rFonts w:ascii="Arial" w:cs="Arial" w:eastAsia="Arial" w:hAnsi="Arial"/>
                <w:sz w:val="12"/>
                <w:szCs w:val="12"/>
                <w:color w:val="auto"/>
              </w:rPr>
              <w:t>2,313,487</w:t>
            </w:r>
          </w:p>
        </w:tc>
        <w:tc>
          <w:tcPr>
            <w:tcW w:w="0" w:type="dxa"/>
            <w:vAlign w:val="bottom"/>
          </w:tcPr>
          <w:p>
            <w:pPr>
              <w:spacing w:after="0"/>
              <w:rPr>
                <w:sz w:val="1"/>
                <w:szCs w:val="1"/>
                <w:color w:val="auto"/>
              </w:rPr>
            </w:pPr>
          </w:p>
        </w:tc>
      </w:tr>
      <w:tr>
        <w:trPr>
          <w:trHeight w:val="165"/>
        </w:trPr>
        <w:tc>
          <w:tcPr>
            <w:tcW w:w="4040" w:type="dxa"/>
            <w:vAlign w:val="bottom"/>
          </w:tcPr>
          <w:p>
            <w:pPr>
              <w:spacing w:after="0"/>
              <w:rPr>
                <w:sz w:val="14"/>
                <w:szCs w:val="14"/>
                <w:color w:val="auto"/>
              </w:rPr>
            </w:pPr>
          </w:p>
        </w:tc>
        <w:tc>
          <w:tcPr>
            <w:tcW w:w="520" w:type="dxa"/>
            <w:vAlign w:val="bottom"/>
          </w:tcPr>
          <w:p>
            <w:pPr>
              <w:ind w:left="140"/>
              <w:spacing w:after="0"/>
              <w:rPr>
                <w:sz w:val="20"/>
                <w:szCs w:val="20"/>
                <w:color w:val="auto"/>
              </w:rPr>
            </w:pPr>
            <w:r>
              <w:rPr>
                <w:rFonts w:ascii="Arial" w:cs="Arial" w:eastAsia="Arial" w:hAnsi="Arial"/>
                <w:sz w:val="12"/>
                <w:szCs w:val="12"/>
                <w:color w:val="auto"/>
              </w:rPr>
              <w:t>2019</w:t>
            </w:r>
          </w:p>
        </w:tc>
        <w:tc>
          <w:tcPr>
            <w:tcW w:w="620" w:type="dxa"/>
            <w:vAlign w:val="bottom"/>
          </w:tcPr>
          <w:p>
            <w:pPr>
              <w:ind w:left="100"/>
              <w:spacing w:after="0"/>
              <w:rPr>
                <w:sz w:val="20"/>
                <w:szCs w:val="20"/>
                <w:color w:val="auto"/>
              </w:rPr>
            </w:pPr>
            <w:r>
              <w:rPr>
                <w:rFonts w:ascii="Arial" w:cs="Arial" w:eastAsia="Arial" w:hAnsi="Arial"/>
                <w:sz w:val="12"/>
                <w:szCs w:val="12"/>
                <w:color w:val="auto"/>
              </w:rPr>
              <w:t>407,692</w:t>
            </w:r>
          </w:p>
        </w:tc>
        <w:tc>
          <w:tcPr>
            <w:tcW w:w="380" w:type="dxa"/>
            <w:vAlign w:val="bottom"/>
          </w:tcPr>
          <w:p>
            <w:pPr>
              <w:ind w:left="80"/>
              <w:spacing w:after="0"/>
              <w:rPr>
                <w:sz w:val="20"/>
                <w:szCs w:val="20"/>
                <w:color w:val="auto"/>
              </w:rPr>
            </w:pPr>
            <w:r>
              <w:rPr>
                <w:rFonts w:ascii="Arial" w:cs="Arial" w:eastAsia="Arial" w:hAnsi="Arial"/>
                <w:sz w:val="12"/>
                <w:szCs w:val="12"/>
                <w:color w:val="auto"/>
              </w:rPr>
              <w:t>(10)</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794,714</w:t>
            </w:r>
          </w:p>
        </w:tc>
        <w:tc>
          <w:tcPr>
            <w:tcW w:w="340" w:type="dxa"/>
            <w:vAlign w:val="bottom"/>
          </w:tcPr>
          <w:p>
            <w:pPr>
              <w:ind w:left="40"/>
              <w:spacing w:after="0"/>
              <w:rPr>
                <w:sz w:val="20"/>
                <w:szCs w:val="20"/>
                <w:color w:val="auto"/>
              </w:rPr>
            </w:pPr>
            <w:r>
              <w:rPr>
                <w:rFonts w:ascii="Arial" w:cs="Arial" w:eastAsia="Arial" w:hAnsi="Arial"/>
                <w:sz w:val="12"/>
                <w:szCs w:val="12"/>
                <w:color w:val="auto"/>
              </w:rPr>
              <w:t>(11)</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18"/>
              <w:spacing w:after="0"/>
              <w:rPr>
                <w:sz w:val="20"/>
                <w:szCs w:val="20"/>
                <w:color w:val="auto"/>
              </w:rPr>
            </w:pPr>
            <w:r>
              <w:rPr>
                <w:rFonts w:ascii="Arial" w:cs="Arial" w:eastAsia="Arial" w:hAnsi="Arial"/>
                <w:sz w:val="12"/>
                <w:szCs w:val="12"/>
                <w:color w:val="auto"/>
              </w:rPr>
              <w:t>975,000</w:t>
            </w:r>
          </w:p>
        </w:tc>
        <w:tc>
          <w:tcPr>
            <w:tcW w:w="1040" w:type="dxa"/>
            <w:vAlign w:val="bottom"/>
          </w:tcPr>
          <w:p>
            <w:pPr>
              <w:jc w:val="right"/>
              <w:ind w:right="38"/>
              <w:spacing w:after="0"/>
              <w:rPr>
                <w:sz w:val="20"/>
                <w:szCs w:val="20"/>
                <w:color w:val="auto"/>
              </w:rPr>
            </w:pPr>
            <w:r>
              <w:rPr>
                <w:rFonts w:ascii="Arial" w:cs="Arial" w:eastAsia="Arial" w:hAnsi="Arial"/>
                <w:sz w:val="12"/>
                <w:szCs w:val="12"/>
                <w:color w:val="auto"/>
              </w:rPr>
              <w:t>228,785</w:t>
            </w:r>
          </w:p>
        </w:tc>
        <w:tc>
          <w:tcPr>
            <w:tcW w:w="760" w:type="dxa"/>
            <w:vAlign w:val="bottom"/>
          </w:tcPr>
          <w:p>
            <w:pPr>
              <w:jc w:val="right"/>
              <w:spacing w:after="0"/>
              <w:rPr>
                <w:sz w:val="20"/>
                <w:szCs w:val="20"/>
                <w:color w:val="auto"/>
              </w:rPr>
            </w:pPr>
            <w:r>
              <w:rPr>
                <w:rFonts w:ascii="Arial" w:cs="Arial" w:eastAsia="Arial" w:hAnsi="Arial"/>
                <w:sz w:val="12"/>
                <w:szCs w:val="12"/>
                <w:color w:val="auto"/>
              </w:rPr>
              <w:t>2,406,191</w:t>
            </w:r>
          </w:p>
        </w:tc>
        <w:tc>
          <w:tcPr>
            <w:tcW w:w="0" w:type="dxa"/>
            <w:vAlign w:val="bottom"/>
          </w:tcPr>
          <w:p>
            <w:pPr>
              <w:spacing w:after="0"/>
              <w:rPr>
                <w:sz w:val="1"/>
                <w:szCs w:val="1"/>
                <w:color w:val="auto"/>
              </w:rPr>
            </w:pPr>
          </w:p>
        </w:tc>
      </w:tr>
      <w:tr>
        <w:trPr>
          <w:trHeight w:val="40"/>
        </w:trPr>
        <w:tc>
          <w:tcPr>
            <w:tcW w:w="40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040" w:type="dxa"/>
            <w:vAlign w:val="bottom"/>
            <w:shd w:val="clear" w:color="auto" w:fill="E8E8E8"/>
          </w:tcPr>
          <w:p>
            <w:pPr>
              <w:ind w:left="60"/>
              <w:spacing w:after="0"/>
              <w:rPr>
                <w:sz w:val="20"/>
                <w:szCs w:val="20"/>
                <w:color w:val="auto"/>
              </w:rPr>
            </w:pPr>
            <w:r>
              <w:rPr>
                <w:rFonts w:ascii="Arial" w:cs="Arial" w:eastAsia="Arial" w:hAnsi="Arial"/>
                <w:sz w:val="12"/>
                <w:szCs w:val="12"/>
                <w:color w:val="auto"/>
              </w:rPr>
              <w:t>Richard Steinmeier</w:t>
            </w:r>
          </w:p>
        </w:tc>
        <w:tc>
          <w:tcPr>
            <w:tcW w:w="520" w:type="dxa"/>
            <w:vAlign w:val="bottom"/>
            <w:shd w:val="clear" w:color="auto" w:fill="E8E8E8"/>
          </w:tcPr>
          <w:p>
            <w:pPr>
              <w:ind w:left="140"/>
              <w:spacing w:after="0"/>
              <w:rPr>
                <w:sz w:val="20"/>
                <w:szCs w:val="20"/>
                <w:color w:val="auto"/>
              </w:rPr>
            </w:pPr>
            <w:r>
              <w:rPr>
                <w:rFonts w:ascii="Arial" w:cs="Arial" w:eastAsia="Arial" w:hAnsi="Arial"/>
                <w:sz w:val="12"/>
                <w:szCs w:val="12"/>
                <w:color w:val="auto"/>
              </w:rPr>
              <w:t>2021</w:t>
            </w:r>
          </w:p>
        </w:tc>
        <w:tc>
          <w:tcPr>
            <w:tcW w:w="620" w:type="dxa"/>
            <w:vAlign w:val="bottom"/>
            <w:shd w:val="clear" w:color="auto" w:fill="E8E8E8"/>
          </w:tcPr>
          <w:p>
            <w:pPr>
              <w:ind w:left="100"/>
              <w:spacing w:after="0"/>
              <w:rPr>
                <w:sz w:val="20"/>
                <w:szCs w:val="20"/>
                <w:color w:val="auto"/>
              </w:rPr>
            </w:pPr>
            <w:r>
              <w:rPr>
                <w:rFonts w:ascii="Arial" w:cs="Arial" w:eastAsia="Arial" w:hAnsi="Arial"/>
                <w:sz w:val="12"/>
                <w:szCs w:val="12"/>
                <w:color w:val="auto"/>
              </w:rPr>
              <w:t>500,000</w:t>
            </w:r>
          </w:p>
        </w:tc>
        <w:tc>
          <w:tcPr>
            <w:tcW w:w="380" w:type="dxa"/>
            <w:vAlign w:val="bottom"/>
            <w:shd w:val="clear" w:color="auto" w:fill="E8E8E8"/>
          </w:tcPr>
          <w:p>
            <w:pPr>
              <w:spacing w:after="0"/>
              <w:rPr>
                <w:sz w:val="14"/>
                <w:szCs w:val="14"/>
                <w:color w:val="auto"/>
              </w:rPr>
            </w:pPr>
          </w:p>
        </w:tc>
        <w:tc>
          <w:tcPr>
            <w:tcW w:w="560" w:type="dxa"/>
            <w:vAlign w:val="bottom"/>
            <w:shd w:val="clear" w:color="auto" w:fill="E8E8E8"/>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E8E8E8"/>
          </w:tcPr>
          <w:p>
            <w:pPr>
              <w:spacing w:after="0"/>
              <w:rPr>
                <w:sz w:val="14"/>
                <w:szCs w:val="14"/>
                <w:color w:val="auto"/>
              </w:rPr>
            </w:pPr>
          </w:p>
        </w:tc>
        <w:tc>
          <w:tcPr>
            <w:tcW w:w="660" w:type="dxa"/>
            <w:vAlign w:val="bottom"/>
            <w:shd w:val="clear" w:color="auto" w:fill="E8E8E8"/>
          </w:tcPr>
          <w:p>
            <w:pPr>
              <w:jc w:val="right"/>
              <w:spacing w:after="0"/>
              <w:rPr>
                <w:sz w:val="20"/>
                <w:szCs w:val="20"/>
                <w:color w:val="auto"/>
              </w:rPr>
            </w:pPr>
            <w:r>
              <w:rPr>
                <w:rFonts w:ascii="Arial" w:cs="Arial" w:eastAsia="Arial" w:hAnsi="Arial"/>
                <w:sz w:val="12"/>
                <w:szCs w:val="12"/>
                <w:color w:val="auto"/>
              </w:rPr>
              <w:t>1,788,720</w:t>
            </w:r>
          </w:p>
        </w:tc>
        <w:tc>
          <w:tcPr>
            <w:tcW w:w="340" w:type="dxa"/>
            <w:vAlign w:val="bottom"/>
            <w:shd w:val="clear" w:color="auto" w:fill="E8E8E8"/>
          </w:tcPr>
          <w:p>
            <w:pPr>
              <w:spacing w:after="0"/>
              <w:rPr>
                <w:sz w:val="14"/>
                <w:szCs w:val="14"/>
                <w:color w:val="auto"/>
              </w:rPr>
            </w:pPr>
          </w:p>
        </w:tc>
        <w:tc>
          <w:tcPr>
            <w:tcW w:w="700" w:type="dxa"/>
            <w:vAlign w:val="bottom"/>
            <w:shd w:val="clear" w:color="auto" w:fill="E8E8E8"/>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1,280,000</w:t>
            </w:r>
          </w:p>
        </w:tc>
        <w:tc>
          <w:tcPr>
            <w:tcW w:w="1040" w:type="dxa"/>
            <w:vAlign w:val="bottom"/>
            <w:shd w:val="clear" w:color="auto" w:fill="E8E8E8"/>
          </w:tcPr>
          <w:p>
            <w:pPr>
              <w:jc w:val="right"/>
              <w:ind w:right="38"/>
              <w:spacing w:after="0"/>
              <w:rPr>
                <w:sz w:val="20"/>
                <w:szCs w:val="20"/>
                <w:color w:val="auto"/>
              </w:rPr>
            </w:pPr>
            <w:r>
              <w:rPr>
                <w:rFonts w:ascii="Arial" w:cs="Arial" w:eastAsia="Arial" w:hAnsi="Arial"/>
                <w:sz w:val="12"/>
                <w:szCs w:val="12"/>
                <w:color w:val="auto"/>
              </w:rPr>
              <w:t>28,384</w:t>
            </w:r>
          </w:p>
        </w:tc>
        <w:tc>
          <w:tcPr>
            <w:tcW w:w="760" w:type="dxa"/>
            <w:vAlign w:val="bottom"/>
            <w:shd w:val="clear" w:color="auto" w:fill="E8E8E8"/>
          </w:tcPr>
          <w:p>
            <w:pPr>
              <w:jc w:val="right"/>
              <w:spacing w:after="0"/>
              <w:rPr>
                <w:sz w:val="20"/>
                <w:szCs w:val="20"/>
                <w:color w:val="auto"/>
              </w:rPr>
            </w:pPr>
            <w:r>
              <w:rPr>
                <w:rFonts w:ascii="Arial" w:cs="Arial" w:eastAsia="Arial" w:hAnsi="Arial"/>
                <w:sz w:val="12"/>
                <w:szCs w:val="12"/>
                <w:color w:val="auto"/>
              </w:rPr>
              <w:t>3,597,104</w:t>
            </w:r>
          </w:p>
        </w:tc>
        <w:tc>
          <w:tcPr>
            <w:tcW w:w="0" w:type="dxa"/>
            <w:vAlign w:val="bottom"/>
          </w:tcPr>
          <w:p>
            <w:pPr>
              <w:spacing w:after="0"/>
              <w:rPr>
                <w:sz w:val="1"/>
                <w:szCs w:val="1"/>
                <w:color w:val="auto"/>
              </w:rPr>
            </w:pPr>
          </w:p>
        </w:tc>
      </w:tr>
      <w:tr>
        <w:trPr>
          <w:trHeight w:val="134"/>
        </w:trPr>
        <w:tc>
          <w:tcPr>
            <w:tcW w:w="4040" w:type="dxa"/>
            <w:vAlign w:val="bottom"/>
            <w:shd w:val="clear" w:color="auto" w:fill="E8E8E8"/>
          </w:tcPr>
          <w:p>
            <w:pPr>
              <w:ind w:left="60"/>
              <w:spacing w:after="0" w:line="134" w:lineRule="exact"/>
              <w:rPr>
                <w:sz w:val="20"/>
                <w:szCs w:val="20"/>
                <w:color w:val="auto"/>
              </w:rPr>
            </w:pPr>
            <w:r>
              <w:rPr>
                <w:rFonts w:ascii="Arial" w:cs="Arial" w:eastAsia="Arial" w:hAnsi="Arial"/>
                <w:sz w:val="12"/>
                <w:szCs w:val="12"/>
                <w:color w:val="auto"/>
              </w:rPr>
              <w:t>Managing Director, Divisional President</w:t>
            </w:r>
          </w:p>
        </w:tc>
        <w:tc>
          <w:tcPr>
            <w:tcW w:w="520" w:type="dxa"/>
            <w:vAlign w:val="bottom"/>
            <w:shd w:val="clear" w:color="auto" w:fill="E8E8E8"/>
          </w:tcPr>
          <w:p>
            <w:pPr>
              <w:ind w:left="140"/>
              <w:spacing w:after="0" w:line="134" w:lineRule="exact"/>
              <w:rPr>
                <w:sz w:val="20"/>
                <w:szCs w:val="20"/>
                <w:color w:val="auto"/>
              </w:rPr>
            </w:pPr>
            <w:r>
              <w:rPr>
                <w:rFonts w:ascii="Arial" w:cs="Arial" w:eastAsia="Arial" w:hAnsi="Arial"/>
                <w:sz w:val="12"/>
                <w:szCs w:val="12"/>
                <w:color w:val="auto"/>
              </w:rPr>
              <w:t>2020</w:t>
            </w:r>
          </w:p>
        </w:tc>
        <w:tc>
          <w:tcPr>
            <w:tcW w:w="620" w:type="dxa"/>
            <w:vAlign w:val="bottom"/>
            <w:shd w:val="clear" w:color="auto" w:fill="E8E8E8"/>
          </w:tcPr>
          <w:p>
            <w:pPr>
              <w:ind w:left="100"/>
              <w:spacing w:after="0" w:line="134" w:lineRule="exact"/>
              <w:rPr>
                <w:sz w:val="20"/>
                <w:szCs w:val="20"/>
                <w:color w:val="auto"/>
              </w:rPr>
            </w:pPr>
            <w:r>
              <w:rPr>
                <w:rFonts w:ascii="Arial" w:cs="Arial" w:eastAsia="Arial" w:hAnsi="Arial"/>
                <w:sz w:val="12"/>
                <w:szCs w:val="12"/>
                <w:color w:val="auto"/>
              </w:rPr>
              <w:t>493,716</w:t>
            </w:r>
          </w:p>
        </w:tc>
        <w:tc>
          <w:tcPr>
            <w:tcW w:w="380" w:type="dxa"/>
            <w:vAlign w:val="bottom"/>
            <w:shd w:val="clear" w:color="auto" w:fill="E8E8E8"/>
          </w:tcPr>
          <w:p>
            <w:pPr>
              <w:ind w:left="80"/>
              <w:spacing w:after="0" w:line="134" w:lineRule="exact"/>
              <w:rPr>
                <w:sz w:val="20"/>
                <w:szCs w:val="20"/>
                <w:color w:val="auto"/>
              </w:rPr>
            </w:pPr>
            <w:r>
              <w:rPr>
                <w:rFonts w:ascii="Arial" w:cs="Arial" w:eastAsia="Arial" w:hAnsi="Arial"/>
                <w:sz w:val="12"/>
                <w:szCs w:val="12"/>
                <w:color w:val="auto"/>
              </w:rPr>
              <w:t>(12)</w:t>
            </w:r>
          </w:p>
        </w:tc>
        <w:tc>
          <w:tcPr>
            <w:tcW w:w="560" w:type="dxa"/>
            <w:vAlign w:val="bottom"/>
            <w:shd w:val="clear" w:color="auto" w:fill="E8E8E8"/>
          </w:tcPr>
          <w:p>
            <w:pPr>
              <w:jc w:val="right"/>
              <w:spacing w:after="0" w:line="134" w:lineRule="exact"/>
              <w:rPr>
                <w:sz w:val="20"/>
                <w:szCs w:val="20"/>
                <w:color w:val="auto"/>
              </w:rPr>
            </w:pPr>
            <w:r>
              <w:rPr>
                <w:rFonts w:ascii="Arial" w:cs="Arial" w:eastAsia="Arial" w:hAnsi="Arial"/>
                <w:sz w:val="12"/>
                <w:szCs w:val="12"/>
                <w:color w:val="auto"/>
              </w:rPr>
              <w:t>—</w:t>
            </w:r>
          </w:p>
        </w:tc>
        <w:tc>
          <w:tcPr>
            <w:tcW w:w="280" w:type="dxa"/>
            <w:vAlign w:val="bottom"/>
            <w:shd w:val="clear" w:color="auto" w:fill="E8E8E8"/>
          </w:tcPr>
          <w:p>
            <w:pPr>
              <w:spacing w:after="0"/>
              <w:rPr>
                <w:sz w:val="11"/>
                <w:szCs w:val="11"/>
                <w:color w:val="auto"/>
              </w:rPr>
            </w:pPr>
          </w:p>
        </w:tc>
        <w:tc>
          <w:tcPr>
            <w:tcW w:w="660" w:type="dxa"/>
            <w:vAlign w:val="bottom"/>
            <w:shd w:val="clear" w:color="auto" w:fill="E8E8E8"/>
          </w:tcPr>
          <w:p>
            <w:pPr>
              <w:jc w:val="right"/>
              <w:spacing w:after="0" w:line="134" w:lineRule="exact"/>
              <w:rPr>
                <w:sz w:val="20"/>
                <w:szCs w:val="20"/>
                <w:color w:val="auto"/>
              </w:rPr>
            </w:pPr>
            <w:r>
              <w:rPr>
                <w:rFonts w:ascii="Arial" w:cs="Arial" w:eastAsia="Arial" w:hAnsi="Arial"/>
                <w:sz w:val="12"/>
                <w:szCs w:val="12"/>
                <w:color w:val="auto"/>
              </w:rPr>
              <w:t>883,689</w:t>
            </w:r>
          </w:p>
        </w:tc>
        <w:tc>
          <w:tcPr>
            <w:tcW w:w="340" w:type="dxa"/>
            <w:vAlign w:val="bottom"/>
            <w:shd w:val="clear" w:color="auto" w:fill="E8E8E8"/>
          </w:tcPr>
          <w:p>
            <w:pPr>
              <w:spacing w:after="0"/>
              <w:rPr>
                <w:sz w:val="11"/>
                <w:szCs w:val="11"/>
                <w:color w:val="auto"/>
              </w:rPr>
            </w:pPr>
          </w:p>
        </w:tc>
        <w:tc>
          <w:tcPr>
            <w:tcW w:w="700" w:type="dxa"/>
            <w:vAlign w:val="bottom"/>
            <w:shd w:val="clear" w:color="auto" w:fill="E8E8E8"/>
          </w:tcPr>
          <w:p>
            <w:pPr>
              <w:jc w:val="right"/>
              <w:spacing w:after="0" w:line="134" w:lineRule="exact"/>
              <w:rPr>
                <w:sz w:val="20"/>
                <w:szCs w:val="20"/>
                <w:color w:val="auto"/>
              </w:rPr>
            </w:pPr>
            <w:r>
              <w:rPr>
                <w:rFonts w:ascii="Arial" w:cs="Arial" w:eastAsia="Arial" w:hAnsi="Arial"/>
                <w:sz w:val="12"/>
                <w:szCs w:val="12"/>
                <w:color w:val="auto"/>
              </w:rPr>
              <w:t>—</w:t>
            </w:r>
          </w:p>
        </w:tc>
        <w:tc>
          <w:tcPr>
            <w:tcW w:w="1020" w:type="dxa"/>
            <w:vAlign w:val="bottom"/>
            <w:shd w:val="clear" w:color="auto" w:fill="E8E8E8"/>
          </w:tcPr>
          <w:p>
            <w:pPr>
              <w:jc w:val="right"/>
              <w:ind w:right="18"/>
              <w:spacing w:after="0" w:line="134" w:lineRule="exact"/>
              <w:rPr>
                <w:sz w:val="20"/>
                <w:szCs w:val="20"/>
                <w:color w:val="auto"/>
              </w:rPr>
            </w:pPr>
            <w:r>
              <w:rPr>
                <w:rFonts w:ascii="Arial" w:cs="Arial" w:eastAsia="Arial" w:hAnsi="Arial"/>
                <w:sz w:val="12"/>
                <w:szCs w:val="12"/>
                <w:color w:val="auto"/>
              </w:rPr>
              <w:t>982,000</w:t>
            </w:r>
          </w:p>
        </w:tc>
        <w:tc>
          <w:tcPr>
            <w:tcW w:w="1040" w:type="dxa"/>
            <w:vAlign w:val="bottom"/>
            <w:shd w:val="clear" w:color="auto" w:fill="E8E8E8"/>
          </w:tcPr>
          <w:p>
            <w:pPr>
              <w:jc w:val="right"/>
              <w:ind w:right="38"/>
              <w:spacing w:after="0" w:line="134" w:lineRule="exact"/>
              <w:rPr>
                <w:sz w:val="20"/>
                <w:szCs w:val="20"/>
                <w:color w:val="auto"/>
              </w:rPr>
            </w:pPr>
            <w:r>
              <w:rPr>
                <w:rFonts w:ascii="Arial" w:cs="Arial" w:eastAsia="Arial" w:hAnsi="Arial"/>
                <w:sz w:val="12"/>
                <w:szCs w:val="12"/>
                <w:color w:val="auto"/>
              </w:rPr>
              <w:t>80,841</w:t>
            </w:r>
          </w:p>
        </w:tc>
        <w:tc>
          <w:tcPr>
            <w:tcW w:w="760" w:type="dxa"/>
            <w:vAlign w:val="bottom"/>
            <w:shd w:val="clear" w:color="auto" w:fill="E8E8E8"/>
          </w:tcPr>
          <w:p>
            <w:pPr>
              <w:jc w:val="right"/>
              <w:spacing w:after="0" w:line="134" w:lineRule="exact"/>
              <w:rPr>
                <w:sz w:val="20"/>
                <w:szCs w:val="20"/>
                <w:color w:val="auto"/>
              </w:rPr>
            </w:pPr>
            <w:r>
              <w:rPr>
                <w:rFonts w:ascii="Arial" w:cs="Arial" w:eastAsia="Arial" w:hAnsi="Arial"/>
                <w:sz w:val="12"/>
                <w:szCs w:val="12"/>
                <w:color w:val="auto"/>
              </w:rPr>
              <w:t>2,440,246</w:t>
            </w:r>
          </w:p>
        </w:tc>
        <w:tc>
          <w:tcPr>
            <w:tcW w:w="0" w:type="dxa"/>
            <w:vAlign w:val="bottom"/>
          </w:tcPr>
          <w:p>
            <w:pPr>
              <w:spacing w:after="0"/>
              <w:rPr>
                <w:sz w:val="1"/>
                <w:szCs w:val="1"/>
                <w:color w:val="auto"/>
              </w:rPr>
            </w:pPr>
          </w:p>
        </w:tc>
      </w:tr>
      <w:tr>
        <w:trPr>
          <w:trHeight w:val="185"/>
        </w:trPr>
        <w:tc>
          <w:tcPr>
            <w:tcW w:w="4040" w:type="dxa"/>
            <w:vAlign w:val="bottom"/>
            <w:tcBorders>
              <w:bottom w:val="single" w:sz="8" w:color="E8E8E8"/>
            </w:tcBorders>
            <w:shd w:val="clear" w:color="auto" w:fill="E8E8E8"/>
          </w:tcPr>
          <w:p>
            <w:pPr>
              <w:spacing w:after="0"/>
              <w:rPr>
                <w:sz w:val="16"/>
                <w:szCs w:val="16"/>
                <w:color w:val="auto"/>
              </w:rPr>
            </w:pPr>
          </w:p>
        </w:tc>
        <w:tc>
          <w:tcPr>
            <w:tcW w:w="520" w:type="dxa"/>
            <w:vAlign w:val="bottom"/>
            <w:tcBorders>
              <w:bottom w:val="single" w:sz="8" w:color="E8E8E8"/>
            </w:tcBorders>
            <w:shd w:val="clear" w:color="auto" w:fill="E8E8E8"/>
          </w:tcPr>
          <w:p>
            <w:pPr>
              <w:ind w:left="140"/>
              <w:spacing w:after="0"/>
              <w:rPr>
                <w:sz w:val="20"/>
                <w:szCs w:val="20"/>
                <w:color w:val="auto"/>
              </w:rPr>
            </w:pPr>
            <w:r>
              <w:rPr>
                <w:rFonts w:ascii="Arial" w:cs="Arial" w:eastAsia="Arial" w:hAnsi="Arial"/>
                <w:sz w:val="12"/>
                <w:szCs w:val="12"/>
                <w:color w:val="auto"/>
              </w:rPr>
              <w:t>2019</w:t>
            </w:r>
          </w:p>
        </w:tc>
        <w:tc>
          <w:tcPr>
            <w:tcW w:w="620" w:type="dxa"/>
            <w:vAlign w:val="bottom"/>
            <w:tcBorders>
              <w:bottom w:val="single" w:sz="8" w:color="E8E8E8"/>
            </w:tcBorders>
            <w:shd w:val="clear" w:color="auto" w:fill="E8E8E8"/>
          </w:tcPr>
          <w:p>
            <w:pPr>
              <w:ind w:left="100"/>
              <w:spacing w:after="0"/>
              <w:rPr>
                <w:sz w:val="20"/>
                <w:szCs w:val="20"/>
                <w:color w:val="auto"/>
              </w:rPr>
            </w:pPr>
            <w:r>
              <w:rPr>
                <w:rFonts w:ascii="Arial" w:cs="Arial" w:eastAsia="Arial" w:hAnsi="Arial"/>
                <w:sz w:val="12"/>
                <w:szCs w:val="12"/>
                <w:color w:val="auto"/>
              </w:rPr>
              <w:t>450,000</w:t>
            </w:r>
          </w:p>
        </w:tc>
        <w:tc>
          <w:tcPr>
            <w:tcW w:w="380" w:type="dxa"/>
            <w:vAlign w:val="bottom"/>
            <w:tcBorders>
              <w:bottom w:val="single" w:sz="8" w:color="E8E8E8"/>
            </w:tcBorders>
            <w:shd w:val="clear" w:color="auto" w:fill="E8E8E8"/>
          </w:tcPr>
          <w:p>
            <w:pPr>
              <w:spacing w:after="0"/>
              <w:rPr>
                <w:sz w:val="16"/>
                <w:szCs w:val="16"/>
                <w:color w:val="auto"/>
              </w:rPr>
            </w:pPr>
          </w:p>
        </w:tc>
        <w:tc>
          <w:tcPr>
            <w:tcW w:w="56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E8E8E8"/>
            </w:tcBorders>
            <w:shd w:val="clear" w:color="auto" w:fill="E8E8E8"/>
          </w:tcPr>
          <w:p>
            <w:pPr>
              <w:spacing w:after="0"/>
              <w:rPr>
                <w:sz w:val="16"/>
                <w:szCs w:val="16"/>
                <w:color w:val="auto"/>
              </w:rPr>
            </w:pPr>
          </w:p>
        </w:tc>
        <w:tc>
          <w:tcPr>
            <w:tcW w:w="66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2"/>
                <w:szCs w:val="12"/>
                <w:color w:val="auto"/>
              </w:rPr>
              <w:t>557,281</w:t>
            </w:r>
          </w:p>
        </w:tc>
        <w:tc>
          <w:tcPr>
            <w:tcW w:w="340" w:type="dxa"/>
            <w:vAlign w:val="bottom"/>
            <w:tcBorders>
              <w:bottom w:val="single" w:sz="8" w:color="E8E8E8"/>
            </w:tcBorders>
            <w:shd w:val="clear" w:color="auto" w:fill="E8E8E8"/>
          </w:tcPr>
          <w:p>
            <w:pPr>
              <w:spacing w:after="0"/>
              <w:rPr>
                <w:sz w:val="16"/>
                <w:szCs w:val="16"/>
                <w:color w:val="auto"/>
              </w:rPr>
            </w:pPr>
          </w:p>
        </w:tc>
        <w:tc>
          <w:tcPr>
            <w:tcW w:w="70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2"/>
                <w:szCs w:val="12"/>
                <w:color w:val="auto"/>
              </w:rPr>
              <w:t>179,546</w:t>
            </w:r>
          </w:p>
        </w:tc>
        <w:tc>
          <w:tcPr>
            <w:tcW w:w="1020" w:type="dxa"/>
            <w:vAlign w:val="bottom"/>
            <w:tcBorders>
              <w:bottom w:val="single" w:sz="8" w:color="E8E8E8"/>
            </w:tcBorders>
            <w:shd w:val="clear" w:color="auto" w:fill="E8E8E8"/>
          </w:tcPr>
          <w:p>
            <w:pPr>
              <w:jc w:val="right"/>
              <w:ind w:right="18"/>
              <w:spacing w:after="0"/>
              <w:rPr>
                <w:sz w:val="20"/>
                <w:szCs w:val="20"/>
                <w:color w:val="auto"/>
              </w:rPr>
            </w:pPr>
            <w:r>
              <w:rPr>
                <w:rFonts w:ascii="Arial" w:cs="Arial" w:eastAsia="Arial" w:hAnsi="Arial"/>
                <w:sz w:val="12"/>
                <w:szCs w:val="12"/>
                <w:color w:val="auto"/>
              </w:rPr>
              <w:t>780,000</w:t>
            </w:r>
          </w:p>
        </w:tc>
        <w:tc>
          <w:tcPr>
            <w:tcW w:w="1040" w:type="dxa"/>
            <w:vAlign w:val="bottom"/>
            <w:tcBorders>
              <w:bottom w:val="single" w:sz="8" w:color="E8E8E8"/>
            </w:tcBorders>
            <w:shd w:val="clear" w:color="auto" w:fill="E8E8E8"/>
          </w:tcPr>
          <w:p>
            <w:pPr>
              <w:jc w:val="right"/>
              <w:ind w:right="38"/>
              <w:spacing w:after="0"/>
              <w:rPr>
                <w:sz w:val="20"/>
                <w:szCs w:val="20"/>
                <w:color w:val="auto"/>
              </w:rPr>
            </w:pPr>
            <w:r>
              <w:rPr>
                <w:rFonts w:ascii="Arial" w:cs="Arial" w:eastAsia="Arial" w:hAnsi="Arial"/>
                <w:sz w:val="12"/>
                <w:szCs w:val="12"/>
                <w:color w:val="auto"/>
              </w:rPr>
              <w:t>253,359</w:t>
            </w:r>
          </w:p>
        </w:tc>
        <w:tc>
          <w:tcPr>
            <w:tcW w:w="76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2"/>
                <w:szCs w:val="12"/>
                <w:color w:val="auto"/>
              </w:rPr>
              <w:t>2,220,186</w:t>
            </w:r>
          </w:p>
        </w:tc>
        <w:tc>
          <w:tcPr>
            <w:tcW w:w="0" w:type="dxa"/>
            <w:vAlign w:val="bottom"/>
          </w:tcPr>
          <w:p>
            <w:pPr>
              <w:spacing w:after="0"/>
              <w:rPr>
                <w:sz w:val="1"/>
                <w:szCs w:val="1"/>
                <w:color w:val="auto"/>
              </w:rPr>
            </w:pPr>
          </w:p>
        </w:tc>
      </w:tr>
      <w:tr>
        <w:trPr>
          <w:trHeight w:val="20"/>
        </w:trPr>
        <w:tc>
          <w:tcPr>
            <w:tcW w:w="4040" w:type="dxa"/>
            <w:vAlign w:val="bottom"/>
            <w:shd w:val="clear" w:color="auto" w:fill="050A54"/>
          </w:tcPr>
          <w:p>
            <w:pPr>
              <w:spacing w:after="0" w:line="20" w:lineRule="exact"/>
              <w:rPr>
                <w:sz w:val="1"/>
                <w:szCs w:val="1"/>
                <w:color w:val="auto"/>
              </w:rPr>
            </w:pPr>
          </w:p>
        </w:tc>
        <w:tc>
          <w:tcPr>
            <w:tcW w:w="520" w:type="dxa"/>
            <w:vAlign w:val="bottom"/>
            <w:shd w:val="clear" w:color="auto" w:fill="050A54"/>
          </w:tcPr>
          <w:p>
            <w:pPr>
              <w:spacing w:after="0" w:line="20" w:lineRule="exact"/>
              <w:rPr>
                <w:sz w:val="1"/>
                <w:szCs w:val="1"/>
                <w:color w:val="auto"/>
              </w:rPr>
            </w:pPr>
          </w:p>
        </w:tc>
        <w:tc>
          <w:tcPr>
            <w:tcW w:w="620" w:type="dxa"/>
            <w:vAlign w:val="bottom"/>
            <w:shd w:val="clear" w:color="auto" w:fill="050A54"/>
          </w:tcPr>
          <w:p>
            <w:pPr>
              <w:spacing w:after="0" w:line="20" w:lineRule="exact"/>
              <w:rPr>
                <w:sz w:val="1"/>
                <w:szCs w:val="1"/>
                <w:color w:val="auto"/>
              </w:rPr>
            </w:pPr>
          </w:p>
        </w:tc>
        <w:tc>
          <w:tcPr>
            <w:tcW w:w="380" w:type="dxa"/>
            <w:vAlign w:val="bottom"/>
            <w:shd w:val="clear" w:color="auto" w:fill="050A54"/>
          </w:tcPr>
          <w:p>
            <w:pPr>
              <w:spacing w:after="0" w:line="20" w:lineRule="exact"/>
              <w:rPr>
                <w:sz w:val="1"/>
                <w:szCs w:val="1"/>
                <w:color w:val="auto"/>
              </w:rPr>
            </w:pPr>
          </w:p>
        </w:tc>
        <w:tc>
          <w:tcPr>
            <w:tcW w:w="560" w:type="dxa"/>
            <w:vAlign w:val="bottom"/>
            <w:shd w:val="clear" w:color="auto" w:fill="050A54"/>
          </w:tcPr>
          <w:p>
            <w:pPr>
              <w:spacing w:after="0" w:line="20" w:lineRule="exact"/>
              <w:rPr>
                <w:sz w:val="1"/>
                <w:szCs w:val="1"/>
                <w:color w:val="auto"/>
              </w:rPr>
            </w:pPr>
          </w:p>
        </w:tc>
        <w:tc>
          <w:tcPr>
            <w:tcW w:w="280" w:type="dxa"/>
            <w:vAlign w:val="bottom"/>
            <w:shd w:val="clear" w:color="auto" w:fill="050A54"/>
          </w:tcPr>
          <w:p>
            <w:pPr>
              <w:spacing w:after="0" w:line="20" w:lineRule="exact"/>
              <w:rPr>
                <w:sz w:val="1"/>
                <w:szCs w:val="1"/>
                <w:color w:val="auto"/>
              </w:rPr>
            </w:pPr>
          </w:p>
        </w:tc>
        <w:tc>
          <w:tcPr>
            <w:tcW w:w="660" w:type="dxa"/>
            <w:vAlign w:val="bottom"/>
            <w:shd w:val="clear" w:color="auto" w:fill="050A54"/>
          </w:tcPr>
          <w:p>
            <w:pPr>
              <w:spacing w:after="0" w:line="20" w:lineRule="exact"/>
              <w:rPr>
                <w:sz w:val="1"/>
                <w:szCs w:val="1"/>
                <w:color w:val="auto"/>
              </w:rPr>
            </w:pPr>
          </w:p>
        </w:tc>
        <w:tc>
          <w:tcPr>
            <w:tcW w:w="340" w:type="dxa"/>
            <w:vAlign w:val="bottom"/>
            <w:shd w:val="clear" w:color="auto" w:fill="050A54"/>
          </w:tcPr>
          <w:p>
            <w:pPr>
              <w:spacing w:after="0" w:line="20" w:lineRule="exact"/>
              <w:rPr>
                <w:sz w:val="1"/>
                <w:szCs w:val="1"/>
                <w:color w:val="auto"/>
              </w:rPr>
            </w:pPr>
          </w:p>
        </w:tc>
        <w:tc>
          <w:tcPr>
            <w:tcW w:w="700" w:type="dxa"/>
            <w:vAlign w:val="bottom"/>
            <w:shd w:val="clear" w:color="auto" w:fill="050A54"/>
          </w:tcPr>
          <w:p>
            <w:pPr>
              <w:spacing w:after="0" w:line="20" w:lineRule="exact"/>
              <w:rPr>
                <w:sz w:val="1"/>
                <w:szCs w:val="1"/>
                <w:color w:val="auto"/>
              </w:rPr>
            </w:pPr>
          </w:p>
        </w:tc>
        <w:tc>
          <w:tcPr>
            <w:tcW w:w="1020" w:type="dxa"/>
            <w:vAlign w:val="bottom"/>
            <w:shd w:val="clear" w:color="auto" w:fill="050A54"/>
          </w:tcPr>
          <w:p>
            <w:pPr>
              <w:spacing w:after="0" w:line="20" w:lineRule="exact"/>
              <w:rPr>
                <w:sz w:val="1"/>
                <w:szCs w:val="1"/>
                <w:color w:val="auto"/>
              </w:rPr>
            </w:pPr>
          </w:p>
        </w:tc>
        <w:tc>
          <w:tcPr>
            <w:tcW w:w="1040" w:type="dxa"/>
            <w:vAlign w:val="bottom"/>
            <w:shd w:val="clear" w:color="auto" w:fill="050A54"/>
          </w:tcPr>
          <w:p>
            <w:pPr>
              <w:spacing w:after="0" w:line="20" w:lineRule="exact"/>
              <w:rPr>
                <w:sz w:val="1"/>
                <w:szCs w:val="1"/>
                <w:color w:val="auto"/>
              </w:rPr>
            </w:pPr>
          </w:p>
        </w:tc>
        <w:tc>
          <w:tcPr>
            <w:tcW w:w="760" w:type="dxa"/>
            <w:vAlign w:val="bottom"/>
            <w:shd w:val="clear" w:color="auto" w:fill="050A5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jc w:val="both"/>
        <w:ind w:left="600" w:hanging="433"/>
        <w:spacing w:after="0" w:line="247" w:lineRule="auto"/>
        <w:tabs>
          <w:tab w:leader="none" w:pos="6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Represents the aggregate grant date fair value of PSUs, RSUs and stock options, in each case computed in accordance with FASB ASC Topic 718 and, in the case of PSUs, based on the probable outcome of the performance conditions associated with such awards on the grant date. The aggregate grant date fair value of RSUs was determined using the closing price of our Common Stock on the grant date. The aggregate grant date fair value of stock option awards was determined using the Black-Scholes model. The fair value of PSUs is estimated using a Monte-Carlo simulation model on the date of grant. The underlying valuation assumptions for PSUs and stock option awards are further disclosed under the heading “</w:t>
      </w:r>
      <w:r>
        <w:rPr>
          <w:rFonts w:ascii="Arial" w:cs="Arial" w:eastAsia="Arial" w:hAnsi="Arial"/>
          <w:sz w:val="16"/>
          <w:szCs w:val="16"/>
          <w:i w:val="1"/>
          <w:iCs w:val="1"/>
          <w:color w:val="auto"/>
        </w:rPr>
        <w:t>Share-Based Compensation</w:t>
      </w:r>
      <w:r>
        <w:rPr>
          <w:rFonts w:ascii="Arial" w:cs="Arial" w:eastAsia="Arial" w:hAnsi="Arial"/>
          <w:sz w:val="16"/>
          <w:szCs w:val="16"/>
          <w:color w:val="auto"/>
        </w:rPr>
        <w:t xml:space="preserve">” in Note 2 —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to our consolidated financial statements filed with our annual reports on Form 10-K for the years ended December 31, 2021, 2020 and 2019. Pursuant to SEC rules, the amounts shown exclude the impact of estimated forfeitures related to service-based vesting conditions. The table below shows the grant date fair value of PSU awards granted in 2021, 2020 and 2019 assuming target and maximum levels of performance are achieved (amounts under the “Stock Awards” column represent the aggregate grant date fair value of PSUs based on the probable outcome of performance conditions, which for each of 2021, 2020 and 2019 assumed target level of performance was achieved).</w:t>
      </w:r>
    </w:p>
    <w:p>
      <w:pPr>
        <w:spacing w:after="0" w:line="119" w:lineRule="exact"/>
        <w:rPr>
          <w:sz w:val="20"/>
          <w:szCs w:val="20"/>
          <w:color w:val="auto"/>
        </w:rPr>
      </w:pPr>
    </w:p>
    <w:p>
      <w:pPr>
        <w:ind w:left="1000" w:hanging="690"/>
        <w:spacing w:after="0"/>
        <w:tabs>
          <w:tab w:leader="none" w:pos="1000" w:val="left"/>
        </w:tabs>
        <w:numPr>
          <w:ilvl w:val="0"/>
          <w:numId w:val="75"/>
        </w:numPr>
        <w:rPr>
          <w:rFonts w:ascii="Arial" w:cs="Arial" w:eastAsia="Arial" w:hAnsi="Arial"/>
          <w:sz w:val="18"/>
          <w:szCs w:val="18"/>
          <w:color w:val="050A54"/>
        </w:rPr>
      </w:pPr>
      <w:r>
        <w:rPr>
          <w:rFonts w:ascii="Arial" w:cs="Arial" w:eastAsia="Arial" w:hAnsi="Arial"/>
          <w:sz w:val="18"/>
          <w:szCs w:val="18"/>
          <w:b w:val="1"/>
          <w:bCs w:val="1"/>
          <w:color w:val="050A54"/>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-118745</wp:posOffset>
            </wp:positionV>
            <wp:extent cx="8255" cy="135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780"/>
        <w:spacing w:after="0"/>
        <w:rPr>
          <w:sz w:val="20"/>
          <w:szCs w:val="20"/>
          <w:color w:val="auto"/>
        </w:rPr>
      </w:pPr>
      <w:r>
        <w:rPr>
          <w:rFonts w:ascii="Arial" w:cs="Arial" w:eastAsia="Arial" w:hAnsi="Arial"/>
          <w:sz w:val="20"/>
          <w:szCs w:val="20"/>
          <w:b w:val="1"/>
          <w:bCs w:val="1"/>
          <w:color w:val="050A54"/>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7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4900" w:type="dxa"/>
            <w:vAlign w:val="bottom"/>
            <w:vMerge w:val="restart"/>
          </w:tcPr>
          <w:p>
            <w:pPr>
              <w:ind w:left="2240"/>
              <w:spacing w:after="0"/>
              <w:rPr>
                <w:sz w:val="20"/>
                <w:szCs w:val="20"/>
                <w:color w:val="auto"/>
              </w:rPr>
            </w:pPr>
            <w:r>
              <w:rPr>
                <w:rFonts w:ascii="Arial" w:cs="Arial" w:eastAsia="Arial" w:hAnsi="Arial"/>
                <w:sz w:val="14"/>
                <w:szCs w:val="14"/>
                <w:b w:val="1"/>
                <w:bCs w:val="1"/>
                <w:color w:val="050A54"/>
              </w:rPr>
              <w:t>Name</w:t>
            </w:r>
          </w:p>
        </w:tc>
        <w:tc>
          <w:tcPr>
            <w:tcW w:w="2040" w:type="dxa"/>
            <w:vAlign w:val="bottom"/>
            <w:tcBorders>
              <w:bottom w:val="single" w:sz="8" w:color="050A54"/>
            </w:tcBorders>
            <w:gridSpan w:val="2"/>
          </w:tcPr>
          <w:p>
            <w:pPr>
              <w:jc w:val="right"/>
              <w:ind w:right="780"/>
              <w:spacing w:after="0"/>
              <w:rPr>
                <w:sz w:val="20"/>
                <w:szCs w:val="20"/>
                <w:color w:val="auto"/>
              </w:rPr>
            </w:pPr>
            <w:r>
              <w:rPr>
                <w:rFonts w:ascii="Arial" w:cs="Arial" w:eastAsia="Arial" w:hAnsi="Arial"/>
                <w:sz w:val="14"/>
                <w:szCs w:val="14"/>
                <w:b w:val="1"/>
                <w:bCs w:val="1"/>
                <w:color w:val="050A54"/>
              </w:rPr>
              <w:t>2021</w:t>
            </w:r>
          </w:p>
        </w:tc>
        <w:tc>
          <w:tcPr>
            <w:tcW w:w="1140" w:type="dxa"/>
            <w:vAlign w:val="bottom"/>
            <w:tcBorders>
              <w:bottom w:val="single" w:sz="8" w:color="050A54"/>
            </w:tcBorders>
          </w:tcPr>
          <w:p>
            <w:pPr>
              <w:jc w:val="right"/>
              <w:spacing w:after="0"/>
              <w:rPr>
                <w:sz w:val="20"/>
                <w:szCs w:val="20"/>
                <w:color w:val="auto"/>
              </w:rPr>
            </w:pPr>
            <w:r>
              <w:rPr>
                <w:rFonts w:ascii="Arial" w:cs="Arial" w:eastAsia="Arial" w:hAnsi="Arial"/>
                <w:sz w:val="14"/>
                <w:szCs w:val="14"/>
                <w:b w:val="1"/>
                <w:bCs w:val="1"/>
                <w:color w:val="050A54"/>
              </w:rPr>
              <w:t>2020</w:t>
            </w:r>
          </w:p>
        </w:tc>
        <w:tc>
          <w:tcPr>
            <w:tcW w:w="860" w:type="dxa"/>
            <w:vAlign w:val="bottom"/>
            <w:tcBorders>
              <w:bottom w:val="single" w:sz="8" w:color="050A54"/>
            </w:tcBorders>
          </w:tcPr>
          <w:p>
            <w:pPr>
              <w:spacing w:after="0"/>
              <w:rPr>
                <w:sz w:val="14"/>
                <w:szCs w:val="14"/>
                <w:color w:val="auto"/>
              </w:rPr>
            </w:pPr>
          </w:p>
        </w:tc>
        <w:tc>
          <w:tcPr>
            <w:tcW w:w="1160" w:type="dxa"/>
            <w:vAlign w:val="bottom"/>
            <w:tcBorders>
              <w:bottom w:val="single" w:sz="8" w:color="050A54"/>
            </w:tcBorders>
          </w:tcPr>
          <w:p>
            <w:pPr>
              <w:jc w:val="right"/>
              <w:spacing w:after="0"/>
              <w:rPr>
                <w:sz w:val="20"/>
                <w:szCs w:val="20"/>
                <w:color w:val="auto"/>
              </w:rPr>
            </w:pPr>
            <w:r>
              <w:rPr>
                <w:rFonts w:ascii="Arial" w:cs="Arial" w:eastAsia="Arial" w:hAnsi="Arial"/>
                <w:sz w:val="14"/>
                <w:szCs w:val="14"/>
                <w:b w:val="1"/>
                <w:bCs w:val="1"/>
                <w:color w:val="050A54"/>
              </w:rPr>
              <w:t>2019</w:t>
            </w:r>
          </w:p>
        </w:tc>
        <w:tc>
          <w:tcPr>
            <w:tcW w:w="800" w:type="dxa"/>
            <w:vAlign w:val="bottom"/>
            <w:tcBorders>
              <w:bottom w:val="single" w:sz="8" w:color="050A54"/>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900" w:type="dxa"/>
            <w:vAlign w:val="bottom"/>
            <w:tcBorders>
              <w:bottom w:val="single" w:sz="8" w:color="050A54"/>
            </w:tcBorders>
            <w:vMerge w:val="continue"/>
          </w:tcPr>
          <w:p>
            <w:pPr>
              <w:spacing w:after="0"/>
              <w:rPr>
                <w:sz w:val="13"/>
                <w:szCs w:val="13"/>
                <w:color w:val="auto"/>
              </w:rPr>
            </w:pPr>
          </w:p>
        </w:tc>
        <w:tc>
          <w:tcPr>
            <w:tcW w:w="2040" w:type="dxa"/>
            <w:vAlign w:val="bottom"/>
            <w:tcBorders>
              <w:bottom w:val="single" w:sz="8" w:color="050A54"/>
            </w:tcBorders>
            <w:gridSpan w:val="2"/>
          </w:tcPr>
          <w:p>
            <w:pPr>
              <w:jc w:val="right"/>
              <w:ind w:right="40"/>
              <w:spacing w:after="0" w:line="154" w:lineRule="exact"/>
              <w:rPr>
                <w:sz w:val="20"/>
                <w:szCs w:val="20"/>
                <w:color w:val="auto"/>
              </w:rPr>
            </w:pPr>
            <w:r>
              <w:rPr>
                <w:rFonts w:ascii="Arial" w:cs="Arial" w:eastAsia="Arial" w:hAnsi="Arial"/>
                <w:sz w:val="14"/>
                <w:szCs w:val="14"/>
                <w:b w:val="1"/>
                <w:bCs w:val="1"/>
                <w:color w:val="050A54"/>
              </w:rPr>
              <w:t>Target ($)   Maximum ($)</w:t>
            </w:r>
          </w:p>
        </w:tc>
        <w:tc>
          <w:tcPr>
            <w:tcW w:w="2000" w:type="dxa"/>
            <w:vAlign w:val="bottom"/>
            <w:tcBorders>
              <w:bottom w:val="single" w:sz="8" w:color="050A54"/>
            </w:tcBorders>
            <w:gridSpan w:val="2"/>
          </w:tcPr>
          <w:p>
            <w:pPr>
              <w:jc w:val="right"/>
              <w:ind w:right="40"/>
              <w:spacing w:after="0" w:line="154" w:lineRule="exact"/>
              <w:rPr>
                <w:sz w:val="20"/>
                <w:szCs w:val="20"/>
                <w:color w:val="auto"/>
              </w:rPr>
            </w:pPr>
            <w:r>
              <w:rPr>
                <w:rFonts w:ascii="Arial" w:cs="Arial" w:eastAsia="Arial" w:hAnsi="Arial"/>
                <w:sz w:val="14"/>
                <w:szCs w:val="14"/>
                <w:b w:val="1"/>
                <w:bCs w:val="1"/>
                <w:color w:val="050A54"/>
              </w:rPr>
              <w:t>Target ($)    Maximum ($)</w:t>
            </w:r>
          </w:p>
        </w:tc>
        <w:tc>
          <w:tcPr>
            <w:tcW w:w="1960" w:type="dxa"/>
            <w:vAlign w:val="bottom"/>
            <w:tcBorders>
              <w:bottom w:val="single" w:sz="8" w:color="050A54"/>
            </w:tcBorders>
            <w:gridSpan w:val="2"/>
          </w:tcPr>
          <w:p>
            <w:pPr>
              <w:jc w:val="right"/>
              <w:spacing w:after="0" w:line="154" w:lineRule="exact"/>
              <w:rPr>
                <w:sz w:val="20"/>
                <w:szCs w:val="20"/>
                <w:color w:val="auto"/>
              </w:rPr>
            </w:pPr>
            <w:r>
              <w:rPr>
                <w:rFonts w:ascii="Arial" w:cs="Arial" w:eastAsia="Arial" w:hAnsi="Arial"/>
                <w:sz w:val="14"/>
                <w:szCs w:val="14"/>
                <w:b w:val="1"/>
                <w:bCs w:val="1"/>
                <w:color w:val="050A54"/>
              </w:rPr>
              <w:t>Target ($)    Maximum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00" w:type="dxa"/>
            <w:vAlign w:val="bottom"/>
            <w:tcBorders>
              <w:bottom w:val="single" w:sz="8" w:color="E8E8E8"/>
            </w:tcBorders>
            <w:shd w:val="clear" w:color="auto" w:fill="E8E8E8"/>
          </w:tcPr>
          <w:p>
            <w:pPr>
              <w:spacing w:after="0"/>
              <w:rPr>
                <w:sz w:val="20"/>
                <w:szCs w:val="20"/>
                <w:color w:val="auto"/>
              </w:rPr>
            </w:pPr>
            <w:r>
              <w:rPr>
                <w:rFonts w:ascii="Arial" w:cs="Arial" w:eastAsia="Arial" w:hAnsi="Arial"/>
                <w:sz w:val="16"/>
                <w:szCs w:val="16"/>
                <w:color w:val="auto"/>
              </w:rPr>
              <w:t>Dan H. Arnold</w:t>
            </w:r>
          </w:p>
        </w:tc>
        <w:tc>
          <w:tcPr>
            <w:tcW w:w="1000" w:type="dxa"/>
            <w:vAlign w:val="bottom"/>
            <w:tcBorders>
              <w:bottom w:val="single" w:sz="8" w:color="E8E8E8"/>
            </w:tcBorders>
            <w:shd w:val="clear" w:color="auto" w:fill="E8E8E8"/>
          </w:tcPr>
          <w:p>
            <w:pPr>
              <w:jc w:val="right"/>
              <w:ind w:right="42"/>
              <w:spacing w:after="0"/>
              <w:rPr>
                <w:sz w:val="20"/>
                <w:szCs w:val="20"/>
                <w:color w:val="auto"/>
              </w:rPr>
            </w:pPr>
            <w:r>
              <w:rPr>
                <w:rFonts w:ascii="Arial" w:cs="Arial" w:eastAsia="Arial" w:hAnsi="Arial"/>
                <w:sz w:val="16"/>
                <w:szCs w:val="16"/>
                <w:color w:val="auto"/>
              </w:rPr>
              <w:t>6,656,056</w:t>
            </w:r>
          </w:p>
        </w:tc>
        <w:tc>
          <w:tcPr>
            <w:tcW w:w="1040" w:type="dxa"/>
            <w:vAlign w:val="bottom"/>
            <w:tcBorders>
              <w:bottom w:val="single" w:sz="8" w:color="E8E8E8"/>
            </w:tcBorders>
            <w:shd w:val="clear" w:color="auto" w:fill="E8E8E8"/>
          </w:tcPr>
          <w:p>
            <w:pPr>
              <w:jc w:val="right"/>
              <w:ind w:right="40"/>
              <w:spacing w:after="0"/>
              <w:rPr>
                <w:sz w:val="20"/>
                <w:szCs w:val="20"/>
                <w:color w:val="auto"/>
              </w:rPr>
            </w:pPr>
            <w:r>
              <w:rPr>
                <w:rFonts w:ascii="Arial" w:cs="Arial" w:eastAsia="Arial" w:hAnsi="Arial"/>
                <w:sz w:val="16"/>
                <w:szCs w:val="16"/>
                <w:color w:val="auto"/>
              </w:rPr>
              <w:t>13,312,112</w:t>
            </w:r>
          </w:p>
        </w:tc>
        <w:tc>
          <w:tcPr>
            <w:tcW w:w="1140" w:type="dxa"/>
            <w:vAlign w:val="bottom"/>
            <w:tcBorders>
              <w:bottom w:val="single" w:sz="8" w:color="E8E8E8"/>
            </w:tcBorders>
            <w:shd w:val="clear" w:color="auto" w:fill="E8E8E8"/>
          </w:tcPr>
          <w:p>
            <w:pPr>
              <w:jc w:val="right"/>
              <w:ind w:right="222"/>
              <w:spacing w:after="0"/>
              <w:rPr>
                <w:sz w:val="20"/>
                <w:szCs w:val="20"/>
                <w:color w:val="auto"/>
              </w:rPr>
            </w:pPr>
            <w:r>
              <w:rPr>
                <w:rFonts w:ascii="Arial" w:cs="Arial" w:eastAsia="Arial" w:hAnsi="Arial"/>
                <w:sz w:val="16"/>
                <w:szCs w:val="16"/>
                <w:color w:val="auto"/>
              </w:rPr>
              <w:t>2,968,063</w:t>
            </w:r>
          </w:p>
        </w:tc>
        <w:tc>
          <w:tcPr>
            <w:tcW w:w="860" w:type="dxa"/>
            <w:vAlign w:val="bottom"/>
            <w:tcBorders>
              <w:bottom w:val="single" w:sz="8" w:color="E8E8E8"/>
            </w:tcBorders>
            <w:shd w:val="clear" w:color="auto" w:fill="E8E8E8"/>
          </w:tcPr>
          <w:p>
            <w:pPr>
              <w:jc w:val="right"/>
              <w:ind w:right="40"/>
              <w:spacing w:after="0"/>
              <w:rPr>
                <w:sz w:val="20"/>
                <w:szCs w:val="20"/>
                <w:color w:val="auto"/>
              </w:rPr>
            </w:pPr>
            <w:r>
              <w:rPr>
                <w:rFonts w:ascii="Arial" w:cs="Arial" w:eastAsia="Arial" w:hAnsi="Arial"/>
                <w:sz w:val="16"/>
                <w:szCs w:val="16"/>
                <w:color w:val="auto"/>
              </w:rPr>
              <w:t>5,936,127</w:t>
            </w:r>
          </w:p>
        </w:tc>
        <w:tc>
          <w:tcPr>
            <w:tcW w:w="1160" w:type="dxa"/>
            <w:vAlign w:val="bottom"/>
            <w:tcBorders>
              <w:bottom w:val="single" w:sz="8" w:color="E8E8E8"/>
            </w:tcBorders>
            <w:shd w:val="clear" w:color="auto" w:fill="E8E8E8"/>
          </w:tcPr>
          <w:p>
            <w:pPr>
              <w:jc w:val="right"/>
              <w:ind w:right="242"/>
              <w:spacing w:after="0"/>
              <w:rPr>
                <w:sz w:val="20"/>
                <w:szCs w:val="20"/>
                <w:color w:val="auto"/>
              </w:rPr>
            </w:pPr>
            <w:r>
              <w:rPr>
                <w:rFonts w:ascii="Arial" w:cs="Arial" w:eastAsia="Arial" w:hAnsi="Arial"/>
                <w:sz w:val="16"/>
                <w:szCs w:val="16"/>
                <w:color w:val="auto"/>
              </w:rPr>
              <w:t>2,616,773</w:t>
            </w:r>
          </w:p>
        </w:tc>
        <w:tc>
          <w:tcPr>
            <w:tcW w:w="80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5,233,545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6"/>
                <w:szCs w:val="16"/>
                <w:color w:val="auto"/>
              </w:rPr>
              <w:t>Matthew J. Audette</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1,093,412</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2,186,824</w:t>
            </w:r>
          </w:p>
        </w:tc>
        <w:tc>
          <w:tcPr>
            <w:tcW w:w="1140" w:type="dxa"/>
            <w:vAlign w:val="bottom"/>
          </w:tcPr>
          <w:p>
            <w:pPr>
              <w:jc w:val="right"/>
              <w:ind w:right="222"/>
              <w:spacing w:after="0"/>
              <w:rPr>
                <w:sz w:val="20"/>
                <w:szCs w:val="20"/>
                <w:color w:val="auto"/>
              </w:rPr>
            </w:pPr>
            <w:r>
              <w:rPr>
                <w:rFonts w:ascii="Arial" w:cs="Arial" w:eastAsia="Arial" w:hAnsi="Arial"/>
                <w:sz w:val="16"/>
                <w:szCs w:val="16"/>
                <w:color w:val="auto"/>
              </w:rPr>
              <w:t>616,627</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1,233,254</w:t>
            </w:r>
          </w:p>
        </w:tc>
        <w:tc>
          <w:tcPr>
            <w:tcW w:w="1160" w:type="dxa"/>
            <w:vAlign w:val="bottom"/>
          </w:tcPr>
          <w:p>
            <w:pPr>
              <w:jc w:val="right"/>
              <w:ind w:right="242"/>
              <w:spacing w:after="0"/>
              <w:rPr>
                <w:sz w:val="20"/>
                <w:szCs w:val="20"/>
                <w:color w:val="auto"/>
              </w:rPr>
            </w:pPr>
            <w:r>
              <w:rPr>
                <w:rFonts w:ascii="Arial" w:cs="Arial" w:eastAsia="Arial" w:hAnsi="Arial"/>
                <w:sz w:val="16"/>
                <w:szCs w:val="16"/>
                <w:color w:val="auto"/>
              </w:rPr>
              <w:t>654,193</w:t>
            </w:r>
          </w:p>
        </w:tc>
        <w:tc>
          <w:tcPr>
            <w:tcW w:w="800" w:type="dxa"/>
            <w:vAlign w:val="bottom"/>
          </w:tcPr>
          <w:p>
            <w:pPr>
              <w:jc w:val="right"/>
              <w:spacing w:after="0"/>
              <w:rPr>
                <w:sz w:val="20"/>
                <w:szCs w:val="20"/>
                <w:color w:val="auto"/>
              </w:rPr>
            </w:pPr>
            <w:r>
              <w:rPr>
                <w:rFonts w:ascii="Arial" w:cs="Arial" w:eastAsia="Arial" w:hAnsi="Arial"/>
                <w:sz w:val="16"/>
                <w:szCs w:val="16"/>
                <w:color w:val="auto"/>
              </w:rPr>
              <w:t>1,308,386</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9"/>
                <w:szCs w:val="19"/>
                <w:color w:val="auto"/>
              </w:rPr>
            </w:pPr>
          </w:p>
        </w:tc>
        <w:tc>
          <w:tcPr>
            <w:tcW w:w="4900" w:type="dxa"/>
            <w:vAlign w:val="bottom"/>
            <w:tcBorders>
              <w:bottom w:val="single" w:sz="8" w:color="E8E8E8"/>
            </w:tcBorders>
            <w:shd w:val="clear" w:color="auto" w:fill="E8E8E8"/>
          </w:tcPr>
          <w:p>
            <w:pPr>
              <w:spacing w:after="0"/>
              <w:rPr>
                <w:sz w:val="20"/>
                <w:szCs w:val="20"/>
                <w:color w:val="auto"/>
              </w:rPr>
            </w:pPr>
            <w:r>
              <w:rPr>
                <w:rFonts w:ascii="Arial" w:cs="Arial" w:eastAsia="Arial" w:hAnsi="Arial"/>
                <w:sz w:val="16"/>
                <w:szCs w:val="16"/>
                <w:color w:val="auto"/>
              </w:rPr>
              <w:t>Edward Fandrey</w:t>
            </w:r>
          </w:p>
        </w:tc>
        <w:tc>
          <w:tcPr>
            <w:tcW w:w="1000" w:type="dxa"/>
            <w:vAlign w:val="bottom"/>
            <w:tcBorders>
              <w:bottom w:val="single" w:sz="8" w:color="E8E8E8"/>
            </w:tcBorders>
            <w:shd w:val="clear" w:color="auto" w:fill="E8E8E8"/>
          </w:tcPr>
          <w:p>
            <w:pPr>
              <w:jc w:val="right"/>
              <w:ind w:right="42"/>
              <w:spacing w:after="0"/>
              <w:rPr>
                <w:sz w:val="20"/>
                <w:szCs w:val="20"/>
                <w:color w:val="auto"/>
              </w:rPr>
            </w:pPr>
            <w:r>
              <w:rPr>
                <w:rFonts w:ascii="Arial" w:cs="Arial" w:eastAsia="Arial" w:hAnsi="Arial"/>
                <w:sz w:val="16"/>
                <w:szCs w:val="16"/>
                <w:color w:val="auto"/>
              </w:rPr>
              <w:t>1,045,813</w:t>
            </w:r>
          </w:p>
        </w:tc>
        <w:tc>
          <w:tcPr>
            <w:tcW w:w="1040" w:type="dxa"/>
            <w:vAlign w:val="bottom"/>
            <w:tcBorders>
              <w:bottom w:val="single" w:sz="8" w:color="E8E8E8"/>
            </w:tcBorders>
            <w:shd w:val="clear" w:color="auto" w:fill="E8E8E8"/>
          </w:tcPr>
          <w:p>
            <w:pPr>
              <w:jc w:val="right"/>
              <w:ind w:right="40"/>
              <w:spacing w:after="0"/>
              <w:rPr>
                <w:sz w:val="20"/>
                <w:szCs w:val="20"/>
                <w:color w:val="auto"/>
              </w:rPr>
            </w:pPr>
            <w:r>
              <w:rPr>
                <w:rFonts w:ascii="Arial" w:cs="Arial" w:eastAsia="Arial" w:hAnsi="Arial"/>
                <w:sz w:val="16"/>
                <w:szCs w:val="16"/>
                <w:color w:val="auto"/>
              </w:rPr>
              <w:t>2,091,627</w:t>
            </w:r>
          </w:p>
        </w:tc>
        <w:tc>
          <w:tcPr>
            <w:tcW w:w="1140" w:type="dxa"/>
            <w:vAlign w:val="bottom"/>
            <w:tcBorders>
              <w:bottom w:val="single" w:sz="8" w:color="E8E8E8"/>
            </w:tcBorders>
            <w:shd w:val="clear" w:color="auto" w:fill="E8E8E8"/>
          </w:tcPr>
          <w:p>
            <w:pPr>
              <w:jc w:val="right"/>
              <w:ind w:right="22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E8E8E8"/>
            </w:tcBorders>
            <w:shd w:val="clear" w:color="auto" w:fill="E8E8E8"/>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8E8E8"/>
            </w:tcBorders>
            <w:shd w:val="clear" w:color="auto" w:fill="E8E8E8"/>
          </w:tcPr>
          <w:p>
            <w:pPr>
              <w:jc w:val="right"/>
              <w:ind w:right="242"/>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6"/>
                <w:szCs w:val="16"/>
                <w:color w:val="auto"/>
              </w:rPr>
              <w:t>Dayton Semerjian</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832,007</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1,664,014</w:t>
            </w:r>
          </w:p>
        </w:tc>
        <w:tc>
          <w:tcPr>
            <w:tcW w:w="1140" w:type="dxa"/>
            <w:vAlign w:val="bottom"/>
          </w:tcPr>
          <w:p>
            <w:pPr>
              <w:jc w:val="right"/>
              <w:ind w:right="222"/>
              <w:spacing w:after="0"/>
              <w:rPr>
                <w:sz w:val="20"/>
                <w:szCs w:val="20"/>
                <w:color w:val="auto"/>
              </w:rPr>
            </w:pPr>
            <w:r>
              <w:rPr>
                <w:rFonts w:ascii="Arial" w:cs="Arial" w:eastAsia="Arial" w:hAnsi="Arial"/>
                <w:sz w:val="16"/>
                <w:szCs w:val="16"/>
                <w:color w:val="auto"/>
              </w:rPr>
              <w:t>483,893</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967,786</w:t>
            </w:r>
          </w:p>
        </w:tc>
        <w:tc>
          <w:tcPr>
            <w:tcW w:w="116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9"/>
                <w:szCs w:val="19"/>
                <w:color w:val="auto"/>
              </w:rPr>
            </w:pPr>
          </w:p>
        </w:tc>
        <w:tc>
          <w:tcPr>
            <w:tcW w:w="4900" w:type="dxa"/>
            <w:vAlign w:val="bottom"/>
            <w:tcBorders>
              <w:bottom w:val="single" w:sz="8" w:color="E8E8E8"/>
            </w:tcBorders>
            <w:shd w:val="clear" w:color="auto" w:fill="E8E8E8"/>
          </w:tcPr>
          <w:p>
            <w:pPr>
              <w:spacing w:after="0"/>
              <w:rPr>
                <w:sz w:val="20"/>
                <w:szCs w:val="20"/>
                <w:color w:val="auto"/>
              </w:rPr>
            </w:pPr>
            <w:r>
              <w:rPr>
                <w:rFonts w:ascii="Arial" w:cs="Arial" w:eastAsia="Arial" w:hAnsi="Arial"/>
                <w:sz w:val="16"/>
                <w:szCs w:val="16"/>
                <w:color w:val="auto"/>
              </w:rPr>
              <w:t>Richard Steinmeier</w:t>
            </w:r>
          </w:p>
        </w:tc>
        <w:tc>
          <w:tcPr>
            <w:tcW w:w="1000" w:type="dxa"/>
            <w:vAlign w:val="bottom"/>
            <w:tcBorders>
              <w:bottom w:val="single" w:sz="8" w:color="E8E8E8"/>
            </w:tcBorders>
            <w:shd w:val="clear" w:color="auto" w:fill="E8E8E8"/>
          </w:tcPr>
          <w:p>
            <w:pPr>
              <w:jc w:val="right"/>
              <w:ind w:right="42"/>
              <w:spacing w:after="0"/>
              <w:rPr>
                <w:sz w:val="20"/>
                <w:szCs w:val="20"/>
                <w:color w:val="auto"/>
              </w:rPr>
            </w:pPr>
            <w:r>
              <w:rPr>
                <w:rFonts w:ascii="Arial" w:cs="Arial" w:eastAsia="Arial" w:hAnsi="Arial"/>
                <w:sz w:val="16"/>
                <w:szCs w:val="16"/>
                <w:color w:val="auto"/>
              </w:rPr>
              <w:t>1,236,014</w:t>
            </w:r>
          </w:p>
        </w:tc>
        <w:tc>
          <w:tcPr>
            <w:tcW w:w="1040" w:type="dxa"/>
            <w:vAlign w:val="bottom"/>
            <w:tcBorders>
              <w:bottom w:val="single" w:sz="8" w:color="E8E8E8"/>
            </w:tcBorders>
            <w:shd w:val="clear" w:color="auto" w:fill="E8E8E8"/>
          </w:tcPr>
          <w:p>
            <w:pPr>
              <w:jc w:val="right"/>
              <w:ind w:right="40"/>
              <w:spacing w:after="0"/>
              <w:rPr>
                <w:sz w:val="20"/>
                <w:szCs w:val="20"/>
                <w:color w:val="auto"/>
              </w:rPr>
            </w:pPr>
            <w:r>
              <w:rPr>
                <w:rFonts w:ascii="Arial" w:cs="Arial" w:eastAsia="Arial" w:hAnsi="Arial"/>
                <w:sz w:val="16"/>
                <w:szCs w:val="16"/>
                <w:color w:val="auto"/>
              </w:rPr>
              <w:t>2,472,028</w:t>
            </w:r>
          </w:p>
        </w:tc>
        <w:tc>
          <w:tcPr>
            <w:tcW w:w="1140" w:type="dxa"/>
            <w:vAlign w:val="bottom"/>
            <w:tcBorders>
              <w:bottom w:val="single" w:sz="8" w:color="E8E8E8"/>
            </w:tcBorders>
            <w:shd w:val="clear" w:color="auto" w:fill="E8E8E8"/>
          </w:tcPr>
          <w:p>
            <w:pPr>
              <w:jc w:val="right"/>
              <w:ind w:right="222"/>
              <w:spacing w:after="0"/>
              <w:rPr>
                <w:sz w:val="20"/>
                <w:szCs w:val="20"/>
                <w:color w:val="auto"/>
              </w:rPr>
            </w:pPr>
            <w:r>
              <w:rPr>
                <w:rFonts w:ascii="Arial" w:cs="Arial" w:eastAsia="Arial" w:hAnsi="Arial"/>
                <w:sz w:val="16"/>
                <w:szCs w:val="16"/>
                <w:color w:val="auto"/>
              </w:rPr>
              <w:t>541,953</w:t>
            </w:r>
          </w:p>
        </w:tc>
        <w:tc>
          <w:tcPr>
            <w:tcW w:w="860" w:type="dxa"/>
            <w:vAlign w:val="bottom"/>
            <w:tcBorders>
              <w:bottom w:val="single" w:sz="8" w:color="E8E8E8"/>
            </w:tcBorders>
            <w:shd w:val="clear" w:color="auto" w:fill="E8E8E8"/>
          </w:tcPr>
          <w:p>
            <w:pPr>
              <w:jc w:val="right"/>
              <w:ind w:right="40"/>
              <w:spacing w:after="0"/>
              <w:rPr>
                <w:sz w:val="20"/>
                <w:szCs w:val="20"/>
                <w:color w:val="auto"/>
              </w:rPr>
            </w:pPr>
            <w:r>
              <w:rPr>
                <w:rFonts w:ascii="Arial" w:cs="Arial" w:eastAsia="Arial" w:hAnsi="Arial"/>
                <w:sz w:val="16"/>
                <w:szCs w:val="16"/>
                <w:color w:val="auto"/>
              </w:rPr>
              <w:t>1,083,906</w:t>
            </w:r>
          </w:p>
        </w:tc>
        <w:tc>
          <w:tcPr>
            <w:tcW w:w="1160" w:type="dxa"/>
            <w:vAlign w:val="bottom"/>
            <w:tcBorders>
              <w:bottom w:val="single" w:sz="8" w:color="E8E8E8"/>
            </w:tcBorders>
            <w:shd w:val="clear" w:color="auto" w:fill="E8E8E8"/>
          </w:tcPr>
          <w:p>
            <w:pPr>
              <w:jc w:val="right"/>
              <w:ind w:right="242"/>
              <w:spacing w:after="0"/>
              <w:rPr>
                <w:sz w:val="20"/>
                <w:szCs w:val="20"/>
                <w:color w:val="auto"/>
              </w:rPr>
            </w:pPr>
            <w:r>
              <w:rPr>
                <w:rFonts w:ascii="Arial" w:cs="Arial" w:eastAsia="Arial" w:hAnsi="Arial"/>
                <w:sz w:val="16"/>
                <w:szCs w:val="16"/>
                <w:color w:val="auto"/>
              </w:rPr>
              <w:t>372,863</w:t>
            </w:r>
          </w:p>
        </w:tc>
        <w:tc>
          <w:tcPr>
            <w:tcW w:w="80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745,725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shd w:val="clear" w:color="auto" w:fill="050A54"/>
          </w:tcPr>
          <w:p>
            <w:pPr>
              <w:spacing w:after="0" w:line="20" w:lineRule="exact"/>
              <w:rPr>
                <w:sz w:val="1"/>
                <w:szCs w:val="1"/>
                <w:color w:val="auto"/>
              </w:rPr>
            </w:pPr>
          </w:p>
        </w:tc>
        <w:tc>
          <w:tcPr>
            <w:tcW w:w="1000" w:type="dxa"/>
            <w:vAlign w:val="bottom"/>
            <w:shd w:val="clear" w:color="auto" w:fill="050A54"/>
          </w:tcPr>
          <w:p>
            <w:pPr>
              <w:spacing w:after="0" w:line="20" w:lineRule="exact"/>
              <w:rPr>
                <w:sz w:val="1"/>
                <w:szCs w:val="1"/>
                <w:color w:val="auto"/>
              </w:rPr>
            </w:pPr>
          </w:p>
        </w:tc>
        <w:tc>
          <w:tcPr>
            <w:tcW w:w="1040" w:type="dxa"/>
            <w:vAlign w:val="bottom"/>
            <w:shd w:val="clear" w:color="auto" w:fill="050A54"/>
          </w:tcPr>
          <w:p>
            <w:pPr>
              <w:spacing w:after="0" w:line="20" w:lineRule="exact"/>
              <w:rPr>
                <w:sz w:val="1"/>
                <w:szCs w:val="1"/>
                <w:color w:val="auto"/>
              </w:rPr>
            </w:pPr>
          </w:p>
        </w:tc>
        <w:tc>
          <w:tcPr>
            <w:tcW w:w="1140" w:type="dxa"/>
            <w:vAlign w:val="bottom"/>
            <w:shd w:val="clear" w:color="auto" w:fill="050A54"/>
          </w:tcPr>
          <w:p>
            <w:pPr>
              <w:spacing w:after="0" w:line="20" w:lineRule="exact"/>
              <w:rPr>
                <w:sz w:val="1"/>
                <w:szCs w:val="1"/>
                <w:color w:val="auto"/>
              </w:rPr>
            </w:pPr>
          </w:p>
        </w:tc>
        <w:tc>
          <w:tcPr>
            <w:tcW w:w="860" w:type="dxa"/>
            <w:vAlign w:val="bottom"/>
            <w:shd w:val="clear" w:color="auto" w:fill="050A54"/>
          </w:tcPr>
          <w:p>
            <w:pPr>
              <w:spacing w:after="0" w:line="20" w:lineRule="exact"/>
              <w:rPr>
                <w:sz w:val="1"/>
                <w:szCs w:val="1"/>
                <w:color w:val="auto"/>
              </w:rPr>
            </w:pPr>
          </w:p>
        </w:tc>
        <w:tc>
          <w:tcPr>
            <w:tcW w:w="1160" w:type="dxa"/>
            <w:vAlign w:val="bottom"/>
            <w:shd w:val="clear" w:color="auto" w:fill="050A54"/>
          </w:tcPr>
          <w:p>
            <w:pPr>
              <w:spacing w:after="0" w:line="20" w:lineRule="exact"/>
              <w:rPr>
                <w:sz w:val="1"/>
                <w:szCs w:val="1"/>
                <w:color w:val="auto"/>
              </w:rPr>
            </w:pPr>
          </w:p>
        </w:tc>
        <w:tc>
          <w:tcPr>
            <w:tcW w:w="800" w:type="dxa"/>
            <w:vAlign w:val="bottom"/>
            <w:shd w:val="clear" w:color="auto" w:fill="050A5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600" w:hanging="433"/>
        <w:spacing w:after="0"/>
        <w:tabs>
          <w:tab w:leader="none" w:pos="6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Represents the dollar value of annual cash bonus awards earned by each NEO for the relevant year.</w:t>
      </w:r>
    </w:p>
    <w:p>
      <w:pPr>
        <w:spacing w:after="0" w:line="70" w:lineRule="exact"/>
        <w:rPr>
          <w:rFonts w:ascii="Arial" w:cs="Arial" w:eastAsia="Arial" w:hAnsi="Arial"/>
          <w:sz w:val="16"/>
          <w:szCs w:val="16"/>
          <w:color w:val="auto"/>
        </w:rPr>
      </w:pPr>
    </w:p>
    <w:p>
      <w:pPr>
        <w:ind w:left="600" w:hanging="433"/>
        <w:spacing w:after="0"/>
        <w:tabs>
          <w:tab w:leader="none" w:pos="6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See “</w:t>
      </w:r>
      <w:r>
        <w:rPr>
          <w:rFonts w:ascii="Arial" w:cs="Arial" w:eastAsia="Arial" w:hAnsi="Arial"/>
          <w:sz w:val="16"/>
          <w:szCs w:val="16"/>
          <w:i w:val="1"/>
          <w:iCs w:val="1"/>
          <w:color w:val="auto"/>
        </w:rPr>
        <w:t>All Other Compensation”</w:t>
      </w:r>
      <w:r>
        <w:rPr>
          <w:rFonts w:ascii="Arial" w:cs="Arial" w:eastAsia="Arial" w:hAnsi="Arial"/>
          <w:sz w:val="16"/>
          <w:szCs w:val="16"/>
          <w:color w:val="auto"/>
        </w:rPr>
        <w:t xml:space="preserve"> table below for additional information.</w:t>
      </w:r>
    </w:p>
    <w:p>
      <w:pPr>
        <w:spacing w:after="0" w:line="70" w:lineRule="exact"/>
        <w:rPr>
          <w:rFonts w:ascii="Arial" w:cs="Arial" w:eastAsia="Arial" w:hAnsi="Arial"/>
          <w:sz w:val="16"/>
          <w:szCs w:val="16"/>
          <w:color w:val="auto"/>
        </w:rPr>
      </w:pPr>
    </w:p>
    <w:p>
      <w:pPr>
        <w:ind w:left="600" w:hanging="433"/>
        <w:spacing w:after="0"/>
        <w:tabs>
          <w:tab w:leader="none" w:pos="6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Mr. Arnold received an increase in base salary from $850,000 to $900,000 on February 14, 2021.</w:t>
      </w:r>
    </w:p>
    <w:p>
      <w:pPr>
        <w:spacing w:after="0" w:line="70" w:lineRule="exact"/>
        <w:rPr>
          <w:rFonts w:ascii="Arial" w:cs="Arial" w:eastAsia="Arial" w:hAnsi="Arial"/>
          <w:sz w:val="16"/>
          <w:szCs w:val="16"/>
          <w:color w:val="auto"/>
        </w:rPr>
      </w:pPr>
    </w:p>
    <w:p>
      <w:pPr>
        <w:ind w:left="600" w:hanging="433"/>
        <w:spacing w:after="0"/>
        <w:tabs>
          <w:tab w:leader="none" w:pos="6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Mr. Arnold received an increase in base salary from $800,000 to $850,000 on February 17, 2019.</w:t>
      </w:r>
    </w:p>
    <w:p>
      <w:pPr>
        <w:spacing w:after="0" w:line="70" w:lineRule="exact"/>
        <w:rPr>
          <w:rFonts w:ascii="Arial" w:cs="Arial" w:eastAsia="Arial" w:hAnsi="Arial"/>
          <w:sz w:val="16"/>
          <w:szCs w:val="16"/>
          <w:color w:val="auto"/>
        </w:rPr>
      </w:pPr>
    </w:p>
    <w:p>
      <w:pPr>
        <w:ind w:left="600" w:hanging="433"/>
        <w:spacing w:after="0"/>
        <w:tabs>
          <w:tab w:leader="none" w:pos="6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Mr. Fandrey joined the Company on January 19, 2021.</w:t>
      </w:r>
    </w:p>
    <w:p>
      <w:pPr>
        <w:spacing w:after="0" w:line="70" w:lineRule="exact"/>
        <w:rPr>
          <w:rFonts w:ascii="Arial" w:cs="Arial" w:eastAsia="Arial" w:hAnsi="Arial"/>
          <w:sz w:val="16"/>
          <w:szCs w:val="16"/>
          <w:color w:val="auto"/>
        </w:rPr>
      </w:pPr>
    </w:p>
    <w:p>
      <w:pPr>
        <w:ind w:left="600" w:hanging="433"/>
        <w:spacing w:after="0"/>
        <w:tabs>
          <w:tab w:leader="none" w:pos="6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Mr. Fandrey’s base salary for 2021 of $500,000 was prorated based on commencement of his employment on January 19, 2021.</w:t>
      </w:r>
    </w:p>
    <w:p>
      <w:pPr>
        <w:spacing w:after="0" w:line="70" w:lineRule="exact"/>
        <w:rPr>
          <w:rFonts w:ascii="Arial" w:cs="Arial" w:eastAsia="Arial" w:hAnsi="Arial"/>
          <w:sz w:val="16"/>
          <w:szCs w:val="16"/>
          <w:color w:val="auto"/>
        </w:rPr>
      </w:pPr>
    </w:p>
    <w:p>
      <w:pPr>
        <w:ind w:left="600" w:hanging="433"/>
        <w:spacing w:after="0"/>
        <w:tabs>
          <w:tab w:leader="none" w:pos="6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Represents a cash signing bonus paid in connection with Mr. Fandrey’s commencement of employment.</w:t>
      </w:r>
    </w:p>
    <w:p>
      <w:pPr>
        <w:spacing w:after="0" w:line="70" w:lineRule="exact"/>
        <w:rPr>
          <w:rFonts w:ascii="Arial" w:cs="Arial" w:eastAsia="Arial" w:hAnsi="Arial"/>
          <w:sz w:val="16"/>
          <w:szCs w:val="16"/>
          <w:color w:val="auto"/>
        </w:rPr>
      </w:pPr>
    </w:p>
    <w:p>
      <w:pPr>
        <w:ind w:left="600" w:hanging="433"/>
        <w:spacing w:after="0"/>
        <w:tabs>
          <w:tab w:leader="none" w:pos="6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Includes a sign-on grant of 24,572 RSUs in connection with Mr. Fandrey’s commencement of employment.</w:t>
      </w:r>
    </w:p>
    <w:p>
      <w:pPr>
        <w:spacing w:after="0" w:line="70" w:lineRule="exact"/>
        <w:rPr>
          <w:rFonts w:ascii="Arial" w:cs="Arial" w:eastAsia="Arial" w:hAnsi="Arial"/>
          <w:sz w:val="16"/>
          <w:szCs w:val="16"/>
          <w:color w:val="auto"/>
        </w:rPr>
      </w:pPr>
    </w:p>
    <w:p>
      <w:pPr>
        <w:ind w:left="600" w:hanging="433"/>
        <w:spacing w:after="0"/>
        <w:tabs>
          <w:tab w:leader="none" w:pos="6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Mr. Semerjian’s base salary for 2019 of $500,000 was prorated based on commencement of his employment on February 28, 2019.</w:t>
      </w:r>
    </w:p>
    <w:p>
      <w:pPr>
        <w:spacing w:after="0" w:line="70" w:lineRule="exact"/>
        <w:rPr>
          <w:rFonts w:ascii="Arial" w:cs="Arial" w:eastAsia="Arial" w:hAnsi="Arial"/>
          <w:sz w:val="16"/>
          <w:szCs w:val="16"/>
          <w:color w:val="auto"/>
        </w:rPr>
      </w:pPr>
    </w:p>
    <w:p>
      <w:pPr>
        <w:ind w:left="600" w:hanging="433"/>
        <w:spacing w:after="0"/>
        <w:tabs>
          <w:tab w:leader="none" w:pos="6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Includes a sign-on grant of 10,772 RSUs in connection with Mr. Semerjian’s commencement of employment.</w:t>
      </w:r>
    </w:p>
    <w:p>
      <w:pPr>
        <w:spacing w:after="0" w:line="70" w:lineRule="exact"/>
        <w:rPr>
          <w:rFonts w:ascii="Arial" w:cs="Arial" w:eastAsia="Arial" w:hAnsi="Arial"/>
          <w:sz w:val="16"/>
          <w:szCs w:val="16"/>
          <w:color w:val="auto"/>
        </w:rPr>
      </w:pPr>
    </w:p>
    <w:p>
      <w:pPr>
        <w:ind w:left="600" w:hanging="433"/>
        <w:spacing w:after="0"/>
        <w:tabs>
          <w:tab w:leader="none" w:pos="6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Mr. Steinmeier received an increase in base salary from $450,000 to $500,000 on February 16, 2020.</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0A54"/>
        </w:rPr>
        <w:t>All Other Compensation</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sets forth information for our NEOs concerning All Other Compensation in the table above for the years ended</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December 31, 2021, 2020 and 2019, as applicable to such NEO:</w:t>
      </w:r>
    </w:p>
    <w:p>
      <w:pPr>
        <w:spacing w:after="0" w:line="22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050A54"/>
                <w:w w:val="99"/>
              </w:rPr>
              <w:t>Taxable</w:t>
            </w: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ind w:right="3"/>
              <w:spacing w:after="0"/>
              <w:rPr>
                <w:sz w:val="20"/>
                <w:szCs w:val="20"/>
                <w:color w:val="auto"/>
              </w:rPr>
            </w:pPr>
            <w:r>
              <w:rPr>
                <w:rFonts w:ascii="Arial" w:cs="Arial" w:eastAsia="Arial" w:hAnsi="Arial"/>
                <w:sz w:val="14"/>
                <w:szCs w:val="14"/>
                <w:b w:val="1"/>
                <w:bCs w:val="1"/>
                <w:color w:val="050A54"/>
              </w:rPr>
              <w:t>Executive</w:t>
            </w: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0"/>
        </w:trPr>
        <w:tc>
          <w:tcPr>
            <w:tcW w:w="3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050A54"/>
              </w:rPr>
              <w:t>Travel</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050A54"/>
                <w:w w:val="99"/>
              </w:rPr>
              <w:t>Taxable</w:t>
            </w:r>
          </w:p>
        </w:tc>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050A54"/>
              </w:rPr>
              <w:t>Health</w:t>
            </w:r>
          </w:p>
        </w:tc>
        <w:tc>
          <w:tcPr>
            <w:tcW w:w="8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0"/>
        </w:trPr>
        <w:tc>
          <w:tcPr>
            <w:tcW w:w="3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jc w:val="center"/>
              <w:ind w:left="263"/>
              <w:spacing w:after="0"/>
              <w:rPr>
                <w:sz w:val="20"/>
                <w:szCs w:val="20"/>
                <w:color w:val="auto"/>
              </w:rPr>
            </w:pPr>
            <w:r>
              <w:rPr>
                <w:rFonts w:ascii="Arial" w:cs="Arial" w:eastAsia="Arial" w:hAnsi="Arial"/>
                <w:sz w:val="14"/>
                <w:szCs w:val="14"/>
                <w:b w:val="1"/>
                <w:bCs w:val="1"/>
                <w:color w:val="050A54"/>
              </w:rPr>
              <w:t>and</w:t>
            </w:r>
          </w:p>
        </w:tc>
        <w:tc>
          <w:tcPr>
            <w:tcW w:w="380" w:type="dxa"/>
            <w:vAlign w:val="bottom"/>
          </w:tcPr>
          <w:p>
            <w:pPr>
              <w:spacing w:after="0"/>
              <w:rPr>
                <w:sz w:val="13"/>
                <w:szCs w:val="13"/>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050A54"/>
              </w:rPr>
              <w:t>Relocation</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050A54"/>
              </w:rPr>
              <w:t>Reimbursement</w:t>
            </w:r>
          </w:p>
        </w:tc>
        <w:tc>
          <w:tcPr>
            <w:tcW w:w="38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050A54"/>
                <w:w w:val="96"/>
              </w:rPr>
              <w:t>and</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050A54"/>
                <w:w w:val="98"/>
              </w:rPr>
              <w:t>401(k)</w:t>
            </w: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0"/>
        </w:trPr>
        <w:tc>
          <w:tcPr>
            <w:tcW w:w="3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050A54"/>
              </w:rPr>
              <w:t>Related</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050A54"/>
              </w:rPr>
              <w:t>and Related</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050A54"/>
              </w:rPr>
              <w:t>for Financial</w:t>
            </w:r>
          </w:p>
        </w:tc>
        <w:tc>
          <w:tcPr>
            <w:tcW w:w="38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050A54"/>
                <w:w w:val="98"/>
              </w:rPr>
              <w:t>Wellness</w:t>
            </w:r>
          </w:p>
        </w:tc>
        <w:tc>
          <w:tcPr>
            <w:tcW w:w="840" w:type="dxa"/>
            <w:vAlign w:val="bottom"/>
          </w:tcPr>
          <w:p>
            <w:pPr>
              <w:jc w:val="right"/>
              <w:ind w:right="42"/>
              <w:spacing w:after="0"/>
              <w:rPr>
                <w:sz w:val="20"/>
                <w:szCs w:val="20"/>
                <w:color w:val="auto"/>
              </w:rPr>
            </w:pPr>
            <w:r>
              <w:rPr>
                <w:rFonts w:ascii="Arial" w:cs="Arial" w:eastAsia="Arial" w:hAnsi="Arial"/>
                <w:sz w:val="14"/>
                <w:szCs w:val="14"/>
                <w:b w:val="1"/>
                <w:bCs w:val="1"/>
                <w:color w:val="050A54"/>
              </w:rPr>
              <w:t>Employer</w:t>
            </w: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0"/>
        </w:trPr>
        <w:tc>
          <w:tcPr>
            <w:tcW w:w="3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050A54"/>
              </w:rPr>
              <w:t>Expenses</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050A54"/>
              </w:rPr>
              <w:t>Expenses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050A54"/>
              </w:rPr>
              <w:t>Planning</w:t>
            </w:r>
          </w:p>
        </w:tc>
        <w:tc>
          <w:tcPr>
            <w:tcW w:w="38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050A54"/>
              </w:rPr>
              <w:t>Program</w:t>
            </w:r>
          </w:p>
        </w:tc>
        <w:tc>
          <w:tcPr>
            <w:tcW w:w="840" w:type="dxa"/>
            <w:vAlign w:val="bottom"/>
          </w:tcPr>
          <w:p>
            <w:pPr>
              <w:jc w:val="right"/>
              <w:ind w:right="162"/>
              <w:spacing w:after="0"/>
              <w:rPr>
                <w:sz w:val="20"/>
                <w:szCs w:val="20"/>
                <w:color w:val="auto"/>
              </w:rPr>
            </w:pPr>
            <w:r>
              <w:rPr>
                <w:rFonts w:ascii="Arial" w:cs="Arial" w:eastAsia="Arial" w:hAnsi="Arial"/>
                <w:sz w:val="14"/>
                <w:szCs w:val="14"/>
                <w:b w:val="1"/>
                <w:bCs w:val="1"/>
                <w:color w:val="050A54"/>
              </w:rPr>
              <w:t>Match</w:t>
            </w:r>
          </w:p>
        </w:tc>
        <w:tc>
          <w:tcPr>
            <w:tcW w:w="620" w:type="dxa"/>
            <w:vAlign w:val="bottom"/>
          </w:tcPr>
          <w:p>
            <w:pPr>
              <w:jc w:val="right"/>
              <w:ind w:right="61"/>
              <w:spacing w:after="0"/>
              <w:rPr>
                <w:sz w:val="20"/>
                <w:szCs w:val="20"/>
                <w:color w:val="auto"/>
              </w:rPr>
            </w:pPr>
            <w:r>
              <w:rPr>
                <w:rFonts w:ascii="Arial" w:cs="Arial" w:eastAsia="Arial" w:hAnsi="Arial"/>
                <w:sz w:val="14"/>
                <w:szCs w:val="14"/>
                <w:b w:val="1"/>
                <w:bCs w:val="1"/>
                <w:color w:val="050A54"/>
              </w:rPr>
              <w:t>Other</w:t>
            </w:r>
          </w:p>
        </w:tc>
        <w:tc>
          <w:tcPr>
            <w:tcW w:w="780" w:type="dxa"/>
            <w:vAlign w:val="bottom"/>
          </w:tcPr>
          <w:p>
            <w:pPr>
              <w:jc w:val="right"/>
              <w:ind w:right="161"/>
              <w:spacing w:after="0"/>
              <w:rPr>
                <w:sz w:val="20"/>
                <w:szCs w:val="20"/>
                <w:color w:val="auto"/>
              </w:rPr>
            </w:pPr>
            <w:r>
              <w:rPr>
                <w:rFonts w:ascii="Arial" w:cs="Arial" w:eastAsia="Arial" w:hAnsi="Arial"/>
                <w:sz w:val="14"/>
                <w:szCs w:val="14"/>
                <w:b w:val="1"/>
                <w:bCs w:val="1"/>
                <w:color w:val="050A54"/>
              </w:rPr>
              <w:t>Total</w:t>
            </w:r>
          </w:p>
        </w:tc>
      </w:tr>
      <w:tr>
        <w:trPr>
          <w:trHeight w:val="183"/>
        </w:trPr>
        <w:tc>
          <w:tcPr>
            <w:tcW w:w="3440" w:type="dxa"/>
            <w:vAlign w:val="bottom"/>
            <w:tcBorders>
              <w:bottom w:val="single" w:sz="8" w:color="050A54"/>
            </w:tcBorders>
          </w:tcPr>
          <w:p>
            <w:pPr>
              <w:ind w:left="1540"/>
              <w:spacing w:after="0"/>
              <w:rPr>
                <w:sz w:val="20"/>
                <w:szCs w:val="20"/>
                <w:color w:val="auto"/>
              </w:rPr>
            </w:pPr>
            <w:r>
              <w:rPr>
                <w:rFonts w:ascii="Arial" w:cs="Arial" w:eastAsia="Arial" w:hAnsi="Arial"/>
                <w:sz w:val="14"/>
                <w:szCs w:val="14"/>
                <w:b w:val="1"/>
                <w:bCs w:val="1"/>
                <w:color w:val="050A54"/>
              </w:rPr>
              <w:t>Name</w:t>
            </w:r>
          </w:p>
        </w:tc>
        <w:tc>
          <w:tcPr>
            <w:tcW w:w="640" w:type="dxa"/>
            <w:vAlign w:val="bottom"/>
            <w:tcBorders>
              <w:bottom w:val="single" w:sz="8" w:color="050A54"/>
            </w:tcBorders>
          </w:tcPr>
          <w:p>
            <w:pPr>
              <w:ind w:left="160"/>
              <w:spacing w:after="0"/>
              <w:rPr>
                <w:sz w:val="20"/>
                <w:szCs w:val="20"/>
                <w:color w:val="auto"/>
              </w:rPr>
            </w:pPr>
            <w:r>
              <w:rPr>
                <w:rFonts w:ascii="Arial" w:cs="Arial" w:eastAsia="Arial" w:hAnsi="Arial"/>
                <w:sz w:val="14"/>
                <w:szCs w:val="14"/>
                <w:b w:val="1"/>
                <w:bCs w:val="1"/>
                <w:color w:val="050A54"/>
              </w:rPr>
              <w:t>Year</w:t>
            </w:r>
          </w:p>
        </w:tc>
        <w:tc>
          <w:tcPr>
            <w:tcW w:w="640" w:type="dxa"/>
            <w:vAlign w:val="bottom"/>
            <w:tcBorders>
              <w:bottom w:val="single" w:sz="8" w:color="050A54"/>
            </w:tcBorders>
          </w:tcPr>
          <w:p>
            <w:pPr>
              <w:jc w:val="center"/>
              <w:ind w:left="263"/>
              <w:spacing w:after="0"/>
              <w:rPr>
                <w:sz w:val="20"/>
                <w:szCs w:val="20"/>
                <w:color w:val="auto"/>
              </w:rPr>
            </w:pPr>
            <w:r>
              <w:rPr>
                <w:rFonts w:ascii="Arial" w:cs="Arial" w:eastAsia="Arial" w:hAnsi="Arial"/>
                <w:sz w:val="14"/>
                <w:szCs w:val="14"/>
                <w:b w:val="1"/>
                <w:bCs w:val="1"/>
                <w:color w:val="050A54"/>
              </w:rPr>
              <w:t>($)</w:t>
            </w:r>
          </w:p>
        </w:tc>
        <w:tc>
          <w:tcPr>
            <w:tcW w:w="380" w:type="dxa"/>
            <w:vAlign w:val="bottom"/>
            <w:tcBorders>
              <w:bottom w:val="single" w:sz="8" w:color="050A54"/>
            </w:tcBorders>
          </w:tcPr>
          <w:p>
            <w:pPr>
              <w:spacing w:after="0"/>
              <w:rPr>
                <w:sz w:val="15"/>
                <w:szCs w:val="15"/>
                <w:color w:val="auto"/>
              </w:rPr>
            </w:pPr>
          </w:p>
        </w:tc>
        <w:tc>
          <w:tcPr>
            <w:tcW w:w="740" w:type="dxa"/>
            <w:vAlign w:val="bottom"/>
            <w:tcBorders>
              <w:bottom w:val="single" w:sz="8" w:color="050A54"/>
            </w:tcBorders>
          </w:tcPr>
          <w:p>
            <w:pPr>
              <w:jc w:val="center"/>
              <w:ind w:left="302"/>
              <w:spacing w:after="0"/>
              <w:rPr>
                <w:sz w:val="20"/>
                <w:szCs w:val="20"/>
                <w:color w:val="auto"/>
              </w:rPr>
            </w:pPr>
            <w:r>
              <w:rPr>
                <w:rFonts w:ascii="Arial" w:cs="Arial" w:eastAsia="Arial" w:hAnsi="Arial"/>
                <w:sz w:val="14"/>
                <w:szCs w:val="14"/>
                <w:b w:val="1"/>
                <w:bCs w:val="1"/>
                <w:color w:val="050A54"/>
                <w:w w:val="93"/>
              </w:rPr>
              <w:t>($)</w:t>
            </w:r>
          </w:p>
        </w:tc>
        <w:tc>
          <w:tcPr>
            <w:tcW w:w="400" w:type="dxa"/>
            <w:vAlign w:val="bottom"/>
            <w:tcBorders>
              <w:bottom w:val="single" w:sz="8" w:color="050A54"/>
            </w:tcBorders>
          </w:tcPr>
          <w:p>
            <w:pPr>
              <w:spacing w:after="0"/>
              <w:rPr>
                <w:sz w:val="15"/>
                <w:szCs w:val="15"/>
                <w:color w:val="auto"/>
              </w:rPr>
            </w:pPr>
          </w:p>
        </w:tc>
        <w:tc>
          <w:tcPr>
            <w:tcW w:w="1240" w:type="dxa"/>
            <w:vAlign w:val="bottom"/>
            <w:tcBorders>
              <w:bottom w:val="single" w:sz="8" w:color="050A54"/>
            </w:tcBorders>
          </w:tcPr>
          <w:p>
            <w:pPr>
              <w:jc w:val="center"/>
              <w:spacing w:after="0"/>
              <w:rPr>
                <w:sz w:val="20"/>
                <w:szCs w:val="20"/>
                <w:color w:val="auto"/>
              </w:rPr>
            </w:pPr>
            <w:r>
              <w:rPr>
                <w:rFonts w:ascii="Arial" w:cs="Arial" w:eastAsia="Arial" w:hAnsi="Arial"/>
                <w:sz w:val="14"/>
                <w:szCs w:val="14"/>
                <w:b w:val="1"/>
                <w:bCs w:val="1"/>
                <w:color w:val="050A54"/>
              </w:rPr>
              <w:t>Services ($)(1)</w:t>
            </w:r>
          </w:p>
        </w:tc>
        <w:tc>
          <w:tcPr>
            <w:tcW w:w="380" w:type="dxa"/>
            <w:vAlign w:val="bottom"/>
            <w:tcBorders>
              <w:bottom w:val="single" w:sz="8" w:color="050A54"/>
            </w:tcBorders>
          </w:tcPr>
          <w:p>
            <w:pPr>
              <w:spacing w:after="0"/>
              <w:rPr>
                <w:sz w:val="15"/>
                <w:szCs w:val="15"/>
                <w:color w:val="auto"/>
              </w:rPr>
            </w:pPr>
          </w:p>
        </w:tc>
        <w:tc>
          <w:tcPr>
            <w:tcW w:w="820" w:type="dxa"/>
            <w:vAlign w:val="bottom"/>
            <w:tcBorders>
              <w:bottom w:val="single" w:sz="8" w:color="050A54"/>
            </w:tcBorders>
          </w:tcPr>
          <w:p>
            <w:pPr>
              <w:jc w:val="center"/>
              <w:spacing w:after="0"/>
              <w:rPr>
                <w:sz w:val="20"/>
                <w:szCs w:val="20"/>
                <w:color w:val="auto"/>
              </w:rPr>
            </w:pPr>
            <w:r>
              <w:rPr>
                <w:rFonts w:ascii="Arial" w:cs="Arial" w:eastAsia="Arial" w:hAnsi="Arial"/>
                <w:sz w:val="14"/>
                <w:szCs w:val="14"/>
                <w:b w:val="1"/>
                <w:bCs w:val="1"/>
                <w:color w:val="050A54"/>
              </w:rPr>
              <w:t>($)(2)</w:t>
            </w:r>
          </w:p>
        </w:tc>
        <w:tc>
          <w:tcPr>
            <w:tcW w:w="840" w:type="dxa"/>
            <w:vAlign w:val="bottom"/>
            <w:tcBorders>
              <w:bottom w:val="single" w:sz="8" w:color="050A54"/>
            </w:tcBorders>
          </w:tcPr>
          <w:p>
            <w:pPr>
              <w:jc w:val="right"/>
              <w:ind w:right="282"/>
              <w:spacing w:after="0"/>
              <w:rPr>
                <w:sz w:val="20"/>
                <w:szCs w:val="20"/>
                <w:color w:val="auto"/>
              </w:rPr>
            </w:pPr>
            <w:r>
              <w:rPr>
                <w:rFonts w:ascii="Arial" w:cs="Arial" w:eastAsia="Arial" w:hAnsi="Arial"/>
                <w:sz w:val="14"/>
                <w:szCs w:val="14"/>
                <w:b w:val="1"/>
                <w:bCs w:val="1"/>
                <w:color w:val="050A54"/>
              </w:rPr>
              <w:t>($)</w:t>
            </w:r>
          </w:p>
        </w:tc>
        <w:tc>
          <w:tcPr>
            <w:tcW w:w="620" w:type="dxa"/>
            <w:vAlign w:val="bottom"/>
            <w:tcBorders>
              <w:bottom w:val="single" w:sz="8" w:color="050A54"/>
            </w:tcBorders>
          </w:tcPr>
          <w:p>
            <w:pPr>
              <w:jc w:val="right"/>
              <w:ind w:right="81"/>
              <w:spacing w:after="0"/>
              <w:rPr>
                <w:sz w:val="20"/>
                <w:szCs w:val="20"/>
                <w:color w:val="auto"/>
              </w:rPr>
            </w:pPr>
            <w:r>
              <w:rPr>
                <w:rFonts w:ascii="Arial" w:cs="Arial" w:eastAsia="Arial" w:hAnsi="Arial"/>
                <w:sz w:val="14"/>
                <w:szCs w:val="14"/>
                <w:b w:val="1"/>
                <w:bCs w:val="1"/>
                <w:color w:val="050A54"/>
              </w:rPr>
              <w:t>($)(3)</w:t>
            </w:r>
          </w:p>
        </w:tc>
        <w:tc>
          <w:tcPr>
            <w:tcW w:w="780" w:type="dxa"/>
            <w:vAlign w:val="bottom"/>
            <w:tcBorders>
              <w:bottom w:val="single" w:sz="8" w:color="050A54"/>
            </w:tcBorders>
          </w:tcPr>
          <w:p>
            <w:pPr>
              <w:jc w:val="right"/>
              <w:ind w:right="241"/>
              <w:spacing w:after="0"/>
              <w:rPr>
                <w:sz w:val="20"/>
                <w:szCs w:val="20"/>
                <w:color w:val="auto"/>
              </w:rPr>
            </w:pPr>
            <w:r>
              <w:rPr>
                <w:rFonts w:ascii="Arial" w:cs="Arial" w:eastAsia="Arial" w:hAnsi="Arial"/>
                <w:sz w:val="14"/>
                <w:szCs w:val="14"/>
                <w:b w:val="1"/>
                <w:bCs w:val="1"/>
                <w:color w:val="050A54"/>
              </w:rPr>
              <w:t>($)</w:t>
            </w:r>
          </w:p>
        </w:tc>
      </w:tr>
      <w:tr>
        <w:trPr>
          <w:trHeight w:val="205"/>
        </w:trPr>
        <w:tc>
          <w:tcPr>
            <w:tcW w:w="3440" w:type="dxa"/>
            <w:vAlign w:val="bottom"/>
            <w:shd w:val="clear" w:color="auto" w:fill="E8E8E8"/>
          </w:tcPr>
          <w:p>
            <w:pPr>
              <w:ind w:left="80"/>
              <w:spacing w:after="0"/>
              <w:rPr>
                <w:sz w:val="20"/>
                <w:szCs w:val="20"/>
                <w:color w:val="auto"/>
              </w:rPr>
            </w:pPr>
            <w:r>
              <w:rPr>
                <w:rFonts w:ascii="Arial" w:cs="Arial" w:eastAsia="Arial" w:hAnsi="Arial"/>
                <w:sz w:val="16"/>
                <w:szCs w:val="16"/>
                <w:color w:val="auto"/>
              </w:rPr>
              <w:t>Dan H. Arnold</w:t>
            </w:r>
          </w:p>
        </w:tc>
        <w:tc>
          <w:tcPr>
            <w:tcW w:w="640" w:type="dxa"/>
            <w:vAlign w:val="bottom"/>
            <w:shd w:val="clear" w:color="auto" w:fill="E8E8E8"/>
          </w:tcPr>
          <w:p>
            <w:pPr>
              <w:ind w:left="160"/>
              <w:spacing w:after="0"/>
              <w:rPr>
                <w:sz w:val="20"/>
                <w:szCs w:val="20"/>
                <w:color w:val="auto"/>
              </w:rPr>
            </w:pPr>
            <w:r>
              <w:rPr>
                <w:rFonts w:ascii="Arial" w:cs="Arial" w:eastAsia="Arial" w:hAnsi="Arial"/>
                <w:sz w:val="16"/>
                <w:szCs w:val="16"/>
                <w:color w:val="auto"/>
              </w:rPr>
              <w:t>2021</w:t>
            </w:r>
          </w:p>
        </w:tc>
        <w:tc>
          <w:tcPr>
            <w:tcW w:w="640" w:type="dxa"/>
            <w:vAlign w:val="bottom"/>
            <w:shd w:val="clear" w:color="auto" w:fill="E8E8E8"/>
          </w:tcPr>
          <w:p>
            <w:pPr>
              <w:jc w:val="right"/>
              <w:ind w:right="43"/>
              <w:spacing w:after="0"/>
              <w:rPr>
                <w:sz w:val="20"/>
                <w:szCs w:val="20"/>
                <w:color w:val="auto"/>
              </w:rPr>
            </w:pPr>
            <w:r>
              <w:rPr>
                <w:rFonts w:ascii="Arial" w:cs="Arial" w:eastAsia="Arial" w:hAnsi="Arial"/>
                <w:sz w:val="16"/>
                <w:szCs w:val="16"/>
                <w:color w:val="auto"/>
              </w:rPr>
              <w:t>—</w:t>
            </w:r>
          </w:p>
        </w:tc>
        <w:tc>
          <w:tcPr>
            <w:tcW w:w="380" w:type="dxa"/>
            <w:vAlign w:val="bottom"/>
            <w:shd w:val="clear" w:color="auto" w:fill="E8E8E8"/>
          </w:tcPr>
          <w:p>
            <w:pPr>
              <w:spacing w:after="0"/>
              <w:rPr>
                <w:sz w:val="17"/>
                <w:szCs w:val="17"/>
                <w:color w:val="auto"/>
              </w:rPr>
            </w:pPr>
          </w:p>
        </w:tc>
        <w:tc>
          <w:tcPr>
            <w:tcW w:w="740" w:type="dxa"/>
            <w:vAlign w:val="bottom"/>
            <w:shd w:val="clear" w:color="auto" w:fill="E8E8E8"/>
          </w:tcPr>
          <w:p>
            <w:pPr>
              <w:jc w:val="right"/>
              <w:ind w:right="2"/>
              <w:spacing w:after="0"/>
              <w:rPr>
                <w:sz w:val="20"/>
                <w:szCs w:val="20"/>
                <w:color w:val="auto"/>
              </w:rPr>
            </w:pPr>
            <w:r>
              <w:rPr>
                <w:rFonts w:ascii="Arial" w:cs="Arial" w:eastAsia="Arial" w:hAnsi="Arial"/>
                <w:sz w:val="16"/>
                <w:szCs w:val="16"/>
                <w:color w:val="auto"/>
              </w:rPr>
              <w:t>—</w:t>
            </w:r>
          </w:p>
        </w:tc>
        <w:tc>
          <w:tcPr>
            <w:tcW w:w="400" w:type="dxa"/>
            <w:vAlign w:val="bottom"/>
            <w:shd w:val="clear" w:color="auto" w:fill="E8E8E8"/>
          </w:tcPr>
          <w:p>
            <w:pPr>
              <w:spacing w:after="0"/>
              <w:rPr>
                <w:sz w:val="17"/>
                <w:szCs w:val="17"/>
                <w:color w:val="auto"/>
              </w:rPr>
            </w:pPr>
          </w:p>
        </w:tc>
        <w:tc>
          <w:tcPr>
            <w:tcW w:w="1240" w:type="dxa"/>
            <w:vAlign w:val="bottom"/>
            <w:shd w:val="clear" w:color="auto" w:fill="E8E8E8"/>
          </w:tcPr>
          <w:p>
            <w:pPr>
              <w:jc w:val="right"/>
              <w:ind w:right="22"/>
              <w:spacing w:after="0"/>
              <w:rPr>
                <w:sz w:val="20"/>
                <w:szCs w:val="20"/>
                <w:color w:val="auto"/>
              </w:rPr>
            </w:pPr>
            <w:r>
              <w:rPr>
                <w:rFonts w:ascii="Arial" w:cs="Arial" w:eastAsia="Arial" w:hAnsi="Arial"/>
                <w:sz w:val="16"/>
                <w:szCs w:val="16"/>
                <w:color w:val="auto"/>
              </w:rPr>
              <w:t>15,000</w:t>
            </w:r>
          </w:p>
        </w:tc>
        <w:tc>
          <w:tcPr>
            <w:tcW w:w="380" w:type="dxa"/>
            <w:vAlign w:val="bottom"/>
            <w:shd w:val="clear" w:color="auto" w:fill="E8E8E8"/>
          </w:tcPr>
          <w:p>
            <w:pPr>
              <w:spacing w:after="0"/>
              <w:rPr>
                <w:sz w:val="17"/>
                <w:szCs w:val="17"/>
                <w:color w:val="auto"/>
              </w:rPr>
            </w:pPr>
          </w:p>
        </w:tc>
        <w:tc>
          <w:tcPr>
            <w:tcW w:w="820" w:type="dxa"/>
            <w:vAlign w:val="bottom"/>
            <w:shd w:val="clear" w:color="auto" w:fill="E8E8E8"/>
          </w:tcPr>
          <w:p>
            <w:pPr>
              <w:jc w:val="right"/>
              <w:ind w:right="3"/>
              <w:spacing w:after="0"/>
              <w:rPr>
                <w:sz w:val="20"/>
                <w:szCs w:val="20"/>
                <w:color w:val="auto"/>
              </w:rPr>
            </w:pPr>
            <w:r>
              <w:rPr>
                <w:rFonts w:ascii="Arial" w:cs="Arial" w:eastAsia="Arial" w:hAnsi="Arial"/>
                <w:sz w:val="16"/>
                <w:szCs w:val="16"/>
                <w:color w:val="auto"/>
              </w:rPr>
              <w:t>5,553</w:t>
            </w:r>
          </w:p>
        </w:tc>
        <w:tc>
          <w:tcPr>
            <w:tcW w:w="840" w:type="dxa"/>
            <w:vAlign w:val="bottom"/>
            <w:shd w:val="clear" w:color="auto" w:fill="E8E8E8"/>
          </w:tcPr>
          <w:p>
            <w:pPr>
              <w:jc w:val="right"/>
              <w:ind w:right="42"/>
              <w:spacing w:after="0"/>
              <w:rPr>
                <w:sz w:val="20"/>
                <w:szCs w:val="20"/>
                <w:color w:val="auto"/>
              </w:rPr>
            </w:pPr>
            <w:r>
              <w:rPr>
                <w:rFonts w:ascii="Arial" w:cs="Arial" w:eastAsia="Arial" w:hAnsi="Arial"/>
                <w:sz w:val="16"/>
                <w:szCs w:val="16"/>
                <w:color w:val="auto"/>
              </w:rPr>
              <w:t>17,400</w:t>
            </w:r>
          </w:p>
        </w:tc>
        <w:tc>
          <w:tcPr>
            <w:tcW w:w="620" w:type="dxa"/>
            <w:vAlign w:val="bottom"/>
            <w:shd w:val="clear" w:color="auto" w:fill="E8E8E8"/>
          </w:tcPr>
          <w:p>
            <w:pPr>
              <w:jc w:val="right"/>
              <w:ind w:right="21"/>
              <w:spacing w:after="0"/>
              <w:rPr>
                <w:sz w:val="20"/>
                <w:szCs w:val="20"/>
                <w:color w:val="auto"/>
              </w:rPr>
            </w:pPr>
            <w:r>
              <w:rPr>
                <w:rFonts w:ascii="Arial" w:cs="Arial" w:eastAsia="Arial" w:hAnsi="Arial"/>
                <w:sz w:val="16"/>
                <w:szCs w:val="16"/>
                <w:color w:val="auto"/>
              </w:rPr>
              <w:t>1,297</w:t>
            </w:r>
          </w:p>
        </w:tc>
        <w:tc>
          <w:tcPr>
            <w:tcW w:w="780" w:type="dxa"/>
            <w:vAlign w:val="bottom"/>
            <w:shd w:val="clear" w:color="auto" w:fill="E8E8E8"/>
          </w:tcPr>
          <w:p>
            <w:pPr>
              <w:jc w:val="right"/>
              <w:ind w:right="21"/>
              <w:spacing w:after="0"/>
              <w:rPr>
                <w:sz w:val="20"/>
                <w:szCs w:val="20"/>
                <w:color w:val="auto"/>
              </w:rPr>
            </w:pPr>
            <w:r>
              <w:rPr>
                <w:rFonts w:ascii="Arial" w:cs="Arial" w:eastAsia="Arial" w:hAnsi="Arial"/>
                <w:sz w:val="16"/>
                <w:szCs w:val="16"/>
                <w:color w:val="auto"/>
              </w:rPr>
              <w:t>39,250</w:t>
            </w:r>
          </w:p>
        </w:tc>
      </w:tr>
      <w:tr>
        <w:trPr>
          <w:trHeight w:val="227"/>
        </w:trPr>
        <w:tc>
          <w:tcPr>
            <w:tcW w:w="3440" w:type="dxa"/>
            <w:vAlign w:val="bottom"/>
            <w:shd w:val="clear" w:color="auto" w:fill="E8E8E8"/>
          </w:tcPr>
          <w:p>
            <w:pPr>
              <w:spacing w:after="0"/>
              <w:rPr>
                <w:sz w:val="19"/>
                <w:szCs w:val="19"/>
                <w:color w:val="auto"/>
              </w:rPr>
            </w:pPr>
          </w:p>
        </w:tc>
        <w:tc>
          <w:tcPr>
            <w:tcW w:w="640" w:type="dxa"/>
            <w:vAlign w:val="bottom"/>
            <w:shd w:val="clear" w:color="auto" w:fill="E8E8E8"/>
          </w:tcPr>
          <w:p>
            <w:pPr>
              <w:ind w:left="160"/>
              <w:spacing w:after="0"/>
              <w:rPr>
                <w:sz w:val="20"/>
                <w:szCs w:val="20"/>
                <w:color w:val="auto"/>
              </w:rPr>
            </w:pPr>
            <w:r>
              <w:rPr>
                <w:rFonts w:ascii="Arial" w:cs="Arial" w:eastAsia="Arial" w:hAnsi="Arial"/>
                <w:sz w:val="16"/>
                <w:szCs w:val="16"/>
                <w:color w:val="auto"/>
              </w:rPr>
              <w:t>2020</w:t>
            </w:r>
          </w:p>
        </w:tc>
        <w:tc>
          <w:tcPr>
            <w:tcW w:w="640" w:type="dxa"/>
            <w:vAlign w:val="bottom"/>
            <w:shd w:val="clear" w:color="auto" w:fill="E8E8E8"/>
          </w:tcPr>
          <w:p>
            <w:pPr>
              <w:jc w:val="right"/>
              <w:ind w:right="43"/>
              <w:spacing w:after="0"/>
              <w:rPr>
                <w:sz w:val="20"/>
                <w:szCs w:val="20"/>
                <w:color w:val="auto"/>
              </w:rPr>
            </w:pPr>
            <w:r>
              <w:rPr>
                <w:rFonts w:ascii="Arial" w:cs="Arial" w:eastAsia="Arial" w:hAnsi="Arial"/>
                <w:sz w:val="16"/>
                <w:szCs w:val="16"/>
                <w:color w:val="auto"/>
              </w:rPr>
              <w:t>—</w:t>
            </w:r>
          </w:p>
        </w:tc>
        <w:tc>
          <w:tcPr>
            <w:tcW w:w="380" w:type="dxa"/>
            <w:vAlign w:val="bottom"/>
            <w:shd w:val="clear" w:color="auto" w:fill="E8E8E8"/>
          </w:tcPr>
          <w:p>
            <w:pPr>
              <w:spacing w:after="0"/>
              <w:rPr>
                <w:sz w:val="19"/>
                <w:szCs w:val="19"/>
                <w:color w:val="auto"/>
              </w:rPr>
            </w:pPr>
          </w:p>
        </w:tc>
        <w:tc>
          <w:tcPr>
            <w:tcW w:w="740" w:type="dxa"/>
            <w:vAlign w:val="bottom"/>
            <w:shd w:val="clear" w:color="auto" w:fill="E8E8E8"/>
          </w:tcPr>
          <w:p>
            <w:pPr>
              <w:jc w:val="right"/>
              <w:ind w:right="2"/>
              <w:spacing w:after="0"/>
              <w:rPr>
                <w:sz w:val="20"/>
                <w:szCs w:val="20"/>
                <w:color w:val="auto"/>
              </w:rPr>
            </w:pPr>
            <w:r>
              <w:rPr>
                <w:rFonts w:ascii="Arial" w:cs="Arial" w:eastAsia="Arial" w:hAnsi="Arial"/>
                <w:sz w:val="16"/>
                <w:szCs w:val="16"/>
                <w:color w:val="auto"/>
              </w:rPr>
              <w:t>—</w:t>
            </w:r>
          </w:p>
        </w:tc>
        <w:tc>
          <w:tcPr>
            <w:tcW w:w="400" w:type="dxa"/>
            <w:vAlign w:val="bottom"/>
            <w:shd w:val="clear" w:color="auto" w:fill="E8E8E8"/>
          </w:tcPr>
          <w:p>
            <w:pPr>
              <w:spacing w:after="0"/>
              <w:rPr>
                <w:sz w:val="19"/>
                <w:szCs w:val="19"/>
                <w:color w:val="auto"/>
              </w:rPr>
            </w:pPr>
          </w:p>
        </w:tc>
        <w:tc>
          <w:tcPr>
            <w:tcW w:w="1240" w:type="dxa"/>
            <w:vAlign w:val="bottom"/>
            <w:shd w:val="clear" w:color="auto" w:fill="E8E8E8"/>
          </w:tcPr>
          <w:p>
            <w:pPr>
              <w:jc w:val="right"/>
              <w:ind w:right="22"/>
              <w:spacing w:after="0"/>
              <w:rPr>
                <w:sz w:val="20"/>
                <w:szCs w:val="20"/>
                <w:color w:val="auto"/>
              </w:rPr>
            </w:pPr>
            <w:r>
              <w:rPr>
                <w:rFonts w:ascii="Arial" w:cs="Arial" w:eastAsia="Arial" w:hAnsi="Arial"/>
                <w:sz w:val="16"/>
                <w:szCs w:val="16"/>
                <w:color w:val="auto"/>
              </w:rPr>
              <w:t>15,000</w:t>
            </w:r>
          </w:p>
        </w:tc>
        <w:tc>
          <w:tcPr>
            <w:tcW w:w="380" w:type="dxa"/>
            <w:vAlign w:val="bottom"/>
            <w:shd w:val="clear" w:color="auto" w:fill="E8E8E8"/>
          </w:tcPr>
          <w:p>
            <w:pPr>
              <w:spacing w:after="0"/>
              <w:rPr>
                <w:sz w:val="19"/>
                <w:szCs w:val="19"/>
                <w:color w:val="auto"/>
              </w:rPr>
            </w:pPr>
          </w:p>
        </w:tc>
        <w:tc>
          <w:tcPr>
            <w:tcW w:w="820" w:type="dxa"/>
            <w:vAlign w:val="bottom"/>
            <w:shd w:val="clear" w:color="auto" w:fill="E8E8E8"/>
          </w:tcPr>
          <w:p>
            <w:pPr>
              <w:jc w:val="right"/>
              <w:ind w:right="3"/>
              <w:spacing w:after="0"/>
              <w:rPr>
                <w:sz w:val="20"/>
                <w:szCs w:val="20"/>
                <w:color w:val="auto"/>
              </w:rPr>
            </w:pPr>
            <w:r>
              <w:rPr>
                <w:rFonts w:ascii="Arial" w:cs="Arial" w:eastAsia="Arial" w:hAnsi="Arial"/>
                <w:sz w:val="16"/>
                <w:szCs w:val="16"/>
                <w:color w:val="auto"/>
              </w:rPr>
              <w:t>4,070</w:t>
            </w:r>
          </w:p>
        </w:tc>
        <w:tc>
          <w:tcPr>
            <w:tcW w:w="840" w:type="dxa"/>
            <w:vAlign w:val="bottom"/>
            <w:shd w:val="clear" w:color="auto" w:fill="E8E8E8"/>
          </w:tcPr>
          <w:p>
            <w:pPr>
              <w:jc w:val="right"/>
              <w:ind w:right="42"/>
              <w:spacing w:after="0"/>
              <w:rPr>
                <w:sz w:val="20"/>
                <w:szCs w:val="20"/>
                <w:color w:val="auto"/>
              </w:rPr>
            </w:pPr>
            <w:r>
              <w:rPr>
                <w:rFonts w:ascii="Arial" w:cs="Arial" w:eastAsia="Arial" w:hAnsi="Arial"/>
                <w:sz w:val="16"/>
                <w:szCs w:val="16"/>
                <w:color w:val="auto"/>
              </w:rPr>
              <w:t>17,100</w:t>
            </w:r>
          </w:p>
        </w:tc>
        <w:tc>
          <w:tcPr>
            <w:tcW w:w="620" w:type="dxa"/>
            <w:vAlign w:val="bottom"/>
            <w:shd w:val="clear" w:color="auto" w:fill="E8E8E8"/>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shd w:val="clear" w:color="auto" w:fill="E8E8E8"/>
          </w:tcPr>
          <w:p>
            <w:pPr>
              <w:jc w:val="right"/>
              <w:ind w:right="21"/>
              <w:spacing w:after="0"/>
              <w:rPr>
                <w:sz w:val="20"/>
                <w:szCs w:val="20"/>
                <w:color w:val="auto"/>
              </w:rPr>
            </w:pPr>
            <w:r>
              <w:rPr>
                <w:rFonts w:ascii="Arial" w:cs="Arial" w:eastAsia="Arial" w:hAnsi="Arial"/>
                <w:sz w:val="16"/>
                <w:szCs w:val="16"/>
                <w:color w:val="auto"/>
              </w:rPr>
              <w:t>36,170</w:t>
            </w:r>
          </w:p>
        </w:tc>
      </w:tr>
      <w:tr>
        <w:trPr>
          <w:trHeight w:val="264"/>
        </w:trPr>
        <w:tc>
          <w:tcPr>
            <w:tcW w:w="3440" w:type="dxa"/>
            <w:vAlign w:val="bottom"/>
            <w:tcBorders>
              <w:bottom w:val="single" w:sz="8" w:color="E8E8E8"/>
            </w:tcBorders>
            <w:shd w:val="clear" w:color="auto" w:fill="E8E8E8"/>
          </w:tcPr>
          <w:p>
            <w:pPr>
              <w:spacing w:after="0"/>
              <w:rPr>
                <w:sz w:val="22"/>
                <w:szCs w:val="22"/>
                <w:color w:val="auto"/>
              </w:rPr>
            </w:pPr>
          </w:p>
        </w:tc>
        <w:tc>
          <w:tcPr>
            <w:tcW w:w="640" w:type="dxa"/>
            <w:vAlign w:val="bottom"/>
            <w:tcBorders>
              <w:bottom w:val="single" w:sz="8" w:color="E8E8E8"/>
            </w:tcBorders>
            <w:shd w:val="clear" w:color="auto" w:fill="E8E8E8"/>
          </w:tcPr>
          <w:p>
            <w:pPr>
              <w:ind w:left="160"/>
              <w:spacing w:after="0"/>
              <w:rPr>
                <w:sz w:val="20"/>
                <w:szCs w:val="20"/>
                <w:color w:val="auto"/>
              </w:rPr>
            </w:pPr>
            <w:r>
              <w:rPr>
                <w:rFonts w:ascii="Arial" w:cs="Arial" w:eastAsia="Arial" w:hAnsi="Arial"/>
                <w:sz w:val="16"/>
                <w:szCs w:val="16"/>
                <w:color w:val="auto"/>
              </w:rPr>
              <w:t>2019</w:t>
            </w:r>
          </w:p>
        </w:tc>
        <w:tc>
          <w:tcPr>
            <w:tcW w:w="640" w:type="dxa"/>
            <w:vAlign w:val="bottom"/>
            <w:tcBorders>
              <w:bottom w:val="single" w:sz="8" w:color="E8E8E8"/>
            </w:tcBorders>
            <w:shd w:val="clear" w:color="auto" w:fill="E8E8E8"/>
          </w:tcPr>
          <w:p>
            <w:pPr>
              <w:jc w:val="right"/>
              <w:ind w:right="43"/>
              <w:spacing w:after="0"/>
              <w:rPr>
                <w:sz w:val="20"/>
                <w:szCs w:val="20"/>
                <w:color w:val="auto"/>
              </w:rPr>
            </w:pPr>
            <w:r>
              <w:rPr>
                <w:rFonts w:ascii="Arial" w:cs="Arial" w:eastAsia="Arial" w:hAnsi="Arial"/>
                <w:sz w:val="16"/>
                <w:szCs w:val="16"/>
                <w:color w:val="auto"/>
              </w:rPr>
              <w:t>8,760</w:t>
            </w:r>
          </w:p>
        </w:tc>
        <w:tc>
          <w:tcPr>
            <w:tcW w:w="380" w:type="dxa"/>
            <w:vAlign w:val="bottom"/>
            <w:tcBorders>
              <w:bottom w:val="single" w:sz="8" w:color="E8E8E8"/>
            </w:tcBorders>
            <w:shd w:val="clear" w:color="auto" w:fill="E8E8E8"/>
          </w:tcPr>
          <w:p>
            <w:pPr>
              <w:ind w:left="20"/>
              <w:spacing w:after="0"/>
              <w:rPr>
                <w:sz w:val="20"/>
                <w:szCs w:val="20"/>
                <w:color w:val="auto"/>
              </w:rPr>
            </w:pPr>
            <w:r>
              <w:rPr>
                <w:rFonts w:ascii="Arial" w:cs="Arial" w:eastAsia="Arial" w:hAnsi="Arial"/>
                <w:sz w:val="16"/>
                <w:szCs w:val="16"/>
                <w:color w:val="auto"/>
              </w:rPr>
              <w:t>(4)</w:t>
            </w:r>
          </w:p>
        </w:tc>
        <w:tc>
          <w:tcPr>
            <w:tcW w:w="740" w:type="dxa"/>
            <w:vAlign w:val="bottom"/>
            <w:tcBorders>
              <w:bottom w:val="single" w:sz="8" w:color="E8E8E8"/>
            </w:tcBorders>
            <w:shd w:val="clear" w:color="auto" w:fill="E8E8E8"/>
          </w:tcPr>
          <w:p>
            <w:pPr>
              <w:jc w:val="right"/>
              <w:ind w:right="2"/>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E8E8E8"/>
            </w:tcBorders>
            <w:shd w:val="clear" w:color="auto" w:fill="E8E8E8"/>
          </w:tcPr>
          <w:p>
            <w:pPr>
              <w:spacing w:after="0"/>
              <w:rPr>
                <w:sz w:val="22"/>
                <w:szCs w:val="22"/>
                <w:color w:val="auto"/>
              </w:rPr>
            </w:pPr>
          </w:p>
        </w:tc>
        <w:tc>
          <w:tcPr>
            <w:tcW w:w="1240" w:type="dxa"/>
            <w:vAlign w:val="bottom"/>
            <w:tcBorders>
              <w:bottom w:val="single" w:sz="8" w:color="E8E8E8"/>
            </w:tcBorders>
            <w:shd w:val="clear" w:color="auto" w:fill="E8E8E8"/>
          </w:tcPr>
          <w:p>
            <w:pPr>
              <w:jc w:val="right"/>
              <w:ind w:right="22"/>
              <w:spacing w:after="0"/>
              <w:rPr>
                <w:sz w:val="20"/>
                <w:szCs w:val="20"/>
                <w:color w:val="auto"/>
              </w:rPr>
            </w:pPr>
            <w:r>
              <w:rPr>
                <w:rFonts w:ascii="Arial" w:cs="Arial" w:eastAsia="Arial" w:hAnsi="Arial"/>
                <w:sz w:val="16"/>
                <w:szCs w:val="16"/>
                <w:color w:val="auto"/>
              </w:rPr>
              <w:t>15,000</w:t>
            </w:r>
          </w:p>
        </w:tc>
        <w:tc>
          <w:tcPr>
            <w:tcW w:w="380" w:type="dxa"/>
            <w:vAlign w:val="bottom"/>
            <w:tcBorders>
              <w:bottom w:val="single" w:sz="8" w:color="E8E8E8"/>
            </w:tcBorders>
            <w:shd w:val="clear" w:color="auto" w:fill="E8E8E8"/>
          </w:tcPr>
          <w:p>
            <w:pPr>
              <w:spacing w:after="0"/>
              <w:rPr>
                <w:sz w:val="22"/>
                <w:szCs w:val="22"/>
                <w:color w:val="auto"/>
              </w:rPr>
            </w:pPr>
          </w:p>
        </w:tc>
        <w:tc>
          <w:tcPr>
            <w:tcW w:w="820" w:type="dxa"/>
            <w:vAlign w:val="bottom"/>
            <w:tcBorders>
              <w:bottom w:val="single" w:sz="8" w:color="E8E8E8"/>
            </w:tcBorders>
            <w:shd w:val="clear" w:color="auto" w:fill="E8E8E8"/>
          </w:tcPr>
          <w:p>
            <w:pPr>
              <w:jc w:val="right"/>
              <w:ind w:right="3"/>
              <w:spacing w:after="0"/>
              <w:rPr>
                <w:sz w:val="20"/>
                <w:szCs w:val="20"/>
                <w:color w:val="auto"/>
              </w:rPr>
            </w:pPr>
            <w:r>
              <w:rPr>
                <w:rFonts w:ascii="Arial" w:cs="Arial" w:eastAsia="Arial" w:hAnsi="Arial"/>
                <w:sz w:val="16"/>
                <w:szCs w:val="16"/>
                <w:color w:val="auto"/>
              </w:rPr>
              <w:t>4,070</w:t>
            </w:r>
          </w:p>
        </w:tc>
        <w:tc>
          <w:tcPr>
            <w:tcW w:w="840" w:type="dxa"/>
            <w:vAlign w:val="bottom"/>
            <w:tcBorders>
              <w:bottom w:val="single" w:sz="8" w:color="E8E8E8"/>
            </w:tcBorders>
            <w:shd w:val="clear" w:color="auto" w:fill="E8E8E8"/>
          </w:tcPr>
          <w:p>
            <w:pPr>
              <w:jc w:val="right"/>
              <w:ind w:right="42"/>
              <w:spacing w:after="0"/>
              <w:rPr>
                <w:sz w:val="20"/>
                <w:szCs w:val="20"/>
                <w:color w:val="auto"/>
              </w:rPr>
            </w:pPr>
            <w:r>
              <w:rPr>
                <w:rFonts w:ascii="Arial" w:cs="Arial" w:eastAsia="Arial" w:hAnsi="Arial"/>
                <w:sz w:val="16"/>
                <w:szCs w:val="16"/>
                <w:color w:val="auto"/>
              </w:rPr>
              <w:t>16,800</w:t>
            </w:r>
          </w:p>
        </w:tc>
        <w:tc>
          <w:tcPr>
            <w:tcW w:w="620" w:type="dxa"/>
            <w:vAlign w:val="bottom"/>
            <w:tcBorders>
              <w:bottom w:val="single" w:sz="8" w:color="E8E8E8"/>
            </w:tcBorders>
            <w:shd w:val="clear" w:color="auto" w:fill="E8E8E8"/>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E8E8E8"/>
            </w:tcBorders>
            <w:shd w:val="clear" w:color="auto" w:fill="E8E8E8"/>
          </w:tcPr>
          <w:p>
            <w:pPr>
              <w:jc w:val="right"/>
              <w:ind w:right="21"/>
              <w:spacing w:after="0"/>
              <w:rPr>
                <w:sz w:val="20"/>
                <w:szCs w:val="20"/>
                <w:color w:val="auto"/>
              </w:rPr>
            </w:pPr>
            <w:r>
              <w:rPr>
                <w:rFonts w:ascii="Arial" w:cs="Arial" w:eastAsia="Arial" w:hAnsi="Arial"/>
                <w:sz w:val="16"/>
                <w:szCs w:val="16"/>
                <w:color w:val="auto"/>
              </w:rPr>
              <w:t>44,630</w:t>
            </w:r>
          </w:p>
        </w:tc>
      </w:tr>
      <w:tr>
        <w:trPr>
          <w:trHeight w:val="211"/>
        </w:trPr>
        <w:tc>
          <w:tcPr>
            <w:tcW w:w="3440" w:type="dxa"/>
            <w:vAlign w:val="bottom"/>
          </w:tcPr>
          <w:p>
            <w:pPr>
              <w:ind w:left="80"/>
              <w:spacing w:after="0"/>
              <w:rPr>
                <w:sz w:val="20"/>
                <w:szCs w:val="20"/>
                <w:color w:val="auto"/>
              </w:rPr>
            </w:pPr>
            <w:r>
              <w:rPr>
                <w:rFonts w:ascii="Arial" w:cs="Arial" w:eastAsia="Arial" w:hAnsi="Arial"/>
                <w:sz w:val="16"/>
                <w:szCs w:val="16"/>
                <w:color w:val="auto"/>
              </w:rPr>
              <w:t>Matthew J. Audette</w:t>
            </w:r>
          </w:p>
        </w:tc>
        <w:tc>
          <w:tcPr>
            <w:tcW w:w="640" w:type="dxa"/>
            <w:vAlign w:val="bottom"/>
          </w:tcPr>
          <w:p>
            <w:pPr>
              <w:ind w:left="160"/>
              <w:spacing w:after="0"/>
              <w:rPr>
                <w:sz w:val="20"/>
                <w:szCs w:val="20"/>
                <w:color w:val="auto"/>
              </w:rPr>
            </w:pPr>
            <w:r>
              <w:rPr>
                <w:rFonts w:ascii="Arial" w:cs="Arial" w:eastAsia="Arial" w:hAnsi="Arial"/>
                <w:sz w:val="16"/>
                <w:szCs w:val="16"/>
                <w:color w:val="auto"/>
              </w:rPr>
              <w:t>2021</w:t>
            </w:r>
          </w:p>
        </w:tc>
        <w:tc>
          <w:tcPr>
            <w:tcW w:w="64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15,000</w:t>
            </w:r>
          </w:p>
        </w:tc>
        <w:tc>
          <w:tcPr>
            <w:tcW w:w="380" w:type="dxa"/>
            <w:vAlign w:val="bottom"/>
          </w:tcPr>
          <w:p>
            <w:pPr>
              <w:spacing w:after="0"/>
              <w:rPr>
                <w:sz w:val="18"/>
                <w:szCs w:val="18"/>
                <w:color w:val="auto"/>
              </w:rPr>
            </w:pPr>
          </w:p>
        </w:tc>
        <w:tc>
          <w:tcPr>
            <w:tcW w:w="820" w:type="dxa"/>
            <w:vAlign w:val="bottom"/>
          </w:tcPr>
          <w:p>
            <w:pPr>
              <w:jc w:val="right"/>
              <w:ind w:right="3"/>
              <w:spacing w:after="0"/>
              <w:rPr>
                <w:sz w:val="20"/>
                <w:szCs w:val="20"/>
                <w:color w:val="auto"/>
              </w:rPr>
            </w:pPr>
            <w:r>
              <w:rPr>
                <w:rFonts w:ascii="Arial" w:cs="Arial" w:eastAsia="Arial" w:hAnsi="Arial"/>
                <w:sz w:val="16"/>
                <w:szCs w:val="16"/>
                <w:color w:val="auto"/>
              </w:rPr>
              <w:t>5,553</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14,625</w:t>
            </w: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1,944</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37,122</w:t>
            </w:r>
          </w:p>
        </w:tc>
      </w:tr>
      <w:tr>
        <w:trPr>
          <w:trHeight w:val="203"/>
        </w:trPr>
        <w:tc>
          <w:tcPr>
            <w:tcW w:w="3440" w:type="dxa"/>
            <w:vAlign w:val="bottom"/>
          </w:tcPr>
          <w:p>
            <w:pPr>
              <w:spacing w:after="0"/>
              <w:rPr>
                <w:sz w:val="17"/>
                <w:szCs w:val="17"/>
                <w:color w:val="auto"/>
              </w:rPr>
            </w:pPr>
          </w:p>
        </w:tc>
        <w:tc>
          <w:tcPr>
            <w:tcW w:w="640" w:type="dxa"/>
            <w:vAlign w:val="bottom"/>
          </w:tcPr>
          <w:p>
            <w:pPr>
              <w:ind w:left="160"/>
              <w:spacing w:after="0"/>
              <w:rPr>
                <w:sz w:val="20"/>
                <w:szCs w:val="20"/>
                <w:color w:val="auto"/>
              </w:rPr>
            </w:pPr>
            <w:r>
              <w:rPr>
                <w:rFonts w:ascii="Arial" w:cs="Arial" w:eastAsia="Arial" w:hAnsi="Arial"/>
                <w:sz w:val="16"/>
                <w:szCs w:val="16"/>
                <w:color w:val="auto"/>
              </w:rPr>
              <w:t>2020</w:t>
            </w:r>
          </w:p>
        </w:tc>
        <w:tc>
          <w:tcPr>
            <w:tcW w:w="64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9,800</w:t>
            </w:r>
          </w:p>
        </w:tc>
        <w:tc>
          <w:tcPr>
            <w:tcW w:w="38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Arial" w:cs="Arial" w:eastAsia="Arial" w:hAnsi="Arial"/>
                <w:sz w:val="16"/>
                <w:szCs w:val="16"/>
                <w:color w:val="auto"/>
              </w:rPr>
              <w:t>3,186</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14,625</w:t>
            </w: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27,611</w:t>
            </w:r>
          </w:p>
        </w:tc>
      </w:tr>
      <w:tr>
        <w:trPr>
          <w:trHeight w:val="201"/>
        </w:trPr>
        <w:tc>
          <w:tcPr>
            <w:tcW w:w="3440" w:type="dxa"/>
            <w:vAlign w:val="bottom"/>
          </w:tcPr>
          <w:p>
            <w:pPr>
              <w:spacing w:after="0"/>
              <w:rPr>
                <w:sz w:val="17"/>
                <w:szCs w:val="17"/>
                <w:color w:val="auto"/>
              </w:rPr>
            </w:pPr>
          </w:p>
        </w:tc>
        <w:tc>
          <w:tcPr>
            <w:tcW w:w="640" w:type="dxa"/>
            <w:vAlign w:val="bottom"/>
          </w:tcPr>
          <w:p>
            <w:pPr>
              <w:ind w:left="160"/>
              <w:spacing w:after="0"/>
              <w:rPr>
                <w:sz w:val="20"/>
                <w:szCs w:val="20"/>
                <w:color w:val="auto"/>
              </w:rPr>
            </w:pPr>
            <w:r>
              <w:rPr>
                <w:rFonts w:ascii="Arial" w:cs="Arial" w:eastAsia="Arial" w:hAnsi="Arial"/>
                <w:sz w:val="16"/>
                <w:szCs w:val="16"/>
                <w:color w:val="auto"/>
              </w:rPr>
              <w:t>2019</w:t>
            </w:r>
          </w:p>
        </w:tc>
        <w:tc>
          <w:tcPr>
            <w:tcW w:w="64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13,400</w:t>
            </w:r>
          </w:p>
        </w:tc>
        <w:tc>
          <w:tcPr>
            <w:tcW w:w="38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Arial" w:cs="Arial" w:eastAsia="Arial" w:hAnsi="Arial"/>
                <w:sz w:val="16"/>
                <w:szCs w:val="16"/>
                <w:color w:val="auto"/>
              </w:rPr>
              <w:t>4,070</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14,250</w:t>
            </w: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435</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32,155</w:t>
            </w:r>
          </w:p>
        </w:tc>
      </w:tr>
      <w:tr>
        <w:trPr>
          <w:trHeight w:val="221"/>
        </w:trPr>
        <w:tc>
          <w:tcPr>
            <w:tcW w:w="3440" w:type="dxa"/>
            <w:vAlign w:val="bottom"/>
            <w:tcBorders>
              <w:bottom w:val="single" w:sz="8" w:color="E8E8E8"/>
            </w:tcBorders>
            <w:shd w:val="clear" w:color="auto" w:fill="E8E8E8"/>
          </w:tcPr>
          <w:p>
            <w:pPr>
              <w:ind w:left="80"/>
              <w:spacing w:after="0"/>
              <w:rPr>
                <w:sz w:val="20"/>
                <w:szCs w:val="20"/>
                <w:color w:val="auto"/>
              </w:rPr>
            </w:pPr>
            <w:r>
              <w:rPr>
                <w:rFonts w:ascii="Arial" w:cs="Arial" w:eastAsia="Arial" w:hAnsi="Arial"/>
                <w:sz w:val="16"/>
                <w:szCs w:val="16"/>
                <w:color w:val="auto"/>
              </w:rPr>
              <w:t>Edward Fandrey</w:t>
            </w:r>
          </w:p>
        </w:tc>
        <w:tc>
          <w:tcPr>
            <w:tcW w:w="640" w:type="dxa"/>
            <w:vAlign w:val="bottom"/>
            <w:tcBorders>
              <w:bottom w:val="single" w:sz="8" w:color="E8E8E8"/>
            </w:tcBorders>
            <w:shd w:val="clear" w:color="auto" w:fill="E8E8E8"/>
          </w:tcPr>
          <w:p>
            <w:pPr>
              <w:ind w:left="160"/>
              <w:spacing w:after="0"/>
              <w:rPr>
                <w:sz w:val="20"/>
                <w:szCs w:val="20"/>
                <w:color w:val="auto"/>
              </w:rPr>
            </w:pPr>
            <w:r>
              <w:rPr>
                <w:rFonts w:ascii="Arial" w:cs="Arial" w:eastAsia="Arial" w:hAnsi="Arial"/>
                <w:sz w:val="16"/>
                <w:szCs w:val="16"/>
                <w:color w:val="auto"/>
              </w:rPr>
              <w:t>2021</w:t>
            </w:r>
          </w:p>
        </w:tc>
        <w:tc>
          <w:tcPr>
            <w:tcW w:w="640" w:type="dxa"/>
            <w:vAlign w:val="bottom"/>
            <w:tcBorders>
              <w:bottom w:val="single" w:sz="8" w:color="E8E8E8"/>
            </w:tcBorders>
            <w:shd w:val="clear" w:color="auto" w:fill="E8E8E8"/>
          </w:tcPr>
          <w:p>
            <w:pPr>
              <w:jc w:val="right"/>
              <w:ind w:right="43"/>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E8E8E8"/>
            </w:tcBorders>
            <w:shd w:val="clear" w:color="auto" w:fill="E8E8E8"/>
          </w:tcPr>
          <w:p>
            <w:pPr>
              <w:spacing w:after="0"/>
              <w:rPr>
                <w:sz w:val="19"/>
                <w:szCs w:val="19"/>
                <w:color w:val="auto"/>
              </w:rPr>
            </w:pPr>
          </w:p>
        </w:tc>
        <w:tc>
          <w:tcPr>
            <w:tcW w:w="740" w:type="dxa"/>
            <w:vAlign w:val="bottom"/>
            <w:tcBorders>
              <w:bottom w:val="single" w:sz="8" w:color="E8E8E8"/>
            </w:tcBorders>
            <w:shd w:val="clear" w:color="auto" w:fill="E8E8E8"/>
          </w:tcPr>
          <w:p>
            <w:pPr>
              <w:jc w:val="right"/>
              <w:ind w:right="2"/>
              <w:spacing w:after="0"/>
              <w:rPr>
                <w:sz w:val="20"/>
                <w:szCs w:val="20"/>
                <w:color w:val="auto"/>
              </w:rPr>
            </w:pPr>
            <w:r>
              <w:rPr>
                <w:rFonts w:ascii="Arial" w:cs="Arial" w:eastAsia="Arial" w:hAnsi="Arial"/>
                <w:sz w:val="16"/>
                <w:szCs w:val="16"/>
                <w:color w:val="auto"/>
              </w:rPr>
              <w:t>527,349</w:t>
            </w:r>
          </w:p>
        </w:tc>
        <w:tc>
          <w:tcPr>
            <w:tcW w:w="400" w:type="dxa"/>
            <w:vAlign w:val="bottom"/>
            <w:tcBorders>
              <w:bottom w:val="single" w:sz="8" w:color="E8E8E8"/>
            </w:tcBorders>
            <w:shd w:val="clear" w:color="auto" w:fill="E8E8E8"/>
          </w:tcPr>
          <w:p>
            <w:pPr>
              <w:ind w:left="60"/>
              <w:spacing w:after="0"/>
              <w:rPr>
                <w:sz w:val="20"/>
                <w:szCs w:val="20"/>
                <w:color w:val="auto"/>
              </w:rPr>
            </w:pPr>
            <w:r>
              <w:rPr>
                <w:rFonts w:ascii="Arial" w:cs="Arial" w:eastAsia="Arial" w:hAnsi="Arial"/>
                <w:sz w:val="16"/>
                <w:szCs w:val="16"/>
                <w:color w:val="auto"/>
              </w:rPr>
              <w:t>(5)</w:t>
            </w:r>
          </w:p>
        </w:tc>
        <w:tc>
          <w:tcPr>
            <w:tcW w:w="1240" w:type="dxa"/>
            <w:vAlign w:val="bottom"/>
            <w:tcBorders>
              <w:bottom w:val="single" w:sz="8" w:color="E8E8E8"/>
            </w:tcBorders>
            <w:shd w:val="clear" w:color="auto" w:fill="E8E8E8"/>
          </w:tcPr>
          <w:p>
            <w:pPr>
              <w:jc w:val="right"/>
              <w:ind w:right="22"/>
              <w:spacing w:after="0"/>
              <w:rPr>
                <w:sz w:val="20"/>
                <w:szCs w:val="20"/>
                <w:color w:val="auto"/>
              </w:rPr>
            </w:pPr>
            <w:r>
              <w:rPr>
                <w:rFonts w:ascii="Arial" w:cs="Arial" w:eastAsia="Arial" w:hAnsi="Arial"/>
                <w:sz w:val="16"/>
                <w:szCs w:val="16"/>
                <w:color w:val="auto"/>
              </w:rPr>
              <w:t>10,000</w:t>
            </w:r>
          </w:p>
        </w:tc>
        <w:tc>
          <w:tcPr>
            <w:tcW w:w="380" w:type="dxa"/>
            <w:vAlign w:val="bottom"/>
            <w:tcBorders>
              <w:bottom w:val="single" w:sz="8" w:color="E8E8E8"/>
            </w:tcBorders>
            <w:shd w:val="clear" w:color="auto" w:fill="E8E8E8"/>
          </w:tcPr>
          <w:p>
            <w:pPr>
              <w:spacing w:after="0"/>
              <w:rPr>
                <w:sz w:val="19"/>
                <w:szCs w:val="19"/>
                <w:color w:val="auto"/>
              </w:rPr>
            </w:pPr>
          </w:p>
        </w:tc>
        <w:tc>
          <w:tcPr>
            <w:tcW w:w="820" w:type="dxa"/>
            <w:vAlign w:val="bottom"/>
            <w:tcBorders>
              <w:bottom w:val="single" w:sz="8" w:color="E8E8E8"/>
            </w:tcBorders>
            <w:shd w:val="clear" w:color="auto" w:fill="E8E8E8"/>
          </w:tcPr>
          <w:p>
            <w:pPr>
              <w:jc w:val="right"/>
              <w:ind w:right="3"/>
              <w:spacing w:after="0"/>
              <w:rPr>
                <w:sz w:val="20"/>
                <w:szCs w:val="20"/>
                <w:color w:val="auto"/>
              </w:rPr>
            </w:pPr>
            <w:r>
              <w:rPr>
                <w:rFonts w:ascii="Arial" w:cs="Arial" w:eastAsia="Arial" w:hAnsi="Arial"/>
                <w:sz w:val="16"/>
                <w:szCs w:val="16"/>
                <w:color w:val="auto"/>
              </w:rPr>
              <w:t>5,553</w:t>
            </w:r>
          </w:p>
        </w:tc>
        <w:tc>
          <w:tcPr>
            <w:tcW w:w="840" w:type="dxa"/>
            <w:vAlign w:val="bottom"/>
            <w:tcBorders>
              <w:bottom w:val="single" w:sz="8" w:color="E8E8E8"/>
            </w:tcBorders>
            <w:shd w:val="clear" w:color="auto" w:fill="E8E8E8"/>
          </w:tcPr>
          <w:p>
            <w:pPr>
              <w:jc w:val="right"/>
              <w:ind w:right="42"/>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E8E8E8"/>
            </w:tcBorders>
            <w:shd w:val="clear" w:color="auto" w:fill="E8E8E8"/>
          </w:tcPr>
          <w:p>
            <w:pPr>
              <w:jc w:val="right"/>
              <w:ind w:right="21"/>
              <w:spacing w:after="0"/>
              <w:rPr>
                <w:sz w:val="20"/>
                <w:szCs w:val="20"/>
                <w:color w:val="auto"/>
              </w:rPr>
            </w:pPr>
            <w:r>
              <w:rPr>
                <w:rFonts w:ascii="Arial" w:cs="Arial" w:eastAsia="Arial" w:hAnsi="Arial"/>
                <w:sz w:val="16"/>
                <w:szCs w:val="16"/>
                <w:color w:val="auto"/>
              </w:rPr>
              <w:t>793</w:t>
            </w:r>
          </w:p>
        </w:tc>
        <w:tc>
          <w:tcPr>
            <w:tcW w:w="780" w:type="dxa"/>
            <w:vAlign w:val="bottom"/>
            <w:tcBorders>
              <w:bottom w:val="single" w:sz="8" w:color="E8E8E8"/>
            </w:tcBorders>
            <w:shd w:val="clear" w:color="auto" w:fill="E8E8E8"/>
          </w:tcPr>
          <w:p>
            <w:pPr>
              <w:jc w:val="right"/>
              <w:ind w:right="21"/>
              <w:spacing w:after="0"/>
              <w:rPr>
                <w:sz w:val="20"/>
                <w:szCs w:val="20"/>
                <w:color w:val="auto"/>
              </w:rPr>
            </w:pPr>
            <w:r>
              <w:rPr>
                <w:rFonts w:ascii="Arial" w:cs="Arial" w:eastAsia="Arial" w:hAnsi="Arial"/>
                <w:sz w:val="16"/>
                <w:szCs w:val="16"/>
                <w:color w:val="auto"/>
              </w:rPr>
              <w:t>543,695</w:t>
            </w:r>
          </w:p>
        </w:tc>
      </w:tr>
      <w:tr>
        <w:trPr>
          <w:trHeight w:val="211"/>
        </w:trPr>
        <w:tc>
          <w:tcPr>
            <w:tcW w:w="3440" w:type="dxa"/>
            <w:vAlign w:val="bottom"/>
          </w:tcPr>
          <w:p>
            <w:pPr>
              <w:ind w:left="80"/>
              <w:spacing w:after="0"/>
              <w:rPr>
                <w:sz w:val="20"/>
                <w:szCs w:val="20"/>
                <w:color w:val="auto"/>
              </w:rPr>
            </w:pPr>
            <w:r>
              <w:rPr>
                <w:rFonts w:ascii="Arial" w:cs="Arial" w:eastAsia="Arial" w:hAnsi="Arial"/>
                <w:sz w:val="16"/>
                <w:szCs w:val="16"/>
                <w:color w:val="auto"/>
              </w:rPr>
              <w:t>Dayton Semerjian</w:t>
            </w:r>
          </w:p>
        </w:tc>
        <w:tc>
          <w:tcPr>
            <w:tcW w:w="640" w:type="dxa"/>
            <w:vAlign w:val="bottom"/>
          </w:tcPr>
          <w:p>
            <w:pPr>
              <w:ind w:left="160"/>
              <w:spacing w:after="0"/>
              <w:rPr>
                <w:sz w:val="20"/>
                <w:szCs w:val="20"/>
                <w:color w:val="auto"/>
              </w:rPr>
            </w:pPr>
            <w:r>
              <w:rPr>
                <w:rFonts w:ascii="Arial" w:cs="Arial" w:eastAsia="Arial" w:hAnsi="Arial"/>
                <w:sz w:val="16"/>
                <w:szCs w:val="16"/>
                <w:color w:val="auto"/>
              </w:rPr>
              <w:t>2021</w:t>
            </w:r>
          </w:p>
        </w:tc>
        <w:tc>
          <w:tcPr>
            <w:tcW w:w="64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15,285</w:t>
            </w:r>
          </w:p>
        </w:tc>
        <w:tc>
          <w:tcPr>
            <w:tcW w:w="380" w:type="dxa"/>
            <w:vAlign w:val="bottom"/>
          </w:tcPr>
          <w:p>
            <w:pPr>
              <w:jc w:val="right"/>
              <w:spacing w:after="0"/>
              <w:rPr>
                <w:sz w:val="20"/>
                <w:szCs w:val="20"/>
                <w:color w:val="auto"/>
              </w:rPr>
            </w:pPr>
            <w:r>
              <w:rPr>
                <w:rFonts w:ascii="Arial" w:cs="Arial" w:eastAsia="Arial" w:hAnsi="Arial"/>
                <w:sz w:val="16"/>
                <w:szCs w:val="16"/>
                <w:color w:val="auto"/>
              </w:rPr>
              <w:t>(6)</w:t>
            </w:r>
          </w:p>
        </w:tc>
        <w:tc>
          <w:tcPr>
            <w:tcW w:w="820" w:type="dxa"/>
            <w:vAlign w:val="bottom"/>
          </w:tcPr>
          <w:p>
            <w:pPr>
              <w:jc w:val="right"/>
              <w:ind w:right="3"/>
              <w:spacing w:after="0"/>
              <w:rPr>
                <w:sz w:val="20"/>
                <w:szCs w:val="20"/>
                <w:color w:val="auto"/>
              </w:rPr>
            </w:pPr>
            <w:r>
              <w:rPr>
                <w:rFonts w:ascii="Arial" w:cs="Arial" w:eastAsia="Arial" w:hAnsi="Arial"/>
                <w:sz w:val="16"/>
                <w:szCs w:val="16"/>
                <w:color w:val="auto"/>
              </w:rPr>
              <w:t>5,553</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17,400</w:t>
            </w: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1,944</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40,182</w:t>
            </w:r>
          </w:p>
        </w:tc>
      </w:tr>
      <w:tr>
        <w:trPr>
          <w:trHeight w:val="203"/>
        </w:trPr>
        <w:tc>
          <w:tcPr>
            <w:tcW w:w="3440" w:type="dxa"/>
            <w:vAlign w:val="bottom"/>
          </w:tcPr>
          <w:p>
            <w:pPr>
              <w:spacing w:after="0"/>
              <w:rPr>
                <w:sz w:val="17"/>
                <w:szCs w:val="17"/>
                <w:color w:val="auto"/>
              </w:rPr>
            </w:pPr>
          </w:p>
        </w:tc>
        <w:tc>
          <w:tcPr>
            <w:tcW w:w="640" w:type="dxa"/>
            <w:vAlign w:val="bottom"/>
          </w:tcPr>
          <w:p>
            <w:pPr>
              <w:ind w:left="160"/>
              <w:spacing w:after="0"/>
              <w:rPr>
                <w:sz w:val="20"/>
                <w:szCs w:val="20"/>
                <w:color w:val="auto"/>
              </w:rPr>
            </w:pPr>
            <w:r>
              <w:rPr>
                <w:rFonts w:ascii="Arial" w:cs="Arial" w:eastAsia="Arial" w:hAnsi="Arial"/>
                <w:sz w:val="16"/>
                <w:szCs w:val="16"/>
                <w:color w:val="auto"/>
              </w:rPr>
              <w:t>2020</w:t>
            </w:r>
          </w:p>
        </w:tc>
        <w:tc>
          <w:tcPr>
            <w:tcW w:w="64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66,326</w:t>
            </w:r>
          </w:p>
        </w:tc>
        <w:tc>
          <w:tcPr>
            <w:tcW w:w="400" w:type="dxa"/>
            <w:vAlign w:val="bottom"/>
          </w:tcPr>
          <w:p>
            <w:pPr>
              <w:ind w:left="60"/>
              <w:spacing w:after="0"/>
              <w:rPr>
                <w:sz w:val="20"/>
                <w:szCs w:val="20"/>
                <w:color w:val="auto"/>
              </w:rPr>
            </w:pPr>
            <w:r>
              <w:rPr>
                <w:rFonts w:ascii="Arial" w:cs="Arial" w:eastAsia="Arial" w:hAnsi="Arial"/>
                <w:sz w:val="16"/>
                <w:szCs w:val="16"/>
                <w:color w:val="auto"/>
              </w:rPr>
              <w:t>(7)</w:t>
            </w: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15,000</w:t>
            </w:r>
          </w:p>
        </w:tc>
        <w:tc>
          <w:tcPr>
            <w:tcW w:w="38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Arial" w:cs="Arial" w:eastAsia="Arial" w:hAnsi="Arial"/>
                <w:sz w:val="16"/>
                <w:szCs w:val="16"/>
                <w:color w:val="auto"/>
              </w:rPr>
              <w:t>4,070</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17,100</w:t>
            </w: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102,496</w:t>
            </w:r>
          </w:p>
        </w:tc>
      </w:tr>
      <w:tr>
        <w:trPr>
          <w:trHeight w:val="201"/>
        </w:trPr>
        <w:tc>
          <w:tcPr>
            <w:tcW w:w="3440" w:type="dxa"/>
            <w:vAlign w:val="bottom"/>
          </w:tcPr>
          <w:p>
            <w:pPr>
              <w:spacing w:after="0"/>
              <w:rPr>
                <w:sz w:val="17"/>
                <w:szCs w:val="17"/>
                <w:color w:val="auto"/>
              </w:rPr>
            </w:pPr>
          </w:p>
        </w:tc>
        <w:tc>
          <w:tcPr>
            <w:tcW w:w="640" w:type="dxa"/>
            <w:vAlign w:val="bottom"/>
          </w:tcPr>
          <w:p>
            <w:pPr>
              <w:ind w:left="160"/>
              <w:spacing w:after="0"/>
              <w:rPr>
                <w:sz w:val="20"/>
                <w:szCs w:val="20"/>
                <w:color w:val="auto"/>
              </w:rPr>
            </w:pPr>
            <w:r>
              <w:rPr>
                <w:rFonts w:ascii="Arial" w:cs="Arial" w:eastAsia="Arial" w:hAnsi="Arial"/>
                <w:sz w:val="16"/>
                <w:szCs w:val="16"/>
                <w:color w:val="auto"/>
              </w:rPr>
              <w:t>2019</w:t>
            </w:r>
          </w:p>
        </w:tc>
        <w:tc>
          <w:tcPr>
            <w:tcW w:w="640" w:type="dxa"/>
            <w:vAlign w:val="bottom"/>
          </w:tcPr>
          <w:p>
            <w:pPr>
              <w:jc w:val="right"/>
              <w:ind w:right="43"/>
              <w:spacing w:after="0"/>
              <w:rPr>
                <w:sz w:val="20"/>
                <w:szCs w:val="20"/>
                <w:color w:val="auto"/>
              </w:rPr>
            </w:pPr>
            <w:r>
              <w:rPr>
                <w:rFonts w:ascii="Arial" w:cs="Arial" w:eastAsia="Arial" w:hAnsi="Arial"/>
                <w:sz w:val="16"/>
                <w:szCs w:val="16"/>
                <w:color w:val="auto"/>
              </w:rPr>
              <w:t>6,511</w:t>
            </w:r>
          </w:p>
        </w:tc>
        <w:tc>
          <w:tcPr>
            <w:tcW w:w="380" w:type="dxa"/>
            <w:vAlign w:val="bottom"/>
          </w:tcPr>
          <w:p>
            <w:pPr>
              <w:ind w:left="20"/>
              <w:spacing w:after="0"/>
              <w:rPr>
                <w:sz w:val="20"/>
                <w:szCs w:val="20"/>
                <w:color w:val="auto"/>
              </w:rPr>
            </w:pPr>
            <w:r>
              <w:rPr>
                <w:rFonts w:ascii="Arial" w:cs="Arial" w:eastAsia="Arial" w:hAnsi="Arial"/>
                <w:sz w:val="16"/>
                <w:szCs w:val="16"/>
                <w:color w:val="auto"/>
              </w:rPr>
              <w:t>(8)</w:t>
            </w: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208,701</w:t>
            </w:r>
          </w:p>
        </w:tc>
        <w:tc>
          <w:tcPr>
            <w:tcW w:w="400" w:type="dxa"/>
            <w:vAlign w:val="bottom"/>
          </w:tcPr>
          <w:p>
            <w:pPr>
              <w:ind w:left="60"/>
              <w:spacing w:after="0"/>
              <w:rPr>
                <w:sz w:val="20"/>
                <w:szCs w:val="20"/>
                <w:color w:val="auto"/>
              </w:rPr>
            </w:pPr>
            <w:r>
              <w:rPr>
                <w:rFonts w:ascii="Arial" w:cs="Arial" w:eastAsia="Arial" w:hAnsi="Arial"/>
                <w:sz w:val="16"/>
                <w:szCs w:val="16"/>
                <w:color w:val="auto"/>
              </w:rPr>
              <w:t>(9)</w:t>
            </w: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Arial" w:cs="Arial" w:eastAsia="Arial" w:hAnsi="Arial"/>
                <w:sz w:val="16"/>
                <w:szCs w:val="16"/>
                <w:color w:val="auto"/>
              </w:rPr>
              <w:t>3,186</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9,952</w:t>
            </w: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435</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228,785</w:t>
            </w:r>
          </w:p>
        </w:tc>
      </w:tr>
      <w:tr>
        <w:trPr>
          <w:trHeight w:val="211"/>
        </w:trPr>
        <w:tc>
          <w:tcPr>
            <w:tcW w:w="3440" w:type="dxa"/>
            <w:vAlign w:val="bottom"/>
            <w:shd w:val="clear" w:color="auto" w:fill="E8E8E8"/>
          </w:tcPr>
          <w:p>
            <w:pPr>
              <w:ind w:left="80"/>
              <w:spacing w:after="0"/>
              <w:rPr>
                <w:sz w:val="20"/>
                <w:szCs w:val="20"/>
                <w:color w:val="auto"/>
              </w:rPr>
            </w:pPr>
            <w:r>
              <w:rPr>
                <w:rFonts w:ascii="Arial" w:cs="Arial" w:eastAsia="Arial" w:hAnsi="Arial"/>
                <w:sz w:val="16"/>
                <w:szCs w:val="16"/>
                <w:color w:val="auto"/>
              </w:rPr>
              <w:t>Richard Steinmeier</w:t>
            </w:r>
          </w:p>
        </w:tc>
        <w:tc>
          <w:tcPr>
            <w:tcW w:w="640" w:type="dxa"/>
            <w:vAlign w:val="bottom"/>
            <w:shd w:val="clear" w:color="auto" w:fill="E8E8E8"/>
          </w:tcPr>
          <w:p>
            <w:pPr>
              <w:ind w:left="160"/>
              <w:spacing w:after="0"/>
              <w:rPr>
                <w:sz w:val="20"/>
                <w:szCs w:val="20"/>
                <w:color w:val="auto"/>
              </w:rPr>
            </w:pPr>
            <w:r>
              <w:rPr>
                <w:rFonts w:ascii="Arial" w:cs="Arial" w:eastAsia="Arial" w:hAnsi="Arial"/>
                <w:sz w:val="16"/>
                <w:szCs w:val="16"/>
                <w:color w:val="auto"/>
              </w:rPr>
              <w:t>2021</w:t>
            </w:r>
          </w:p>
        </w:tc>
        <w:tc>
          <w:tcPr>
            <w:tcW w:w="640" w:type="dxa"/>
            <w:vAlign w:val="bottom"/>
            <w:shd w:val="clear" w:color="auto" w:fill="E8E8E8"/>
          </w:tcPr>
          <w:p>
            <w:pPr>
              <w:jc w:val="right"/>
              <w:ind w:right="43"/>
              <w:spacing w:after="0"/>
              <w:rPr>
                <w:sz w:val="20"/>
                <w:szCs w:val="20"/>
                <w:color w:val="auto"/>
              </w:rPr>
            </w:pPr>
            <w:r>
              <w:rPr>
                <w:rFonts w:ascii="Arial" w:cs="Arial" w:eastAsia="Arial" w:hAnsi="Arial"/>
                <w:sz w:val="16"/>
                <w:szCs w:val="16"/>
                <w:color w:val="auto"/>
              </w:rPr>
              <w:t>—</w:t>
            </w:r>
          </w:p>
        </w:tc>
        <w:tc>
          <w:tcPr>
            <w:tcW w:w="380" w:type="dxa"/>
            <w:vAlign w:val="bottom"/>
            <w:shd w:val="clear" w:color="auto" w:fill="E8E8E8"/>
          </w:tcPr>
          <w:p>
            <w:pPr>
              <w:spacing w:after="0"/>
              <w:rPr>
                <w:sz w:val="18"/>
                <w:szCs w:val="18"/>
                <w:color w:val="auto"/>
              </w:rPr>
            </w:pPr>
          </w:p>
        </w:tc>
        <w:tc>
          <w:tcPr>
            <w:tcW w:w="740" w:type="dxa"/>
            <w:vAlign w:val="bottom"/>
            <w:shd w:val="clear" w:color="auto" w:fill="E8E8E8"/>
          </w:tcPr>
          <w:p>
            <w:pPr>
              <w:jc w:val="right"/>
              <w:ind w:right="2"/>
              <w:spacing w:after="0"/>
              <w:rPr>
                <w:sz w:val="20"/>
                <w:szCs w:val="20"/>
                <w:color w:val="auto"/>
              </w:rPr>
            </w:pPr>
            <w:r>
              <w:rPr>
                <w:rFonts w:ascii="Arial" w:cs="Arial" w:eastAsia="Arial" w:hAnsi="Arial"/>
                <w:sz w:val="16"/>
                <w:szCs w:val="16"/>
                <w:color w:val="auto"/>
              </w:rPr>
              <w:t>—</w:t>
            </w:r>
          </w:p>
        </w:tc>
        <w:tc>
          <w:tcPr>
            <w:tcW w:w="400" w:type="dxa"/>
            <w:vAlign w:val="bottom"/>
            <w:shd w:val="clear" w:color="auto" w:fill="E8E8E8"/>
          </w:tcPr>
          <w:p>
            <w:pPr>
              <w:spacing w:after="0"/>
              <w:rPr>
                <w:sz w:val="18"/>
                <w:szCs w:val="18"/>
                <w:color w:val="auto"/>
              </w:rPr>
            </w:pPr>
          </w:p>
        </w:tc>
        <w:tc>
          <w:tcPr>
            <w:tcW w:w="1240" w:type="dxa"/>
            <w:vAlign w:val="bottom"/>
            <w:shd w:val="clear" w:color="auto" w:fill="E8E8E8"/>
          </w:tcPr>
          <w:p>
            <w:pPr>
              <w:jc w:val="right"/>
              <w:ind w:right="22"/>
              <w:spacing w:after="0"/>
              <w:rPr>
                <w:sz w:val="20"/>
                <w:szCs w:val="20"/>
                <w:color w:val="auto"/>
              </w:rPr>
            </w:pPr>
            <w:r>
              <w:rPr>
                <w:rFonts w:ascii="Arial" w:cs="Arial" w:eastAsia="Arial" w:hAnsi="Arial"/>
                <w:sz w:val="16"/>
                <w:szCs w:val="16"/>
                <w:color w:val="auto"/>
              </w:rPr>
              <w:t>7,965</w:t>
            </w:r>
          </w:p>
        </w:tc>
        <w:tc>
          <w:tcPr>
            <w:tcW w:w="380" w:type="dxa"/>
            <w:vAlign w:val="bottom"/>
            <w:shd w:val="clear" w:color="auto" w:fill="E8E8E8"/>
          </w:tcPr>
          <w:p>
            <w:pPr>
              <w:spacing w:after="0"/>
              <w:rPr>
                <w:sz w:val="18"/>
                <w:szCs w:val="18"/>
                <w:color w:val="auto"/>
              </w:rPr>
            </w:pPr>
          </w:p>
        </w:tc>
        <w:tc>
          <w:tcPr>
            <w:tcW w:w="820" w:type="dxa"/>
            <w:vAlign w:val="bottom"/>
            <w:shd w:val="clear" w:color="auto" w:fill="E8E8E8"/>
          </w:tcPr>
          <w:p>
            <w:pPr>
              <w:jc w:val="right"/>
              <w:ind w:right="3"/>
              <w:spacing w:after="0"/>
              <w:rPr>
                <w:sz w:val="20"/>
                <w:szCs w:val="20"/>
                <w:color w:val="auto"/>
              </w:rPr>
            </w:pPr>
            <w:r>
              <w:rPr>
                <w:rFonts w:ascii="Arial" w:cs="Arial" w:eastAsia="Arial" w:hAnsi="Arial"/>
                <w:sz w:val="16"/>
                <w:szCs w:val="16"/>
                <w:color w:val="auto"/>
              </w:rPr>
              <w:t>4,363</w:t>
            </w:r>
          </w:p>
        </w:tc>
        <w:tc>
          <w:tcPr>
            <w:tcW w:w="840" w:type="dxa"/>
            <w:vAlign w:val="bottom"/>
            <w:shd w:val="clear" w:color="auto" w:fill="E8E8E8"/>
          </w:tcPr>
          <w:p>
            <w:pPr>
              <w:jc w:val="right"/>
              <w:ind w:right="42"/>
              <w:spacing w:after="0"/>
              <w:rPr>
                <w:sz w:val="20"/>
                <w:szCs w:val="20"/>
                <w:color w:val="auto"/>
              </w:rPr>
            </w:pPr>
            <w:r>
              <w:rPr>
                <w:rFonts w:ascii="Arial" w:cs="Arial" w:eastAsia="Arial" w:hAnsi="Arial"/>
                <w:sz w:val="16"/>
                <w:szCs w:val="16"/>
                <w:color w:val="auto"/>
              </w:rPr>
              <w:t>14,625</w:t>
            </w:r>
          </w:p>
        </w:tc>
        <w:tc>
          <w:tcPr>
            <w:tcW w:w="620" w:type="dxa"/>
            <w:vAlign w:val="bottom"/>
            <w:shd w:val="clear" w:color="auto" w:fill="E8E8E8"/>
          </w:tcPr>
          <w:p>
            <w:pPr>
              <w:jc w:val="right"/>
              <w:ind w:right="21"/>
              <w:spacing w:after="0"/>
              <w:rPr>
                <w:sz w:val="20"/>
                <w:szCs w:val="20"/>
                <w:color w:val="auto"/>
              </w:rPr>
            </w:pPr>
            <w:r>
              <w:rPr>
                <w:rFonts w:ascii="Arial" w:cs="Arial" w:eastAsia="Arial" w:hAnsi="Arial"/>
                <w:sz w:val="16"/>
                <w:szCs w:val="16"/>
                <w:color w:val="auto"/>
              </w:rPr>
              <w:t>1,431</w:t>
            </w:r>
          </w:p>
        </w:tc>
        <w:tc>
          <w:tcPr>
            <w:tcW w:w="780" w:type="dxa"/>
            <w:vAlign w:val="bottom"/>
            <w:shd w:val="clear" w:color="auto" w:fill="E8E8E8"/>
          </w:tcPr>
          <w:p>
            <w:pPr>
              <w:jc w:val="right"/>
              <w:ind w:right="21"/>
              <w:spacing w:after="0"/>
              <w:rPr>
                <w:sz w:val="20"/>
                <w:szCs w:val="20"/>
                <w:color w:val="auto"/>
              </w:rPr>
            </w:pPr>
            <w:r>
              <w:rPr>
                <w:rFonts w:ascii="Arial" w:cs="Arial" w:eastAsia="Arial" w:hAnsi="Arial"/>
                <w:sz w:val="16"/>
                <w:szCs w:val="16"/>
                <w:color w:val="auto"/>
              </w:rPr>
              <w:t>28,384</w:t>
            </w:r>
          </w:p>
        </w:tc>
      </w:tr>
      <w:tr>
        <w:trPr>
          <w:trHeight w:val="227"/>
        </w:trPr>
        <w:tc>
          <w:tcPr>
            <w:tcW w:w="3440" w:type="dxa"/>
            <w:vAlign w:val="bottom"/>
            <w:shd w:val="clear" w:color="auto" w:fill="E8E8E8"/>
          </w:tcPr>
          <w:p>
            <w:pPr>
              <w:spacing w:after="0"/>
              <w:rPr>
                <w:sz w:val="19"/>
                <w:szCs w:val="19"/>
                <w:color w:val="auto"/>
              </w:rPr>
            </w:pPr>
          </w:p>
        </w:tc>
        <w:tc>
          <w:tcPr>
            <w:tcW w:w="640" w:type="dxa"/>
            <w:vAlign w:val="bottom"/>
            <w:shd w:val="clear" w:color="auto" w:fill="E8E8E8"/>
          </w:tcPr>
          <w:p>
            <w:pPr>
              <w:ind w:left="160"/>
              <w:spacing w:after="0"/>
              <w:rPr>
                <w:sz w:val="20"/>
                <w:szCs w:val="20"/>
                <w:color w:val="auto"/>
              </w:rPr>
            </w:pPr>
            <w:r>
              <w:rPr>
                <w:rFonts w:ascii="Arial" w:cs="Arial" w:eastAsia="Arial" w:hAnsi="Arial"/>
                <w:sz w:val="16"/>
                <w:szCs w:val="16"/>
                <w:color w:val="auto"/>
              </w:rPr>
              <w:t>2020</w:t>
            </w:r>
          </w:p>
        </w:tc>
        <w:tc>
          <w:tcPr>
            <w:tcW w:w="640" w:type="dxa"/>
            <w:vAlign w:val="bottom"/>
            <w:shd w:val="clear" w:color="auto" w:fill="E8E8E8"/>
          </w:tcPr>
          <w:p>
            <w:pPr>
              <w:jc w:val="right"/>
              <w:ind w:right="43"/>
              <w:spacing w:after="0"/>
              <w:rPr>
                <w:sz w:val="20"/>
                <w:szCs w:val="20"/>
                <w:color w:val="auto"/>
              </w:rPr>
            </w:pPr>
            <w:r>
              <w:rPr>
                <w:rFonts w:ascii="Arial" w:cs="Arial" w:eastAsia="Arial" w:hAnsi="Arial"/>
                <w:sz w:val="16"/>
                <w:szCs w:val="16"/>
                <w:color w:val="auto"/>
              </w:rPr>
              <w:t>—</w:t>
            </w:r>
          </w:p>
        </w:tc>
        <w:tc>
          <w:tcPr>
            <w:tcW w:w="380" w:type="dxa"/>
            <w:vAlign w:val="bottom"/>
            <w:shd w:val="clear" w:color="auto" w:fill="E8E8E8"/>
          </w:tcPr>
          <w:p>
            <w:pPr>
              <w:spacing w:after="0"/>
              <w:rPr>
                <w:sz w:val="19"/>
                <w:szCs w:val="19"/>
                <w:color w:val="auto"/>
              </w:rPr>
            </w:pPr>
          </w:p>
        </w:tc>
        <w:tc>
          <w:tcPr>
            <w:tcW w:w="740" w:type="dxa"/>
            <w:vAlign w:val="bottom"/>
            <w:shd w:val="clear" w:color="auto" w:fill="E8E8E8"/>
          </w:tcPr>
          <w:p>
            <w:pPr>
              <w:jc w:val="right"/>
              <w:ind w:right="2"/>
              <w:spacing w:after="0"/>
              <w:rPr>
                <w:sz w:val="20"/>
                <w:szCs w:val="20"/>
                <w:color w:val="auto"/>
              </w:rPr>
            </w:pPr>
            <w:r>
              <w:rPr>
                <w:rFonts w:ascii="Arial" w:cs="Arial" w:eastAsia="Arial" w:hAnsi="Arial"/>
                <w:sz w:val="16"/>
                <w:szCs w:val="16"/>
                <w:color w:val="auto"/>
              </w:rPr>
              <w:t>49,584</w:t>
            </w:r>
          </w:p>
        </w:tc>
        <w:tc>
          <w:tcPr>
            <w:tcW w:w="400" w:type="dxa"/>
            <w:vAlign w:val="bottom"/>
            <w:shd w:val="clear" w:color="auto" w:fill="E8E8E8"/>
          </w:tcPr>
          <w:p>
            <w:pPr>
              <w:ind w:left="60"/>
              <w:spacing w:after="0"/>
              <w:rPr>
                <w:sz w:val="20"/>
                <w:szCs w:val="20"/>
                <w:color w:val="auto"/>
              </w:rPr>
            </w:pPr>
            <w:r>
              <w:rPr>
                <w:rFonts w:ascii="Arial" w:cs="Arial" w:eastAsia="Arial" w:hAnsi="Arial"/>
                <w:sz w:val="16"/>
                <w:szCs w:val="16"/>
                <w:color w:val="auto"/>
              </w:rPr>
              <w:t>(10)</w:t>
            </w:r>
          </w:p>
        </w:tc>
        <w:tc>
          <w:tcPr>
            <w:tcW w:w="1240" w:type="dxa"/>
            <w:vAlign w:val="bottom"/>
            <w:shd w:val="clear" w:color="auto" w:fill="E8E8E8"/>
          </w:tcPr>
          <w:p>
            <w:pPr>
              <w:jc w:val="right"/>
              <w:ind w:right="22"/>
              <w:spacing w:after="0"/>
              <w:rPr>
                <w:sz w:val="20"/>
                <w:szCs w:val="20"/>
                <w:color w:val="auto"/>
              </w:rPr>
            </w:pPr>
            <w:r>
              <w:rPr>
                <w:rFonts w:ascii="Arial" w:cs="Arial" w:eastAsia="Arial" w:hAnsi="Arial"/>
                <w:sz w:val="16"/>
                <w:szCs w:val="16"/>
                <w:color w:val="auto"/>
              </w:rPr>
              <w:t>13,488</w:t>
            </w:r>
          </w:p>
        </w:tc>
        <w:tc>
          <w:tcPr>
            <w:tcW w:w="380" w:type="dxa"/>
            <w:vAlign w:val="bottom"/>
            <w:shd w:val="clear" w:color="auto" w:fill="E8E8E8"/>
          </w:tcPr>
          <w:p>
            <w:pPr>
              <w:spacing w:after="0"/>
              <w:rPr>
                <w:sz w:val="19"/>
                <w:szCs w:val="19"/>
                <w:color w:val="auto"/>
              </w:rPr>
            </w:pPr>
          </w:p>
        </w:tc>
        <w:tc>
          <w:tcPr>
            <w:tcW w:w="820" w:type="dxa"/>
            <w:vAlign w:val="bottom"/>
            <w:shd w:val="clear" w:color="auto" w:fill="E8E8E8"/>
          </w:tcPr>
          <w:p>
            <w:pPr>
              <w:jc w:val="right"/>
              <w:ind w:right="3"/>
              <w:spacing w:after="0"/>
              <w:rPr>
                <w:sz w:val="20"/>
                <w:szCs w:val="20"/>
                <w:color w:val="auto"/>
              </w:rPr>
            </w:pPr>
            <w:r>
              <w:rPr>
                <w:rFonts w:ascii="Arial" w:cs="Arial" w:eastAsia="Arial" w:hAnsi="Arial"/>
                <w:sz w:val="16"/>
                <w:szCs w:val="16"/>
                <w:color w:val="auto"/>
              </w:rPr>
              <w:t>3,144</w:t>
            </w:r>
          </w:p>
        </w:tc>
        <w:tc>
          <w:tcPr>
            <w:tcW w:w="840" w:type="dxa"/>
            <w:vAlign w:val="bottom"/>
            <w:shd w:val="clear" w:color="auto" w:fill="E8E8E8"/>
          </w:tcPr>
          <w:p>
            <w:pPr>
              <w:jc w:val="right"/>
              <w:ind w:right="42"/>
              <w:spacing w:after="0"/>
              <w:rPr>
                <w:sz w:val="20"/>
                <w:szCs w:val="20"/>
                <w:color w:val="auto"/>
              </w:rPr>
            </w:pPr>
            <w:r>
              <w:rPr>
                <w:rFonts w:ascii="Arial" w:cs="Arial" w:eastAsia="Arial" w:hAnsi="Arial"/>
                <w:sz w:val="16"/>
                <w:szCs w:val="16"/>
                <w:color w:val="auto"/>
              </w:rPr>
              <w:t>14,625</w:t>
            </w:r>
          </w:p>
        </w:tc>
        <w:tc>
          <w:tcPr>
            <w:tcW w:w="620" w:type="dxa"/>
            <w:vAlign w:val="bottom"/>
            <w:shd w:val="clear" w:color="auto" w:fill="E8E8E8"/>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shd w:val="clear" w:color="auto" w:fill="E8E8E8"/>
          </w:tcPr>
          <w:p>
            <w:pPr>
              <w:jc w:val="right"/>
              <w:ind w:right="21"/>
              <w:spacing w:after="0"/>
              <w:rPr>
                <w:sz w:val="20"/>
                <w:szCs w:val="20"/>
                <w:color w:val="auto"/>
              </w:rPr>
            </w:pPr>
            <w:r>
              <w:rPr>
                <w:rFonts w:ascii="Arial" w:cs="Arial" w:eastAsia="Arial" w:hAnsi="Arial"/>
                <w:sz w:val="16"/>
                <w:szCs w:val="16"/>
                <w:color w:val="auto"/>
              </w:rPr>
              <w:t>80,841</w:t>
            </w:r>
          </w:p>
        </w:tc>
      </w:tr>
      <w:tr>
        <w:trPr>
          <w:trHeight w:val="264"/>
        </w:trPr>
        <w:tc>
          <w:tcPr>
            <w:tcW w:w="3440" w:type="dxa"/>
            <w:vAlign w:val="bottom"/>
            <w:tcBorders>
              <w:bottom w:val="single" w:sz="8" w:color="E8E8E8"/>
            </w:tcBorders>
            <w:shd w:val="clear" w:color="auto" w:fill="E8E8E8"/>
          </w:tcPr>
          <w:p>
            <w:pPr>
              <w:spacing w:after="0"/>
              <w:rPr>
                <w:sz w:val="22"/>
                <w:szCs w:val="22"/>
                <w:color w:val="auto"/>
              </w:rPr>
            </w:pPr>
          </w:p>
        </w:tc>
        <w:tc>
          <w:tcPr>
            <w:tcW w:w="640" w:type="dxa"/>
            <w:vAlign w:val="bottom"/>
            <w:tcBorders>
              <w:bottom w:val="single" w:sz="8" w:color="E8E8E8"/>
            </w:tcBorders>
            <w:shd w:val="clear" w:color="auto" w:fill="E8E8E8"/>
          </w:tcPr>
          <w:p>
            <w:pPr>
              <w:ind w:left="160"/>
              <w:spacing w:after="0"/>
              <w:rPr>
                <w:sz w:val="20"/>
                <w:szCs w:val="20"/>
                <w:color w:val="auto"/>
              </w:rPr>
            </w:pPr>
            <w:r>
              <w:rPr>
                <w:rFonts w:ascii="Arial" w:cs="Arial" w:eastAsia="Arial" w:hAnsi="Arial"/>
                <w:sz w:val="16"/>
                <w:szCs w:val="16"/>
                <w:color w:val="auto"/>
              </w:rPr>
              <w:t>2019</w:t>
            </w:r>
          </w:p>
        </w:tc>
        <w:tc>
          <w:tcPr>
            <w:tcW w:w="640" w:type="dxa"/>
            <w:vAlign w:val="bottom"/>
            <w:tcBorders>
              <w:bottom w:val="single" w:sz="8" w:color="E8E8E8"/>
            </w:tcBorders>
            <w:shd w:val="clear" w:color="auto" w:fill="E8E8E8"/>
          </w:tcPr>
          <w:p>
            <w:pPr>
              <w:jc w:val="right"/>
              <w:ind w:right="43"/>
              <w:spacing w:after="0"/>
              <w:rPr>
                <w:sz w:val="20"/>
                <w:szCs w:val="20"/>
                <w:color w:val="auto"/>
              </w:rPr>
            </w:pPr>
            <w:r>
              <w:rPr>
                <w:rFonts w:ascii="Arial" w:cs="Arial" w:eastAsia="Arial" w:hAnsi="Arial"/>
                <w:sz w:val="16"/>
                <w:szCs w:val="16"/>
                <w:color w:val="auto"/>
              </w:rPr>
              <w:t>3,345</w:t>
            </w:r>
          </w:p>
        </w:tc>
        <w:tc>
          <w:tcPr>
            <w:tcW w:w="380" w:type="dxa"/>
            <w:vAlign w:val="bottom"/>
            <w:tcBorders>
              <w:bottom w:val="single" w:sz="8" w:color="E8E8E8"/>
            </w:tcBorders>
            <w:shd w:val="clear" w:color="auto" w:fill="E8E8E8"/>
          </w:tcPr>
          <w:p>
            <w:pPr>
              <w:ind w:left="20"/>
              <w:spacing w:after="0"/>
              <w:rPr>
                <w:sz w:val="20"/>
                <w:szCs w:val="20"/>
                <w:color w:val="auto"/>
              </w:rPr>
            </w:pPr>
            <w:r>
              <w:rPr>
                <w:rFonts w:ascii="Arial" w:cs="Arial" w:eastAsia="Arial" w:hAnsi="Arial"/>
                <w:sz w:val="16"/>
                <w:szCs w:val="16"/>
                <w:color w:val="auto"/>
              </w:rPr>
              <w:t>(11)</w:t>
            </w:r>
          </w:p>
        </w:tc>
        <w:tc>
          <w:tcPr>
            <w:tcW w:w="740" w:type="dxa"/>
            <w:vAlign w:val="bottom"/>
            <w:tcBorders>
              <w:bottom w:val="single" w:sz="8" w:color="E8E8E8"/>
            </w:tcBorders>
            <w:shd w:val="clear" w:color="auto" w:fill="E8E8E8"/>
          </w:tcPr>
          <w:p>
            <w:pPr>
              <w:jc w:val="right"/>
              <w:ind w:right="2"/>
              <w:spacing w:after="0"/>
              <w:rPr>
                <w:sz w:val="20"/>
                <w:szCs w:val="20"/>
                <w:color w:val="auto"/>
              </w:rPr>
            </w:pPr>
            <w:r>
              <w:rPr>
                <w:rFonts w:ascii="Arial" w:cs="Arial" w:eastAsia="Arial" w:hAnsi="Arial"/>
                <w:sz w:val="16"/>
                <w:szCs w:val="16"/>
                <w:color w:val="auto"/>
              </w:rPr>
              <w:t>232,307</w:t>
            </w:r>
          </w:p>
        </w:tc>
        <w:tc>
          <w:tcPr>
            <w:tcW w:w="400" w:type="dxa"/>
            <w:vAlign w:val="bottom"/>
            <w:tcBorders>
              <w:bottom w:val="single" w:sz="8" w:color="E8E8E8"/>
            </w:tcBorders>
            <w:shd w:val="clear" w:color="auto" w:fill="E8E8E8"/>
          </w:tcPr>
          <w:p>
            <w:pPr>
              <w:ind w:left="60"/>
              <w:spacing w:after="0"/>
              <w:rPr>
                <w:sz w:val="20"/>
                <w:szCs w:val="20"/>
                <w:color w:val="auto"/>
              </w:rPr>
            </w:pPr>
            <w:r>
              <w:rPr>
                <w:rFonts w:ascii="Arial" w:cs="Arial" w:eastAsia="Arial" w:hAnsi="Arial"/>
                <w:sz w:val="16"/>
                <w:szCs w:val="16"/>
                <w:color w:val="auto"/>
              </w:rPr>
              <w:t>(12)</w:t>
            </w:r>
          </w:p>
        </w:tc>
        <w:tc>
          <w:tcPr>
            <w:tcW w:w="1240" w:type="dxa"/>
            <w:vAlign w:val="bottom"/>
            <w:tcBorders>
              <w:bottom w:val="single" w:sz="8" w:color="E8E8E8"/>
            </w:tcBorders>
            <w:shd w:val="clear" w:color="auto" w:fill="E8E8E8"/>
          </w:tcPr>
          <w:p>
            <w:pPr>
              <w:jc w:val="right"/>
              <w:ind w:right="22"/>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E8E8E8"/>
            </w:tcBorders>
            <w:shd w:val="clear" w:color="auto" w:fill="E8E8E8"/>
          </w:tcPr>
          <w:p>
            <w:pPr>
              <w:spacing w:after="0"/>
              <w:rPr>
                <w:sz w:val="22"/>
                <w:szCs w:val="22"/>
                <w:color w:val="auto"/>
              </w:rPr>
            </w:pPr>
          </w:p>
        </w:tc>
        <w:tc>
          <w:tcPr>
            <w:tcW w:w="820" w:type="dxa"/>
            <w:vAlign w:val="bottom"/>
            <w:tcBorders>
              <w:bottom w:val="single" w:sz="8" w:color="E8E8E8"/>
            </w:tcBorders>
            <w:shd w:val="clear" w:color="auto" w:fill="E8E8E8"/>
          </w:tcPr>
          <w:p>
            <w:pPr>
              <w:jc w:val="right"/>
              <w:ind w:right="3"/>
              <w:spacing w:after="0"/>
              <w:rPr>
                <w:sz w:val="20"/>
                <w:szCs w:val="20"/>
                <w:color w:val="auto"/>
              </w:rPr>
            </w:pPr>
            <w:r>
              <w:rPr>
                <w:rFonts w:ascii="Arial" w:cs="Arial" w:eastAsia="Arial" w:hAnsi="Arial"/>
                <w:sz w:val="16"/>
                <w:szCs w:val="16"/>
                <w:color w:val="auto"/>
              </w:rPr>
              <w:t>4,070</w:t>
            </w:r>
          </w:p>
        </w:tc>
        <w:tc>
          <w:tcPr>
            <w:tcW w:w="840" w:type="dxa"/>
            <w:vAlign w:val="bottom"/>
            <w:tcBorders>
              <w:bottom w:val="single" w:sz="8" w:color="E8E8E8"/>
            </w:tcBorders>
            <w:shd w:val="clear" w:color="auto" w:fill="E8E8E8"/>
          </w:tcPr>
          <w:p>
            <w:pPr>
              <w:jc w:val="right"/>
              <w:ind w:right="42"/>
              <w:spacing w:after="0"/>
              <w:rPr>
                <w:sz w:val="20"/>
                <w:szCs w:val="20"/>
                <w:color w:val="auto"/>
              </w:rPr>
            </w:pPr>
            <w:r>
              <w:rPr>
                <w:rFonts w:ascii="Arial" w:cs="Arial" w:eastAsia="Arial" w:hAnsi="Arial"/>
                <w:sz w:val="16"/>
                <w:szCs w:val="16"/>
                <w:color w:val="auto"/>
              </w:rPr>
              <w:t>13,082</w:t>
            </w:r>
          </w:p>
        </w:tc>
        <w:tc>
          <w:tcPr>
            <w:tcW w:w="620" w:type="dxa"/>
            <w:vAlign w:val="bottom"/>
            <w:tcBorders>
              <w:bottom w:val="single" w:sz="8" w:color="E8E8E8"/>
            </w:tcBorders>
            <w:shd w:val="clear" w:color="auto" w:fill="E8E8E8"/>
          </w:tcPr>
          <w:p>
            <w:pPr>
              <w:jc w:val="right"/>
              <w:ind w:right="21"/>
              <w:spacing w:after="0"/>
              <w:rPr>
                <w:sz w:val="20"/>
                <w:szCs w:val="20"/>
                <w:color w:val="auto"/>
              </w:rPr>
            </w:pPr>
            <w:r>
              <w:rPr>
                <w:rFonts w:ascii="Arial" w:cs="Arial" w:eastAsia="Arial" w:hAnsi="Arial"/>
                <w:sz w:val="16"/>
                <w:szCs w:val="16"/>
                <w:color w:val="auto"/>
              </w:rPr>
              <w:t>555</w:t>
            </w:r>
          </w:p>
        </w:tc>
        <w:tc>
          <w:tcPr>
            <w:tcW w:w="780" w:type="dxa"/>
            <w:vAlign w:val="bottom"/>
            <w:tcBorders>
              <w:bottom w:val="single" w:sz="8" w:color="E8E8E8"/>
            </w:tcBorders>
            <w:shd w:val="clear" w:color="auto" w:fill="E8E8E8"/>
          </w:tcPr>
          <w:p>
            <w:pPr>
              <w:jc w:val="right"/>
              <w:ind w:right="21"/>
              <w:spacing w:after="0"/>
              <w:rPr>
                <w:sz w:val="20"/>
                <w:szCs w:val="20"/>
                <w:color w:val="auto"/>
              </w:rPr>
            </w:pPr>
            <w:r>
              <w:rPr>
                <w:rFonts w:ascii="Arial" w:cs="Arial" w:eastAsia="Arial" w:hAnsi="Arial"/>
                <w:sz w:val="16"/>
                <w:szCs w:val="16"/>
                <w:color w:val="auto"/>
              </w:rPr>
              <w:t>253,359</w:t>
            </w:r>
          </w:p>
        </w:tc>
      </w:tr>
      <w:tr>
        <w:trPr>
          <w:trHeight w:val="20"/>
        </w:trPr>
        <w:tc>
          <w:tcPr>
            <w:tcW w:w="3440" w:type="dxa"/>
            <w:vAlign w:val="bottom"/>
            <w:shd w:val="clear" w:color="auto" w:fill="050A54"/>
          </w:tcPr>
          <w:p>
            <w:pPr>
              <w:spacing w:after="0" w:line="20" w:lineRule="exact"/>
              <w:rPr>
                <w:sz w:val="1"/>
                <w:szCs w:val="1"/>
                <w:color w:val="auto"/>
              </w:rPr>
            </w:pPr>
          </w:p>
        </w:tc>
        <w:tc>
          <w:tcPr>
            <w:tcW w:w="640" w:type="dxa"/>
            <w:vAlign w:val="bottom"/>
            <w:shd w:val="clear" w:color="auto" w:fill="050A54"/>
          </w:tcPr>
          <w:p>
            <w:pPr>
              <w:spacing w:after="0" w:line="20" w:lineRule="exact"/>
              <w:rPr>
                <w:sz w:val="1"/>
                <w:szCs w:val="1"/>
                <w:color w:val="auto"/>
              </w:rPr>
            </w:pPr>
          </w:p>
        </w:tc>
        <w:tc>
          <w:tcPr>
            <w:tcW w:w="640" w:type="dxa"/>
            <w:vAlign w:val="bottom"/>
            <w:shd w:val="clear" w:color="auto" w:fill="050A54"/>
          </w:tcPr>
          <w:p>
            <w:pPr>
              <w:spacing w:after="0" w:line="20" w:lineRule="exact"/>
              <w:rPr>
                <w:sz w:val="1"/>
                <w:szCs w:val="1"/>
                <w:color w:val="auto"/>
              </w:rPr>
            </w:pPr>
          </w:p>
        </w:tc>
        <w:tc>
          <w:tcPr>
            <w:tcW w:w="380" w:type="dxa"/>
            <w:vAlign w:val="bottom"/>
            <w:shd w:val="clear" w:color="auto" w:fill="050A54"/>
          </w:tcPr>
          <w:p>
            <w:pPr>
              <w:spacing w:after="0" w:line="20" w:lineRule="exact"/>
              <w:rPr>
                <w:sz w:val="1"/>
                <w:szCs w:val="1"/>
                <w:color w:val="auto"/>
              </w:rPr>
            </w:pPr>
          </w:p>
        </w:tc>
        <w:tc>
          <w:tcPr>
            <w:tcW w:w="740" w:type="dxa"/>
            <w:vAlign w:val="bottom"/>
            <w:shd w:val="clear" w:color="auto" w:fill="050A54"/>
          </w:tcPr>
          <w:p>
            <w:pPr>
              <w:spacing w:after="0" w:line="20" w:lineRule="exact"/>
              <w:rPr>
                <w:sz w:val="1"/>
                <w:szCs w:val="1"/>
                <w:color w:val="auto"/>
              </w:rPr>
            </w:pPr>
          </w:p>
        </w:tc>
        <w:tc>
          <w:tcPr>
            <w:tcW w:w="400" w:type="dxa"/>
            <w:vAlign w:val="bottom"/>
            <w:shd w:val="clear" w:color="auto" w:fill="050A54"/>
          </w:tcPr>
          <w:p>
            <w:pPr>
              <w:spacing w:after="0" w:line="20" w:lineRule="exact"/>
              <w:rPr>
                <w:sz w:val="1"/>
                <w:szCs w:val="1"/>
                <w:color w:val="auto"/>
              </w:rPr>
            </w:pPr>
          </w:p>
        </w:tc>
        <w:tc>
          <w:tcPr>
            <w:tcW w:w="1240" w:type="dxa"/>
            <w:vAlign w:val="bottom"/>
            <w:shd w:val="clear" w:color="auto" w:fill="050A54"/>
          </w:tcPr>
          <w:p>
            <w:pPr>
              <w:spacing w:after="0" w:line="20" w:lineRule="exact"/>
              <w:rPr>
                <w:sz w:val="1"/>
                <w:szCs w:val="1"/>
                <w:color w:val="auto"/>
              </w:rPr>
            </w:pPr>
          </w:p>
        </w:tc>
        <w:tc>
          <w:tcPr>
            <w:tcW w:w="380" w:type="dxa"/>
            <w:vAlign w:val="bottom"/>
            <w:shd w:val="clear" w:color="auto" w:fill="050A54"/>
          </w:tcPr>
          <w:p>
            <w:pPr>
              <w:spacing w:after="0" w:line="20" w:lineRule="exact"/>
              <w:rPr>
                <w:sz w:val="1"/>
                <w:szCs w:val="1"/>
                <w:color w:val="auto"/>
              </w:rPr>
            </w:pPr>
          </w:p>
        </w:tc>
        <w:tc>
          <w:tcPr>
            <w:tcW w:w="820" w:type="dxa"/>
            <w:vAlign w:val="bottom"/>
            <w:shd w:val="clear" w:color="auto" w:fill="050A54"/>
          </w:tcPr>
          <w:p>
            <w:pPr>
              <w:spacing w:after="0" w:line="20" w:lineRule="exact"/>
              <w:rPr>
                <w:sz w:val="1"/>
                <w:szCs w:val="1"/>
                <w:color w:val="auto"/>
              </w:rPr>
            </w:pPr>
          </w:p>
        </w:tc>
        <w:tc>
          <w:tcPr>
            <w:tcW w:w="840" w:type="dxa"/>
            <w:vAlign w:val="bottom"/>
            <w:shd w:val="clear" w:color="auto" w:fill="050A54"/>
          </w:tcPr>
          <w:p>
            <w:pPr>
              <w:spacing w:after="0" w:line="20" w:lineRule="exact"/>
              <w:rPr>
                <w:sz w:val="1"/>
                <w:szCs w:val="1"/>
                <w:color w:val="auto"/>
              </w:rPr>
            </w:pPr>
          </w:p>
        </w:tc>
        <w:tc>
          <w:tcPr>
            <w:tcW w:w="620" w:type="dxa"/>
            <w:vAlign w:val="bottom"/>
            <w:shd w:val="clear" w:color="auto" w:fill="050A54"/>
          </w:tcPr>
          <w:p>
            <w:pPr>
              <w:spacing w:after="0" w:line="20" w:lineRule="exact"/>
              <w:rPr>
                <w:sz w:val="1"/>
                <w:szCs w:val="1"/>
                <w:color w:val="auto"/>
              </w:rPr>
            </w:pPr>
          </w:p>
        </w:tc>
        <w:tc>
          <w:tcPr>
            <w:tcW w:w="780" w:type="dxa"/>
            <w:vAlign w:val="bottom"/>
            <w:shd w:val="clear" w:color="auto" w:fill="050A54"/>
          </w:tcPr>
          <w:p>
            <w:pPr>
              <w:spacing w:after="0" w:line="20" w:lineRule="exact"/>
              <w:rPr>
                <w:sz w:val="1"/>
                <w:szCs w:val="1"/>
                <w:color w:val="auto"/>
              </w:rPr>
            </w:pPr>
          </w:p>
        </w:tc>
      </w:tr>
    </w:tbl>
    <w:p>
      <w:pPr>
        <w:spacing w:after="0" w:line="53" w:lineRule="exact"/>
        <w:rPr>
          <w:sz w:val="20"/>
          <w:szCs w:val="20"/>
          <w:color w:val="auto"/>
        </w:rPr>
      </w:pPr>
    </w:p>
    <w:p>
      <w:pPr>
        <w:ind w:left="600" w:hanging="433"/>
        <w:spacing w:after="0"/>
        <w:tabs>
          <w:tab w:leader="none" w:pos="6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Consists of taxable reimbursements received under the Company’s executive financial services policy.</w:t>
      </w:r>
    </w:p>
    <w:p>
      <w:pPr>
        <w:spacing w:after="0" w:line="70" w:lineRule="exact"/>
        <w:rPr>
          <w:rFonts w:ascii="Arial" w:cs="Arial" w:eastAsia="Arial" w:hAnsi="Arial"/>
          <w:sz w:val="16"/>
          <w:szCs w:val="16"/>
          <w:color w:val="auto"/>
        </w:rPr>
      </w:pPr>
    </w:p>
    <w:p>
      <w:pPr>
        <w:jc w:val="both"/>
        <w:ind w:left="600" w:hanging="433"/>
        <w:spacing w:after="0" w:line="256" w:lineRule="auto"/>
        <w:tabs>
          <w:tab w:leader="none" w:pos="6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Includes membership expenses for a health and wellness program and related tax gross-up payments, which in 2021 totaled $2,753 for each of Messrs. Arnold, Audette, Fandrey and Semerjian and $2,163 for Mr. Steinmeier, and which in 2020 totaled $1,870 for each of Messrs. Arnold and Semerjian, $986 for Mr. Audette, and $945 for Mr. Steinmeier, and which in 2019 totaled $1,870 for each of Messrs. Arnold, Audette and Steinmeier and $986 for Mr. Semerjian.</w:t>
      </w:r>
    </w:p>
    <w:p>
      <w:pPr>
        <w:spacing w:after="0" w:line="30" w:lineRule="exact"/>
        <w:rPr>
          <w:rFonts w:ascii="Arial" w:cs="Arial" w:eastAsia="Arial" w:hAnsi="Arial"/>
          <w:sz w:val="16"/>
          <w:szCs w:val="16"/>
          <w:color w:val="auto"/>
        </w:rPr>
      </w:pPr>
    </w:p>
    <w:p>
      <w:pPr>
        <w:jc w:val="both"/>
        <w:ind w:left="600" w:hanging="433"/>
        <w:spacing w:after="0" w:line="262" w:lineRule="auto"/>
        <w:tabs>
          <w:tab w:leader="none" w:pos="6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Consists of the value of a year-end gift received by the NEO at the Company’s expense, as well as in 2021 related tax gross-up payments in the amount of $497 for Mr. Arnold, $964 for each of Messrs. Audette and Semerjian, $393 for Mr. Fandrey and $631 for Mr. Steinmeier, and in 2019 related tax gross-up payments in the amount of $134 for each of Messrs. Audette and Semerjian and $255 for Mr. Steinmeier.</w:t>
      </w:r>
    </w:p>
    <w:p>
      <w:pPr>
        <w:sectPr>
          <w:pgSz w:w="11900" w:h="16838" w:orient="portrait"/>
          <w:cols w:equalWidth="0" w:num="1">
            <w:col w:w="11080"/>
          </w:cols>
          <w:pgMar w:left="320" w:top="454" w:right="499" w:bottom="1440" w:gutter="0" w:footer="0" w:header="0"/>
        </w:sectPr>
      </w:pPr>
    </w:p>
    <w:p>
      <w:pPr>
        <w:spacing w:after="0" w:line="102" w:lineRule="exact"/>
        <w:rPr>
          <w:sz w:val="20"/>
          <w:szCs w:val="20"/>
          <w:color w:val="auto"/>
        </w:rPr>
      </w:pPr>
    </w:p>
    <w:p>
      <w:pPr>
        <w:ind w:left="8500"/>
        <w:spacing w:after="0"/>
        <w:tabs>
          <w:tab w:leader="none" w:pos="10860" w:val="left"/>
        </w:tabs>
        <w:rPr>
          <w:sz w:val="20"/>
          <w:szCs w:val="20"/>
          <w:color w:val="auto"/>
        </w:rPr>
      </w:pPr>
      <w:r>
        <w:rPr>
          <w:rFonts w:ascii="Arial" w:cs="Arial" w:eastAsia="Arial" w:hAnsi="Arial"/>
          <w:sz w:val="18"/>
          <w:szCs w:val="18"/>
          <w:b w:val="1"/>
          <w:bCs w:val="1"/>
          <w:color w:val="050A54"/>
        </w:rPr>
        <w:t>2022 Proxy Statement</w:t>
      </w:r>
      <w:r>
        <w:rPr>
          <w:sz w:val="20"/>
          <w:szCs w:val="20"/>
          <w:color w:val="auto"/>
        </w:rPr>
        <w:tab/>
      </w:r>
      <w:r>
        <w:rPr>
          <w:rFonts w:ascii="Arial" w:cs="Arial" w:eastAsia="Arial" w:hAnsi="Arial"/>
          <w:sz w:val="17"/>
          <w:szCs w:val="17"/>
          <w:color w:val="050A54"/>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6696710</wp:posOffset>
            </wp:positionH>
            <wp:positionV relativeFrom="paragraph">
              <wp:posOffset>-118745</wp:posOffset>
            </wp:positionV>
            <wp:extent cx="8255" cy="135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780"/>
        <w:spacing w:after="0"/>
        <w:rPr>
          <w:sz w:val="20"/>
          <w:szCs w:val="20"/>
          <w:color w:val="auto"/>
        </w:rPr>
      </w:pPr>
      <w:r>
        <w:rPr>
          <w:rFonts w:ascii="Arial" w:cs="Arial" w:eastAsia="Arial" w:hAnsi="Arial"/>
          <w:sz w:val="20"/>
          <w:szCs w:val="20"/>
          <w:b w:val="1"/>
          <w:bCs w:val="1"/>
          <w:color w:val="050A54"/>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8" w:lineRule="exact"/>
        <w:rPr>
          <w:sz w:val="20"/>
          <w:szCs w:val="20"/>
          <w:color w:val="auto"/>
        </w:rPr>
      </w:pPr>
    </w:p>
    <w:p>
      <w:pPr>
        <w:ind w:left="600" w:hanging="433"/>
        <w:spacing w:after="0" w:line="279" w:lineRule="auto"/>
        <w:tabs>
          <w:tab w:leader="none" w:pos="6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Includes $4,025 in tax gross-up payments for hotel, air travel and conference expenses related to the attendance in 2019 of Mr. Arnold and his spouse at a conference hosted by the Company for its top-producing financial advisors.</w:t>
      </w:r>
    </w:p>
    <w:p>
      <w:pPr>
        <w:spacing w:after="0" w:line="13" w:lineRule="exact"/>
        <w:rPr>
          <w:rFonts w:ascii="Arial" w:cs="Arial" w:eastAsia="Arial" w:hAnsi="Arial"/>
          <w:sz w:val="16"/>
          <w:szCs w:val="16"/>
          <w:color w:val="auto"/>
        </w:rPr>
      </w:pPr>
    </w:p>
    <w:p>
      <w:pPr>
        <w:ind w:left="600" w:hanging="433"/>
        <w:spacing w:after="0"/>
        <w:tabs>
          <w:tab w:leader="none" w:pos="6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Includes tax gross-up payments of $223,484 made to Mr. Fandrey in 2021 related to relocation expenses.</w:t>
      </w:r>
    </w:p>
    <w:p>
      <w:pPr>
        <w:spacing w:after="0" w:line="70" w:lineRule="exact"/>
        <w:rPr>
          <w:rFonts w:ascii="Arial" w:cs="Arial" w:eastAsia="Arial" w:hAnsi="Arial"/>
          <w:sz w:val="16"/>
          <w:szCs w:val="16"/>
          <w:color w:val="auto"/>
        </w:rPr>
      </w:pPr>
    </w:p>
    <w:p>
      <w:pPr>
        <w:ind w:left="600" w:hanging="433"/>
        <w:spacing w:after="0" w:line="279" w:lineRule="auto"/>
        <w:tabs>
          <w:tab w:leader="none" w:pos="6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 2021 Mr. Semerjian was inadvertently reimbursed $285 in excess of the $15,000 limit prescribed by our Executive Financial Services Policy. His maximum allowable reimbursement under such policy in 2022 has been reduced by a corresponding amount.</w:t>
      </w:r>
    </w:p>
    <w:p>
      <w:pPr>
        <w:spacing w:after="0" w:line="13" w:lineRule="exact"/>
        <w:rPr>
          <w:rFonts w:ascii="Arial" w:cs="Arial" w:eastAsia="Arial" w:hAnsi="Arial"/>
          <w:sz w:val="16"/>
          <w:szCs w:val="16"/>
          <w:color w:val="auto"/>
        </w:rPr>
      </w:pPr>
    </w:p>
    <w:p>
      <w:pPr>
        <w:ind w:left="600" w:hanging="433"/>
        <w:spacing w:after="0"/>
        <w:tabs>
          <w:tab w:leader="none" w:pos="6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Includes tax gross-up payments of $30,630 made to Mr. Semerjian in 2020 related to relocation expenses.</w:t>
      </w:r>
    </w:p>
    <w:p>
      <w:pPr>
        <w:spacing w:after="0" w:line="70" w:lineRule="exact"/>
        <w:rPr>
          <w:rFonts w:ascii="Arial" w:cs="Arial" w:eastAsia="Arial" w:hAnsi="Arial"/>
          <w:sz w:val="16"/>
          <w:szCs w:val="16"/>
          <w:color w:val="auto"/>
        </w:rPr>
      </w:pPr>
    </w:p>
    <w:p>
      <w:pPr>
        <w:ind w:left="600" w:hanging="433"/>
        <w:spacing w:after="0" w:line="279" w:lineRule="auto"/>
        <w:tabs>
          <w:tab w:leader="none" w:pos="6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Includes $2,015 in tax gross-up payments for hotel, air travel and conference expenses related to the attendance in 2019 of Mr. Semerjian and his spouse at a conference hosted by the Company for its top-producing financial advisors.</w:t>
      </w:r>
    </w:p>
    <w:p>
      <w:pPr>
        <w:spacing w:after="0" w:line="13" w:lineRule="exact"/>
        <w:rPr>
          <w:rFonts w:ascii="Arial" w:cs="Arial" w:eastAsia="Arial" w:hAnsi="Arial"/>
          <w:sz w:val="16"/>
          <w:szCs w:val="16"/>
          <w:color w:val="auto"/>
        </w:rPr>
      </w:pPr>
    </w:p>
    <w:p>
      <w:pPr>
        <w:ind w:left="600" w:hanging="433"/>
        <w:spacing w:after="0"/>
        <w:tabs>
          <w:tab w:leader="none" w:pos="6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Includes tax gross-up payments of $65,457 made to Mr. Semerjian in 2019 related to relocation expenses.</w:t>
      </w:r>
    </w:p>
    <w:p>
      <w:pPr>
        <w:spacing w:after="0" w:line="70" w:lineRule="exact"/>
        <w:rPr>
          <w:rFonts w:ascii="Arial" w:cs="Arial" w:eastAsia="Arial" w:hAnsi="Arial"/>
          <w:sz w:val="16"/>
          <w:szCs w:val="16"/>
          <w:color w:val="auto"/>
        </w:rPr>
      </w:pPr>
    </w:p>
    <w:p>
      <w:pPr>
        <w:ind w:left="600" w:hanging="433"/>
        <w:spacing w:after="0"/>
        <w:tabs>
          <w:tab w:leader="none" w:pos="6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Includes tax gross-up payments of $24,584 made to Mr. Steinmeier in 2020 related to relocation expenses.</w:t>
      </w:r>
    </w:p>
    <w:p>
      <w:pPr>
        <w:spacing w:after="0" w:line="70" w:lineRule="exact"/>
        <w:rPr>
          <w:rFonts w:ascii="Arial" w:cs="Arial" w:eastAsia="Arial" w:hAnsi="Arial"/>
          <w:sz w:val="16"/>
          <w:szCs w:val="16"/>
          <w:color w:val="auto"/>
        </w:rPr>
      </w:pPr>
    </w:p>
    <w:p>
      <w:pPr>
        <w:ind w:left="600" w:right="20" w:hanging="433"/>
        <w:spacing w:after="0" w:line="279" w:lineRule="auto"/>
        <w:tabs>
          <w:tab w:leader="none" w:pos="6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Includes $1,537 in tax gross-up payments for hotel, air travel and conference expenses related to the attendance in 2019 of Mr. Steinmeier and his spouse at a conference hosted by the Company for its top-producing financial advisors.</w:t>
      </w:r>
    </w:p>
    <w:p>
      <w:pPr>
        <w:spacing w:after="0" w:line="13" w:lineRule="exact"/>
        <w:rPr>
          <w:rFonts w:ascii="Arial" w:cs="Arial" w:eastAsia="Arial" w:hAnsi="Arial"/>
          <w:sz w:val="16"/>
          <w:szCs w:val="16"/>
          <w:color w:val="auto"/>
        </w:rPr>
      </w:pPr>
    </w:p>
    <w:p>
      <w:pPr>
        <w:ind w:left="600" w:hanging="433"/>
        <w:spacing w:after="0"/>
        <w:tabs>
          <w:tab w:leader="none" w:pos="6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Includes tax gross-up payments of $82,307 made to Mr. Steinmeier in 2019 related to relocation expenses.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2021 Grants of Plan-Based Awards</w:t>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 provides additional information about non-equity and equity-based awards granted to our NEOs during the year ended</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December 31, 2021:</w:t>
      </w:r>
    </w:p>
    <w:p>
      <w:pPr>
        <w:spacing w:after="0" w:line="213"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2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jc w:val="center"/>
              <w:ind w:left="358"/>
              <w:spacing w:after="0"/>
              <w:rPr>
                <w:sz w:val="20"/>
                <w:szCs w:val="20"/>
                <w:color w:val="auto"/>
              </w:rPr>
            </w:pPr>
            <w:r>
              <w:rPr>
                <w:rFonts w:ascii="Arial" w:cs="Arial" w:eastAsia="Arial" w:hAnsi="Arial"/>
                <w:sz w:val="12"/>
                <w:szCs w:val="12"/>
                <w:b w:val="1"/>
                <w:bCs w:val="1"/>
                <w:color w:val="050A54"/>
              </w:rPr>
              <w:t>All</w:t>
            </w: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jc w:val="center"/>
              <w:ind w:left="358"/>
              <w:spacing w:after="0" w:line="134" w:lineRule="exact"/>
              <w:rPr>
                <w:sz w:val="20"/>
                <w:szCs w:val="20"/>
                <w:color w:val="auto"/>
              </w:rPr>
            </w:pPr>
            <w:r>
              <w:rPr>
                <w:rFonts w:ascii="Arial" w:cs="Arial" w:eastAsia="Arial" w:hAnsi="Arial"/>
                <w:sz w:val="12"/>
                <w:szCs w:val="12"/>
                <w:b w:val="1"/>
                <w:bCs w:val="1"/>
                <w:color w:val="050A54"/>
                <w:w w:val="99"/>
              </w:rPr>
              <w:t>Other</w:t>
            </w: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jc w:val="center"/>
              <w:ind w:left="378"/>
              <w:spacing w:after="0" w:line="134" w:lineRule="exact"/>
              <w:rPr>
                <w:sz w:val="20"/>
                <w:szCs w:val="20"/>
                <w:color w:val="auto"/>
              </w:rPr>
            </w:pPr>
            <w:r>
              <w:rPr>
                <w:rFonts w:ascii="Arial" w:cs="Arial" w:eastAsia="Arial" w:hAnsi="Arial"/>
                <w:sz w:val="12"/>
                <w:szCs w:val="12"/>
                <w:b w:val="1"/>
                <w:bCs w:val="1"/>
                <w:color w:val="050A54"/>
              </w:rPr>
              <w:t>Stock</w:t>
            </w: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740" w:type="dxa"/>
            <w:vAlign w:val="bottom"/>
            <w:gridSpan w:val="3"/>
            <w:vMerge w:val="restart"/>
          </w:tcPr>
          <w:p>
            <w:pPr>
              <w:jc w:val="center"/>
              <w:ind w:left="18"/>
              <w:spacing w:after="0"/>
              <w:rPr>
                <w:sz w:val="20"/>
                <w:szCs w:val="20"/>
                <w:color w:val="auto"/>
              </w:rPr>
            </w:pPr>
            <w:r>
              <w:rPr>
                <w:rFonts w:ascii="Arial" w:cs="Arial" w:eastAsia="Arial" w:hAnsi="Arial"/>
                <w:sz w:val="12"/>
                <w:szCs w:val="12"/>
                <w:b w:val="1"/>
                <w:bCs w:val="1"/>
                <w:color w:val="050A54"/>
              </w:rPr>
              <w:t>Estimated Future Payouts Under</w:t>
            </w:r>
          </w:p>
        </w:tc>
        <w:tc>
          <w:tcPr>
            <w:tcW w:w="2540" w:type="dxa"/>
            <w:vAlign w:val="bottom"/>
            <w:gridSpan w:val="3"/>
            <w:vMerge w:val="restart"/>
          </w:tcPr>
          <w:p>
            <w:pPr>
              <w:jc w:val="center"/>
              <w:ind w:right="18"/>
              <w:spacing w:after="0"/>
              <w:rPr>
                <w:sz w:val="20"/>
                <w:szCs w:val="20"/>
                <w:color w:val="auto"/>
              </w:rPr>
            </w:pPr>
            <w:r>
              <w:rPr>
                <w:rFonts w:ascii="Arial" w:cs="Arial" w:eastAsia="Arial" w:hAnsi="Arial"/>
                <w:sz w:val="12"/>
                <w:szCs w:val="12"/>
                <w:b w:val="1"/>
                <w:bCs w:val="1"/>
                <w:color w:val="050A54"/>
              </w:rPr>
              <w:t>Estimated Future Payouts Under</w:t>
            </w:r>
          </w:p>
        </w:tc>
        <w:tc>
          <w:tcPr>
            <w:tcW w:w="940" w:type="dxa"/>
            <w:vAlign w:val="bottom"/>
          </w:tcPr>
          <w:p>
            <w:pPr>
              <w:jc w:val="center"/>
              <w:ind w:left="358"/>
              <w:spacing w:after="0" w:line="134" w:lineRule="exact"/>
              <w:rPr>
                <w:sz w:val="20"/>
                <w:szCs w:val="20"/>
                <w:color w:val="auto"/>
              </w:rPr>
            </w:pPr>
            <w:r>
              <w:rPr>
                <w:rFonts w:ascii="Arial" w:cs="Arial" w:eastAsia="Arial" w:hAnsi="Arial"/>
                <w:sz w:val="12"/>
                <w:szCs w:val="12"/>
                <w:b w:val="1"/>
                <w:bCs w:val="1"/>
                <w:color w:val="050A54"/>
              </w:rPr>
              <w:t>Awards:</w:t>
            </w: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2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740" w:type="dxa"/>
            <w:vAlign w:val="bottom"/>
            <w:gridSpan w:val="3"/>
            <w:vMerge w:val="continue"/>
          </w:tcPr>
          <w:p>
            <w:pPr>
              <w:spacing w:after="0"/>
              <w:rPr>
                <w:sz w:val="4"/>
                <w:szCs w:val="4"/>
                <w:color w:val="auto"/>
              </w:rPr>
            </w:pPr>
          </w:p>
        </w:tc>
        <w:tc>
          <w:tcPr>
            <w:tcW w:w="2540" w:type="dxa"/>
            <w:vAlign w:val="bottom"/>
            <w:gridSpan w:val="3"/>
            <w:vMerge w:val="continue"/>
          </w:tcPr>
          <w:p>
            <w:pPr>
              <w:spacing w:after="0"/>
              <w:rPr>
                <w:sz w:val="4"/>
                <w:szCs w:val="4"/>
                <w:color w:val="auto"/>
              </w:rPr>
            </w:pPr>
          </w:p>
        </w:tc>
        <w:tc>
          <w:tcPr>
            <w:tcW w:w="940" w:type="dxa"/>
            <w:vAlign w:val="bottom"/>
            <w:vMerge w:val="restart"/>
          </w:tcPr>
          <w:p>
            <w:pPr>
              <w:jc w:val="center"/>
              <w:ind w:left="378"/>
              <w:spacing w:after="0"/>
              <w:rPr>
                <w:sz w:val="20"/>
                <w:szCs w:val="20"/>
                <w:color w:val="auto"/>
              </w:rPr>
            </w:pPr>
            <w:r>
              <w:rPr>
                <w:rFonts w:ascii="Arial" w:cs="Arial" w:eastAsia="Arial" w:hAnsi="Arial"/>
                <w:sz w:val="12"/>
                <w:szCs w:val="12"/>
                <w:b w:val="1"/>
                <w:bCs w:val="1"/>
                <w:color w:val="050A54"/>
              </w:rPr>
              <w:t>Shares</w:t>
            </w:r>
          </w:p>
        </w:tc>
        <w:tc>
          <w:tcPr>
            <w:tcW w:w="240" w:type="dxa"/>
            <w:vAlign w:val="bottom"/>
          </w:tcPr>
          <w:p>
            <w:pPr>
              <w:spacing w:after="0"/>
              <w:rPr>
                <w:sz w:val="4"/>
                <w:szCs w:val="4"/>
                <w:color w:val="auto"/>
              </w:rPr>
            </w:pPr>
          </w:p>
        </w:tc>
        <w:tc>
          <w:tcPr>
            <w:tcW w:w="940" w:type="dxa"/>
            <w:vAlign w:val="bottom"/>
            <w:vMerge w:val="restart"/>
          </w:tcPr>
          <w:p>
            <w:pPr>
              <w:jc w:val="center"/>
              <w:spacing w:after="0"/>
              <w:rPr>
                <w:sz w:val="20"/>
                <w:szCs w:val="20"/>
                <w:color w:val="auto"/>
              </w:rPr>
            </w:pPr>
            <w:r>
              <w:rPr>
                <w:rFonts w:ascii="Arial" w:cs="Arial" w:eastAsia="Arial" w:hAnsi="Arial"/>
                <w:sz w:val="12"/>
                <w:szCs w:val="12"/>
                <w:b w:val="1"/>
                <w:bCs w:val="1"/>
                <w:color w:val="050A54"/>
              </w:rPr>
              <w:t>Grant Date</w:t>
            </w:r>
          </w:p>
        </w:tc>
        <w:tc>
          <w:tcPr>
            <w:tcW w:w="0" w:type="dxa"/>
            <w:vAlign w:val="bottom"/>
          </w:tcPr>
          <w:p>
            <w:pPr>
              <w:spacing w:after="0"/>
              <w:rPr>
                <w:sz w:val="1"/>
                <w:szCs w:val="1"/>
                <w:color w:val="auto"/>
              </w:rPr>
            </w:pPr>
          </w:p>
        </w:tc>
      </w:tr>
      <w:tr>
        <w:trPr>
          <w:trHeight w:val="125"/>
        </w:trPr>
        <w:tc>
          <w:tcPr>
            <w:tcW w:w="2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740" w:type="dxa"/>
            <w:vAlign w:val="bottom"/>
            <w:gridSpan w:val="3"/>
          </w:tcPr>
          <w:p>
            <w:pPr>
              <w:jc w:val="center"/>
              <w:ind w:left="18"/>
              <w:spacing w:after="0" w:line="125" w:lineRule="exact"/>
              <w:rPr>
                <w:sz w:val="20"/>
                <w:szCs w:val="20"/>
                <w:color w:val="auto"/>
              </w:rPr>
            </w:pPr>
            <w:r>
              <w:rPr>
                <w:rFonts w:ascii="Arial" w:cs="Arial" w:eastAsia="Arial" w:hAnsi="Arial"/>
                <w:sz w:val="12"/>
                <w:szCs w:val="12"/>
                <w:b w:val="1"/>
                <w:bCs w:val="1"/>
                <w:color w:val="050A54"/>
              </w:rPr>
              <w:t>Non-Equity Incentive Plan Awards(1)</w:t>
            </w:r>
          </w:p>
        </w:tc>
        <w:tc>
          <w:tcPr>
            <w:tcW w:w="2540" w:type="dxa"/>
            <w:vAlign w:val="bottom"/>
            <w:gridSpan w:val="3"/>
          </w:tcPr>
          <w:p>
            <w:pPr>
              <w:jc w:val="center"/>
              <w:ind w:right="38"/>
              <w:spacing w:after="0" w:line="125" w:lineRule="exact"/>
              <w:rPr>
                <w:sz w:val="20"/>
                <w:szCs w:val="20"/>
                <w:color w:val="auto"/>
              </w:rPr>
            </w:pPr>
            <w:r>
              <w:rPr>
                <w:rFonts w:ascii="Arial" w:cs="Arial" w:eastAsia="Arial" w:hAnsi="Arial"/>
                <w:sz w:val="12"/>
                <w:szCs w:val="12"/>
                <w:b w:val="1"/>
                <w:bCs w:val="1"/>
                <w:color w:val="050A54"/>
              </w:rPr>
              <w:t>Equity Incentive Plan Awards(2)</w:t>
            </w:r>
          </w:p>
        </w:tc>
        <w:tc>
          <w:tcPr>
            <w:tcW w:w="9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2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Borders>
              <w:bottom w:val="single" w:sz="8" w:color="050A54"/>
            </w:tcBorders>
          </w:tcPr>
          <w:p>
            <w:pPr>
              <w:spacing w:after="0"/>
              <w:rPr>
                <w:sz w:val="3"/>
                <w:szCs w:val="3"/>
                <w:color w:val="auto"/>
              </w:rPr>
            </w:pPr>
          </w:p>
        </w:tc>
        <w:tc>
          <w:tcPr>
            <w:tcW w:w="900" w:type="dxa"/>
            <w:vAlign w:val="bottom"/>
            <w:tcBorders>
              <w:bottom w:val="single" w:sz="8" w:color="050A54"/>
            </w:tcBorders>
          </w:tcPr>
          <w:p>
            <w:pPr>
              <w:spacing w:after="0"/>
              <w:rPr>
                <w:sz w:val="3"/>
                <w:szCs w:val="3"/>
                <w:color w:val="auto"/>
              </w:rPr>
            </w:pPr>
          </w:p>
        </w:tc>
        <w:tc>
          <w:tcPr>
            <w:tcW w:w="900" w:type="dxa"/>
            <w:vAlign w:val="bottom"/>
            <w:tcBorders>
              <w:bottom w:val="single" w:sz="8" w:color="050A54"/>
            </w:tcBorders>
          </w:tcPr>
          <w:p>
            <w:pPr>
              <w:spacing w:after="0"/>
              <w:rPr>
                <w:sz w:val="3"/>
                <w:szCs w:val="3"/>
                <w:color w:val="auto"/>
              </w:rPr>
            </w:pPr>
          </w:p>
        </w:tc>
        <w:tc>
          <w:tcPr>
            <w:tcW w:w="880" w:type="dxa"/>
            <w:vAlign w:val="bottom"/>
            <w:tcBorders>
              <w:bottom w:val="single" w:sz="8" w:color="050A54"/>
            </w:tcBorders>
          </w:tcPr>
          <w:p>
            <w:pPr>
              <w:spacing w:after="0"/>
              <w:rPr>
                <w:sz w:val="3"/>
                <w:szCs w:val="3"/>
                <w:color w:val="auto"/>
              </w:rPr>
            </w:pPr>
          </w:p>
        </w:tc>
        <w:tc>
          <w:tcPr>
            <w:tcW w:w="720" w:type="dxa"/>
            <w:vAlign w:val="bottom"/>
            <w:tcBorders>
              <w:bottom w:val="single" w:sz="8" w:color="050A54"/>
            </w:tcBorders>
          </w:tcPr>
          <w:p>
            <w:pPr>
              <w:spacing w:after="0"/>
              <w:rPr>
                <w:sz w:val="3"/>
                <w:szCs w:val="3"/>
                <w:color w:val="auto"/>
              </w:rPr>
            </w:pPr>
          </w:p>
        </w:tc>
        <w:tc>
          <w:tcPr>
            <w:tcW w:w="940" w:type="dxa"/>
            <w:vAlign w:val="bottom"/>
            <w:tcBorders>
              <w:bottom w:val="single" w:sz="8" w:color="050A54"/>
            </w:tcBorders>
          </w:tcPr>
          <w:p>
            <w:pPr>
              <w:spacing w:after="0"/>
              <w:rPr>
                <w:sz w:val="3"/>
                <w:szCs w:val="3"/>
                <w:color w:val="auto"/>
              </w:rPr>
            </w:pPr>
          </w:p>
        </w:tc>
        <w:tc>
          <w:tcPr>
            <w:tcW w:w="940" w:type="dxa"/>
            <w:vAlign w:val="bottom"/>
            <w:vMerge w:val="restart"/>
          </w:tcPr>
          <w:p>
            <w:pPr>
              <w:jc w:val="center"/>
              <w:ind w:left="358"/>
              <w:spacing w:after="0" w:line="94" w:lineRule="exact"/>
              <w:rPr>
                <w:sz w:val="20"/>
                <w:szCs w:val="20"/>
                <w:color w:val="auto"/>
              </w:rPr>
            </w:pPr>
            <w:r>
              <w:rPr>
                <w:rFonts w:ascii="Arial" w:cs="Arial" w:eastAsia="Arial" w:hAnsi="Arial"/>
                <w:sz w:val="10"/>
                <w:szCs w:val="10"/>
                <w:b w:val="1"/>
                <w:bCs w:val="1"/>
                <w:color w:val="050A54"/>
              </w:rPr>
              <w:t>of Stock</w:t>
            </w:r>
          </w:p>
        </w:tc>
        <w:tc>
          <w:tcPr>
            <w:tcW w:w="240" w:type="dxa"/>
            <w:vAlign w:val="bottom"/>
          </w:tcPr>
          <w:p>
            <w:pPr>
              <w:spacing w:after="0"/>
              <w:rPr>
                <w:sz w:val="3"/>
                <w:szCs w:val="3"/>
                <w:color w:val="auto"/>
              </w:rPr>
            </w:pPr>
          </w:p>
        </w:tc>
        <w:tc>
          <w:tcPr>
            <w:tcW w:w="940" w:type="dxa"/>
            <w:vAlign w:val="bottom"/>
            <w:vMerge w:val="restart"/>
          </w:tcPr>
          <w:p>
            <w:pPr>
              <w:jc w:val="center"/>
              <w:spacing w:after="0" w:line="94" w:lineRule="exact"/>
              <w:rPr>
                <w:sz w:val="20"/>
                <w:szCs w:val="20"/>
                <w:color w:val="auto"/>
              </w:rPr>
            </w:pPr>
            <w:r>
              <w:rPr>
                <w:rFonts w:ascii="Arial" w:cs="Arial" w:eastAsia="Arial" w:hAnsi="Arial"/>
                <w:sz w:val="10"/>
                <w:szCs w:val="10"/>
                <w:b w:val="1"/>
                <w:bCs w:val="1"/>
                <w:color w:val="050A54"/>
              </w:rPr>
              <w:t>Fair Value of</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vMerge w:val="restart"/>
          </w:tcPr>
          <w:p>
            <w:pPr>
              <w:jc w:val="right"/>
              <w:ind w:right="178"/>
              <w:spacing w:after="0"/>
              <w:rPr>
                <w:sz w:val="20"/>
                <w:szCs w:val="20"/>
                <w:color w:val="auto"/>
              </w:rPr>
            </w:pPr>
            <w:r>
              <w:rPr>
                <w:rFonts w:ascii="Arial" w:cs="Arial" w:eastAsia="Arial" w:hAnsi="Arial"/>
                <w:sz w:val="12"/>
                <w:szCs w:val="12"/>
                <w:b w:val="1"/>
                <w:bCs w:val="1"/>
                <w:color w:val="050A54"/>
              </w:rPr>
              <w:t>Grant</w:t>
            </w:r>
          </w:p>
        </w:tc>
        <w:tc>
          <w:tcPr>
            <w:tcW w:w="940" w:type="dxa"/>
            <w:vAlign w:val="bottom"/>
            <w:vMerge w:val="restart"/>
          </w:tcPr>
          <w:p>
            <w:pPr>
              <w:jc w:val="center"/>
              <w:spacing w:after="0"/>
              <w:rPr>
                <w:sz w:val="20"/>
                <w:szCs w:val="20"/>
                <w:color w:val="auto"/>
              </w:rPr>
            </w:pPr>
            <w:r>
              <w:rPr>
                <w:rFonts w:ascii="Arial" w:cs="Arial" w:eastAsia="Arial" w:hAnsi="Arial"/>
                <w:sz w:val="12"/>
                <w:szCs w:val="12"/>
                <w:b w:val="1"/>
                <w:bCs w:val="1"/>
                <w:color w:val="050A54"/>
              </w:rPr>
              <w:t>Threshold</w:t>
            </w:r>
          </w:p>
        </w:tc>
        <w:tc>
          <w:tcPr>
            <w:tcW w:w="900" w:type="dxa"/>
            <w:vAlign w:val="bottom"/>
            <w:vMerge w:val="restart"/>
          </w:tcPr>
          <w:p>
            <w:pPr>
              <w:jc w:val="right"/>
              <w:ind w:right="278"/>
              <w:spacing w:after="0"/>
              <w:rPr>
                <w:sz w:val="20"/>
                <w:szCs w:val="20"/>
                <w:color w:val="auto"/>
              </w:rPr>
            </w:pPr>
            <w:r>
              <w:rPr>
                <w:rFonts w:ascii="Arial" w:cs="Arial" w:eastAsia="Arial" w:hAnsi="Arial"/>
                <w:sz w:val="12"/>
                <w:szCs w:val="12"/>
                <w:b w:val="1"/>
                <w:bCs w:val="1"/>
                <w:color w:val="050A54"/>
              </w:rPr>
              <w:t>Target</w:t>
            </w:r>
          </w:p>
        </w:tc>
        <w:tc>
          <w:tcPr>
            <w:tcW w:w="900" w:type="dxa"/>
            <w:vAlign w:val="bottom"/>
            <w:vMerge w:val="restart"/>
          </w:tcPr>
          <w:p>
            <w:pPr>
              <w:jc w:val="center"/>
              <w:ind w:left="18"/>
              <w:spacing w:after="0"/>
              <w:rPr>
                <w:sz w:val="20"/>
                <w:szCs w:val="20"/>
                <w:color w:val="auto"/>
              </w:rPr>
            </w:pPr>
            <w:r>
              <w:rPr>
                <w:rFonts w:ascii="Arial" w:cs="Arial" w:eastAsia="Arial" w:hAnsi="Arial"/>
                <w:sz w:val="12"/>
                <w:szCs w:val="12"/>
                <w:b w:val="1"/>
                <w:bCs w:val="1"/>
                <w:color w:val="050A54"/>
              </w:rPr>
              <w:t>Maximum</w:t>
            </w:r>
          </w:p>
        </w:tc>
        <w:tc>
          <w:tcPr>
            <w:tcW w:w="880" w:type="dxa"/>
            <w:vAlign w:val="bottom"/>
            <w:vMerge w:val="restart"/>
          </w:tcPr>
          <w:p>
            <w:pPr>
              <w:jc w:val="right"/>
              <w:ind w:right="118"/>
              <w:spacing w:after="0"/>
              <w:rPr>
                <w:sz w:val="20"/>
                <w:szCs w:val="20"/>
                <w:color w:val="auto"/>
              </w:rPr>
            </w:pPr>
            <w:r>
              <w:rPr>
                <w:rFonts w:ascii="Arial" w:cs="Arial" w:eastAsia="Arial" w:hAnsi="Arial"/>
                <w:sz w:val="12"/>
                <w:szCs w:val="12"/>
                <w:b w:val="1"/>
                <w:bCs w:val="1"/>
                <w:color w:val="050A54"/>
              </w:rPr>
              <w:t>Threshold</w:t>
            </w:r>
          </w:p>
        </w:tc>
        <w:tc>
          <w:tcPr>
            <w:tcW w:w="720" w:type="dxa"/>
            <w:vAlign w:val="bottom"/>
            <w:vMerge w:val="restart"/>
          </w:tcPr>
          <w:p>
            <w:pPr>
              <w:jc w:val="center"/>
              <w:spacing w:after="0"/>
              <w:rPr>
                <w:sz w:val="20"/>
                <w:szCs w:val="20"/>
                <w:color w:val="auto"/>
              </w:rPr>
            </w:pPr>
            <w:r>
              <w:rPr>
                <w:rFonts w:ascii="Arial" w:cs="Arial" w:eastAsia="Arial" w:hAnsi="Arial"/>
                <w:sz w:val="12"/>
                <w:szCs w:val="12"/>
                <w:b w:val="1"/>
                <w:bCs w:val="1"/>
                <w:color w:val="050A54"/>
                <w:w w:val="98"/>
              </w:rPr>
              <w:t>Target</w:t>
            </w:r>
          </w:p>
        </w:tc>
        <w:tc>
          <w:tcPr>
            <w:tcW w:w="940" w:type="dxa"/>
            <w:vAlign w:val="bottom"/>
            <w:vMerge w:val="restart"/>
          </w:tcPr>
          <w:p>
            <w:pPr>
              <w:jc w:val="right"/>
              <w:ind w:right="138"/>
              <w:spacing w:after="0"/>
              <w:rPr>
                <w:sz w:val="20"/>
                <w:szCs w:val="20"/>
                <w:color w:val="auto"/>
              </w:rPr>
            </w:pPr>
            <w:r>
              <w:rPr>
                <w:rFonts w:ascii="Arial" w:cs="Arial" w:eastAsia="Arial" w:hAnsi="Arial"/>
                <w:sz w:val="12"/>
                <w:szCs w:val="12"/>
                <w:b w:val="1"/>
                <w:bCs w:val="1"/>
                <w:color w:val="050A54"/>
              </w:rPr>
              <w:t>Maximum</w:t>
            </w:r>
          </w:p>
        </w:tc>
        <w:tc>
          <w:tcPr>
            <w:tcW w:w="94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700" w:type="dxa"/>
            <w:vAlign w:val="bottom"/>
            <w:vMerge w:val="restart"/>
          </w:tcPr>
          <w:p>
            <w:pPr>
              <w:ind w:left="1180"/>
              <w:spacing w:after="0"/>
              <w:rPr>
                <w:sz w:val="20"/>
                <w:szCs w:val="20"/>
                <w:color w:val="auto"/>
              </w:rPr>
            </w:pPr>
            <w:r>
              <w:rPr>
                <w:rFonts w:ascii="Arial" w:cs="Arial" w:eastAsia="Arial" w:hAnsi="Arial"/>
                <w:sz w:val="12"/>
                <w:szCs w:val="12"/>
                <w:b w:val="1"/>
                <w:bCs w:val="1"/>
                <w:color w:val="050A54"/>
              </w:rPr>
              <w:t>Name</w:t>
            </w:r>
          </w:p>
        </w:tc>
        <w:tc>
          <w:tcPr>
            <w:tcW w:w="1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tcPr>
          <w:p>
            <w:pPr>
              <w:jc w:val="center"/>
              <w:ind w:left="358"/>
              <w:spacing w:after="0" w:line="134" w:lineRule="exact"/>
              <w:rPr>
                <w:sz w:val="20"/>
                <w:szCs w:val="20"/>
                <w:color w:val="auto"/>
              </w:rPr>
            </w:pPr>
            <w:r>
              <w:rPr>
                <w:rFonts w:ascii="Arial" w:cs="Arial" w:eastAsia="Arial" w:hAnsi="Arial"/>
                <w:sz w:val="12"/>
                <w:szCs w:val="12"/>
                <w:b w:val="1"/>
                <w:bCs w:val="1"/>
                <w:color w:val="050A54"/>
              </w:rPr>
              <w:t>or Units</w:t>
            </w:r>
          </w:p>
        </w:tc>
        <w:tc>
          <w:tcPr>
            <w:tcW w:w="240" w:type="dxa"/>
            <w:vAlign w:val="bottom"/>
          </w:tcPr>
          <w:p>
            <w:pPr>
              <w:spacing w:after="0"/>
              <w:rPr>
                <w:sz w:val="11"/>
                <w:szCs w:val="11"/>
                <w:color w:val="auto"/>
              </w:rPr>
            </w:pPr>
          </w:p>
        </w:tc>
        <w:tc>
          <w:tcPr>
            <w:tcW w:w="940" w:type="dxa"/>
            <w:vAlign w:val="bottom"/>
          </w:tcPr>
          <w:p>
            <w:pPr>
              <w:jc w:val="center"/>
              <w:spacing w:after="0" w:line="134" w:lineRule="exact"/>
              <w:rPr>
                <w:sz w:val="20"/>
                <w:szCs w:val="20"/>
                <w:color w:val="auto"/>
              </w:rPr>
            </w:pPr>
            <w:r>
              <w:rPr>
                <w:rFonts w:ascii="Arial" w:cs="Arial" w:eastAsia="Arial" w:hAnsi="Arial"/>
                <w:sz w:val="12"/>
                <w:szCs w:val="12"/>
                <w:b w:val="1"/>
                <w:bCs w:val="1"/>
                <w:color w:val="050A54"/>
              </w:rPr>
              <w:t>Stock</w:t>
            </w:r>
          </w:p>
        </w:tc>
        <w:tc>
          <w:tcPr>
            <w:tcW w:w="0" w:type="dxa"/>
            <w:vAlign w:val="bottom"/>
          </w:tcPr>
          <w:p>
            <w:pPr>
              <w:spacing w:after="0"/>
              <w:rPr>
                <w:sz w:val="1"/>
                <w:szCs w:val="1"/>
                <w:color w:val="auto"/>
              </w:rPr>
            </w:pPr>
          </w:p>
        </w:tc>
      </w:tr>
      <w:tr>
        <w:trPr>
          <w:trHeight w:val="160"/>
        </w:trPr>
        <w:tc>
          <w:tcPr>
            <w:tcW w:w="2700" w:type="dxa"/>
            <w:vAlign w:val="bottom"/>
            <w:tcBorders>
              <w:bottom w:val="single" w:sz="8" w:color="050A54"/>
            </w:tcBorders>
            <w:vMerge w:val="continue"/>
          </w:tcPr>
          <w:p>
            <w:pPr>
              <w:spacing w:after="0"/>
              <w:rPr>
                <w:sz w:val="13"/>
                <w:szCs w:val="13"/>
                <w:color w:val="auto"/>
              </w:rPr>
            </w:pPr>
          </w:p>
        </w:tc>
        <w:tc>
          <w:tcPr>
            <w:tcW w:w="140" w:type="dxa"/>
            <w:vAlign w:val="bottom"/>
            <w:tcBorders>
              <w:bottom w:val="single" w:sz="8" w:color="050A54"/>
            </w:tcBorders>
          </w:tcPr>
          <w:p>
            <w:pPr>
              <w:spacing w:after="0"/>
              <w:rPr>
                <w:sz w:val="13"/>
                <w:szCs w:val="13"/>
                <w:color w:val="auto"/>
              </w:rPr>
            </w:pPr>
          </w:p>
        </w:tc>
        <w:tc>
          <w:tcPr>
            <w:tcW w:w="680" w:type="dxa"/>
            <w:vAlign w:val="bottom"/>
            <w:tcBorders>
              <w:bottom w:val="single" w:sz="8" w:color="050A54"/>
            </w:tcBorders>
          </w:tcPr>
          <w:p>
            <w:pPr>
              <w:jc w:val="right"/>
              <w:ind w:right="218"/>
              <w:spacing w:after="0"/>
              <w:rPr>
                <w:sz w:val="20"/>
                <w:szCs w:val="20"/>
                <w:color w:val="auto"/>
              </w:rPr>
            </w:pPr>
            <w:r>
              <w:rPr>
                <w:rFonts w:ascii="Arial" w:cs="Arial" w:eastAsia="Arial" w:hAnsi="Arial"/>
                <w:sz w:val="12"/>
                <w:szCs w:val="12"/>
                <w:b w:val="1"/>
                <w:bCs w:val="1"/>
                <w:color w:val="050A54"/>
              </w:rPr>
              <w:t>Date</w:t>
            </w:r>
          </w:p>
        </w:tc>
        <w:tc>
          <w:tcPr>
            <w:tcW w:w="940" w:type="dxa"/>
            <w:vAlign w:val="bottom"/>
            <w:tcBorders>
              <w:bottom w:val="single" w:sz="8" w:color="050A54"/>
            </w:tcBorders>
          </w:tcPr>
          <w:p>
            <w:pPr>
              <w:jc w:val="right"/>
              <w:ind w:right="298"/>
              <w:spacing w:after="0"/>
              <w:rPr>
                <w:sz w:val="20"/>
                <w:szCs w:val="20"/>
                <w:color w:val="auto"/>
              </w:rPr>
            </w:pPr>
            <w:r>
              <w:rPr>
                <w:rFonts w:ascii="Arial" w:cs="Arial" w:eastAsia="Arial" w:hAnsi="Arial"/>
                <w:sz w:val="12"/>
                <w:szCs w:val="12"/>
                <w:b w:val="1"/>
                <w:bCs w:val="1"/>
                <w:color w:val="050A54"/>
              </w:rPr>
              <w:t>($)</w:t>
            </w:r>
          </w:p>
        </w:tc>
        <w:tc>
          <w:tcPr>
            <w:tcW w:w="900" w:type="dxa"/>
            <w:vAlign w:val="bottom"/>
            <w:tcBorders>
              <w:bottom w:val="single" w:sz="8" w:color="050A54"/>
            </w:tcBorders>
          </w:tcPr>
          <w:p>
            <w:pPr>
              <w:jc w:val="right"/>
              <w:ind w:right="378"/>
              <w:spacing w:after="0"/>
              <w:rPr>
                <w:sz w:val="20"/>
                <w:szCs w:val="20"/>
                <w:color w:val="auto"/>
              </w:rPr>
            </w:pPr>
            <w:r>
              <w:rPr>
                <w:rFonts w:ascii="Arial" w:cs="Arial" w:eastAsia="Arial" w:hAnsi="Arial"/>
                <w:sz w:val="12"/>
                <w:szCs w:val="12"/>
                <w:b w:val="1"/>
                <w:bCs w:val="1"/>
                <w:color w:val="050A54"/>
              </w:rPr>
              <w:t>($)</w:t>
            </w:r>
          </w:p>
        </w:tc>
        <w:tc>
          <w:tcPr>
            <w:tcW w:w="900" w:type="dxa"/>
            <w:vAlign w:val="bottom"/>
            <w:tcBorders>
              <w:bottom w:val="single" w:sz="8" w:color="050A54"/>
            </w:tcBorders>
          </w:tcPr>
          <w:p>
            <w:pPr>
              <w:jc w:val="right"/>
              <w:ind w:right="278"/>
              <w:spacing w:after="0"/>
              <w:rPr>
                <w:sz w:val="20"/>
                <w:szCs w:val="20"/>
                <w:color w:val="auto"/>
              </w:rPr>
            </w:pPr>
            <w:r>
              <w:rPr>
                <w:rFonts w:ascii="Arial" w:cs="Arial" w:eastAsia="Arial" w:hAnsi="Arial"/>
                <w:sz w:val="12"/>
                <w:szCs w:val="12"/>
                <w:b w:val="1"/>
                <w:bCs w:val="1"/>
                <w:color w:val="050A54"/>
              </w:rPr>
              <w:t>($)</w:t>
            </w:r>
          </w:p>
        </w:tc>
        <w:tc>
          <w:tcPr>
            <w:tcW w:w="880" w:type="dxa"/>
            <w:vAlign w:val="bottom"/>
            <w:tcBorders>
              <w:bottom w:val="single" w:sz="8" w:color="050A54"/>
            </w:tcBorders>
          </w:tcPr>
          <w:p>
            <w:pPr>
              <w:jc w:val="right"/>
              <w:ind w:right="338"/>
              <w:spacing w:after="0"/>
              <w:rPr>
                <w:sz w:val="20"/>
                <w:szCs w:val="20"/>
                <w:color w:val="auto"/>
              </w:rPr>
            </w:pPr>
            <w:r>
              <w:rPr>
                <w:rFonts w:ascii="Arial" w:cs="Arial" w:eastAsia="Arial" w:hAnsi="Arial"/>
                <w:sz w:val="12"/>
                <w:szCs w:val="12"/>
                <w:b w:val="1"/>
                <w:bCs w:val="1"/>
                <w:color w:val="050A54"/>
              </w:rPr>
              <w:t>(#)</w:t>
            </w:r>
          </w:p>
        </w:tc>
        <w:tc>
          <w:tcPr>
            <w:tcW w:w="720" w:type="dxa"/>
            <w:vAlign w:val="bottom"/>
            <w:tcBorders>
              <w:bottom w:val="single" w:sz="8" w:color="050A54"/>
            </w:tcBorders>
          </w:tcPr>
          <w:p>
            <w:pPr>
              <w:jc w:val="center"/>
              <w:spacing w:after="0"/>
              <w:rPr>
                <w:sz w:val="20"/>
                <w:szCs w:val="20"/>
                <w:color w:val="auto"/>
              </w:rPr>
            </w:pPr>
            <w:r>
              <w:rPr>
                <w:rFonts w:ascii="Arial" w:cs="Arial" w:eastAsia="Arial" w:hAnsi="Arial"/>
                <w:sz w:val="12"/>
                <w:szCs w:val="12"/>
                <w:b w:val="1"/>
                <w:bCs w:val="1"/>
                <w:color w:val="050A54"/>
              </w:rPr>
              <w:t>(#)</w:t>
            </w:r>
          </w:p>
        </w:tc>
        <w:tc>
          <w:tcPr>
            <w:tcW w:w="940" w:type="dxa"/>
            <w:vAlign w:val="bottom"/>
            <w:tcBorders>
              <w:bottom w:val="single" w:sz="8" w:color="050A54"/>
            </w:tcBorders>
          </w:tcPr>
          <w:p>
            <w:pPr>
              <w:jc w:val="right"/>
              <w:ind w:right="358"/>
              <w:spacing w:after="0"/>
              <w:rPr>
                <w:sz w:val="20"/>
                <w:szCs w:val="20"/>
                <w:color w:val="auto"/>
              </w:rPr>
            </w:pPr>
            <w:r>
              <w:rPr>
                <w:rFonts w:ascii="Arial" w:cs="Arial" w:eastAsia="Arial" w:hAnsi="Arial"/>
                <w:sz w:val="12"/>
                <w:szCs w:val="12"/>
                <w:b w:val="1"/>
                <w:bCs w:val="1"/>
                <w:color w:val="050A54"/>
              </w:rPr>
              <w:t>(#)</w:t>
            </w:r>
          </w:p>
        </w:tc>
        <w:tc>
          <w:tcPr>
            <w:tcW w:w="940" w:type="dxa"/>
            <w:vAlign w:val="bottom"/>
            <w:tcBorders>
              <w:bottom w:val="single" w:sz="8" w:color="050A54"/>
            </w:tcBorders>
          </w:tcPr>
          <w:p>
            <w:pPr>
              <w:jc w:val="center"/>
              <w:ind w:left="378"/>
              <w:spacing w:after="0"/>
              <w:rPr>
                <w:sz w:val="20"/>
                <w:szCs w:val="20"/>
                <w:color w:val="auto"/>
              </w:rPr>
            </w:pPr>
            <w:r>
              <w:rPr>
                <w:rFonts w:ascii="Arial" w:cs="Arial" w:eastAsia="Arial" w:hAnsi="Arial"/>
                <w:sz w:val="12"/>
                <w:szCs w:val="12"/>
                <w:b w:val="1"/>
                <w:bCs w:val="1"/>
                <w:color w:val="050A54"/>
              </w:rPr>
              <w:t>(#)(3)</w:t>
            </w:r>
          </w:p>
        </w:tc>
        <w:tc>
          <w:tcPr>
            <w:tcW w:w="240" w:type="dxa"/>
            <w:vAlign w:val="bottom"/>
            <w:tcBorders>
              <w:bottom w:val="single" w:sz="8" w:color="050A54"/>
            </w:tcBorders>
          </w:tcPr>
          <w:p>
            <w:pPr>
              <w:spacing w:after="0"/>
              <w:rPr>
                <w:sz w:val="13"/>
                <w:szCs w:val="13"/>
                <w:color w:val="auto"/>
              </w:rPr>
            </w:pPr>
          </w:p>
        </w:tc>
        <w:tc>
          <w:tcPr>
            <w:tcW w:w="940" w:type="dxa"/>
            <w:vAlign w:val="bottom"/>
            <w:tcBorders>
              <w:bottom w:val="single" w:sz="8" w:color="050A54"/>
            </w:tcBorders>
          </w:tcPr>
          <w:p>
            <w:pPr>
              <w:jc w:val="center"/>
              <w:spacing w:after="0"/>
              <w:rPr>
                <w:sz w:val="20"/>
                <w:szCs w:val="20"/>
                <w:color w:val="auto"/>
              </w:rPr>
            </w:pPr>
            <w:r>
              <w:rPr>
                <w:rFonts w:ascii="Arial" w:cs="Arial" w:eastAsia="Arial" w:hAnsi="Arial"/>
                <w:sz w:val="12"/>
                <w:szCs w:val="12"/>
                <w:b w:val="1"/>
                <w:bCs w:val="1"/>
                <w:color w:val="050A54"/>
              </w:rPr>
              <w:t>($)(4)</w:t>
            </w:r>
          </w:p>
        </w:tc>
        <w:tc>
          <w:tcPr>
            <w:tcW w:w="0" w:type="dxa"/>
            <w:vAlign w:val="bottom"/>
          </w:tcPr>
          <w:p>
            <w:pPr>
              <w:spacing w:after="0"/>
              <w:rPr>
                <w:sz w:val="1"/>
                <w:szCs w:val="1"/>
                <w:color w:val="auto"/>
              </w:rPr>
            </w:pPr>
          </w:p>
        </w:tc>
      </w:tr>
      <w:tr>
        <w:trPr>
          <w:trHeight w:val="127"/>
        </w:trPr>
        <w:tc>
          <w:tcPr>
            <w:tcW w:w="2700" w:type="dxa"/>
            <w:vAlign w:val="bottom"/>
            <w:shd w:val="clear" w:color="auto" w:fill="E8E8E8"/>
          </w:tcPr>
          <w:p>
            <w:pPr>
              <w:spacing w:after="0" w:line="128" w:lineRule="exact"/>
              <w:rPr>
                <w:sz w:val="20"/>
                <w:szCs w:val="20"/>
                <w:color w:val="auto"/>
              </w:rPr>
            </w:pPr>
            <w:r>
              <w:rPr>
                <w:rFonts w:ascii="Arial" w:cs="Arial" w:eastAsia="Arial" w:hAnsi="Arial"/>
                <w:sz w:val="12"/>
                <w:szCs w:val="12"/>
                <w:color w:val="auto"/>
              </w:rPr>
              <w:t>Dan H. Arnold</w:t>
            </w:r>
          </w:p>
        </w:tc>
        <w:tc>
          <w:tcPr>
            <w:tcW w:w="140" w:type="dxa"/>
            <w:vAlign w:val="bottom"/>
            <w:shd w:val="clear" w:color="auto" w:fill="E8E8E8"/>
          </w:tcPr>
          <w:p>
            <w:pPr>
              <w:spacing w:after="0"/>
              <w:rPr>
                <w:sz w:val="11"/>
                <w:szCs w:val="11"/>
                <w:color w:val="auto"/>
              </w:rPr>
            </w:pPr>
          </w:p>
        </w:tc>
        <w:tc>
          <w:tcPr>
            <w:tcW w:w="680" w:type="dxa"/>
            <w:vAlign w:val="bottom"/>
            <w:vMerge w:val="restart"/>
            <w:shd w:val="clear" w:color="auto" w:fill="E8E8E8"/>
          </w:tcPr>
          <w:p>
            <w:pPr>
              <w:jc w:val="right"/>
              <w:ind w:right="58"/>
              <w:spacing w:after="0"/>
              <w:rPr>
                <w:sz w:val="20"/>
                <w:szCs w:val="20"/>
                <w:color w:val="auto"/>
              </w:rPr>
            </w:pPr>
            <w:r>
              <w:rPr>
                <w:rFonts w:ascii="Arial" w:cs="Arial" w:eastAsia="Arial" w:hAnsi="Arial"/>
                <w:sz w:val="12"/>
                <w:szCs w:val="12"/>
                <w:color w:val="auto"/>
              </w:rPr>
              <w:t>2/25/2021</w:t>
            </w:r>
          </w:p>
        </w:tc>
        <w:tc>
          <w:tcPr>
            <w:tcW w:w="940" w:type="dxa"/>
            <w:vAlign w:val="bottom"/>
            <w:shd w:val="clear" w:color="auto" w:fill="E8E8E8"/>
          </w:tcPr>
          <w:p>
            <w:pPr>
              <w:spacing w:after="0"/>
              <w:rPr>
                <w:sz w:val="11"/>
                <w:szCs w:val="11"/>
                <w:color w:val="auto"/>
              </w:rPr>
            </w:pPr>
          </w:p>
        </w:tc>
        <w:tc>
          <w:tcPr>
            <w:tcW w:w="900" w:type="dxa"/>
            <w:vAlign w:val="bottom"/>
            <w:shd w:val="clear" w:color="auto" w:fill="E8E8E8"/>
          </w:tcPr>
          <w:p>
            <w:pPr>
              <w:jc w:val="right"/>
              <w:ind w:right="158"/>
              <w:spacing w:after="0" w:line="128" w:lineRule="exact"/>
              <w:rPr>
                <w:sz w:val="20"/>
                <w:szCs w:val="20"/>
                <w:color w:val="auto"/>
              </w:rPr>
            </w:pPr>
            <w:r>
              <w:rPr>
                <w:rFonts w:ascii="Arial" w:cs="Arial" w:eastAsia="Arial" w:hAnsi="Arial"/>
                <w:sz w:val="12"/>
                <w:szCs w:val="12"/>
                <w:color w:val="auto"/>
              </w:rPr>
              <w:t>2,250,000</w:t>
            </w:r>
          </w:p>
        </w:tc>
        <w:tc>
          <w:tcPr>
            <w:tcW w:w="900" w:type="dxa"/>
            <w:vAlign w:val="bottom"/>
            <w:shd w:val="clear" w:color="auto" w:fill="E8E8E8"/>
          </w:tcPr>
          <w:p>
            <w:pPr>
              <w:spacing w:after="0"/>
              <w:rPr>
                <w:sz w:val="11"/>
                <w:szCs w:val="11"/>
                <w:color w:val="auto"/>
              </w:rPr>
            </w:pPr>
          </w:p>
        </w:tc>
        <w:tc>
          <w:tcPr>
            <w:tcW w:w="880" w:type="dxa"/>
            <w:vAlign w:val="bottom"/>
            <w:shd w:val="clear" w:color="auto" w:fill="E8E8E8"/>
          </w:tcPr>
          <w:p>
            <w:pPr>
              <w:spacing w:after="0"/>
              <w:rPr>
                <w:sz w:val="11"/>
                <w:szCs w:val="11"/>
                <w:color w:val="auto"/>
              </w:rPr>
            </w:pPr>
          </w:p>
        </w:tc>
        <w:tc>
          <w:tcPr>
            <w:tcW w:w="720" w:type="dxa"/>
            <w:vAlign w:val="bottom"/>
            <w:shd w:val="clear" w:color="auto" w:fill="E8E8E8"/>
          </w:tcPr>
          <w:p>
            <w:pPr>
              <w:spacing w:after="0"/>
              <w:rPr>
                <w:sz w:val="11"/>
                <w:szCs w:val="11"/>
                <w:color w:val="auto"/>
              </w:rPr>
            </w:pPr>
          </w:p>
        </w:tc>
        <w:tc>
          <w:tcPr>
            <w:tcW w:w="940" w:type="dxa"/>
            <w:vAlign w:val="bottom"/>
            <w:shd w:val="clear" w:color="auto" w:fill="E8E8E8"/>
          </w:tcPr>
          <w:p>
            <w:pPr>
              <w:spacing w:after="0"/>
              <w:rPr>
                <w:sz w:val="11"/>
                <w:szCs w:val="11"/>
                <w:color w:val="auto"/>
              </w:rPr>
            </w:pPr>
          </w:p>
        </w:tc>
        <w:tc>
          <w:tcPr>
            <w:tcW w:w="940" w:type="dxa"/>
            <w:vAlign w:val="bottom"/>
            <w:vMerge w:val="restart"/>
            <w:shd w:val="clear" w:color="auto" w:fill="E8E8E8"/>
          </w:tcPr>
          <w:p>
            <w:pPr>
              <w:jc w:val="right"/>
              <w:ind w:right="138"/>
              <w:spacing w:after="0"/>
              <w:rPr>
                <w:sz w:val="20"/>
                <w:szCs w:val="20"/>
                <w:color w:val="auto"/>
              </w:rPr>
            </w:pPr>
            <w:r>
              <w:rPr>
                <w:rFonts w:ascii="Arial" w:cs="Arial" w:eastAsia="Arial" w:hAnsi="Arial"/>
                <w:sz w:val="12"/>
                <w:szCs w:val="12"/>
                <w:color w:val="auto"/>
              </w:rPr>
              <w:t>14,743</w:t>
            </w:r>
          </w:p>
        </w:tc>
        <w:tc>
          <w:tcPr>
            <w:tcW w:w="240" w:type="dxa"/>
            <w:vAlign w:val="bottom"/>
            <w:shd w:val="clear" w:color="auto" w:fill="E8E8E8"/>
          </w:tcPr>
          <w:p>
            <w:pPr>
              <w:spacing w:after="0"/>
              <w:rPr>
                <w:sz w:val="11"/>
                <w:szCs w:val="11"/>
                <w:color w:val="auto"/>
              </w:rPr>
            </w:pPr>
          </w:p>
        </w:tc>
        <w:tc>
          <w:tcPr>
            <w:tcW w:w="940" w:type="dxa"/>
            <w:vAlign w:val="bottom"/>
            <w:vMerge w:val="restart"/>
            <w:shd w:val="clear" w:color="auto" w:fill="E8E8E8"/>
          </w:tcPr>
          <w:p>
            <w:pPr>
              <w:jc w:val="right"/>
              <w:ind w:right="38"/>
              <w:spacing w:after="0"/>
              <w:rPr>
                <w:sz w:val="20"/>
                <w:szCs w:val="20"/>
                <w:color w:val="auto"/>
              </w:rPr>
            </w:pPr>
            <w:r>
              <w:rPr>
                <w:rFonts w:ascii="Arial" w:cs="Arial" w:eastAsia="Arial" w:hAnsi="Arial"/>
                <w:sz w:val="12"/>
                <w:szCs w:val="12"/>
                <w:color w:val="auto"/>
              </w:rPr>
              <w:t>1,913,254</w:t>
            </w:r>
          </w:p>
        </w:tc>
        <w:tc>
          <w:tcPr>
            <w:tcW w:w="0" w:type="dxa"/>
            <w:vAlign w:val="bottom"/>
          </w:tcPr>
          <w:p>
            <w:pPr>
              <w:spacing w:after="0"/>
              <w:rPr>
                <w:sz w:val="1"/>
                <w:szCs w:val="1"/>
                <w:color w:val="auto"/>
              </w:rPr>
            </w:pPr>
          </w:p>
        </w:tc>
      </w:tr>
      <w:tr>
        <w:trPr>
          <w:trHeight w:val="116"/>
        </w:trPr>
        <w:tc>
          <w:tcPr>
            <w:tcW w:w="2700" w:type="dxa"/>
            <w:vAlign w:val="bottom"/>
            <w:shd w:val="clear" w:color="auto" w:fill="E8E8E8"/>
          </w:tcPr>
          <w:p>
            <w:pPr>
              <w:spacing w:after="0"/>
              <w:rPr>
                <w:sz w:val="10"/>
                <w:szCs w:val="10"/>
                <w:color w:val="auto"/>
              </w:rPr>
            </w:pPr>
          </w:p>
        </w:tc>
        <w:tc>
          <w:tcPr>
            <w:tcW w:w="140" w:type="dxa"/>
            <w:vAlign w:val="bottom"/>
            <w:shd w:val="clear" w:color="auto" w:fill="E8E8E8"/>
          </w:tcPr>
          <w:p>
            <w:pPr>
              <w:spacing w:after="0"/>
              <w:rPr>
                <w:sz w:val="10"/>
                <w:szCs w:val="10"/>
                <w:color w:val="auto"/>
              </w:rPr>
            </w:pPr>
          </w:p>
        </w:tc>
        <w:tc>
          <w:tcPr>
            <w:tcW w:w="680" w:type="dxa"/>
            <w:vAlign w:val="bottom"/>
            <w:vMerge w:val="continue"/>
            <w:shd w:val="clear" w:color="auto" w:fill="E8E8E8"/>
          </w:tcPr>
          <w:p>
            <w:pPr>
              <w:spacing w:after="0"/>
              <w:rPr>
                <w:sz w:val="10"/>
                <w:szCs w:val="10"/>
                <w:color w:val="auto"/>
              </w:rPr>
            </w:pPr>
          </w:p>
        </w:tc>
        <w:tc>
          <w:tcPr>
            <w:tcW w:w="940" w:type="dxa"/>
            <w:vAlign w:val="bottom"/>
            <w:shd w:val="clear" w:color="auto" w:fill="E8E8E8"/>
          </w:tcPr>
          <w:p>
            <w:pPr>
              <w:spacing w:after="0"/>
              <w:rPr>
                <w:sz w:val="10"/>
                <w:szCs w:val="10"/>
                <w:color w:val="auto"/>
              </w:rPr>
            </w:pPr>
          </w:p>
        </w:tc>
        <w:tc>
          <w:tcPr>
            <w:tcW w:w="900" w:type="dxa"/>
            <w:vAlign w:val="bottom"/>
            <w:shd w:val="clear" w:color="auto" w:fill="E8E8E8"/>
          </w:tcPr>
          <w:p>
            <w:pPr>
              <w:spacing w:after="0"/>
              <w:rPr>
                <w:sz w:val="10"/>
                <w:szCs w:val="10"/>
                <w:color w:val="auto"/>
              </w:rPr>
            </w:pPr>
          </w:p>
        </w:tc>
        <w:tc>
          <w:tcPr>
            <w:tcW w:w="900" w:type="dxa"/>
            <w:vAlign w:val="bottom"/>
            <w:shd w:val="clear" w:color="auto" w:fill="E8E8E8"/>
          </w:tcPr>
          <w:p>
            <w:pPr>
              <w:spacing w:after="0"/>
              <w:rPr>
                <w:sz w:val="10"/>
                <w:szCs w:val="10"/>
                <w:color w:val="auto"/>
              </w:rPr>
            </w:pPr>
          </w:p>
        </w:tc>
        <w:tc>
          <w:tcPr>
            <w:tcW w:w="880" w:type="dxa"/>
            <w:vAlign w:val="bottom"/>
            <w:shd w:val="clear" w:color="auto" w:fill="E8E8E8"/>
          </w:tcPr>
          <w:p>
            <w:pPr>
              <w:spacing w:after="0"/>
              <w:rPr>
                <w:sz w:val="10"/>
                <w:szCs w:val="10"/>
                <w:color w:val="auto"/>
              </w:rPr>
            </w:pPr>
          </w:p>
        </w:tc>
        <w:tc>
          <w:tcPr>
            <w:tcW w:w="720" w:type="dxa"/>
            <w:vAlign w:val="bottom"/>
            <w:shd w:val="clear" w:color="auto" w:fill="E8E8E8"/>
          </w:tcPr>
          <w:p>
            <w:pPr>
              <w:spacing w:after="0"/>
              <w:rPr>
                <w:sz w:val="10"/>
                <w:szCs w:val="10"/>
                <w:color w:val="auto"/>
              </w:rPr>
            </w:pPr>
          </w:p>
        </w:tc>
        <w:tc>
          <w:tcPr>
            <w:tcW w:w="940" w:type="dxa"/>
            <w:vAlign w:val="bottom"/>
            <w:shd w:val="clear" w:color="auto" w:fill="E8E8E8"/>
          </w:tcPr>
          <w:p>
            <w:pPr>
              <w:spacing w:after="0"/>
              <w:rPr>
                <w:sz w:val="10"/>
                <w:szCs w:val="10"/>
                <w:color w:val="auto"/>
              </w:rPr>
            </w:pPr>
          </w:p>
        </w:tc>
        <w:tc>
          <w:tcPr>
            <w:tcW w:w="940" w:type="dxa"/>
            <w:vAlign w:val="bottom"/>
            <w:vMerge w:val="continue"/>
            <w:shd w:val="clear" w:color="auto" w:fill="E8E8E8"/>
          </w:tcPr>
          <w:p>
            <w:pPr>
              <w:spacing w:after="0"/>
              <w:rPr>
                <w:sz w:val="10"/>
                <w:szCs w:val="10"/>
                <w:color w:val="auto"/>
              </w:rPr>
            </w:pPr>
          </w:p>
        </w:tc>
        <w:tc>
          <w:tcPr>
            <w:tcW w:w="240" w:type="dxa"/>
            <w:vAlign w:val="bottom"/>
            <w:shd w:val="clear" w:color="auto" w:fill="E8E8E8"/>
          </w:tcPr>
          <w:p>
            <w:pPr>
              <w:spacing w:after="0"/>
              <w:rPr>
                <w:sz w:val="10"/>
                <w:szCs w:val="10"/>
                <w:color w:val="auto"/>
              </w:rPr>
            </w:pPr>
          </w:p>
        </w:tc>
        <w:tc>
          <w:tcPr>
            <w:tcW w:w="940" w:type="dxa"/>
            <w:vAlign w:val="bottom"/>
            <w:vMerge w:val="continue"/>
            <w:shd w:val="clear" w:color="auto" w:fill="E8E8E8"/>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700" w:type="dxa"/>
            <w:vAlign w:val="bottom"/>
            <w:shd w:val="clear" w:color="auto" w:fill="E8E8E8"/>
          </w:tcPr>
          <w:p>
            <w:pPr>
              <w:spacing w:after="0"/>
              <w:rPr>
                <w:sz w:val="13"/>
                <w:szCs w:val="13"/>
                <w:color w:val="auto"/>
              </w:rPr>
            </w:pPr>
          </w:p>
        </w:tc>
        <w:tc>
          <w:tcPr>
            <w:tcW w:w="140" w:type="dxa"/>
            <w:vAlign w:val="bottom"/>
            <w:shd w:val="clear" w:color="auto" w:fill="E8E8E8"/>
          </w:tcPr>
          <w:p>
            <w:pPr>
              <w:spacing w:after="0"/>
              <w:rPr>
                <w:sz w:val="13"/>
                <w:szCs w:val="13"/>
                <w:color w:val="auto"/>
              </w:rPr>
            </w:pPr>
          </w:p>
        </w:tc>
        <w:tc>
          <w:tcPr>
            <w:tcW w:w="680" w:type="dxa"/>
            <w:vAlign w:val="bottom"/>
            <w:shd w:val="clear" w:color="auto" w:fill="E8E8E8"/>
          </w:tcPr>
          <w:p>
            <w:pPr>
              <w:jc w:val="right"/>
              <w:ind w:right="58"/>
              <w:spacing w:after="0"/>
              <w:rPr>
                <w:sz w:val="20"/>
                <w:szCs w:val="20"/>
                <w:color w:val="auto"/>
              </w:rPr>
            </w:pPr>
            <w:r>
              <w:rPr>
                <w:rFonts w:ascii="Arial" w:cs="Arial" w:eastAsia="Arial" w:hAnsi="Arial"/>
                <w:sz w:val="12"/>
                <w:szCs w:val="12"/>
                <w:color w:val="auto"/>
              </w:rPr>
              <w:t>2/25/2021</w:t>
            </w:r>
          </w:p>
        </w:tc>
        <w:tc>
          <w:tcPr>
            <w:tcW w:w="940" w:type="dxa"/>
            <w:vAlign w:val="bottom"/>
            <w:shd w:val="clear" w:color="auto" w:fill="E8E8E8"/>
          </w:tcPr>
          <w:p>
            <w:pPr>
              <w:spacing w:after="0"/>
              <w:rPr>
                <w:sz w:val="13"/>
                <w:szCs w:val="13"/>
                <w:color w:val="auto"/>
              </w:rPr>
            </w:pPr>
          </w:p>
        </w:tc>
        <w:tc>
          <w:tcPr>
            <w:tcW w:w="900" w:type="dxa"/>
            <w:vAlign w:val="bottom"/>
            <w:shd w:val="clear" w:color="auto" w:fill="E8E8E8"/>
          </w:tcPr>
          <w:p>
            <w:pPr>
              <w:spacing w:after="0"/>
              <w:rPr>
                <w:sz w:val="13"/>
                <w:szCs w:val="13"/>
                <w:color w:val="auto"/>
              </w:rPr>
            </w:pPr>
          </w:p>
        </w:tc>
        <w:tc>
          <w:tcPr>
            <w:tcW w:w="900" w:type="dxa"/>
            <w:vAlign w:val="bottom"/>
            <w:shd w:val="clear" w:color="auto" w:fill="E8E8E8"/>
          </w:tcPr>
          <w:p>
            <w:pPr>
              <w:spacing w:after="0"/>
              <w:rPr>
                <w:sz w:val="13"/>
                <w:szCs w:val="13"/>
                <w:color w:val="auto"/>
              </w:rPr>
            </w:pPr>
          </w:p>
        </w:tc>
        <w:tc>
          <w:tcPr>
            <w:tcW w:w="880" w:type="dxa"/>
            <w:vAlign w:val="bottom"/>
            <w:shd w:val="clear" w:color="auto" w:fill="E8E8E8"/>
          </w:tcPr>
          <w:p>
            <w:pPr>
              <w:jc w:val="right"/>
              <w:ind w:right="98"/>
              <w:spacing w:after="0"/>
              <w:rPr>
                <w:sz w:val="20"/>
                <w:szCs w:val="20"/>
                <w:color w:val="auto"/>
              </w:rPr>
            </w:pPr>
            <w:r>
              <w:rPr>
                <w:rFonts w:ascii="Arial" w:cs="Arial" w:eastAsia="Arial" w:hAnsi="Arial"/>
                <w:sz w:val="12"/>
                <w:szCs w:val="12"/>
                <w:color w:val="auto"/>
              </w:rPr>
              <w:t>17,200</w:t>
            </w:r>
          </w:p>
        </w:tc>
        <w:tc>
          <w:tcPr>
            <w:tcW w:w="720" w:type="dxa"/>
            <w:vAlign w:val="bottom"/>
            <w:shd w:val="clear" w:color="auto" w:fill="E8E8E8"/>
          </w:tcPr>
          <w:p>
            <w:pPr>
              <w:jc w:val="right"/>
              <w:ind w:right="78"/>
              <w:spacing w:after="0"/>
              <w:rPr>
                <w:sz w:val="20"/>
                <w:szCs w:val="20"/>
                <w:color w:val="auto"/>
              </w:rPr>
            </w:pPr>
            <w:r>
              <w:rPr>
                <w:rFonts w:ascii="Arial" w:cs="Arial" w:eastAsia="Arial" w:hAnsi="Arial"/>
                <w:sz w:val="12"/>
                <w:szCs w:val="12"/>
                <w:color w:val="auto"/>
              </w:rPr>
              <w:t>34,400</w:t>
            </w:r>
          </w:p>
        </w:tc>
        <w:tc>
          <w:tcPr>
            <w:tcW w:w="940" w:type="dxa"/>
            <w:vAlign w:val="bottom"/>
            <w:shd w:val="clear" w:color="auto" w:fill="E8E8E8"/>
          </w:tcPr>
          <w:p>
            <w:pPr>
              <w:jc w:val="right"/>
              <w:ind w:right="138"/>
              <w:spacing w:after="0"/>
              <w:rPr>
                <w:sz w:val="20"/>
                <w:szCs w:val="20"/>
                <w:color w:val="auto"/>
              </w:rPr>
            </w:pPr>
            <w:r>
              <w:rPr>
                <w:rFonts w:ascii="Arial" w:cs="Arial" w:eastAsia="Arial" w:hAnsi="Arial"/>
                <w:sz w:val="12"/>
                <w:szCs w:val="12"/>
                <w:color w:val="auto"/>
              </w:rPr>
              <w:t>68,800</w:t>
            </w:r>
          </w:p>
        </w:tc>
        <w:tc>
          <w:tcPr>
            <w:tcW w:w="940" w:type="dxa"/>
            <w:vAlign w:val="bottom"/>
            <w:shd w:val="clear" w:color="auto" w:fill="E8E8E8"/>
          </w:tcPr>
          <w:p>
            <w:pPr>
              <w:spacing w:after="0"/>
              <w:rPr>
                <w:sz w:val="13"/>
                <w:szCs w:val="13"/>
                <w:color w:val="auto"/>
              </w:rPr>
            </w:pPr>
          </w:p>
        </w:tc>
        <w:tc>
          <w:tcPr>
            <w:tcW w:w="240" w:type="dxa"/>
            <w:vAlign w:val="bottom"/>
            <w:shd w:val="clear" w:color="auto" w:fill="E8E8E8"/>
          </w:tcPr>
          <w:p>
            <w:pPr>
              <w:spacing w:after="0"/>
              <w:rPr>
                <w:sz w:val="13"/>
                <w:szCs w:val="13"/>
                <w:color w:val="auto"/>
              </w:rPr>
            </w:pPr>
          </w:p>
        </w:tc>
        <w:tc>
          <w:tcPr>
            <w:tcW w:w="940" w:type="dxa"/>
            <w:vAlign w:val="bottom"/>
            <w:shd w:val="clear" w:color="auto" w:fill="E8E8E8"/>
          </w:tcPr>
          <w:p>
            <w:pPr>
              <w:jc w:val="right"/>
              <w:ind w:right="38"/>
              <w:spacing w:after="0"/>
              <w:rPr>
                <w:sz w:val="20"/>
                <w:szCs w:val="20"/>
                <w:color w:val="auto"/>
              </w:rPr>
            </w:pPr>
            <w:r>
              <w:rPr>
                <w:rFonts w:ascii="Arial" w:cs="Arial" w:eastAsia="Arial" w:hAnsi="Arial"/>
                <w:sz w:val="12"/>
                <w:szCs w:val="12"/>
                <w:color w:val="auto"/>
              </w:rPr>
              <w:t>6,656,056</w:t>
            </w:r>
          </w:p>
        </w:tc>
        <w:tc>
          <w:tcPr>
            <w:tcW w:w="0" w:type="dxa"/>
            <w:vAlign w:val="bottom"/>
          </w:tcPr>
          <w:p>
            <w:pPr>
              <w:spacing w:after="0"/>
              <w:rPr>
                <w:sz w:val="1"/>
                <w:szCs w:val="1"/>
                <w:color w:val="auto"/>
              </w:rPr>
            </w:pPr>
          </w:p>
        </w:tc>
      </w:tr>
      <w:tr>
        <w:trPr>
          <w:trHeight w:val="165"/>
        </w:trPr>
        <w:tc>
          <w:tcPr>
            <w:tcW w:w="2700" w:type="dxa"/>
            <w:vAlign w:val="bottom"/>
          </w:tcPr>
          <w:p>
            <w:pPr>
              <w:spacing w:after="0"/>
              <w:rPr>
                <w:sz w:val="20"/>
                <w:szCs w:val="20"/>
                <w:color w:val="auto"/>
              </w:rPr>
            </w:pPr>
            <w:r>
              <w:rPr>
                <w:rFonts w:ascii="Arial" w:cs="Arial" w:eastAsia="Arial" w:hAnsi="Arial"/>
                <w:sz w:val="12"/>
                <w:szCs w:val="12"/>
                <w:color w:val="auto"/>
              </w:rPr>
              <w:t>Matthew J. Audette</w:t>
            </w:r>
          </w:p>
        </w:tc>
        <w:tc>
          <w:tcPr>
            <w:tcW w:w="820" w:type="dxa"/>
            <w:vAlign w:val="bottom"/>
            <w:gridSpan w:val="2"/>
            <w:vMerge w:val="restart"/>
          </w:tcPr>
          <w:p>
            <w:pPr>
              <w:jc w:val="right"/>
              <w:ind w:right="58"/>
              <w:spacing w:after="0"/>
              <w:rPr>
                <w:sz w:val="20"/>
                <w:szCs w:val="20"/>
                <w:color w:val="auto"/>
              </w:rPr>
            </w:pPr>
            <w:r>
              <w:rPr>
                <w:rFonts w:ascii="Arial" w:cs="Arial" w:eastAsia="Arial" w:hAnsi="Arial"/>
                <w:sz w:val="12"/>
                <w:szCs w:val="12"/>
                <w:color w:val="auto"/>
              </w:rPr>
              <w:t>2/25/2021</w:t>
            </w:r>
          </w:p>
        </w:tc>
        <w:tc>
          <w:tcPr>
            <w:tcW w:w="940" w:type="dxa"/>
            <w:vAlign w:val="bottom"/>
          </w:tcPr>
          <w:p>
            <w:pPr>
              <w:spacing w:after="0"/>
              <w:rPr>
                <w:sz w:val="14"/>
                <w:szCs w:val="14"/>
                <w:color w:val="auto"/>
              </w:rPr>
            </w:pPr>
          </w:p>
        </w:tc>
        <w:tc>
          <w:tcPr>
            <w:tcW w:w="900" w:type="dxa"/>
            <w:vAlign w:val="bottom"/>
          </w:tcPr>
          <w:p>
            <w:pPr>
              <w:jc w:val="right"/>
              <w:ind w:right="158"/>
              <w:spacing w:after="0"/>
              <w:rPr>
                <w:sz w:val="20"/>
                <w:szCs w:val="20"/>
                <w:color w:val="auto"/>
              </w:rPr>
            </w:pPr>
            <w:r>
              <w:rPr>
                <w:rFonts w:ascii="Arial" w:cs="Arial" w:eastAsia="Arial" w:hAnsi="Arial"/>
                <w:sz w:val="12"/>
                <w:szCs w:val="12"/>
                <w:color w:val="auto"/>
              </w:rPr>
              <w:t>1,050,000</w:t>
            </w: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vMerge w:val="restart"/>
          </w:tcPr>
          <w:p>
            <w:pPr>
              <w:jc w:val="right"/>
              <w:ind w:right="138"/>
              <w:spacing w:after="0"/>
              <w:rPr>
                <w:sz w:val="20"/>
                <w:szCs w:val="20"/>
                <w:color w:val="auto"/>
              </w:rPr>
            </w:pPr>
            <w:r>
              <w:rPr>
                <w:rFonts w:ascii="Arial" w:cs="Arial" w:eastAsia="Arial" w:hAnsi="Arial"/>
                <w:sz w:val="12"/>
                <w:szCs w:val="12"/>
                <w:color w:val="auto"/>
              </w:rPr>
              <w:t>3,767</w:t>
            </w:r>
          </w:p>
        </w:tc>
        <w:tc>
          <w:tcPr>
            <w:tcW w:w="240" w:type="dxa"/>
            <w:vAlign w:val="bottom"/>
          </w:tcPr>
          <w:p>
            <w:pPr>
              <w:spacing w:after="0"/>
              <w:rPr>
                <w:sz w:val="14"/>
                <w:szCs w:val="14"/>
                <w:color w:val="auto"/>
              </w:rPr>
            </w:pPr>
          </w:p>
        </w:tc>
        <w:tc>
          <w:tcPr>
            <w:tcW w:w="940" w:type="dxa"/>
            <w:vAlign w:val="bottom"/>
            <w:vMerge w:val="restart"/>
          </w:tcPr>
          <w:p>
            <w:pPr>
              <w:jc w:val="right"/>
              <w:ind w:right="38"/>
              <w:spacing w:after="0"/>
              <w:rPr>
                <w:sz w:val="20"/>
                <w:szCs w:val="20"/>
                <w:color w:val="auto"/>
              </w:rPr>
            </w:pPr>
            <w:r>
              <w:rPr>
                <w:rFonts w:ascii="Arial" w:cs="Arial" w:eastAsia="Arial" w:hAnsi="Arial"/>
                <w:sz w:val="12"/>
                <w:szCs w:val="12"/>
                <w:color w:val="auto"/>
              </w:rPr>
              <w:t>488,858</w:t>
            </w:r>
          </w:p>
        </w:tc>
        <w:tc>
          <w:tcPr>
            <w:tcW w:w="0" w:type="dxa"/>
            <w:vAlign w:val="bottom"/>
          </w:tcPr>
          <w:p>
            <w:pPr>
              <w:spacing w:after="0"/>
              <w:rPr>
                <w:sz w:val="1"/>
                <w:szCs w:val="1"/>
                <w:color w:val="auto"/>
              </w:rPr>
            </w:pPr>
          </w:p>
        </w:tc>
      </w:tr>
      <w:tr>
        <w:trPr>
          <w:trHeight w:val="85"/>
        </w:trPr>
        <w:tc>
          <w:tcPr>
            <w:tcW w:w="27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900" w:type="dxa"/>
            <w:vAlign w:val="bottom"/>
          </w:tcPr>
          <w:p>
            <w:pPr>
              <w:spacing w:after="0"/>
              <w:rPr>
                <w:sz w:val="7"/>
                <w:szCs w:val="7"/>
                <w:color w:val="auto"/>
              </w:rPr>
            </w:pPr>
          </w:p>
        </w:tc>
        <w:tc>
          <w:tcPr>
            <w:tcW w:w="9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2700" w:type="dxa"/>
            <w:vAlign w:val="bottom"/>
          </w:tcPr>
          <w:p>
            <w:pPr>
              <w:spacing w:after="0"/>
              <w:rPr>
                <w:sz w:val="13"/>
                <w:szCs w:val="13"/>
                <w:color w:val="auto"/>
              </w:rPr>
            </w:pPr>
          </w:p>
        </w:tc>
        <w:tc>
          <w:tcPr>
            <w:tcW w:w="820" w:type="dxa"/>
            <w:vAlign w:val="bottom"/>
            <w:gridSpan w:val="2"/>
          </w:tcPr>
          <w:p>
            <w:pPr>
              <w:jc w:val="right"/>
              <w:ind w:right="58"/>
              <w:spacing w:after="0"/>
              <w:rPr>
                <w:sz w:val="20"/>
                <w:szCs w:val="20"/>
                <w:color w:val="auto"/>
              </w:rPr>
            </w:pPr>
            <w:r>
              <w:rPr>
                <w:rFonts w:ascii="Arial" w:cs="Arial" w:eastAsia="Arial" w:hAnsi="Arial"/>
                <w:sz w:val="12"/>
                <w:szCs w:val="12"/>
                <w:color w:val="auto"/>
              </w:rPr>
              <w:t>2/25/2021</w:t>
            </w: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jc w:val="right"/>
              <w:ind w:right="98"/>
              <w:spacing w:after="0"/>
              <w:rPr>
                <w:sz w:val="20"/>
                <w:szCs w:val="20"/>
                <w:color w:val="auto"/>
              </w:rPr>
            </w:pPr>
            <w:r>
              <w:rPr>
                <w:rFonts w:ascii="Arial" w:cs="Arial" w:eastAsia="Arial" w:hAnsi="Arial"/>
                <w:sz w:val="12"/>
                <w:szCs w:val="12"/>
                <w:color w:val="auto"/>
              </w:rPr>
              <w:t>2,826</w:t>
            </w:r>
          </w:p>
        </w:tc>
        <w:tc>
          <w:tcPr>
            <w:tcW w:w="720" w:type="dxa"/>
            <w:vAlign w:val="bottom"/>
          </w:tcPr>
          <w:p>
            <w:pPr>
              <w:jc w:val="right"/>
              <w:ind w:right="78"/>
              <w:spacing w:after="0"/>
              <w:rPr>
                <w:sz w:val="20"/>
                <w:szCs w:val="20"/>
                <w:color w:val="auto"/>
              </w:rPr>
            </w:pPr>
            <w:r>
              <w:rPr>
                <w:rFonts w:ascii="Arial" w:cs="Arial" w:eastAsia="Arial" w:hAnsi="Arial"/>
                <w:sz w:val="12"/>
                <w:szCs w:val="12"/>
                <w:color w:val="auto"/>
              </w:rPr>
              <w:t>5,651</w:t>
            </w:r>
          </w:p>
        </w:tc>
        <w:tc>
          <w:tcPr>
            <w:tcW w:w="940" w:type="dxa"/>
            <w:vAlign w:val="bottom"/>
          </w:tcPr>
          <w:p>
            <w:pPr>
              <w:jc w:val="right"/>
              <w:ind w:right="138"/>
              <w:spacing w:after="0"/>
              <w:rPr>
                <w:sz w:val="20"/>
                <w:szCs w:val="20"/>
                <w:color w:val="auto"/>
              </w:rPr>
            </w:pPr>
            <w:r>
              <w:rPr>
                <w:rFonts w:ascii="Arial" w:cs="Arial" w:eastAsia="Arial" w:hAnsi="Arial"/>
                <w:sz w:val="12"/>
                <w:szCs w:val="12"/>
                <w:color w:val="auto"/>
              </w:rPr>
              <w:t>11,302</w:t>
            </w: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ind w:right="38"/>
              <w:spacing w:after="0"/>
              <w:rPr>
                <w:sz w:val="20"/>
                <w:szCs w:val="20"/>
                <w:color w:val="auto"/>
              </w:rPr>
            </w:pPr>
            <w:r>
              <w:rPr>
                <w:rFonts w:ascii="Arial" w:cs="Arial" w:eastAsia="Arial" w:hAnsi="Arial"/>
                <w:sz w:val="12"/>
                <w:szCs w:val="12"/>
                <w:color w:val="auto"/>
              </w:rPr>
              <w:t>1,093,412</w:t>
            </w:r>
          </w:p>
        </w:tc>
        <w:tc>
          <w:tcPr>
            <w:tcW w:w="0" w:type="dxa"/>
            <w:vAlign w:val="bottom"/>
          </w:tcPr>
          <w:p>
            <w:pPr>
              <w:spacing w:after="0"/>
              <w:rPr>
                <w:sz w:val="1"/>
                <w:szCs w:val="1"/>
                <w:color w:val="auto"/>
              </w:rPr>
            </w:pPr>
          </w:p>
        </w:tc>
      </w:tr>
      <w:tr>
        <w:trPr>
          <w:trHeight w:val="134"/>
        </w:trPr>
        <w:tc>
          <w:tcPr>
            <w:tcW w:w="2700" w:type="dxa"/>
            <w:vAlign w:val="bottom"/>
            <w:shd w:val="clear" w:color="auto" w:fill="E8E8E8"/>
          </w:tcPr>
          <w:p>
            <w:pPr>
              <w:spacing w:after="0" w:line="134" w:lineRule="exact"/>
              <w:rPr>
                <w:sz w:val="20"/>
                <w:szCs w:val="20"/>
                <w:color w:val="auto"/>
              </w:rPr>
            </w:pPr>
            <w:r>
              <w:rPr>
                <w:rFonts w:ascii="Arial" w:cs="Arial" w:eastAsia="Arial" w:hAnsi="Arial"/>
                <w:sz w:val="12"/>
                <w:szCs w:val="12"/>
                <w:color w:val="auto"/>
              </w:rPr>
              <w:t>Edward Fandrey</w:t>
            </w:r>
          </w:p>
        </w:tc>
        <w:tc>
          <w:tcPr>
            <w:tcW w:w="140" w:type="dxa"/>
            <w:vAlign w:val="bottom"/>
            <w:shd w:val="clear" w:color="auto" w:fill="E8E8E8"/>
          </w:tcPr>
          <w:p>
            <w:pPr>
              <w:spacing w:after="0"/>
              <w:rPr>
                <w:sz w:val="11"/>
                <w:szCs w:val="11"/>
                <w:color w:val="auto"/>
              </w:rPr>
            </w:pPr>
          </w:p>
        </w:tc>
        <w:tc>
          <w:tcPr>
            <w:tcW w:w="680" w:type="dxa"/>
            <w:vAlign w:val="bottom"/>
            <w:shd w:val="clear" w:color="auto" w:fill="E8E8E8"/>
          </w:tcPr>
          <w:p>
            <w:pPr>
              <w:spacing w:after="0"/>
              <w:rPr>
                <w:sz w:val="11"/>
                <w:szCs w:val="11"/>
                <w:color w:val="auto"/>
              </w:rPr>
            </w:pPr>
          </w:p>
        </w:tc>
        <w:tc>
          <w:tcPr>
            <w:tcW w:w="940" w:type="dxa"/>
            <w:vAlign w:val="bottom"/>
            <w:shd w:val="clear" w:color="auto" w:fill="E8E8E8"/>
          </w:tcPr>
          <w:p>
            <w:pPr>
              <w:spacing w:after="0"/>
              <w:rPr>
                <w:sz w:val="11"/>
                <w:szCs w:val="11"/>
                <w:color w:val="auto"/>
              </w:rPr>
            </w:pPr>
          </w:p>
        </w:tc>
        <w:tc>
          <w:tcPr>
            <w:tcW w:w="900" w:type="dxa"/>
            <w:vAlign w:val="bottom"/>
            <w:shd w:val="clear" w:color="auto" w:fill="E8E8E8"/>
          </w:tcPr>
          <w:p>
            <w:pPr>
              <w:jc w:val="right"/>
              <w:ind w:right="158"/>
              <w:spacing w:after="0" w:line="134" w:lineRule="exact"/>
              <w:rPr>
                <w:sz w:val="20"/>
                <w:szCs w:val="20"/>
                <w:color w:val="auto"/>
              </w:rPr>
            </w:pPr>
            <w:r>
              <w:rPr>
                <w:rFonts w:ascii="Arial" w:cs="Arial" w:eastAsia="Arial" w:hAnsi="Arial"/>
                <w:sz w:val="12"/>
                <w:szCs w:val="12"/>
                <w:color w:val="auto"/>
              </w:rPr>
              <w:t>800,000</w:t>
            </w:r>
          </w:p>
        </w:tc>
        <w:tc>
          <w:tcPr>
            <w:tcW w:w="900" w:type="dxa"/>
            <w:vAlign w:val="bottom"/>
            <w:shd w:val="clear" w:color="auto" w:fill="E8E8E8"/>
          </w:tcPr>
          <w:p>
            <w:pPr>
              <w:spacing w:after="0"/>
              <w:rPr>
                <w:sz w:val="11"/>
                <w:szCs w:val="11"/>
                <w:color w:val="auto"/>
              </w:rPr>
            </w:pPr>
          </w:p>
        </w:tc>
        <w:tc>
          <w:tcPr>
            <w:tcW w:w="880" w:type="dxa"/>
            <w:vAlign w:val="bottom"/>
            <w:shd w:val="clear" w:color="auto" w:fill="E8E8E8"/>
          </w:tcPr>
          <w:p>
            <w:pPr>
              <w:spacing w:after="0"/>
              <w:rPr>
                <w:sz w:val="11"/>
                <w:szCs w:val="11"/>
                <w:color w:val="auto"/>
              </w:rPr>
            </w:pPr>
          </w:p>
        </w:tc>
        <w:tc>
          <w:tcPr>
            <w:tcW w:w="720" w:type="dxa"/>
            <w:vAlign w:val="bottom"/>
            <w:shd w:val="clear" w:color="auto" w:fill="E8E8E8"/>
          </w:tcPr>
          <w:p>
            <w:pPr>
              <w:spacing w:after="0"/>
              <w:rPr>
                <w:sz w:val="11"/>
                <w:szCs w:val="11"/>
                <w:color w:val="auto"/>
              </w:rPr>
            </w:pPr>
          </w:p>
        </w:tc>
        <w:tc>
          <w:tcPr>
            <w:tcW w:w="940" w:type="dxa"/>
            <w:vAlign w:val="bottom"/>
            <w:shd w:val="clear" w:color="auto" w:fill="E8E8E8"/>
          </w:tcPr>
          <w:p>
            <w:pPr>
              <w:spacing w:after="0"/>
              <w:rPr>
                <w:sz w:val="11"/>
                <w:szCs w:val="11"/>
                <w:color w:val="auto"/>
              </w:rPr>
            </w:pPr>
          </w:p>
        </w:tc>
        <w:tc>
          <w:tcPr>
            <w:tcW w:w="940" w:type="dxa"/>
            <w:vAlign w:val="bottom"/>
            <w:vMerge w:val="restart"/>
            <w:shd w:val="clear" w:color="auto" w:fill="E8E8E8"/>
          </w:tcPr>
          <w:p>
            <w:pPr>
              <w:jc w:val="right"/>
              <w:ind w:right="138"/>
              <w:spacing w:after="0"/>
              <w:rPr>
                <w:sz w:val="20"/>
                <w:szCs w:val="20"/>
                <w:color w:val="auto"/>
              </w:rPr>
            </w:pPr>
            <w:r>
              <w:rPr>
                <w:rFonts w:ascii="Arial" w:cs="Arial" w:eastAsia="Arial" w:hAnsi="Arial"/>
                <w:sz w:val="12"/>
                <w:szCs w:val="12"/>
                <w:color w:val="auto"/>
              </w:rPr>
              <w:t>3,603</w:t>
            </w:r>
          </w:p>
        </w:tc>
        <w:tc>
          <w:tcPr>
            <w:tcW w:w="240" w:type="dxa"/>
            <w:vAlign w:val="bottom"/>
            <w:shd w:val="clear" w:color="auto" w:fill="E8E8E8"/>
          </w:tcPr>
          <w:p>
            <w:pPr>
              <w:spacing w:after="0"/>
              <w:rPr>
                <w:sz w:val="11"/>
                <w:szCs w:val="11"/>
                <w:color w:val="auto"/>
              </w:rPr>
            </w:pPr>
          </w:p>
        </w:tc>
        <w:tc>
          <w:tcPr>
            <w:tcW w:w="940" w:type="dxa"/>
            <w:vAlign w:val="bottom"/>
            <w:vMerge w:val="restart"/>
            <w:shd w:val="clear" w:color="auto" w:fill="E8E8E8"/>
          </w:tcPr>
          <w:p>
            <w:pPr>
              <w:jc w:val="right"/>
              <w:ind w:right="38"/>
              <w:spacing w:after="0"/>
              <w:rPr>
                <w:sz w:val="20"/>
                <w:szCs w:val="20"/>
                <w:color w:val="auto"/>
              </w:rPr>
            </w:pPr>
            <w:r>
              <w:rPr>
                <w:rFonts w:ascii="Arial" w:cs="Arial" w:eastAsia="Arial" w:hAnsi="Arial"/>
                <w:sz w:val="12"/>
                <w:szCs w:val="12"/>
                <w:color w:val="auto"/>
              </w:rPr>
              <w:t>467,575</w:t>
            </w:r>
          </w:p>
        </w:tc>
        <w:tc>
          <w:tcPr>
            <w:tcW w:w="0" w:type="dxa"/>
            <w:vAlign w:val="bottom"/>
          </w:tcPr>
          <w:p>
            <w:pPr>
              <w:spacing w:after="0"/>
              <w:rPr>
                <w:sz w:val="1"/>
                <w:szCs w:val="1"/>
                <w:color w:val="auto"/>
              </w:rPr>
            </w:pPr>
          </w:p>
        </w:tc>
      </w:tr>
      <w:tr>
        <w:trPr>
          <w:trHeight w:val="116"/>
        </w:trPr>
        <w:tc>
          <w:tcPr>
            <w:tcW w:w="2700" w:type="dxa"/>
            <w:vAlign w:val="bottom"/>
            <w:shd w:val="clear" w:color="auto" w:fill="E8E8E8"/>
          </w:tcPr>
          <w:p>
            <w:pPr>
              <w:spacing w:after="0"/>
              <w:rPr>
                <w:sz w:val="10"/>
                <w:szCs w:val="10"/>
                <w:color w:val="auto"/>
              </w:rPr>
            </w:pPr>
          </w:p>
        </w:tc>
        <w:tc>
          <w:tcPr>
            <w:tcW w:w="140" w:type="dxa"/>
            <w:vAlign w:val="bottom"/>
            <w:shd w:val="clear" w:color="auto" w:fill="E8E8E8"/>
          </w:tcPr>
          <w:p>
            <w:pPr>
              <w:spacing w:after="0"/>
              <w:rPr>
                <w:sz w:val="10"/>
                <w:szCs w:val="10"/>
                <w:color w:val="auto"/>
              </w:rPr>
            </w:pPr>
          </w:p>
        </w:tc>
        <w:tc>
          <w:tcPr>
            <w:tcW w:w="680" w:type="dxa"/>
            <w:vAlign w:val="bottom"/>
            <w:shd w:val="clear" w:color="auto" w:fill="E8E8E8"/>
          </w:tcPr>
          <w:p>
            <w:pPr>
              <w:jc w:val="right"/>
              <w:ind w:right="58"/>
              <w:spacing w:after="0" w:line="116" w:lineRule="exact"/>
              <w:rPr>
                <w:sz w:val="20"/>
                <w:szCs w:val="20"/>
                <w:color w:val="auto"/>
              </w:rPr>
            </w:pPr>
            <w:r>
              <w:rPr>
                <w:rFonts w:ascii="Arial" w:cs="Arial" w:eastAsia="Arial" w:hAnsi="Arial"/>
                <w:sz w:val="12"/>
                <w:szCs w:val="12"/>
                <w:color w:val="auto"/>
              </w:rPr>
              <w:t>2/25/2021</w:t>
            </w:r>
          </w:p>
        </w:tc>
        <w:tc>
          <w:tcPr>
            <w:tcW w:w="940" w:type="dxa"/>
            <w:vAlign w:val="bottom"/>
            <w:shd w:val="clear" w:color="auto" w:fill="E8E8E8"/>
          </w:tcPr>
          <w:p>
            <w:pPr>
              <w:spacing w:after="0"/>
              <w:rPr>
                <w:sz w:val="10"/>
                <w:szCs w:val="10"/>
                <w:color w:val="auto"/>
              </w:rPr>
            </w:pPr>
          </w:p>
        </w:tc>
        <w:tc>
          <w:tcPr>
            <w:tcW w:w="900" w:type="dxa"/>
            <w:vAlign w:val="bottom"/>
            <w:shd w:val="clear" w:color="auto" w:fill="E8E8E8"/>
          </w:tcPr>
          <w:p>
            <w:pPr>
              <w:spacing w:after="0"/>
              <w:rPr>
                <w:sz w:val="10"/>
                <w:szCs w:val="10"/>
                <w:color w:val="auto"/>
              </w:rPr>
            </w:pPr>
          </w:p>
        </w:tc>
        <w:tc>
          <w:tcPr>
            <w:tcW w:w="900" w:type="dxa"/>
            <w:vAlign w:val="bottom"/>
            <w:shd w:val="clear" w:color="auto" w:fill="E8E8E8"/>
          </w:tcPr>
          <w:p>
            <w:pPr>
              <w:spacing w:after="0"/>
              <w:rPr>
                <w:sz w:val="10"/>
                <w:szCs w:val="10"/>
                <w:color w:val="auto"/>
              </w:rPr>
            </w:pPr>
          </w:p>
        </w:tc>
        <w:tc>
          <w:tcPr>
            <w:tcW w:w="880" w:type="dxa"/>
            <w:vAlign w:val="bottom"/>
            <w:shd w:val="clear" w:color="auto" w:fill="E8E8E8"/>
          </w:tcPr>
          <w:p>
            <w:pPr>
              <w:spacing w:after="0"/>
              <w:rPr>
                <w:sz w:val="10"/>
                <w:szCs w:val="10"/>
                <w:color w:val="auto"/>
              </w:rPr>
            </w:pPr>
          </w:p>
        </w:tc>
        <w:tc>
          <w:tcPr>
            <w:tcW w:w="720" w:type="dxa"/>
            <w:vAlign w:val="bottom"/>
            <w:shd w:val="clear" w:color="auto" w:fill="E8E8E8"/>
          </w:tcPr>
          <w:p>
            <w:pPr>
              <w:spacing w:after="0"/>
              <w:rPr>
                <w:sz w:val="10"/>
                <w:szCs w:val="10"/>
                <w:color w:val="auto"/>
              </w:rPr>
            </w:pPr>
          </w:p>
        </w:tc>
        <w:tc>
          <w:tcPr>
            <w:tcW w:w="940" w:type="dxa"/>
            <w:vAlign w:val="bottom"/>
            <w:shd w:val="clear" w:color="auto" w:fill="E8E8E8"/>
          </w:tcPr>
          <w:p>
            <w:pPr>
              <w:spacing w:after="0"/>
              <w:rPr>
                <w:sz w:val="10"/>
                <w:szCs w:val="10"/>
                <w:color w:val="auto"/>
              </w:rPr>
            </w:pPr>
          </w:p>
        </w:tc>
        <w:tc>
          <w:tcPr>
            <w:tcW w:w="940" w:type="dxa"/>
            <w:vAlign w:val="bottom"/>
            <w:vMerge w:val="continue"/>
            <w:shd w:val="clear" w:color="auto" w:fill="E8E8E8"/>
          </w:tcPr>
          <w:p>
            <w:pPr>
              <w:spacing w:after="0"/>
              <w:rPr>
                <w:sz w:val="10"/>
                <w:szCs w:val="10"/>
                <w:color w:val="auto"/>
              </w:rPr>
            </w:pPr>
          </w:p>
        </w:tc>
        <w:tc>
          <w:tcPr>
            <w:tcW w:w="240" w:type="dxa"/>
            <w:vAlign w:val="bottom"/>
            <w:shd w:val="clear" w:color="auto" w:fill="E8E8E8"/>
          </w:tcPr>
          <w:p>
            <w:pPr>
              <w:spacing w:after="0"/>
              <w:rPr>
                <w:sz w:val="10"/>
                <w:szCs w:val="10"/>
                <w:color w:val="auto"/>
              </w:rPr>
            </w:pPr>
          </w:p>
        </w:tc>
        <w:tc>
          <w:tcPr>
            <w:tcW w:w="940" w:type="dxa"/>
            <w:vAlign w:val="bottom"/>
            <w:vMerge w:val="continue"/>
            <w:shd w:val="clear" w:color="auto" w:fill="E8E8E8"/>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700" w:type="dxa"/>
            <w:vAlign w:val="bottom"/>
            <w:shd w:val="clear" w:color="auto" w:fill="E8E8E8"/>
          </w:tcPr>
          <w:p>
            <w:pPr>
              <w:spacing w:after="0"/>
              <w:rPr>
                <w:sz w:val="13"/>
                <w:szCs w:val="13"/>
                <w:color w:val="auto"/>
              </w:rPr>
            </w:pPr>
          </w:p>
        </w:tc>
        <w:tc>
          <w:tcPr>
            <w:tcW w:w="140" w:type="dxa"/>
            <w:vAlign w:val="bottom"/>
            <w:shd w:val="clear" w:color="auto" w:fill="E8E8E8"/>
          </w:tcPr>
          <w:p>
            <w:pPr>
              <w:spacing w:after="0"/>
              <w:rPr>
                <w:sz w:val="13"/>
                <w:szCs w:val="13"/>
                <w:color w:val="auto"/>
              </w:rPr>
            </w:pPr>
          </w:p>
        </w:tc>
        <w:tc>
          <w:tcPr>
            <w:tcW w:w="680" w:type="dxa"/>
            <w:vAlign w:val="bottom"/>
            <w:shd w:val="clear" w:color="auto" w:fill="E8E8E8"/>
          </w:tcPr>
          <w:p>
            <w:pPr>
              <w:jc w:val="right"/>
              <w:ind w:right="58"/>
              <w:spacing w:after="0"/>
              <w:rPr>
                <w:sz w:val="20"/>
                <w:szCs w:val="20"/>
                <w:color w:val="auto"/>
              </w:rPr>
            </w:pPr>
            <w:r>
              <w:rPr>
                <w:rFonts w:ascii="Arial" w:cs="Arial" w:eastAsia="Arial" w:hAnsi="Arial"/>
                <w:sz w:val="12"/>
                <w:szCs w:val="12"/>
                <w:color w:val="auto"/>
              </w:rPr>
              <w:t>2/25/2021</w:t>
            </w:r>
          </w:p>
        </w:tc>
        <w:tc>
          <w:tcPr>
            <w:tcW w:w="940" w:type="dxa"/>
            <w:vAlign w:val="bottom"/>
            <w:shd w:val="clear" w:color="auto" w:fill="E8E8E8"/>
          </w:tcPr>
          <w:p>
            <w:pPr>
              <w:spacing w:after="0"/>
              <w:rPr>
                <w:sz w:val="13"/>
                <w:szCs w:val="13"/>
                <w:color w:val="auto"/>
              </w:rPr>
            </w:pPr>
          </w:p>
        </w:tc>
        <w:tc>
          <w:tcPr>
            <w:tcW w:w="900" w:type="dxa"/>
            <w:vAlign w:val="bottom"/>
            <w:shd w:val="clear" w:color="auto" w:fill="E8E8E8"/>
          </w:tcPr>
          <w:p>
            <w:pPr>
              <w:spacing w:after="0"/>
              <w:rPr>
                <w:sz w:val="13"/>
                <w:szCs w:val="13"/>
                <w:color w:val="auto"/>
              </w:rPr>
            </w:pPr>
          </w:p>
        </w:tc>
        <w:tc>
          <w:tcPr>
            <w:tcW w:w="900" w:type="dxa"/>
            <w:vAlign w:val="bottom"/>
            <w:shd w:val="clear" w:color="auto" w:fill="E8E8E8"/>
          </w:tcPr>
          <w:p>
            <w:pPr>
              <w:spacing w:after="0"/>
              <w:rPr>
                <w:sz w:val="13"/>
                <w:szCs w:val="13"/>
                <w:color w:val="auto"/>
              </w:rPr>
            </w:pPr>
          </w:p>
        </w:tc>
        <w:tc>
          <w:tcPr>
            <w:tcW w:w="880" w:type="dxa"/>
            <w:vAlign w:val="bottom"/>
            <w:shd w:val="clear" w:color="auto" w:fill="E8E8E8"/>
          </w:tcPr>
          <w:p>
            <w:pPr>
              <w:spacing w:after="0"/>
              <w:rPr>
                <w:sz w:val="13"/>
                <w:szCs w:val="13"/>
                <w:color w:val="auto"/>
              </w:rPr>
            </w:pPr>
          </w:p>
        </w:tc>
        <w:tc>
          <w:tcPr>
            <w:tcW w:w="720" w:type="dxa"/>
            <w:vAlign w:val="bottom"/>
            <w:shd w:val="clear" w:color="auto" w:fill="E8E8E8"/>
          </w:tcPr>
          <w:p>
            <w:pPr>
              <w:spacing w:after="0"/>
              <w:rPr>
                <w:sz w:val="13"/>
                <w:szCs w:val="13"/>
                <w:color w:val="auto"/>
              </w:rPr>
            </w:pPr>
          </w:p>
        </w:tc>
        <w:tc>
          <w:tcPr>
            <w:tcW w:w="940" w:type="dxa"/>
            <w:vAlign w:val="bottom"/>
            <w:shd w:val="clear" w:color="auto" w:fill="E8E8E8"/>
          </w:tcPr>
          <w:p>
            <w:pPr>
              <w:spacing w:after="0"/>
              <w:rPr>
                <w:sz w:val="13"/>
                <w:szCs w:val="13"/>
                <w:color w:val="auto"/>
              </w:rPr>
            </w:pPr>
          </w:p>
        </w:tc>
        <w:tc>
          <w:tcPr>
            <w:tcW w:w="940" w:type="dxa"/>
            <w:vAlign w:val="bottom"/>
            <w:shd w:val="clear" w:color="auto" w:fill="E8E8E8"/>
          </w:tcPr>
          <w:p>
            <w:pPr>
              <w:jc w:val="right"/>
              <w:ind w:right="138"/>
              <w:spacing w:after="0"/>
              <w:rPr>
                <w:sz w:val="20"/>
                <w:szCs w:val="20"/>
                <w:color w:val="auto"/>
              </w:rPr>
            </w:pPr>
            <w:r>
              <w:rPr>
                <w:rFonts w:ascii="Arial" w:cs="Arial" w:eastAsia="Arial" w:hAnsi="Arial"/>
                <w:sz w:val="12"/>
                <w:szCs w:val="12"/>
                <w:color w:val="auto"/>
              </w:rPr>
              <w:t>24,572</w:t>
            </w:r>
          </w:p>
        </w:tc>
        <w:tc>
          <w:tcPr>
            <w:tcW w:w="24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w w:val="95"/>
              </w:rPr>
              <w:t>(5)</w:t>
            </w:r>
          </w:p>
        </w:tc>
        <w:tc>
          <w:tcPr>
            <w:tcW w:w="940" w:type="dxa"/>
            <w:vAlign w:val="bottom"/>
            <w:shd w:val="clear" w:color="auto" w:fill="E8E8E8"/>
          </w:tcPr>
          <w:p>
            <w:pPr>
              <w:jc w:val="right"/>
              <w:ind w:right="38"/>
              <w:spacing w:after="0"/>
              <w:rPr>
                <w:sz w:val="20"/>
                <w:szCs w:val="20"/>
                <w:color w:val="auto"/>
              </w:rPr>
            </w:pPr>
            <w:r>
              <w:rPr>
                <w:rFonts w:ascii="Arial" w:cs="Arial" w:eastAsia="Arial" w:hAnsi="Arial"/>
                <w:sz w:val="12"/>
                <w:szCs w:val="12"/>
                <w:color w:val="auto"/>
              </w:rPr>
              <w:t>3,237,668</w:t>
            </w:r>
          </w:p>
        </w:tc>
        <w:tc>
          <w:tcPr>
            <w:tcW w:w="0" w:type="dxa"/>
            <w:vAlign w:val="bottom"/>
          </w:tcPr>
          <w:p>
            <w:pPr>
              <w:spacing w:after="0"/>
              <w:rPr>
                <w:sz w:val="1"/>
                <w:szCs w:val="1"/>
                <w:color w:val="auto"/>
              </w:rPr>
            </w:pPr>
          </w:p>
        </w:tc>
      </w:tr>
      <w:tr>
        <w:trPr>
          <w:trHeight w:val="187"/>
        </w:trPr>
        <w:tc>
          <w:tcPr>
            <w:tcW w:w="2700" w:type="dxa"/>
            <w:vAlign w:val="bottom"/>
            <w:shd w:val="clear" w:color="auto" w:fill="E8E8E8"/>
          </w:tcPr>
          <w:p>
            <w:pPr>
              <w:spacing w:after="0"/>
              <w:rPr>
                <w:sz w:val="16"/>
                <w:szCs w:val="16"/>
                <w:color w:val="auto"/>
              </w:rPr>
            </w:pPr>
          </w:p>
        </w:tc>
        <w:tc>
          <w:tcPr>
            <w:tcW w:w="820" w:type="dxa"/>
            <w:vAlign w:val="bottom"/>
            <w:gridSpan w:val="2"/>
            <w:shd w:val="clear" w:color="auto" w:fill="E8E8E8"/>
          </w:tcPr>
          <w:p>
            <w:pPr>
              <w:jc w:val="right"/>
              <w:ind w:right="58"/>
              <w:spacing w:after="0"/>
              <w:rPr>
                <w:sz w:val="20"/>
                <w:szCs w:val="20"/>
                <w:color w:val="auto"/>
              </w:rPr>
            </w:pPr>
            <w:r>
              <w:rPr>
                <w:rFonts w:ascii="Arial" w:cs="Arial" w:eastAsia="Arial" w:hAnsi="Arial"/>
                <w:sz w:val="12"/>
                <w:szCs w:val="12"/>
                <w:color w:val="auto"/>
              </w:rPr>
              <w:t>2/25/2021</w:t>
            </w:r>
          </w:p>
        </w:tc>
        <w:tc>
          <w:tcPr>
            <w:tcW w:w="940" w:type="dxa"/>
            <w:vAlign w:val="bottom"/>
            <w:shd w:val="clear" w:color="auto" w:fill="E8E8E8"/>
          </w:tcPr>
          <w:p>
            <w:pPr>
              <w:spacing w:after="0"/>
              <w:rPr>
                <w:sz w:val="16"/>
                <w:szCs w:val="16"/>
                <w:color w:val="auto"/>
              </w:rPr>
            </w:pPr>
          </w:p>
        </w:tc>
        <w:tc>
          <w:tcPr>
            <w:tcW w:w="900" w:type="dxa"/>
            <w:vAlign w:val="bottom"/>
            <w:shd w:val="clear" w:color="auto" w:fill="E8E8E8"/>
          </w:tcPr>
          <w:p>
            <w:pPr>
              <w:spacing w:after="0"/>
              <w:rPr>
                <w:sz w:val="16"/>
                <w:szCs w:val="16"/>
                <w:color w:val="auto"/>
              </w:rPr>
            </w:pPr>
          </w:p>
        </w:tc>
        <w:tc>
          <w:tcPr>
            <w:tcW w:w="900" w:type="dxa"/>
            <w:vAlign w:val="bottom"/>
            <w:shd w:val="clear" w:color="auto" w:fill="E8E8E8"/>
          </w:tcPr>
          <w:p>
            <w:pPr>
              <w:spacing w:after="0"/>
              <w:rPr>
                <w:sz w:val="16"/>
                <w:szCs w:val="16"/>
                <w:color w:val="auto"/>
              </w:rPr>
            </w:pPr>
          </w:p>
        </w:tc>
        <w:tc>
          <w:tcPr>
            <w:tcW w:w="880" w:type="dxa"/>
            <w:vAlign w:val="bottom"/>
            <w:shd w:val="clear" w:color="auto" w:fill="E8E8E8"/>
          </w:tcPr>
          <w:p>
            <w:pPr>
              <w:jc w:val="right"/>
              <w:ind w:right="98"/>
              <w:spacing w:after="0"/>
              <w:rPr>
                <w:sz w:val="20"/>
                <w:szCs w:val="20"/>
                <w:color w:val="auto"/>
              </w:rPr>
            </w:pPr>
            <w:r>
              <w:rPr>
                <w:rFonts w:ascii="Arial" w:cs="Arial" w:eastAsia="Arial" w:hAnsi="Arial"/>
                <w:sz w:val="12"/>
                <w:szCs w:val="12"/>
                <w:color w:val="auto"/>
              </w:rPr>
              <w:t>2,703</w:t>
            </w:r>
          </w:p>
        </w:tc>
        <w:tc>
          <w:tcPr>
            <w:tcW w:w="720" w:type="dxa"/>
            <w:vAlign w:val="bottom"/>
            <w:shd w:val="clear" w:color="auto" w:fill="E8E8E8"/>
          </w:tcPr>
          <w:p>
            <w:pPr>
              <w:jc w:val="right"/>
              <w:ind w:right="78"/>
              <w:spacing w:after="0"/>
              <w:rPr>
                <w:sz w:val="20"/>
                <w:szCs w:val="20"/>
                <w:color w:val="auto"/>
              </w:rPr>
            </w:pPr>
            <w:r>
              <w:rPr>
                <w:rFonts w:ascii="Arial" w:cs="Arial" w:eastAsia="Arial" w:hAnsi="Arial"/>
                <w:sz w:val="12"/>
                <w:szCs w:val="12"/>
                <w:color w:val="auto"/>
              </w:rPr>
              <w:t>5,405</w:t>
            </w:r>
          </w:p>
        </w:tc>
        <w:tc>
          <w:tcPr>
            <w:tcW w:w="940" w:type="dxa"/>
            <w:vAlign w:val="bottom"/>
            <w:shd w:val="clear" w:color="auto" w:fill="E8E8E8"/>
          </w:tcPr>
          <w:p>
            <w:pPr>
              <w:jc w:val="right"/>
              <w:ind w:right="138"/>
              <w:spacing w:after="0"/>
              <w:rPr>
                <w:sz w:val="20"/>
                <w:szCs w:val="20"/>
                <w:color w:val="auto"/>
              </w:rPr>
            </w:pPr>
            <w:r>
              <w:rPr>
                <w:rFonts w:ascii="Arial" w:cs="Arial" w:eastAsia="Arial" w:hAnsi="Arial"/>
                <w:sz w:val="12"/>
                <w:szCs w:val="12"/>
                <w:color w:val="auto"/>
              </w:rPr>
              <w:t>10,810</w:t>
            </w:r>
          </w:p>
        </w:tc>
        <w:tc>
          <w:tcPr>
            <w:tcW w:w="940" w:type="dxa"/>
            <w:vAlign w:val="bottom"/>
            <w:shd w:val="clear" w:color="auto" w:fill="E8E8E8"/>
          </w:tcPr>
          <w:p>
            <w:pPr>
              <w:spacing w:after="0"/>
              <w:rPr>
                <w:sz w:val="16"/>
                <w:szCs w:val="16"/>
                <w:color w:val="auto"/>
              </w:rPr>
            </w:pPr>
          </w:p>
        </w:tc>
        <w:tc>
          <w:tcPr>
            <w:tcW w:w="240" w:type="dxa"/>
            <w:vAlign w:val="bottom"/>
            <w:shd w:val="clear" w:color="auto" w:fill="E8E8E8"/>
          </w:tcPr>
          <w:p>
            <w:pPr>
              <w:spacing w:after="0"/>
              <w:rPr>
                <w:sz w:val="16"/>
                <w:szCs w:val="16"/>
                <w:color w:val="auto"/>
              </w:rPr>
            </w:pPr>
          </w:p>
        </w:tc>
        <w:tc>
          <w:tcPr>
            <w:tcW w:w="940" w:type="dxa"/>
            <w:vAlign w:val="bottom"/>
            <w:shd w:val="clear" w:color="auto" w:fill="E8E8E8"/>
          </w:tcPr>
          <w:p>
            <w:pPr>
              <w:jc w:val="right"/>
              <w:ind w:right="38"/>
              <w:spacing w:after="0"/>
              <w:rPr>
                <w:sz w:val="20"/>
                <w:szCs w:val="20"/>
                <w:color w:val="auto"/>
              </w:rPr>
            </w:pPr>
            <w:r>
              <w:rPr>
                <w:rFonts w:ascii="Arial" w:cs="Arial" w:eastAsia="Arial" w:hAnsi="Arial"/>
                <w:sz w:val="12"/>
                <w:szCs w:val="12"/>
                <w:color w:val="auto"/>
              </w:rPr>
              <w:t>1,045,813</w:t>
            </w:r>
          </w:p>
        </w:tc>
        <w:tc>
          <w:tcPr>
            <w:tcW w:w="0" w:type="dxa"/>
            <w:vAlign w:val="bottom"/>
          </w:tcPr>
          <w:p>
            <w:pPr>
              <w:spacing w:after="0"/>
              <w:rPr>
                <w:sz w:val="1"/>
                <w:szCs w:val="1"/>
                <w:color w:val="auto"/>
              </w:rPr>
            </w:pPr>
          </w:p>
        </w:tc>
      </w:tr>
      <w:tr>
        <w:trPr>
          <w:trHeight w:val="165"/>
        </w:trPr>
        <w:tc>
          <w:tcPr>
            <w:tcW w:w="2700" w:type="dxa"/>
            <w:vAlign w:val="bottom"/>
          </w:tcPr>
          <w:p>
            <w:pPr>
              <w:spacing w:after="0"/>
              <w:rPr>
                <w:sz w:val="20"/>
                <w:szCs w:val="20"/>
                <w:color w:val="auto"/>
              </w:rPr>
            </w:pPr>
            <w:r>
              <w:rPr>
                <w:rFonts w:ascii="Arial" w:cs="Arial" w:eastAsia="Arial" w:hAnsi="Arial"/>
                <w:sz w:val="12"/>
                <w:szCs w:val="12"/>
                <w:color w:val="auto"/>
              </w:rPr>
              <w:t>Dayton Semerjian</w:t>
            </w:r>
          </w:p>
        </w:tc>
        <w:tc>
          <w:tcPr>
            <w:tcW w:w="820" w:type="dxa"/>
            <w:vAlign w:val="bottom"/>
            <w:gridSpan w:val="2"/>
            <w:vMerge w:val="restart"/>
          </w:tcPr>
          <w:p>
            <w:pPr>
              <w:jc w:val="right"/>
              <w:ind w:right="58"/>
              <w:spacing w:after="0"/>
              <w:rPr>
                <w:sz w:val="20"/>
                <w:szCs w:val="20"/>
                <w:color w:val="auto"/>
              </w:rPr>
            </w:pPr>
            <w:r>
              <w:rPr>
                <w:rFonts w:ascii="Arial" w:cs="Arial" w:eastAsia="Arial" w:hAnsi="Arial"/>
                <w:sz w:val="12"/>
                <w:szCs w:val="12"/>
                <w:color w:val="auto"/>
              </w:rPr>
              <w:t>2/25/2021</w:t>
            </w:r>
          </w:p>
        </w:tc>
        <w:tc>
          <w:tcPr>
            <w:tcW w:w="940" w:type="dxa"/>
            <w:vAlign w:val="bottom"/>
          </w:tcPr>
          <w:p>
            <w:pPr>
              <w:spacing w:after="0"/>
              <w:rPr>
                <w:sz w:val="14"/>
                <w:szCs w:val="14"/>
                <w:color w:val="auto"/>
              </w:rPr>
            </w:pPr>
          </w:p>
        </w:tc>
        <w:tc>
          <w:tcPr>
            <w:tcW w:w="900" w:type="dxa"/>
            <w:vAlign w:val="bottom"/>
          </w:tcPr>
          <w:p>
            <w:pPr>
              <w:jc w:val="right"/>
              <w:ind w:right="158"/>
              <w:spacing w:after="0"/>
              <w:rPr>
                <w:sz w:val="20"/>
                <w:szCs w:val="20"/>
                <w:color w:val="auto"/>
              </w:rPr>
            </w:pPr>
            <w:r>
              <w:rPr>
                <w:rFonts w:ascii="Arial" w:cs="Arial" w:eastAsia="Arial" w:hAnsi="Arial"/>
                <w:sz w:val="12"/>
                <w:szCs w:val="12"/>
                <w:color w:val="auto"/>
              </w:rPr>
              <w:t>800,000</w:t>
            </w: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vMerge w:val="restart"/>
          </w:tcPr>
          <w:p>
            <w:pPr>
              <w:jc w:val="right"/>
              <w:ind w:right="138"/>
              <w:spacing w:after="0"/>
              <w:rPr>
                <w:sz w:val="20"/>
                <w:szCs w:val="20"/>
                <w:color w:val="auto"/>
              </w:rPr>
            </w:pPr>
            <w:r>
              <w:rPr>
                <w:rFonts w:ascii="Arial" w:cs="Arial" w:eastAsia="Arial" w:hAnsi="Arial"/>
                <w:sz w:val="12"/>
                <w:szCs w:val="12"/>
                <w:color w:val="auto"/>
              </w:rPr>
              <w:t>2,866</w:t>
            </w:r>
          </w:p>
        </w:tc>
        <w:tc>
          <w:tcPr>
            <w:tcW w:w="240" w:type="dxa"/>
            <w:vAlign w:val="bottom"/>
          </w:tcPr>
          <w:p>
            <w:pPr>
              <w:spacing w:after="0"/>
              <w:rPr>
                <w:sz w:val="14"/>
                <w:szCs w:val="14"/>
                <w:color w:val="auto"/>
              </w:rPr>
            </w:pPr>
          </w:p>
        </w:tc>
        <w:tc>
          <w:tcPr>
            <w:tcW w:w="940" w:type="dxa"/>
            <w:vAlign w:val="bottom"/>
            <w:vMerge w:val="restart"/>
          </w:tcPr>
          <w:p>
            <w:pPr>
              <w:jc w:val="right"/>
              <w:ind w:right="38"/>
              <w:spacing w:after="0"/>
              <w:rPr>
                <w:sz w:val="20"/>
                <w:szCs w:val="20"/>
                <w:color w:val="auto"/>
              </w:rPr>
            </w:pPr>
            <w:r>
              <w:rPr>
                <w:rFonts w:ascii="Arial" w:cs="Arial" w:eastAsia="Arial" w:hAnsi="Arial"/>
                <w:sz w:val="12"/>
                <w:szCs w:val="12"/>
                <w:color w:val="auto"/>
              </w:rPr>
              <w:t>371,931</w:t>
            </w:r>
          </w:p>
        </w:tc>
        <w:tc>
          <w:tcPr>
            <w:tcW w:w="0" w:type="dxa"/>
            <w:vAlign w:val="bottom"/>
          </w:tcPr>
          <w:p>
            <w:pPr>
              <w:spacing w:after="0"/>
              <w:rPr>
                <w:sz w:val="1"/>
                <w:szCs w:val="1"/>
                <w:color w:val="auto"/>
              </w:rPr>
            </w:pPr>
          </w:p>
        </w:tc>
      </w:tr>
      <w:tr>
        <w:trPr>
          <w:trHeight w:val="85"/>
        </w:trPr>
        <w:tc>
          <w:tcPr>
            <w:tcW w:w="27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900" w:type="dxa"/>
            <w:vAlign w:val="bottom"/>
          </w:tcPr>
          <w:p>
            <w:pPr>
              <w:spacing w:after="0"/>
              <w:rPr>
                <w:sz w:val="7"/>
                <w:szCs w:val="7"/>
                <w:color w:val="auto"/>
              </w:rPr>
            </w:pPr>
          </w:p>
        </w:tc>
        <w:tc>
          <w:tcPr>
            <w:tcW w:w="9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2700" w:type="dxa"/>
            <w:vAlign w:val="bottom"/>
          </w:tcPr>
          <w:p>
            <w:pPr>
              <w:spacing w:after="0"/>
              <w:rPr>
                <w:sz w:val="13"/>
                <w:szCs w:val="13"/>
                <w:color w:val="auto"/>
              </w:rPr>
            </w:pPr>
          </w:p>
        </w:tc>
        <w:tc>
          <w:tcPr>
            <w:tcW w:w="820" w:type="dxa"/>
            <w:vAlign w:val="bottom"/>
            <w:gridSpan w:val="2"/>
          </w:tcPr>
          <w:p>
            <w:pPr>
              <w:jc w:val="right"/>
              <w:ind w:right="58"/>
              <w:spacing w:after="0"/>
              <w:rPr>
                <w:sz w:val="20"/>
                <w:szCs w:val="20"/>
                <w:color w:val="auto"/>
              </w:rPr>
            </w:pPr>
            <w:r>
              <w:rPr>
                <w:rFonts w:ascii="Arial" w:cs="Arial" w:eastAsia="Arial" w:hAnsi="Arial"/>
                <w:sz w:val="12"/>
                <w:szCs w:val="12"/>
                <w:color w:val="auto"/>
              </w:rPr>
              <w:t>2/25/2021</w:t>
            </w: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jc w:val="right"/>
              <w:ind w:right="98"/>
              <w:spacing w:after="0"/>
              <w:rPr>
                <w:sz w:val="20"/>
                <w:szCs w:val="20"/>
                <w:color w:val="auto"/>
              </w:rPr>
            </w:pPr>
            <w:r>
              <w:rPr>
                <w:rFonts w:ascii="Arial" w:cs="Arial" w:eastAsia="Arial" w:hAnsi="Arial"/>
                <w:sz w:val="12"/>
                <w:szCs w:val="12"/>
                <w:color w:val="auto"/>
              </w:rPr>
              <w:t>2,150</w:t>
            </w:r>
          </w:p>
        </w:tc>
        <w:tc>
          <w:tcPr>
            <w:tcW w:w="720" w:type="dxa"/>
            <w:vAlign w:val="bottom"/>
          </w:tcPr>
          <w:p>
            <w:pPr>
              <w:jc w:val="right"/>
              <w:ind w:right="78"/>
              <w:spacing w:after="0"/>
              <w:rPr>
                <w:sz w:val="20"/>
                <w:szCs w:val="20"/>
                <w:color w:val="auto"/>
              </w:rPr>
            </w:pPr>
            <w:r>
              <w:rPr>
                <w:rFonts w:ascii="Arial" w:cs="Arial" w:eastAsia="Arial" w:hAnsi="Arial"/>
                <w:sz w:val="12"/>
                <w:szCs w:val="12"/>
                <w:color w:val="auto"/>
              </w:rPr>
              <w:t>4,300</w:t>
            </w:r>
          </w:p>
        </w:tc>
        <w:tc>
          <w:tcPr>
            <w:tcW w:w="940" w:type="dxa"/>
            <w:vAlign w:val="bottom"/>
          </w:tcPr>
          <w:p>
            <w:pPr>
              <w:jc w:val="right"/>
              <w:ind w:right="138"/>
              <w:spacing w:after="0"/>
              <w:rPr>
                <w:sz w:val="20"/>
                <w:szCs w:val="20"/>
                <w:color w:val="auto"/>
              </w:rPr>
            </w:pPr>
            <w:r>
              <w:rPr>
                <w:rFonts w:ascii="Arial" w:cs="Arial" w:eastAsia="Arial" w:hAnsi="Arial"/>
                <w:sz w:val="12"/>
                <w:szCs w:val="12"/>
                <w:color w:val="auto"/>
              </w:rPr>
              <w:t>8,600</w:t>
            </w: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ind w:right="38"/>
              <w:spacing w:after="0"/>
              <w:rPr>
                <w:sz w:val="20"/>
                <w:szCs w:val="20"/>
                <w:color w:val="auto"/>
              </w:rPr>
            </w:pPr>
            <w:r>
              <w:rPr>
                <w:rFonts w:ascii="Arial" w:cs="Arial" w:eastAsia="Arial" w:hAnsi="Arial"/>
                <w:sz w:val="12"/>
                <w:szCs w:val="12"/>
                <w:color w:val="auto"/>
              </w:rPr>
              <w:t>832,007</w:t>
            </w:r>
          </w:p>
        </w:tc>
        <w:tc>
          <w:tcPr>
            <w:tcW w:w="0" w:type="dxa"/>
            <w:vAlign w:val="bottom"/>
          </w:tcPr>
          <w:p>
            <w:pPr>
              <w:spacing w:after="0"/>
              <w:rPr>
                <w:sz w:val="1"/>
                <w:szCs w:val="1"/>
                <w:color w:val="auto"/>
              </w:rPr>
            </w:pPr>
          </w:p>
        </w:tc>
      </w:tr>
      <w:tr>
        <w:trPr>
          <w:trHeight w:val="134"/>
        </w:trPr>
        <w:tc>
          <w:tcPr>
            <w:tcW w:w="2700" w:type="dxa"/>
            <w:vAlign w:val="bottom"/>
            <w:shd w:val="clear" w:color="auto" w:fill="E8E8E8"/>
          </w:tcPr>
          <w:p>
            <w:pPr>
              <w:spacing w:after="0" w:line="134" w:lineRule="exact"/>
              <w:rPr>
                <w:sz w:val="20"/>
                <w:szCs w:val="20"/>
                <w:color w:val="auto"/>
              </w:rPr>
            </w:pPr>
            <w:r>
              <w:rPr>
                <w:rFonts w:ascii="Arial" w:cs="Arial" w:eastAsia="Arial" w:hAnsi="Arial"/>
                <w:sz w:val="12"/>
                <w:szCs w:val="12"/>
                <w:color w:val="auto"/>
              </w:rPr>
              <w:t>Richard Steinmeier</w:t>
            </w:r>
          </w:p>
        </w:tc>
        <w:tc>
          <w:tcPr>
            <w:tcW w:w="140" w:type="dxa"/>
            <w:vAlign w:val="bottom"/>
            <w:shd w:val="clear" w:color="auto" w:fill="E8E8E8"/>
          </w:tcPr>
          <w:p>
            <w:pPr>
              <w:spacing w:after="0"/>
              <w:rPr>
                <w:sz w:val="11"/>
                <w:szCs w:val="11"/>
                <w:color w:val="auto"/>
              </w:rPr>
            </w:pPr>
          </w:p>
        </w:tc>
        <w:tc>
          <w:tcPr>
            <w:tcW w:w="680" w:type="dxa"/>
            <w:vAlign w:val="bottom"/>
            <w:shd w:val="clear" w:color="auto" w:fill="E8E8E8"/>
          </w:tcPr>
          <w:p>
            <w:pPr>
              <w:spacing w:after="0"/>
              <w:rPr>
                <w:sz w:val="11"/>
                <w:szCs w:val="11"/>
                <w:color w:val="auto"/>
              </w:rPr>
            </w:pPr>
          </w:p>
        </w:tc>
        <w:tc>
          <w:tcPr>
            <w:tcW w:w="940" w:type="dxa"/>
            <w:vAlign w:val="bottom"/>
            <w:shd w:val="clear" w:color="auto" w:fill="E8E8E8"/>
          </w:tcPr>
          <w:p>
            <w:pPr>
              <w:spacing w:after="0"/>
              <w:rPr>
                <w:sz w:val="11"/>
                <w:szCs w:val="11"/>
                <w:color w:val="auto"/>
              </w:rPr>
            </w:pPr>
          </w:p>
        </w:tc>
        <w:tc>
          <w:tcPr>
            <w:tcW w:w="900" w:type="dxa"/>
            <w:vAlign w:val="bottom"/>
            <w:shd w:val="clear" w:color="auto" w:fill="E8E8E8"/>
          </w:tcPr>
          <w:p>
            <w:pPr>
              <w:jc w:val="right"/>
              <w:ind w:right="158"/>
              <w:spacing w:after="0" w:line="134" w:lineRule="exact"/>
              <w:rPr>
                <w:sz w:val="20"/>
                <w:szCs w:val="20"/>
                <w:color w:val="auto"/>
              </w:rPr>
            </w:pPr>
            <w:r>
              <w:rPr>
                <w:rFonts w:ascii="Arial" w:cs="Arial" w:eastAsia="Arial" w:hAnsi="Arial"/>
                <w:sz w:val="12"/>
                <w:szCs w:val="12"/>
                <w:color w:val="auto"/>
              </w:rPr>
              <w:t>800,000</w:t>
            </w:r>
          </w:p>
        </w:tc>
        <w:tc>
          <w:tcPr>
            <w:tcW w:w="900" w:type="dxa"/>
            <w:vAlign w:val="bottom"/>
            <w:shd w:val="clear" w:color="auto" w:fill="E8E8E8"/>
          </w:tcPr>
          <w:p>
            <w:pPr>
              <w:spacing w:after="0"/>
              <w:rPr>
                <w:sz w:val="11"/>
                <w:szCs w:val="11"/>
                <w:color w:val="auto"/>
              </w:rPr>
            </w:pPr>
          </w:p>
        </w:tc>
        <w:tc>
          <w:tcPr>
            <w:tcW w:w="880" w:type="dxa"/>
            <w:vAlign w:val="bottom"/>
            <w:shd w:val="clear" w:color="auto" w:fill="E8E8E8"/>
          </w:tcPr>
          <w:p>
            <w:pPr>
              <w:spacing w:after="0"/>
              <w:rPr>
                <w:sz w:val="11"/>
                <w:szCs w:val="11"/>
                <w:color w:val="auto"/>
              </w:rPr>
            </w:pPr>
          </w:p>
        </w:tc>
        <w:tc>
          <w:tcPr>
            <w:tcW w:w="720" w:type="dxa"/>
            <w:vAlign w:val="bottom"/>
            <w:shd w:val="clear" w:color="auto" w:fill="E8E8E8"/>
          </w:tcPr>
          <w:p>
            <w:pPr>
              <w:spacing w:after="0"/>
              <w:rPr>
                <w:sz w:val="11"/>
                <w:szCs w:val="11"/>
                <w:color w:val="auto"/>
              </w:rPr>
            </w:pPr>
          </w:p>
        </w:tc>
        <w:tc>
          <w:tcPr>
            <w:tcW w:w="940" w:type="dxa"/>
            <w:vAlign w:val="bottom"/>
            <w:shd w:val="clear" w:color="auto" w:fill="E8E8E8"/>
          </w:tcPr>
          <w:p>
            <w:pPr>
              <w:spacing w:after="0"/>
              <w:rPr>
                <w:sz w:val="11"/>
                <w:szCs w:val="11"/>
                <w:color w:val="auto"/>
              </w:rPr>
            </w:pPr>
          </w:p>
        </w:tc>
        <w:tc>
          <w:tcPr>
            <w:tcW w:w="940" w:type="dxa"/>
            <w:vAlign w:val="bottom"/>
            <w:vMerge w:val="restart"/>
            <w:shd w:val="clear" w:color="auto" w:fill="E8E8E8"/>
          </w:tcPr>
          <w:p>
            <w:pPr>
              <w:jc w:val="right"/>
              <w:ind w:right="138"/>
              <w:spacing w:after="0"/>
              <w:rPr>
                <w:sz w:val="20"/>
                <w:szCs w:val="20"/>
                <w:color w:val="auto"/>
              </w:rPr>
            </w:pPr>
            <w:r>
              <w:rPr>
                <w:rFonts w:ascii="Arial" w:cs="Arial" w:eastAsia="Arial" w:hAnsi="Arial"/>
                <w:sz w:val="12"/>
                <w:szCs w:val="12"/>
                <w:color w:val="auto"/>
              </w:rPr>
              <w:t>4,259</w:t>
            </w:r>
          </w:p>
        </w:tc>
        <w:tc>
          <w:tcPr>
            <w:tcW w:w="240" w:type="dxa"/>
            <w:vAlign w:val="bottom"/>
            <w:shd w:val="clear" w:color="auto" w:fill="E8E8E8"/>
          </w:tcPr>
          <w:p>
            <w:pPr>
              <w:spacing w:after="0"/>
              <w:rPr>
                <w:sz w:val="11"/>
                <w:szCs w:val="11"/>
                <w:color w:val="auto"/>
              </w:rPr>
            </w:pPr>
          </w:p>
        </w:tc>
        <w:tc>
          <w:tcPr>
            <w:tcW w:w="940" w:type="dxa"/>
            <w:vAlign w:val="bottom"/>
            <w:vMerge w:val="restart"/>
            <w:shd w:val="clear" w:color="auto" w:fill="E8E8E8"/>
          </w:tcPr>
          <w:p>
            <w:pPr>
              <w:jc w:val="right"/>
              <w:ind w:right="38"/>
              <w:spacing w:after="0"/>
              <w:rPr>
                <w:sz w:val="20"/>
                <w:szCs w:val="20"/>
                <w:color w:val="auto"/>
              </w:rPr>
            </w:pPr>
            <w:r>
              <w:rPr>
                <w:rFonts w:ascii="Arial" w:cs="Arial" w:eastAsia="Arial" w:hAnsi="Arial"/>
                <w:sz w:val="12"/>
                <w:szCs w:val="12"/>
                <w:color w:val="auto"/>
              </w:rPr>
              <w:t>552,706</w:t>
            </w:r>
          </w:p>
        </w:tc>
        <w:tc>
          <w:tcPr>
            <w:tcW w:w="0" w:type="dxa"/>
            <w:vAlign w:val="bottom"/>
          </w:tcPr>
          <w:p>
            <w:pPr>
              <w:spacing w:after="0"/>
              <w:rPr>
                <w:sz w:val="1"/>
                <w:szCs w:val="1"/>
                <w:color w:val="auto"/>
              </w:rPr>
            </w:pPr>
          </w:p>
        </w:tc>
      </w:tr>
      <w:tr>
        <w:trPr>
          <w:trHeight w:val="134"/>
        </w:trPr>
        <w:tc>
          <w:tcPr>
            <w:tcW w:w="2700" w:type="dxa"/>
            <w:vAlign w:val="bottom"/>
            <w:shd w:val="clear" w:color="auto" w:fill="E8E8E8"/>
          </w:tcPr>
          <w:p>
            <w:pPr>
              <w:spacing w:after="0"/>
              <w:rPr>
                <w:sz w:val="11"/>
                <w:szCs w:val="11"/>
                <w:color w:val="auto"/>
              </w:rPr>
            </w:pPr>
          </w:p>
        </w:tc>
        <w:tc>
          <w:tcPr>
            <w:tcW w:w="140" w:type="dxa"/>
            <w:vAlign w:val="bottom"/>
            <w:shd w:val="clear" w:color="auto" w:fill="E8E8E8"/>
          </w:tcPr>
          <w:p>
            <w:pPr>
              <w:spacing w:after="0"/>
              <w:rPr>
                <w:sz w:val="11"/>
                <w:szCs w:val="11"/>
                <w:color w:val="auto"/>
              </w:rPr>
            </w:pPr>
          </w:p>
        </w:tc>
        <w:tc>
          <w:tcPr>
            <w:tcW w:w="680" w:type="dxa"/>
            <w:vAlign w:val="bottom"/>
            <w:shd w:val="clear" w:color="auto" w:fill="E8E8E8"/>
          </w:tcPr>
          <w:p>
            <w:pPr>
              <w:jc w:val="right"/>
              <w:ind w:right="58"/>
              <w:spacing w:after="0" w:line="134" w:lineRule="exact"/>
              <w:rPr>
                <w:sz w:val="20"/>
                <w:szCs w:val="20"/>
                <w:color w:val="auto"/>
              </w:rPr>
            </w:pPr>
            <w:r>
              <w:rPr>
                <w:rFonts w:ascii="Arial" w:cs="Arial" w:eastAsia="Arial" w:hAnsi="Arial"/>
                <w:sz w:val="12"/>
                <w:szCs w:val="12"/>
                <w:color w:val="auto"/>
              </w:rPr>
              <w:t>2/25/2021</w:t>
            </w:r>
          </w:p>
        </w:tc>
        <w:tc>
          <w:tcPr>
            <w:tcW w:w="940" w:type="dxa"/>
            <w:vAlign w:val="bottom"/>
            <w:shd w:val="clear" w:color="auto" w:fill="E8E8E8"/>
          </w:tcPr>
          <w:p>
            <w:pPr>
              <w:spacing w:after="0"/>
              <w:rPr>
                <w:sz w:val="11"/>
                <w:szCs w:val="11"/>
                <w:color w:val="auto"/>
              </w:rPr>
            </w:pPr>
          </w:p>
        </w:tc>
        <w:tc>
          <w:tcPr>
            <w:tcW w:w="900" w:type="dxa"/>
            <w:vAlign w:val="bottom"/>
            <w:shd w:val="clear" w:color="auto" w:fill="E8E8E8"/>
          </w:tcPr>
          <w:p>
            <w:pPr>
              <w:spacing w:after="0"/>
              <w:rPr>
                <w:sz w:val="11"/>
                <w:szCs w:val="11"/>
                <w:color w:val="auto"/>
              </w:rPr>
            </w:pPr>
          </w:p>
        </w:tc>
        <w:tc>
          <w:tcPr>
            <w:tcW w:w="900" w:type="dxa"/>
            <w:vAlign w:val="bottom"/>
            <w:shd w:val="clear" w:color="auto" w:fill="E8E8E8"/>
          </w:tcPr>
          <w:p>
            <w:pPr>
              <w:spacing w:after="0"/>
              <w:rPr>
                <w:sz w:val="11"/>
                <w:szCs w:val="11"/>
                <w:color w:val="auto"/>
              </w:rPr>
            </w:pPr>
          </w:p>
        </w:tc>
        <w:tc>
          <w:tcPr>
            <w:tcW w:w="880" w:type="dxa"/>
            <w:vAlign w:val="bottom"/>
            <w:shd w:val="clear" w:color="auto" w:fill="E8E8E8"/>
          </w:tcPr>
          <w:p>
            <w:pPr>
              <w:spacing w:after="0"/>
              <w:rPr>
                <w:sz w:val="11"/>
                <w:szCs w:val="11"/>
                <w:color w:val="auto"/>
              </w:rPr>
            </w:pPr>
          </w:p>
        </w:tc>
        <w:tc>
          <w:tcPr>
            <w:tcW w:w="720" w:type="dxa"/>
            <w:vAlign w:val="bottom"/>
            <w:shd w:val="clear" w:color="auto" w:fill="E8E8E8"/>
          </w:tcPr>
          <w:p>
            <w:pPr>
              <w:spacing w:after="0"/>
              <w:rPr>
                <w:sz w:val="11"/>
                <w:szCs w:val="11"/>
                <w:color w:val="auto"/>
              </w:rPr>
            </w:pPr>
          </w:p>
        </w:tc>
        <w:tc>
          <w:tcPr>
            <w:tcW w:w="940" w:type="dxa"/>
            <w:vAlign w:val="bottom"/>
            <w:shd w:val="clear" w:color="auto" w:fill="E8E8E8"/>
          </w:tcPr>
          <w:p>
            <w:pPr>
              <w:spacing w:after="0"/>
              <w:rPr>
                <w:sz w:val="11"/>
                <w:szCs w:val="11"/>
                <w:color w:val="auto"/>
              </w:rPr>
            </w:pPr>
          </w:p>
        </w:tc>
        <w:tc>
          <w:tcPr>
            <w:tcW w:w="940" w:type="dxa"/>
            <w:vAlign w:val="bottom"/>
            <w:vMerge w:val="continue"/>
            <w:shd w:val="clear" w:color="auto" w:fill="E8E8E8"/>
          </w:tcPr>
          <w:p>
            <w:pPr>
              <w:spacing w:after="0"/>
              <w:rPr>
                <w:sz w:val="11"/>
                <w:szCs w:val="11"/>
                <w:color w:val="auto"/>
              </w:rPr>
            </w:pPr>
          </w:p>
        </w:tc>
        <w:tc>
          <w:tcPr>
            <w:tcW w:w="240" w:type="dxa"/>
            <w:vAlign w:val="bottom"/>
            <w:shd w:val="clear" w:color="auto" w:fill="E8E8E8"/>
          </w:tcPr>
          <w:p>
            <w:pPr>
              <w:spacing w:after="0"/>
              <w:rPr>
                <w:sz w:val="11"/>
                <w:szCs w:val="11"/>
                <w:color w:val="auto"/>
              </w:rPr>
            </w:pPr>
          </w:p>
        </w:tc>
        <w:tc>
          <w:tcPr>
            <w:tcW w:w="940" w:type="dxa"/>
            <w:vAlign w:val="bottom"/>
            <w:vMerge w:val="continue"/>
            <w:shd w:val="clear" w:color="auto" w:fill="E8E8E8"/>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700" w:type="dxa"/>
            <w:vAlign w:val="bottom"/>
            <w:tcBorders>
              <w:bottom w:val="single" w:sz="8" w:color="050A54"/>
            </w:tcBorders>
            <w:shd w:val="clear" w:color="auto" w:fill="E8E8E8"/>
          </w:tcPr>
          <w:p>
            <w:pPr>
              <w:spacing w:after="0"/>
              <w:rPr>
                <w:sz w:val="12"/>
                <w:szCs w:val="12"/>
                <w:color w:val="auto"/>
              </w:rPr>
            </w:pPr>
          </w:p>
        </w:tc>
        <w:tc>
          <w:tcPr>
            <w:tcW w:w="140" w:type="dxa"/>
            <w:vAlign w:val="bottom"/>
            <w:tcBorders>
              <w:bottom w:val="single" w:sz="8" w:color="050A54"/>
            </w:tcBorders>
            <w:shd w:val="clear" w:color="auto" w:fill="E8E8E8"/>
          </w:tcPr>
          <w:p>
            <w:pPr>
              <w:spacing w:after="0"/>
              <w:rPr>
                <w:sz w:val="12"/>
                <w:szCs w:val="12"/>
                <w:color w:val="auto"/>
              </w:rPr>
            </w:pPr>
          </w:p>
        </w:tc>
        <w:tc>
          <w:tcPr>
            <w:tcW w:w="680" w:type="dxa"/>
            <w:vAlign w:val="bottom"/>
            <w:tcBorders>
              <w:bottom w:val="single" w:sz="8" w:color="050A54"/>
            </w:tcBorders>
            <w:shd w:val="clear" w:color="auto" w:fill="E8E8E8"/>
          </w:tcPr>
          <w:p>
            <w:pPr>
              <w:jc w:val="right"/>
              <w:ind w:right="58"/>
              <w:spacing w:after="0"/>
              <w:rPr>
                <w:sz w:val="20"/>
                <w:szCs w:val="20"/>
                <w:color w:val="auto"/>
              </w:rPr>
            </w:pPr>
            <w:r>
              <w:rPr>
                <w:rFonts w:ascii="Arial" w:cs="Arial" w:eastAsia="Arial" w:hAnsi="Arial"/>
                <w:sz w:val="12"/>
                <w:szCs w:val="12"/>
                <w:color w:val="auto"/>
              </w:rPr>
              <w:t>2/25/2021</w:t>
            </w:r>
          </w:p>
        </w:tc>
        <w:tc>
          <w:tcPr>
            <w:tcW w:w="940" w:type="dxa"/>
            <w:vAlign w:val="bottom"/>
            <w:tcBorders>
              <w:bottom w:val="single" w:sz="8" w:color="050A54"/>
            </w:tcBorders>
            <w:shd w:val="clear" w:color="auto" w:fill="E8E8E8"/>
          </w:tcPr>
          <w:p>
            <w:pPr>
              <w:spacing w:after="0"/>
              <w:rPr>
                <w:sz w:val="12"/>
                <w:szCs w:val="12"/>
                <w:color w:val="auto"/>
              </w:rPr>
            </w:pPr>
          </w:p>
        </w:tc>
        <w:tc>
          <w:tcPr>
            <w:tcW w:w="900" w:type="dxa"/>
            <w:vAlign w:val="bottom"/>
            <w:tcBorders>
              <w:bottom w:val="single" w:sz="8" w:color="050A54"/>
            </w:tcBorders>
            <w:shd w:val="clear" w:color="auto" w:fill="E8E8E8"/>
          </w:tcPr>
          <w:p>
            <w:pPr>
              <w:spacing w:after="0"/>
              <w:rPr>
                <w:sz w:val="12"/>
                <w:szCs w:val="12"/>
                <w:color w:val="auto"/>
              </w:rPr>
            </w:pPr>
          </w:p>
        </w:tc>
        <w:tc>
          <w:tcPr>
            <w:tcW w:w="900" w:type="dxa"/>
            <w:vAlign w:val="bottom"/>
            <w:tcBorders>
              <w:bottom w:val="single" w:sz="8" w:color="050A54"/>
            </w:tcBorders>
            <w:shd w:val="clear" w:color="auto" w:fill="E8E8E8"/>
          </w:tcPr>
          <w:p>
            <w:pPr>
              <w:spacing w:after="0"/>
              <w:rPr>
                <w:sz w:val="12"/>
                <w:szCs w:val="12"/>
                <w:color w:val="auto"/>
              </w:rPr>
            </w:pPr>
          </w:p>
        </w:tc>
        <w:tc>
          <w:tcPr>
            <w:tcW w:w="880" w:type="dxa"/>
            <w:vAlign w:val="bottom"/>
            <w:tcBorders>
              <w:bottom w:val="single" w:sz="8" w:color="050A54"/>
            </w:tcBorders>
            <w:shd w:val="clear" w:color="auto" w:fill="E8E8E8"/>
          </w:tcPr>
          <w:p>
            <w:pPr>
              <w:jc w:val="right"/>
              <w:ind w:right="98"/>
              <w:spacing w:after="0"/>
              <w:rPr>
                <w:sz w:val="20"/>
                <w:szCs w:val="20"/>
                <w:color w:val="auto"/>
              </w:rPr>
            </w:pPr>
            <w:r>
              <w:rPr>
                <w:rFonts w:ascii="Arial" w:cs="Arial" w:eastAsia="Arial" w:hAnsi="Arial"/>
                <w:sz w:val="12"/>
                <w:szCs w:val="12"/>
                <w:color w:val="auto"/>
              </w:rPr>
              <w:t>3,194</w:t>
            </w:r>
          </w:p>
        </w:tc>
        <w:tc>
          <w:tcPr>
            <w:tcW w:w="720" w:type="dxa"/>
            <w:vAlign w:val="bottom"/>
            <w:tcBorders>
              <w:bottom w:val="single" w:sz="8" w:color="050A54"/>
            </w:tcBorders>
            <w:shd w:val="clear" w:color="auto" w:fill="E8E8E8"/>
          </w:tcPr>
          <w:p>
            <w:pPr>
              <w:jc w:val="right"/>
              <w:ind w:right="78"/>
              <w:spacing w:after="0"/>
              <w:rPr>
                <w:sz w:val="20"/>
                <w:szCs w:val="20"/>
                <w:color w:val="auto"/>
              </w:rPr>
            </w:pPr>
            <w:r>
              <w:rPr>
                <w:rFonts w:ascii="Arial" w:cs="Arial" w:eastAsia="Arial" w:hAnsi="Arial"/>
                <w:sz w:val="12"/>
                <w:szCs w:val="12"/>
                <w:color w:val="auto"/>
              </w:rPr>
              <w:t>6,388</w:t>
            </w:r>
          </w:p>
        </w:tc>
        <w:tc>
          <w:tcPr>
            <w:tcW w:w="940" w:type="dxa"/>
            <w:vAlign w:val="bottom"/>
            <w:tcBorders>
              <w:bottom w:val="single" w:sz="8" w:color="050A54"/>
            </w:tcBorders>
            <w:shd w:val="clear" w:color="auto" w:fill="E8E8E8"/>
          </w:tcPr>
          <w:p>
            <w:pPr>
              <w:jc w:val="right"/>
              <w:ind w:right="138"/>
              <w:spacing w:after="0"/>
              <w:rPr>
                <w:sz w:val="20"/>
                <w:szCs w:val="20"/>
                <w:color w:val="auto"/>
              </w:rPr>
            </w:pPr>
            <w:r>
              <w:rPr>
                <w:rFonts w:ascii="Arial" w:cs="Arial" w:eastAsia="Arial" w:hAnsi="Arial"/>
                <w:sz w:val="12"/>
                <w:szCs w:val="12"/>
                <w:color w:val="auto"/>
              </w:rPr>
              <w:t>12,776</w:t>
            </w:r>
          </w:p>
        </w:tc>
        <w:tc>
          <w:tcPr>
            <w:tcW w:w="940" w:type="dxa"/>
            <w:vAlign w:val="bottom"/>
            <w:tcBorders>
              <w:bottom w:val="single" w:sz="8" w:color="050A54"/>
            </w:tcBorders>
            <w:shd w:val="clear" w:color="auto" w:fill="E8E8E8"/>
          </w:tcPr>
          <w:p>
            <w:pPr>
              <w:spacing w:after="0"/>
              <w:rPr>
                <w:sz w:val="12"/>
                <w:szCs w:val="12"/>
                <w:color w:val="auto"/>
              </w:rPr>
            </w:pPr>
          </w:p>
        </w:tc>
        <w:tc>
          <w:tcPr>
            <w:tcW w:w="240" w:type="dxa"/>
            <w:vAlign w:val="bottom"/>
            <w:tcBorders>
              <w:bottom w:val="single" w:sz="8" w:color="050A54"/>
            </w:tcBorders>
            <w:shd w:val="clear" w:color="auto" w:fill="E8E8E8"/>
          </w:tcPr>
          <w:p>
            <w:pPr>
              <w:spacing w:after="0"/>
              <w:rPr>
                <w:sz w:val="12"/>
                <w:szCs w:val="12"/>
                <w:color w:val="auto"/>
              </w:rPr>
            </w:pPr>
          </w:p>
        </w:tc>
        <w:tc>
          <w:tcPr>
            <w:tcW w:w="940" w:type="dxa"/>
            <w:vAlign w:val="bottom"/>
            <w:tcBorders>
              <w:bottom w:val="single" w:sz="8" w:color="050A54"/>
            </w:tcBorders>
            <w:shd w:val="clear" w:color="auto" w:fill="E8E8E8"/>
          </w:tcPr>
          <w:p>
            <w:pPr>
              <w:jc w:val="right"/>
              <w:ind w:right="38"/>
              <w:spacing w:after="0"/>
              <w:rPr>
                <w:sz w:val="20"/>
                <w:szCs w:val="20"/>
                <w:color w:val="auto"/>
              </w:rPr>
            </w:pPr>
            <w:r>
              <w:rPr>
                <w:rFonts w:ascii="Arial" w:cs="Arial" w:eastAsia="Arial" w:hAnsi="Arial"/>
                <w:sz w:val="12"/>
                <w:szCs w:val="12"/>
                <w:color w:val="auto"/>
              </w:rPr>
              <w:t>1,236,014</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600" w:hanging="433"/>
        <w:spacing w:after="0"/>
        <w:tabs>
          <w:tab w:leader="none" w:pos="6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Represents potential target payouts under annual bonus awards.</w:t>
      </w:r>
    </w:p>
    <w:p>
      <w:pPr>
        <w:spacing w:after="0" w:line="70" w:lineRule="exact"/>
        <w:rPr>
          <w:rFonts w:ascii="Arial" w:cs="Arial" w:eastAsia="Arial" w:hAnsi="Arial"/>
          <w:sz w:val="16"/>
          <w:szCs w:val="16"/>
          <w:color w:val="auto"/>
        </w:rPr>
      </w:pPr>
    </w:p>
    <w:p>
      <w:pPr>
        <w:jc w:val="both"/>
        <w:ind w:left="600" w:hanging="433"/>
        <w:spacing w:after="0" w:line="247" w:lineRule="auto"/>
        <w:tabs>
          <w:tab w:leader="none" w:pos="6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Represents the number of threshold, target and maximum potential future payouts under the PSUs awarded under our Amended and Restated 2010 Omnibus Equity Incentive Plan (the “2010 Plan”). The Company no longer makes grants under the 2010 Plan, following stockholder approval of the 2021 Plan in May 2021. PSUs are eligible to become earned PSUs based on the Company’s TSR relative to the TSR of the Comparator Group (as defined above) over the Performance Period (as defined above). The number of PSUs that is earned is determined based on the Company’s relative ranking between the 25th and the 80th percentiles of the Comparator Group’s TSR results. Amounts in the threshold column (50% of the target award) reflect the number of PSUs that would be earned if threshold performance were achieved (a TSR percentile rank at 25%); amounts in the target column (100% of the target award) reflect the number of PSUs that would be earned if target performance were achieved (a TSR percentile rank at 50%); and amounts in the maximum column (200% of the target award) reflect the number of PSUs that would be earned if maximum performance were achieved (a TSR percentile rank at or above 80%). The number of PSUs earned between threshold, target and maximum performance levels is interpolated on a straight-line basis. No PSUs will be earned if performance is below the threshold level. The number of earned PSUs is capped at 100% of the target award if the Company’s TSR is negative during the Performance Period. Earned PSUs become vested on the later of the third anniversary of the grant date and the date on which the Compensation Committee determines the level of achievement of the performance criteria associated with the award and the number of PSUs that have become earned under the award agreement.</w:t>
      </w:r>
    </w:p>
    <w:p>
      <w:pPr>
        <w:spacing w:after="0" w:line="182" w:lineRule="exact"/>
        <w:rPr>
          <w:sz w:val="20"/>
          <w:szCs w:val="20"/>
          <w:color w:val="auto"/>
        </w:rPr>
      </w:pPr>
    </w:p>
    <w:p>
      <w:pPr>
        <w:ind w:left="1000" w:hanging="690"/>
        <w:spacing w:after="0"/>
        <w:tabs>
          <w:tab w:leader="none" w:pos="1000" w:val="left"/>
        </w:tabs>
        <w:numPr>
          <w:ilvl w:val="0"/>
          <w:numId w:val="80"/>
        </w:numPr>
        <w:rPr>
          <w:rFonts w:ascii="Arial" w:cs="Arial" w:eastAsia="Arial" w:hAnsi="Arial"/>
          <w:sz w:val="18"/>
          <w:szCs w:val="18"/>
          <w:color w:val="050A54"/>
        </w:rPr>
      </w:pPr>
      <w:r>
        <w:rPr>
          <w:rFonts w:ascii="Arial" w:cs="Arial" w:eastAsia="Arial" w:hAnsi="Arial"/>
          <w:sz w:val="18"/>
          <w:szCs w:val="18"/>
          <w:b w:val="1"/>
          <w:bCs w:val="1"/>
          <w:color w:val="050A54"/>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-118745</wp:posOffset>
            </wp:positionV>
            <wp:extent cx="8255" cy="135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780"/>
        <w:spacing w:after="0"/>
        <w:rPr>
          <w:sz w:val="20"/>
          <w:szCs w:val="20"/>
          <w:color w:val="auto"/>
        </w:rPr>
      </w:pPr>
      <w:r>
        <w:rPr>
          <w:rFonts w:ascii="Arial" w:cs="Arial" w:eastAsia="Arial" w:hAnsi="Arial"/>
          <w:sz w:val="20"/>
          <w:szCs w:val="20"/>
          <w:b w:val="1"/>
          <w:bCs w:val="1"/>
          <w:color w:val="050A54"/>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8" w:lineRule="exact"/>
        <w:rPr>
          <w:sz w:val="20"/>
          <w:szCs w:val="20"/>
          <w:color w:val="auto"/>
        </w:rPr>
      </w:pPr>
    </w:p>
    <w:p>
      <w:pPr>
        <w:ind w:left="600" w:hanging="433"/>
        <w:spacing w:after="0" w:line="279" w:lineRule="auto"/>
        <w:tabs>
          <w:tab w:leader="none" w:pos="6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Represents the number of RSUs awarded under our 2010 Plan. Except as described in Note (5) below, RSUs are scheduled to vest over a three-year period in equal tranches, with the first tranche scheduled to vest on the first anniversary of the grant date.</w:t>
      </w:r>
    </w:p>
    <w:p>
      <w:pPr>
        <w:spacing w:after="0" w:line="13" w:lineRule="exact"/>
        <w:rPr>
          <w:rFonts w:ascii="Arial" w:cs="Arial" w:eastAsia="Arial" w:hAnsi="Arial"/>
          <w:sz w:val="16"/>
          <w:szCs w:val="16"/>
          <w:color w:val="auto"/>
        </w:rPr>
      </w:pPr>
    </w:p>
    <w:p>
      <w:pPr>
        <w:jc w:val="both"/>
        <w:ind w:left="600" w:hanging="433"/>
        <w:spacing w:after="0" w:line="256" w:lineRule="auto"/>
        <w:tabs>
          <w:tab w:leader="none" w:pos="6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Represents the grant date fair value of PSUs and RSUs, in each case computed in accordance with FASB ASC Topic 718, and in the case of PSUs, based on the probable outcome of the performance conditions associated with such awards on the grant date. The aggregate grant date fair value of RSUs was determined using the closing price of the Common Stock on the grant date. See Note (1) to the Summary Compensation Table above.</w:t>
      </w:r>
    </w:p>
    <w:p>
      <w:pPr>
        <w:spacing w:after="0" w:line="30" w:lineRule="exact"/>
        <w:rPr>
          <w:rFonts w:ascii="Arial" w:cs="Arial" w:eastAsia="Arial" w:hAnsi="Arial"/>
          <w:sz w:val="16"/>
          <w:szCs w:val="16"/>
          <w:color w:val="auto"/>
        </w:rPr>
      </w:pPr>
    </w:p>
    <w:p>
      <w:pPr>
        <w:jc w:val="both"/>
        <w:ind w:left="600" w:right="20" w:hanging="433"/>
        <w:spacing w:after="0" w:line="256" w:lineRule="auto"/>
        <w:tabs>
          <w:tab w:leader="none" w:pos="6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These awards vest over a two-year period in eight tranches, with 14.40% of the total number of shares having vested on each of May 25, 2021, August 25, 2021 and November 25, 2021; 7.95% of the total number of shares having vested on February 25, 2022; 7.95% of the total number of shares scheduled to vest on each of May 25, 2022, August 25, 2022 and November 25, 2022; and 25.00% of the total number of shares scheduled to vest on February 25, 2023.</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Outstanding Equity Awards at December 31, 2021</w:t>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sets forth information with respect to unexercised stock option awards, unvested RSUs and unvested or unearned</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PSUs, as applicable, as of December 31, 2021:</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65"/>
        </w:trPr>
        <w:tc>
          <w:tcPr>
            <w:tcW w:w="2400" w:type="dxa"/>
            <w:vAlign w:val="bottom"/>
            <w:tcBorders>
              <w:bottom w:val="single" w:sz="8" w:color="050A54"/>
            </w:tcBorders>
          </w:tcPr>
          <w:p>
            <w:pPr>
              <w:spacing w:after="0"/>
              <w:rPr>
                <w:sz w:val="14"/>
                <w:szCs w:val="14"/>
                <w:color w:val="auto"/>
              </w:rPr>
            </w:pPr>
          </w:p>
        </w:tc>
        <w:tc>
          <w:tcPr>
            <w:tcW w:w="1920" w:type="dxa"/>
            <w:vAlign w:val="bottom"/>
            <w:tcBorders>
              <w:bottom w:val="single" w:sz="8" w:color="050A54"/>
            </w:tcBorders>
            <w:gridSpan w:val="2"/>
          </w:tcPr>
          <w:p>
            <w:pPr>
              <w:jc w:val="right"/>
              <w:ind w:right="458"/>
              <w:spacing w:after="0"/>
              <w:rPr>
                <w:sz w:val="20"/>
                <w:szCs w:val="20"/>
                <w:color w:val="auto"/>
              </w:rPr>
            </w:pPr>
            <w:r>
              <w:rPr>
                <w:rFonts w:ascii="Arial" w:cs="Arial" w:eastAsia="Arial" w:hAnsi="Arial"/>
                <w:sz w:val="12"/>
                <w:szCs w:val="12"/>
                <w:b w:val="1"/>
                <w:bCs w:val="1"/>
                <w:color w:val="050A54"/>
              </w:rPr>
              <w:t>Option Awards</w:t>
            </w:r>
          </w:p>
        </w:tc>
        <w:tc>
          <w:tcPr>
            <w:tcW w:w="140" w:type="dxa"/>
            <w:vAlign w:val="bottom"/>
            <w:tcBorders>
              <w:bottom w:val="single" w:sz="8" w:color="050A54"/>
            </w:tcBorders>
          </w:tcPr>
          <w:p>
            <w:pPr>
              <w:spacing w:after="0"/>
              <w:rPr>
                <w:sz w:val="14"/>
                <w:szCs w:val="14"/>
                <w:color w:val="auto"/>
              </w:rPr>
            </w:pPr>
          </w:p>
        </w:tc>
        <w:tc>
          <w:tcPr>
            <w:tcW w:w="540" w:type="dxa"/>
            <w:vAlign w:val="bottom"/>
            <w:tcBorders>
              <w:bottom w:val="single" w:sz="8" w:color="050A54"/>
            </w:tcBorders>
          </w:tcPr>
          <w:p>
            <w:pPr>
              <w:spacing w:after="0"/>
              <w:rPr>
                <w:sz w:val="14"/>
                <w:szCs w:val="14"/>
                <w:color w:val="auto"/>
              </w:rPr>
            </w:pPr>
          </w:p>
        </w:tc>
        <w:tc>
          <w:tcPr>
            <w:tcW w:w="360" w:type="dxa"/>
            <w:vAlign w:val="bottom"/>
            <w:tcBorders>
              <w:bottom w:val="single" w:sz="8" w:color="050A54"/>
            </w:tcBorders>
          </w:tcPr>
          <w:p>
            <w:pPr>
              <w:spacing w:after="0"/>
              <w:rPr>
                <w:sz w:val="14"/>
                <w:szCs w:val="14"/>
                <w:color w:val="auto"/>
              </w:rPr>
            </w:pPr>
          </w:p>
        </w:tc>
        <w:tc>
          <w:tcPr>
            <w:tcW w:w="180" w:type="dxa"/>
            <w:vAlign w:val="bottom"/>
            <w:tcBorders>
              <w:bottom w:val="single" w:sz="8" w:color="050A54"/>
            </w:tcBorders>
          </w:tcPr>
          <w:p>
            <w:pPr>
              <w:spacing w:after="0"/>
              <w:rPr>
                <w:sz w:val="14"/>
                <w:szCs w:val="14"/>
                <w:color w:val="auto"/>
              </w:rPr>
            </w:pPr>
          </w:p>
        </w:tc>
        <w:tc>
          <w:tcPr>
            <w:tcW w:w="500" w:type="dxa"/>
            <w:vAlign w:val="bottom"/>
            <w:tcBorders>
              <w:bottom w:val="single" w:sz="8" w:color="050A54"/>
            </w:tcBorders>
          </w:tcPr>
          <w:p>
            <w:pPr>
              <w:spacing w:after="0"/>
              <w:rPr>
                <w:sz w:val="14"/>
                <w:szCs w:val="14"/>
                <w:color w:val="auto"/>
              </w:rPr>
            </w:pPr>
          </w:p>
        </w:tc>
        <w:tc>
          <w:tcPr>
            <w:tcW w:w="680" w:type="dxa"/>
            <w:vAlign w:val="bottom"/>
            <w:tcBorders>
              <w:bottom w:val="single" w:sz="8" w:color="050A54"/>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Borders>
              <w:bottom w:val="single" w:sz="8" w:color="050A54"/>
            </w:tcBorders>
          </w:tcPr>
          <w:p>
            <w:pPr>
              <w:spacing w:after="0"/>
              <w:rPr>
                <w:sz w:val="14"/>
                <w:szCs w:val="14"/>
                <w:color w:val="auto"/>
              </w:rPr>
            </w:pPr>
          </w:p>
        </w:tc>
        <w:tc>
          <w:tcPr>
            <w:tcW w:w="360" w:type="dxa"/>
            <w:vAlign w:val="bottom"/>
            <w:tcBorders>
              <w:bottom w:val="single" w:sz="8" w:color="050A54"/>
            </w:tcBorders>
          </w:tcPr>
          <w:p>
            <w:pPr>
              <w:spacing w:after="0"/>
              <w:rPr>
                <w:sz w:val="14"/>
                <w:szCs w:val="14"/>
                <w:color w:val="auto"/>
              </w:rPr>
            </w:pPr>
          </w:p>
        </w:tc>
        <w:tc>
          <w:tcPr>
            <w:tcW w:w="160" w:type="dxa"/>
            <w:vAlign w:val="bottom"/>
            <w:tcBorders>
              <w:bottom w:val="single" w:sz="8" w:color="050A54"/>
            </w:tcBorders>
          </w:tcPr>
          <w:p>
            <w:pPr>
              <w:spacing w:after="0"/>
              <w:rPr>
                <w:sz w:val="14"/>
                <w:szCs w:val="14"/>
                <w:color w:val="auto"/>
              </w:rPr>
            </w:pPr>
          </w:p>
        </w:tc>
        <w:tc>
          <w:tcPr>
            <w:tcW w:w="1540" w:type="dxa"/>
            <w:vAlign w:val="bottom"/>
            <w:tcBorders>
              <w:bottom w:val="single" w:sz="8" w:color="050A54"/>
            </w:tcBorders>
            <w:gridSpan w:val="2"/>
          </w:tcPr>
          <w:p>
            <w:pPr>
              <w:jc w:val="right"/>
              <w:ind w:right="238"/>
              <w:spacing w:after="0"/>
              <w:rPr>
                <w:sz w:val="20"/>
                <w:szCs w:val="20"/>
                <w:color w:val="auto"/>
              </w:rPr>
            </w:pPr>
            <w:r>
              <w:rPr>
                <w:rFonts w:ascii="Arial" w:cs="Arial" w:eastAsia="Arial" w:hAnsi="Arial"/>
                <w:sz w:val="12"/>
                <w:szCs w:val="12"/>
                <w:b w:val="1"/>
                <w:bCs w:val="1"/>
                <w:color w:val="050A54"/>
              </w:rPr>
              <w:t>Stock Awards</w:t>
            </w:r>
          </w:p>
        </w:tc>
        <w:tc>
          <w:tcPr>
            <w:tcW w:w="280" w:type="dxa"/>
            <w:vAlign w:val="bottom"/>
            <w:tcBorders>
              <w:bottom w:val="single" w:sz="8" w:color="050A54"/>
            </w:tcBorders>
          </w:tcPr>
          <w:p>
            <w:pPr>
              <w:spacing w:after="0"/>
              <w:rPr>
                <w:sz w:val="14"/>
                <w:szCs w:val="14"/>
                <w:color w:val="auto"/>
              </w:rPr>
            </w:pPr>
          </w:p>
        </w:tc>
        <w:tc>
          <w:tcPr>
            <w:tcW w:w="220" w:type="dxa"/>
            <w:vAlign w:val="bottom"/>
            <w:tcBorders>
              <w:bottom w:val="single" w:sz="8" w:color="050A54"/>
            </w:tcBorders>
          </w:tcPr>
          <w:p>
            <w:pPr>
              <w:spacing w:after="0"/>
              <w:rPr>
                <w:sz w:val="14"/>
                <w:szCs w:val="14"/>
                <w:color w:val="auto"/>
              </w:rPr>
            </w:pPr>
          </w:p>
        </w:tc>
        <w:tc>
          <w:tcPr>
            <w:tcW w:w="180" w:type="dxa"/>
            <w:vAlign w:val="bottom"/>
            <w:tcBorders>
              <w:bottom w:val="single" w:sz="8" w:color="050A54"/>
            </w:tcBorders>
          </w:tcPr>
          <w:p>
            <w:pPr>
              <w:spacing w:after="0"/>
              <w:rPr>
                <w:sz w:val="14"/>
                <w:szCs w:val="14"/>
                <w:color w:val="auto"/>
              </w:rPr>
            </w:pPr>
          </w:p>
        </w:tc>
        <w:tc>
          <w:tcPr>
            <w:tcW w:w="20" w:type="dxa"/>
            <w:vAlign w:val="bottom"/>
            <w:tcBorders>
              <w:bottom w:val="single" w:sz="8" w:color="050A54"/>
            </w:tcBorders>
          </w:tcPr>
          <w:p>
            <w:pPr>
              <w:spacing w:after="0"/>
              <w:rPr>
                <w:sz w:val="14"/>
                <w:szCs w:val="14"/>
                <w:color w:val="auto"/>
              </w:rPr>
            </w:pPr>
          </w:p>
        </w:tc>
        <w:tc>
          <w:tcPr>
            <w:tcW w:w="420" w:type="dxa"/>
            <w:vAlign w:val="bottom"/>
            <w:tcBorders>
              <w:bottom w:val="single" w:sz="8" w:color="050A54"/>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4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80" w:type="dxa"/>
            <w:vAlign w:val="bottom"/>
          </w:tcPr>
          <w:p>
            <w:pPr>
              <w:jc w:val="center"/>
              <w:ind w:left="238"/>
              <w:spacing w:after="0" w:line="109" w:lineRule="exact"/>
              <w:rPr>
                <w:sz w:val="20"/>
                <w:szCs w:val="20"/>
                <w:color w:val="auto"/>
              </w:rPr>
            </w:pPr>
            <w:r>
              <w:rPr>
                <w:rFonts w:ascii="Arial" w:cs="Arial" w:eastAsia="Arial" w:hAnsi="Arial"/>
                <w:sz w:val="12"/>
                <w:szCs w:val="12"/>
                <w:b w:val="1"/>
                <w:bCs w:val="1"/>
                <w:color w:val="050A54"/>
              </w:rPr>
              <w:t>Equity</w:t>
            </w: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gridSpan w:val="4"/>
            <w:vMerge w:val="restart"/>
          </w:tcPr>
          <w:p>
            <w:pPr>
              <w:jc w:val="center"/>
              <w:ind w:right="260"/>
              <w:spacing w:after="0"/>
              <w:rPr>
                <w:sz w:val="20"/>
                <w:szCs w:val="20"/>
                <w:color w:val="auto"/>
              </w:rPr>
            </w:pPr>
            <w:r>
              <w:rPr>
                <w:rFonts w:ascii="Arial" w:cs="Arial" w:eastAsia="Arial" w:hAnsi="Arial"/>
                <w:sz w:val="12"/>
                <w:szCs w:val="12"/>
                <w:b w:val="1"/>
                <w:bCs w:val="1"/>
                <w:color w:val="050A54"/>
              </w:rPr>
              <w:t>Equity</w:t>
            </w:r>
          </w:p>
        </w:tc>
        <w:tc>
          <w:tcPr>
            <w:tcW w:w="0" w:type="dxa"/>
            <w:vAlign w:val="bottom"/>
          </w:tcPr>
          <w:p>
            <w:pPr>
              <w:spacing w:after="0"/>
              <w:rPr>
                <w:sz w:val="1"/>
                <w:szCs w:val="1"/>
                <w:color w:val="auto"/>
              </w:rPr>
            </w:pPr>
          </w:p>
        </w:tc>
      </w:tr>
      <w:tr>
        <w:trPr>
          <w:trHeight w:val="134"/>
        </w:trPr>
        <w:tc>
          <w:tcPr>
            <w:tcW w:w="2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50A54"/>
              </w:rPr>
              <w:t>Incentive</w:t>
            </w:r>
          </w:p>
        </w:tc>
        <w:tc>
          <w:tcPr>
            <w:tcW w:w="220" w:type="dxa"/>
            <w:vAlign w:val="bottom"/>
          </w:tcPr>
          <w:p>
            <w:pPr>
              <w:spacing w:after="0"/>
              <w:rPr>
                <w:sz w:val="11"/>
                <w:szCs w:val="11"/>
                <w:color w:val="auto"/>
              </w:rPr>
            </w:pPr>
          </w:p>
        </w:tc>
        <w:tc>
          <w:tcPr>
            <w:tcW w:w="72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jc w:val="center"/>
              <w:ind w:left="238"/>
              <w:spacing w:after="0" w:line="134" w:lineRule="exact"/>
              <w:rPr>
                <w:sz w:val="20"/>
                <w:szCs w:val="20"/>
                <w:color w:val="auto"/>
              </w:rPr>
            </w:pPr>
            <w:r>
              <w:rPr>
                <w:rFonts w:ascii="Arial" w:cs="Arial" w:eastAsia="Arial" w:hAnsi="Arial"/>
                <w:sz w:val="12"/>
                <w:szCs w:val="12"/>
                <w:b w:val="1"/>
                <w:bCs w:val="1"/>
                <w:color w:val="050A54"/>
              </w:rPr>
              <w:t>Plan</w:t>
            </w:r>
          </w:p>
        </w:tc>
        <w:tc>
          <w:tcPr>
            <w:tcW w:w="280" w:type="dxa"/>
            <w:vAlign w:val="bottom"/>
          </w:tcPr>
          <w:p>
            <w:pPr>
              <w:spacing w:after="0"/>
              <w:rPr>
                <w:sz w:val="11"/>
                <w:szCs w:val="11"/>
                <w:color w:val="auto"/>
              </w:rPr>
            </w:pPr>
          </w:p>
        </w:tc>
        <w:tc>
          <w:tcPr>
            <w:tcW w:w="940" w:type="dxa"/>
            <w:vAlign w:val="bottom"/>
            <w:gridSpan w:val="5"/>
          </w:tcPr>
          <w:p>
            <w:pPr>
              <w:jc w:val="center"/>
              <w:ind w:right="40"/>
              <w:spacing w:after="0" w:line="134" w:lineRule="exact"/>
              <w:rPr>
                <w:sz w:val="20"/>
                <w:szCs w:val="20"/>
                <w:color w:val="auto"/>
              </w:rPr>
            </w:pPr>
            <w:r>
              <w:rPr>
                <w:rFonts w:ascii="Arial" w:cs="Arial" w:eastAsia="Arial" w:hAnsi="Arial"/>
                <w:sz w:val="12"/>
                <w:szCs w:val="12"/>
                <w:b w:val="1"/>
                <w:bCs w:val="1"/>
                <w:color w:val="050A54"/>
              </w:rPr>
              <w:t>Incentive</w:t>
            </w:r>
          </w:p>
        </w:tc>
        <w:tc>
          <w:tcPr>
            <w:tcW w:w="0" w:type="dxa"/>
            <w:vAlign w:val="bottom"/>
          </w:tcPr>
          <w:p>
            <w:pPr>
              <w:spacing w:after="0"/>
              <w:rPr>
                <w:sz w:val="1"/>
                <w:szCs w:val="1"/>
                <w:color w:val="auto"/>
              </w:rPr>
            </w:pPr>
          </w:p>
        </w:tc>
      </w:tr>
      <w:tr>
        <w:trPr>
          <w:trHeight w:val="134"/>
        </w:trPr>
        <w:tc>
          <w:tcPr>
            <w:tcW w:w="2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50A54"/>
              </w:rPr>
              <w:t>Awards:</w:t>
            </w:r>
          </w:p>
        </w:tc>
        <w:tc>
          <w:tcPr>
            <w:tcW w:w="220" w:type="dxa"/>
            <w:vAlign w:val="bottom"/>
          </w:tcPr>
          <w:p>
            <w:pPr>
              <w:spacing w:after="0"/>
              <w:rPr>
                <w:sz w:val="11"/>
                <w:szCs w:val="11"/>
                <w:color w:val="auto"/>
              </w:rPr>
            </w:pPr>
          </w:p>
        </w:tc>
        <w:tc>
          <w:tcPr>
            <w:tcW w:w="720" w:type="dxa"/>
            <w:vAlign w:val="bottom"/>
            <w:gridSpan w:val="4"/>
          </w:tcPr>
          <w:p>
            <w:pPr>
              <w:jc w:val="center"/>
              <w:ind w:right="240"/>
              <w:spacing w:after="0" w:line="134" w:lineRule="exact"/>
              <w:rPr>
                <w:sz w:val="20"/>
                <w:szCs w:val="20"/>
                <w:color w:val="auto"/>
              </w:rPr>
            </w:pPr>
            <w:r>
              <w:rPr>
                <w:rFonts w:ascii="Arial" w:cs="Arial" w:eastAsia="Arial" w:hAnsi="Arial"/>
                <w:sz w:val="12"/>
                <w:szCs w:val="12"/>
                <w:b w:val="1"/>
                <w:bCs w:val="1"/>
                <w:color w:val="050A54"/>
              </w:rPr>
              <w:t>Plan</w:t>
            </w:r>
          </w:p>
        </w:tc>
        <w:tc>
          <w:tcPr>
            <w:tcW w:w="0" w:type="dxa"/>
            <w:vAlign w:val="bottom"/>
          </w:tcPr>
          <w:p>
            <w:pPr>
              <w:spacing w:after="0"/>
              <w:rPr>
                <w:sz w:val="1"/>
                <w:szCs w:val="1"/>
                <w:color w:val="auto"/>
              </w:rPr>
            </w:pPr>
          </w:p>
        </w:tc>
      </w:tr>
      <w:tr>
        <w:trPr>
          <w:trHeight w:val="134"/>
        </w:trPr>
        <w:tc>
          <w:tcPr>
            <w:tcW w:w="2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vMerge w:val="restart"/>
          </w:tcPr>
          <w:p>
            <w:pPr>
              <w:jc w:val="center"/>
              <w:ind w:right="78"/>
              <w:spacing w:after="0"/>
              <w:rPr>
                <w:sz w:val="20"/>
                <w:szCs w:val="20"/>
                <w:color w:val="auto"/>
              </w:rPr>
            </w:pPr>
            <w:r>
              <w:rPr>
                <w:rFonts w:ascii="Arial" w:cs="Arial" w:eastAsia="Arial" w:hAnsi="Arial"/>
                <w:sz w:val="12"/>
                <w:szCs w:val="12"/>
                <w:b w:val="1"/>
                <w:bCs w:val="1"/>
                <w:color w:val="050A54"/>
              </w:rPr>
              <w:t>Number of</w:t>
            </w:r>
          </w:p>
        </w:tc>
        <w:tc>
          <w:tcPr>
            <w:tcW w:w="140" w:type="dxa"/>
            <w:vAlign w:val="bottom"/>
          </w:tcPr>
          <w:p>
            <w:pPr>
              <w:spacing w:after="0"/>
              <w:rPr>
                <w:sz w:val="11"/>
                <w:szCs w:val="11"/>
                <w:color w:val="auto"/>
              </w:rPr>
            </w:pPr>
          </w:p>
        </w:tc>
        <w:tc>
          <w:tcPr>
            <w:tcW w:w="900" w:type="dxa"/>
            <w:vAlign w:val="bottom"/>
            <w:gridSpan w:val="2"/>
            <w:vMerge w:val="restart"/>
          </w:tcPr>
          <w:p>
            <w:pPr>
              <w:jc w:val="center"/>
              <w:ind w:right="58"/>
              <w:spacing w:after="0"/>
              <w:rPr>
                <w:sz w:val="20"/>
                <w:szCs w:val="20"/>
                <w:color w:val="auto"/>
              </w:rPr>
            </w:pPr>
            <w:r>
              <w:rPr>
                <w:rFonts w:ascii="Arial" w:cs="Arial" w:eastAsia="Arial" w:hAnsi="Arial"/>
                <w:sz w:val="12"/>
                <w:szCs w:val="12"/>
                <w:b w:val="1"/>
                <w:bCs w:val="1"/>
                <w:color w:val="050A54"/>
              </w:rPr>
              <w:t>Number of</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jc w:val="center"/>
              <w:ind w:right="18"/>
              <w:spacing w:after="0"/>
              <w:rPr>
                <w:sz w:val="20"/>
                <w:szCs w:val="20"/>
                <w:color w:val="auto"/>
              </w:rPr>
            </w:pPr>
            <w:r>
              <w:rPr>
                <w:rFonts w:ascii="Arial" w:cs="Arial" w:eastAsia="Arial" w:hAnsi="Arial"/>
                <w:sz w:val="12"/>
                <w:szCs w:val="12"/>
                <w:b w:val="1"/>
                <w:bCs w:val="1"/>
                <w:color w:val="050A54"/>
              </w:rPr>
              <w:t>Number of</w:t>
            </w:r>
          </w:p>
        </w:tc>
        <w:tc>
          <w:tcPr>
            <w:tcW w:w="10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050A54"/>
              </w:rPr>
              <w:t>Market Value</w:t>
            </w:r>
          </w:p>
        </w:tc>
        <w:tc>
          <w:tcPr>
            <w:tcW w:w="96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50A54"/>
              </w:rPr>
              <w:t>Number of</w:t>
            </w:r>
          </w:p>
        </w:tc>
        <w:tc>
          <w:tcPr>
            <w:tcW w:w="220" w:type="dxa"/>
            <w:vAlign w:val="bottom"/>
          </w:tcPr>
          <w:p>
            <w:pPr>
              <w:spacing w:after="0"/>
              <w:rPr>
                <w:sz w:val="11"/>
                <w:szCs w:val="11"/>
                <w:color w:val="auto"/>
              </w:rPr>
            </w:pPr>
          </w:p>
        </w:tc>
        <w:tc>
          <w:tcPr>
            <w:tcW w:w="720" w:type="dxa"/>
            <w:vAlign w:val="bottom"/>
            <w:gridSpan w:val="4"/>
          </w:tcPr>
          <w:p>
            <w:pPr>
              <w:jc w:val="center"/>
              <w:ind w:right="240"/>
              <w:spacing w:after="0" w:line="134" w:lineRule="exact"/>
              <w:rPr>
                <w:sz w:val="20"/>
                <w:szCs w:val="20"/>
                <w:color w:val="auto"/>
              </w:rPr>
            </w:pPr>
            <w:r>
              <w:rPr>
                <w:rFonts w:ascii="Arial" w:cs="Arial" w:eastAsia="Arial" w:hAnsi="Arial"/>
                <w:sz w:val="12"/>
                <w:szCs w:val="12"/>
                <w:b w:val="1"/>
                <w:bCs w:val="1"/>
                <w:color w:val="050A54"/>
              </w:rPr>
              <w:t>Awards:</w:t>
            </w:r>
          </w:p>
        </w:tc>
        <w:tc>
          <w:tcPr>
            <w:tcW w:w="0" w:type="dxa"/>
            <w:vAlign w:val="bottom"/>
          </w:tcPr>
          <w:p>
            <w:pPr>
              <w:spacing w:after="0"/>
              <w:rPr>
                <w:sz w:val="1"/>
                <w:szCs w:val="1"/>
                <w:color w:val="auto"/>
              </w:rPr>
            </w:pPr>
          </w:p>
        </w:tc>
      </w:tr>
      <w:tr>
        <w:trPr>
          <w:trHeight w:val="125"/>
        </w:trPr>
        <w:tc>
          <w:tcPr>
            <w:tcW w:w="24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960" w:type="dxa"/>
            <w:vAlign w:val="bottom"/>
            <w:gridSpan w:val="2"/>
          </w:tcPr>
          <w:p>
            <w:pPr>
              <w:jc w:val="center"/>
              <w:spacing w:after="0" w:line="125" w:lineRule="exact"/>
              <w:rPr>
                <w:sz w:val="20"/>
                <w:szCs w:val="20"/>
                <w:color w:val="auto"/>
              </w:rPr>
            </w:pPr>
            <w:r>
              <w:rPr>
                <w:rFonts w:ascii="Arial" w:cs="Arial" w:eastAsia="Arial" w:hAnsi="Arial"/>
                <w:sz w:val="12"/>
                <w:szCs w:val="12"/>
                <w:b w:val="1"/>
                <w:bCs w:val="1"/>
                <w:color w:val="050A54"/>
              </w:rPr>
              <w:t>Unearned</w:t>
            </w:r>
          </w:p>
        </w:tc>
        <w:tc>
          <w:tcPr>
            <w:tcW w:w="940" w:type="dxa"/>
            <w:vAlign w:val="bottom"/>
            <w:gridSpan w:val="5"/>
          </w:tcPr>
          <w:p>
            <w:pPr>
              <w:jc w:val="center"/>
              <w:ind w:right="20"/>
              <w:spacing w:after="0" w:line="125" w:lineRule="exact"/>
              <w:rPr>
                <w:sz w:val="20"/>
                <w:szCs w:val="20"/>
                <w:color w:val="auto"/>
              </w:rPr>
            </w:pPr>
            <w:r>
              <w:rPr>
                <w:rFonts w:ascii="Arial" w:cs="Arial" w:eastAsia="Arial" w:hAnsi="Arial"/>
                <w:sz w:val="12"/>
                <w:szCs w:val="12"/>
                <w:b w:val="1"/>
                <w:bCs w:val="1"/>
                <w:color w:val="050A54"/>
              </w:rPr>
              <w:t>Market or</w:t>
            </w:r>
          </w:p>
        </w:tc>
        <w:tc>
          <w:tcPr>
            <w:tcW w:w="0" w:type="dxa"/>
            <w:vAlign w:val="bottom"/>
          </w:tcPr>
          <w:p>
            <w:pPr>
              <w:spacing w:after="0"/>
              <w:rPr>
                <w:sz w:val="1"/>
                <w:szCs w:val="1"/>
                <w:color w:val="auto"/>
              </w:rPr>
            </w:pPr>
          </w:p>
        </w:tc>
      </w:tr>
      <w:tr>
        <w:trPr>
          <w:trHeight w:val="134"/>
        </w:trPr>
        <w:tc>
          <w:tcPr>
            <w:tcW w:w="2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jc w:val="center"/>
              <w:ind w:right="78"/>
              <w:spacing w:after="0" w:line="134" w:lineRule="exact"/>
              <w:rPr>
                <w:sz w:val="20"/>
                <w:szCs w:val="20"/>
                <w:color w:val="auto"/>
              </w:rPr>
            </w:pPr>
            <w:r>
              <w:rPr>
                <w:rFonts w:ascii="Arial" w:cs="Arial" w:eastAsia="Arial" w:hAnsi="Arial"/>
                <w:sz w:val="12"/>
                <w:szCs w:val="12"/>
                <w:b w:val="1"/>
                <w:bCs w:val="1"/>
                <w:color w:val="050A54"/>
              </w:rPr>
              <w:t>Securities</w:t>
            </w:r>
          </w:p>
        </w:tc>
        <w:tc>
          <w:tcPr>
            <w:tcW w:w="140" w:type="dxa"/>
            <w:vAlign w:val="bottom"/>
          </w:tcPr>
          <w:p>
            <w:pPr>
              <w:spacing w:after="0"/>
              <w:rPr>
                <w:sz w:val="11"/>
                <w:szCs w:val="11"/>
                <w:color w:val="auto"/>
              </w:rPr>
            </w:pPr>
          </w:p>
        </w:tc>
        <w:tc>
          <w:tcPr>
            <w:tcW w:w="900" w:type="dxa"/>
            <w:vAlign w:val="bottom"/>
            <w:gridSpan w:val="2"/>
          </w:tcPr>
          <w:p>
            <w:pPr>
              <w:jc w:val="center"/>
              <w:ind w:right="58"/>
              <w:spacing w:after="0" w:line="134" w:lineRule="exact"/>
              <w:rPr>
                <w:sz w:val="20"/>
                <w:szCs w:val="20"/>
                <w:color w:val="auto"/>
              </w:rPr>
            </w:pPr>
            <w:r>
              <w:rPr>
                <w:rFonts w:ascii="Arial" w:cs="Arial" w:eastAsia="Arial" w:hAnsi="Arial"/>
                <w:sz w:val="12"/>
                <w:szCs w:val="12"/>
                <w:b w:val="1"/>
                <w:bCs w:val="1"/>
                <w:color w:val="050A54"/>
              </w:rPr>
              <w:t>Securities</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18"/>
              <w:spacing w:after="0" w:line="134" w:lineRule="exact"/>
              <w:rPr>
                <w:sz w:val="20"/>
                <w:szCs w:val="20"/>
                <w:color w:val="auto"/>
              </w:rPr>
            </w:pPr>
            <w:r>
              <w:rPr>
                <w:rFonts w:ascii="Arial" w:cs="Arial" w:eastAsia="Arial" w:hAnsi="Arial"/>
                <w:sz w:val="12"/>
                <w:szCs w:val="12"/>
                <w:b w:val="1"/>
                <w:bCs w:val="1"/>
                <w:color w:val="050A54"/>
              </w:rPr>
              <w:t>Shares or</w:t>
            </w:r>
          </w:p>
        </w:tc>
        <w:tc>
          <w:tcPr>
            <w:tcW w:w="10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050A54"/>
              </w:rPr>
              <w:t>of Shares or</w:t>
            </w:r>
          </w:p>
        </w:tc>
        <w:tc>
          <w:tcPr>
            <w:tcW w:w="96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50A54"/>
              </w:rPr>
              <w:t>Shares,</w:t>
            </w:r>
          </w:p>
        </w:tc>
        <w:tc>
          <w:tcPr>
            <w:tcW w:w="220" w:type="dxa"/>
            <w:vAlign w:val="bottom"/>
          </w:tcPr>
          <w:p>
            <w:pPr>
              <w:spacing w:after="0"/>
              <w:rPr>
                <w:sz w:val="11"/>
                <w:szCs w:val="11"/>
                <w:color w:val="auto"/>
              </w:rPr>
            </w:pPr>
          </w:p>
        </w:tc>
        <w:tc>
          <w:tcPr>
            <w:tcW w:w="720" w:type="dxa"/>
            <w:vAlign w:val="bottom"/>
            <w:gridSpan w:val="4"/>
          </w:tcPr>
          <w:p>
            <w:pPr>
              <w:jc w:val="center"/>
              <w:ind w:right="240"/>
              <w:spacing w:after="0" w:line="134" w:lineRule="exact"/>
              <w:rPr>
                <w:sz w:val="20"/>
                <w:szCs w:val="20"/>
                <w:color w:val="auto"/>
              </w:rPr>
            </w:pPr>
            <w:r>
              <w:rPr>
                <w:rFonts w:ascii="Arial" w:cs="Arial" w:eastAsia="Arial" w:hAnsi="Arial"/>
                <w:sz w:val="12"/>
                <w:szCs w:val="12"/>
                <w:b w:val="1"/>
                <w:bCs w:val="1"/>
                <w:color w:val="050A54"/>
                <w:w w:val="99"/>
              </w:rPr>
              <w:t>Payout</w:t>
            </w:r>
          </w:p>
        </w:tc>
        <w:tc>
          <w:tcPr>
            <w:tcW w:w="0" w:type="dxa"/>
            <w:vAlign w:val="bottom"/>
          </w:tcPr>
          <w:p>
            <w:pPr>
              <w:spacing w:after="0"/>
              <w:rPr>
                <w:sz w:val="1"/>
                <w:szCs w:val="1"/>
                <w:color w:val="auto"/>
              </w:rPr>
            </w:pPr>
          </w:p>
        </w:tc>
      </w:tr>
      <w:tr>
        <w:trPr>
          <w:trHeight w:val="134"/>
        </w:trPr>
        <w:tc>
          <w:tcPr>
            <w:tcW w:w="2400" w:type="dxa"/>
            <w:vAlign w:val="bottom"/>
          </w:tcPr>
          <w:p>
            <w:pPr>
              <w:spacing w:after="0"/>
              <w:rPr>
                <w:sz w:val="11"/>
                <w:szCs w:val="11"/>
                <w:color w:val="auto"/>
              </w:rPr>
            </w:pPr>
          </w:p>
        </w:tc>
        <w:tc>
          <w:tcPr>
            <w:tcW w:w="1920" w:type="dxa"/>
            <w:vAlign w:val="bottom"/>
            <w:gridSpan w:val="2"/>
          </w:tcPr>
          <w:p>
            <w:pPr>
              <w:jc w:val="center"/>
              <w:ind w:left="938"/>
              <w:spacing w:after="0" w:line="134" w:lineRule="exact"/>
              <w:rPr>
                <w:sz w:val="20"/>
                <w:szCs w:val="20"/>
                <w:color w:val="auto"/>
              </w:rPr>
            </w:pPr>
            <w:r>
              <w:rPr>
                <w:rFonts w:ascii="Arial" w:cs="Arial" w:eastAsia="Arial" w:hAnsi="Arial"/>
                <w:sz w:val="12"/>
                <w:szCs w:val="12"/>
                <w:b w:val="1"/>
                <w:bCs w:val="1"/>
                <w:color w:val="050A54"/>
              </w:rPr>
              <w:t>Underlying</w:t>
            </w:r>
          </w:p>
        </w:tc>
        <w:tc>
          <w:tcPr>
            <w:tcW w:w="140" w:type="dxa"/>
            <w:vAlign w:val="bottom"/>
          </w:tcPr>
          <w:p>
            <w:pPr>
              <w:spacing w:after="0"/>
              <w:rPr>
                <w:sz w:val="11"/>
                <w:szCs w:val="11"/>
                <w:color w:val="auto"/>
              </w:rPr>
            </w:pPr>
          </w:p>
        </w:tc>
        <w:tc>
          <w:tcPr>
            <w:tcW w:w="900" w:type="dxa"/>
            <w:vAlign w:val="bottom"/>
            <w:gridSpan w:val="2"/>
          </w:tcPr>
          <w:p>
            <w:pPr>
              <w:jc w:val="center"/>
              <w:ind w:right="58"/>
              <w:spacing w:after="0" w:line="134" w:lineRule="exact"/>
              <w:rPr>
                <w:sz w:val="20"/>
                <w:szCs w:val="20"/>
                <w:color w:val="auto"/>
              </w:rPr>
            </w:pPr>
            <w:r>
              <w:rPr>
                <w:rFonts w:ascii="Arial" w:cs="Arial" w:eastAsia="Arial" w:hAnsi="Arial"/>
                <w:sz w:val="12"/>
                <w:szCs w:val="12"/>
                <w:b w:val="1"/>
                <w:bCs w:val="1"/>
                <w:color w:val="050A54"/>
              </w:rPr>
              <w:t>Underlying</w:t>
            </w:r>
          </w:p>
        </w:tc>
        <w:tc>
          <w:tcPr>
            <w:tcW w:w="68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050A54"/>
              </w:rPr>
              <w:t>Option</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18"/>
              <w:spacing w:after="0" w:line="134" w:lineRule="exact"/>
              <w:rPr>
                <w:sz w:val="20"/>
                <w:szCs w:val="20"/>
                <w:color w:val="auto"/>
              </w:rPr>
            </w:pPr>
            <w:r>
              <w:rPr>
                <w:rFonts w:ascii="Arial" w:cs="Arial" w:eastAsia="Arial" w:hAnsi="Arial"/>
                <w:sz w:val="12"/>
                <w:szCs w:val="12"/>
                <w:b w:val="1"/>
                <w:bCs w:val="1"/>
                <w:color w:val="050A54"/>
              </w:rPr>
              <w:t>Units of</w:t>
            </w:r>
          </w:p>
        </w:tc>
        <w:tc>
          <w:tcPr>
            <w:tcW w:w="160" w:type="dxa"/>
            <w:vAlign w:val="bottom"/>
          </w:tcPr>
          <w:p>
            <w:pPr>
              <w:spacing w:after="0"/>
              <w:rPr>
                <w:sz w:val="11"/>
                <w:szCs w:val="11"/>
                <w:color w:val="auto"/>
              </w:rPr>
            </w:pPr>
          </w:p>
        </w:tc>
        <w:tc>
          <w:tcPr>
            <w:tcW w:w="860" w:type="dxa"/>
            <w:vAlign w:val="bottom"/>
          </w:tcPr>
          <w:p>
            <w:pPr>
              <w:jc w:val="center"/>
              <w:ind w:right="177"/>
              <w:spacing w:after="0" w:line="134" w:lineRule="exact"/>
              <w:rPr>
                <w:sz w:val="20"/>
                <w:szCs w:val="20"/>
                <w:color w:val="auto"/>
              </w:rPr>
            </w:pPr>
            <w:r>
              <w:rPr>
                <w:rFonts w:ascii="Arial" w:cs="Arial" w:eastAsia="Arial" w:hAnsi="Arial"/>
                <w:sz w:val="12"/>
                <w:szCs w:val="12"/>
                <w:b w:val="1"/>
                <w:bCs w:val="1"/>
                <w:color w:val="050A54"/>
              </w:rPr>
              <w:t>Units of</w:t>
            </w:r>
          </w:p>
        </w:tc>
        <w:tc>
          <w:tcPr>
            <w:tcW w:w="96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50A54"/>
              </w:rPr>
              <w:t>Units or</w:t>
            </w:r>
          </w:p>
        </w:tc>
        <w:tc>
          <w:tcPr>
            <w:tcW w:w="220" w:type="dxa"/>
            <w:vAlign w:val="bottom"/>
          </w:tcPr>
          <w:p>
            <w:pPr>
              <w:spacing w:after="0"/>
              <w:rPr>
                <w:sz w:val="11"/>
                <w:szCs w:val="11"/>
                <w:color w:val="auto"/>
              </w:rPr>
            </w:pPr>
          </w:p>
        </w:tc>
        <w:tc>
          <w:tcPr>
            <w:tcW w:w="720" w:type="dxa"/>
            <w:vAlign w:val="bottom"/>
            <w:gridSpan w:val="4"/>
          </w:tcPr>
          <w:p>
            <w:pPr>
              <w:jc w:val="center"/>
              <w:ind w:right="240"/>
              <w:spacing w:after="0" w:line="134" w:lineRule="exact"/>
              <w:rPr>
                <w:sz w:val="20"/>
                <w:szCs w:val="20"/>
                <w:color w:val="auto"/>
              </w:rPr>
            </w:pPr>
            <w:r>
              <w:rPr>
                <w:rFonts w:ascii="Arial" w:cs="Arial" w:eastAsia="Arial" w:hAnsi="Arial"/>
                <w:sz w:val="12"/>
                <w:szCs w:val="12"/>
                <w:b w:val="1"/>
                <w:bCs w:val="1"/>
                <w:color w:val="050A54"/>
              </w:rPr>
              <w:t>Value of</w:t>
            </w:r>
          </w:p>
        </w:tc>
        <w:tc>
          <w:tcPr>
            <w:tcW w:w="0" w:type="dxa"/>
            <w:vAlign w:val="bottom"/>
          </w:tcPr>
          <w:p>
            <w:pPr>
              <w:spacing w:after="0"/>
              <w:rPr>
                <w:sz w:val="1"/>
                <w:szCs w:val="1"/>
                <w:color w:val="auto"/>
              </w:rPr>
            </w:pPr>
          </w:p>
        </w:tc>
      </w:tr>
      <w:tr>
        <w:trPr>
          <w:trHeight w:val="134"/>
        </w:trPr>
        <w:tc>
          <w:tcPr>
            <w:tcW w:w="2400" w:type="dxa"/>
            <w:vAlign w:val="bottom"/>
          </w:tcPr>
          <w:p>
            <w:pPr>
              <w:spacing w:after="0"/>
              <w:rPr>
                <w:sz w:val="11"/>
                <w:szCs w:val="11"/>
                <w:color w:val="auto"/>
              </w:rPr>
            </w:pPr>
          </w:p>
        </w:tc>
        <w:tc>
          <w:tcPr>
            <w:tcW w:w="1920" w:type="dxa"/>
            <w:vAlign w:val="bottom"/>
            <w:gridSpan w:val="2"/>
          </w:tcPr>
          <w:p>
            <w:pPr>
              <w:jc w:val="center"/>
              <w:ind w:left="938"/>
              <w:spacing w:after="0" w:line="134" w:lineRule="exact"/>
              <w:rPr>
                <w:sz w:val="20"/>
                <w:szCs w:val="20"/>
                <w:color w:val="auto"/>
              </w:rPr>
            </w:pPr>
            <w:r>
              <w:rPr>
                <w:rFonts w:ascii="Arial" w:cs="Arial" w:eastAsia="Arial" w:hAnsi="Arial"/>
                <w:sz w:val="12"/>
                <w:szCs w:val="12"/>
                <w:b w:val="1"/>
                <w:bCs w:val="1"/>
                <w:color w:val="050A54"/>
              </w:rPr>
              <w:t>Unexercised</w:t>
            </w:r>
          </w:p>
        </w:tc>
        <w:tc>
          <w:tcPr>
            <w:tcW w:w="140" w:type="dxa"/>
            <w:vAlign w:val="bottom"/>
          </w:tcPr>
          <w:p>
            <w:pPr>
              <w:spacing w:after="0"/>
              <w:rPr>
                <w:sz w:val="11"/>
                <w:szCs w:val="11"/>
                <w:color w:val="auto"/>
              </w:rPr>
            </w:pPr>
          </w:p>
        </w:tc>
        <w:tc>
          <w:tcPr>
            <w:tcW w:w="900" w:type="dxa"/>
            <w:vAlign w:val="bottom"/>
            <w:gridSpan w:val="2"/>
          </w:tcPr>
          <w:p>
            <w:pPr>
              <w:jc w:val="right"/>
              <w:ind w:right="78"/>
              <w:spacing w:after="0" w:line="134" w:lineRule="exact"/>
              <w:rPr>
                <w:sz w:val="20"/>
                <w:szCs w:val="20"/>
                <w:color w:val="auto"/>
              </w:rPr>
            </w:pPr>
            <w:r>
              <w:rPr>
                <w:rFonts w:ascii="Arial" w:cs="Arial" w:eastAsia="Arial" w:hAnsi="Arial"/>
                <w:sz w:val="12"/>
                <w:szCs w:val="12"/>
                <w:b w:val="1"/>
                <w:bCs w:val="1"/>
                <w:color w:val="050A54"/>
              </w:rPr>
              <w:t>Unexercised</w:t>
            </w:r>
          </w:p>
        </w:tc>
        <w:tc>
          <w:tcPr>
            <w:tcW w:w="680" w:type="dxa"/>
            <w:vAlign w:val="bottom"/>
            <w:gridSpan w:val="2"/>
            <w:vMerge w:val="continue"/>
          </w:tcPr>
          <w:p>
            <w:pPr>
              <w:spacing w:after="0"/>
              <w:rPr>
                <w:sz w:val="11"/>
                <w:szCs w:val="11"/>
                <w:color w:val="auto"/>
              </w:rPr>
            </w:pPr>
          </w:p>
        </w:tc>
        <w:tc>
          <w:tcPr>
            <w:tcW w:w="980" w:type="dxa"/>
            <w:vAlign w:val="bottom"/>
            <w:gridSpan w:val="3"/>
            <w:vMerge w:val="restart"/>
          </w:tcPr>
          <w:p>
            <w:pPr>
              <w:jc w:val="center"/>
              <w:ind w:right="220"/>
              <w:spacing w:after="0"/>
              <w:rPr>
                <w:sz w:val="20"/>
                <w:szCs w:val="20"/>
                <w:color w:val="auto"/>
              </w:rPr>
            </w:pPr>
            <w:r>
              <w:rPr>
                <w:rFonts w:ascii="Arial" w:cs="Arial" w:eastAsia="Arial" w:hAnsi="Arial"/>
                <w:sz w:val="12"/>
                <w:szCs w:val="12"/>
                <w:b w:val="1"/>
                <w:bCs w:val="1"/>
                <w:color w:val="050A54"/>
              </w:rPr>
              <w:t>Option</w:t>
            </w:r>
          </w:p>
        </w:tc>
        <w:tc>
          <w:tcPr>
            <w:tcW w:w="120" w:type="dxa"/>
            <w:vAlign w:val="bottom"/>
          </w:tcPr>
          <w:p>
            <w:pPr>
              <w:spacing w:after="0"/>
              <w:rPr>
                <w:sz w:val="11"/>
                <w:szCs w:val="11"/>
                <w:color w:val="auto"/>
              </w:rPr>
            </w:pPr>
          </w:p>
        </w:tc>
        <w:tc>
          <w:tcPr>
            <w:tcW w:w="860" w:type="dxa"/>
            <w:vAlign w:val="bottom"/>
            <w:gridSpan w:val="2"/>
          </w:tcPr>
          <w:p>
            <w:pPr>
              <w:jc w:val="center"/>
              <w:ind w:right="38"/>
              <w:spacing w:after="0" w:line="134" w:lineRule="exact"/>
              <w:rPr>
                <w:sz w:val="20"/>
                <w:szCs w:val="20"/>
                <w:color w:val="auto"/>
              </w:rPr>
            </w:pPr>
            <w:r>
              <w:rPr>
                <w:rFonts w:ascii="Arial" w:cs="Arial" w:eastAsia="Arial" w:hAnsi="Arial"/>
                <w:sz w:val="12"/>
                <w:szCs w:val="12"/>
                <w:b w:val="1"/>
                <w:bCs w:val="1"/>
                <w:color w:val="050A54"/>
              </w:rPr>
              <w:t>Stock That</w:t>
            </w:r>
          </w:p>
        </w:tc>
        <w:tc>
          <w:tcPr>
            <w:tcW w:w="160" w:type="dxa"/>
            <w:vAlign w:val="bottom"/>
          </w:tcPr>
          <w:p>
            <w:pPr>
              <w:spacing w:after="0"/>
              <w:rPr>
                <w:sz w:val="11"/>
                <w:szCs w:val="11"/>
                <w:color w:val="auto"/>
              </w:rPr>
            </w:pPr>
          </w:p>
        </w:tc>
        <w:tc>
          <w:tcPr>
            <w:tcW w:w="860" w:type="dxa"/>
            <w:vAlign w:val="bottom"/>
          </w:tcPr>
          <w:p>
            <w:pPr>
              <w:jc w:val="center"/>
              <w:ind w:right="157"/>
              <w:spacing w:after="0" w:line="134" w:lineRule="exact"/>
              <w:rPr>
                <w:sz w:val="20"/>
                <w:szCs w:val="20"/>
                <w:color w:val="auto"/>
              </w:rPr>
            </w:pPr>
            <w:r>
              <w:rPr>
                <w:rFonts w:ascii="Arial" w:cs="Arial" w:eastAsia="Arial" w:hAnsi="Arial"/>
                <w:sz w:val="12"/>
                <w:szCs w:val="12"/>
                <w:b w:val="1"/>
                <w:bCs w:val="1"/>
                <w:color w:val="050A54"/>
              </w:rPr>
              <w:t>Stock That</w:t>
            </w:r>
          </w:p>
        </w:tc>
        <w:tc>
          <w:tcPr>
            <w:tcW w:w="680" w:type="dxa"/>
            <w:vAlign w:val="bottom"/>
          </w:tcPr>
          <w:p>
            <w:pPr>
              <w:jc w:val="center"/>
              <w:ind w:left="218"/>
              <w:spacing w:after="0" w:line="134" w:lineRule="exact"/>
              <w:rPr>
                <w:sz w:val="20"/>
                <w:szCs w:val="20"/>
                <w:color w:val="auto"/>
              </w:rPr>
            </w:pPr>
            <w:r>
              <w:rPr>
                <w:rFonts w:ascii="Arial" w:cs="Arial" w:eastAsia="Arial" w:hAnsi="Arial"/>
                <w:sz w:val="12"/>
                <w:szCs w:val="12"/>
                <w:b w:val="1"/>
                <w:bCs w:val="1"/>
                <w:color w:val="050A54"/>
                <w:w w:val="99"/>
              </w:rPr>
              <w:t>Other</w:t>
            </w:r>
          </w:p>
        </w:tc>
        <w:tc>
          <w:tcPr>
            <w:tcW w:w="280" w:type="dxa"/>
            <w:vAlign w:val="bottom"/>
          </w:tcPr>
          <w:p>
            <w:pPr>
              <w:spacing w:after="0"/>
              <w:rPr>
                <w:sz w:val="11"/>
                <w:szCs w:val="11"/>
                <w:color w:val="auto"/>
              </w:rPr>
            </w:pPr>
          </w:p>
        </w:tc>
        <w:tc>
          <w:tcPr>
            <w:tcW w:w="940" w:type="dxa"/>
            <w:vAlign w:val="bottom"/>
            <w:gridSpan w:val="5"/>
          </w:tcPr>
          <w:p>
            <w:pPr>
              <w:jc w:val="center"/>
              <w:ind w:right="20"/>
              <w:spacing w:after="0" w:line="134" w:lineRule="exact"/>
              <w:rPr>
                <w:sz w:val="20"/>
                <w:szCs w:val="20"/>
                <w:color w:val="auto"/>
              </w:rPr>
            </w:pPr>
            <w:r>
              <w:rPr>
                <w:rFonts w:ascii="Arial" w:cs="Arial" w:eastAsia="Arial" w:hAnsi="Arial"/>
                <w:sz w:val="12"/>
                <w:szCs w:val="12"/>
                <w:b w:val="1"/>
                <w:bCs w:val="1"/>
                <w:color w:val="050A54"/>
              </w:rPr>
              <w:t>Unearned</w:t>
            </w:r>
          </w:p>
        </w:tc>
        <w:tc>
          <w:tcPr>
            <w:tcW w:w="0" w:type="dxa"/>
            <w:vAlign w:val="bottom"/>
          </w:tcPr>
          <w:p>
            <w:pPr>
              <w:spacing w:after="0"/>
              <w:rPr>
                <w:sz w:val="1"/>
                <w:szCs w:val="1"/>
                <w:color w:val="auto"/>
              </w:rPr>
            </w:pPr>
          </w:p>
        </w:tc>
      </w:tr>
      <w:tr>
        <w:trPr>
          <w:trHeight w:val="134"/>
        </w:trPr>
        <w:tc>
          <w:tcPr>
            <w:tcW w:w="2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jc w:val="center"/>
              <w:ind w:right="78"/>
              <w:spacing w:after="0" w:line="134" w:lineRule="exact"/>
              <w:rPr>
                <w:sz w:val="20"/>
                <w:szCs w:val="20"/>
                <w:color w:val="auto"/>
              </w:rPr>
            </w:pPr>
            <w:r>
              <w:rPr>
                <w:rFonts w:ascii="Arial" w:cs="Arial" w:eastAsia="Arial" w:hAnsi="Arial"/>
                <w:sz w:val="12"/>
                <w:szCs w:val="12"/>
                <w:b w:val="1"/>
                <w:bCs w:val="1"/>
                <w:color w:val="050A54"/>
              </w:rPr>
              <w:t>Options</w:t>
            </w:r>
          </w:p>
        </w:tc>
        <w:tc>
          <w:tcPr>
            <w:tcW w:w="140" w:type="dxa"/>
            <w:vAlign w:val="bottom"/>
          </w:tcPr>
          <w:p>
            <w:pPr>
              <w:spacing w:after="0"/>
              <w:rPr>
                <w:sz w:val="11"/>
                <w:szCs w:val="11"/>
                <w:color w:val="auto"/>
              </w:rPr>
            </w:pPr>
          </w:p>
        </w:tc>
        <w:tc>
          <w:tcPr>
            <w:tcW w:w="900" w:type="dxa"/>
            <w:vAlign w:val="bottom"/>
            <w:gridSpan w:val="2"/>
          </w:tcPr>
          <w:p>
            <w:pPr>
              <w:jc w:val="center"/>
              <w:ind w:right="58"/>
              <w:spacing w:after="0" w:line="134" w:lineRule="exact"/>
              <w:rPr>
                <w:sz w:val="20"/>
                <w:szCs w:val="20"/>
                <w:color w:val="auto"/>
              </w:rPr>
            </w:pPr>
            <w:r>
              <w:rPr>
                <w:rFonts w:ascii="Arial" w:cs="Arial" w:eastAsia="Arial" w:hAnsi="Arial"/>
                <w:sz w:val="12"/>
                <w:szCs w:val="12"/>
                <w:b w:val="1"/>
                <w:bCs w:val="1"/>
                <w:color w:val="050A54"/>
              </w:rPr>
              <w:t>Options</w:t>
            </w:r>
          </w:p>
        </w:tc>
        <w:tc>
          <w:tcPr>
            <w:tcW w:w="68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050A54"/>
              </w:rPr>
              <w:t>Exercise</w:t>
            </w:r>
          </w:p>
        </w:tc>
        <w:tc>
          <w:tcPr>
            <w:tcW w:w="9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18"/>
              <w:spacing w:after="0" w:line="134" w:lineRule="exact"/>
              <w:rPr>
                <w:sz w:val="20"/>
                <w:szCs w:val="20"/>
                <w:color w:val="auto"/>
              </w:rPr>
            </w:pPr>
            <w:r>
              <w:rPr>
                <w:rFonts w:ascii="Arial" w:cs="Arial" w:eastAsia="Arial" w:hAnsi="Arial"/>
                <w:sz w:val="12"/>
                <w:szCs w:val="12"/>
                <w:b w:val="1"/>
                <w:bCs w:val="1"/>
                <w:color w:val="050A54"/>
              </w:rPr>
              <w:t>Have Not</w:t>
            </w:r>
          </w:p>
        </w:tc>
        <w:tc>
          <w:tcPr>
            <w:tcW w:w="160" w:type="dxa"/>
            <w:vAlign w:val="bottom"/>
          </w:tcPr>
          <w:p>
            <w:pPr>
              <w:spacing w:after="0"/>
              <w:rPr>
                <w:sz w:val="11"/>
                <w:szCs w:val="11"/>
                <w:color w:val="auto"/>
              </w:rPr>
            </w:pPr>
          </w:p>
        </w:tc>
        <w:tc>
          <w:tcPr>
            <w:tcW w:w="860" w:type="dxa"/>
            <w:vAlign w:val="bottom"/>
          </w:tcPr>
          <w:p>
            <w:pPr>
              <w:jc w:val="center"/>
              <w:ind w:right="177"/>
              <w:spacing w:after="0" w:line="134" w:lineRule="exact"/>
              <w:rPr>
                <w:sz w:val="20"/>
                <w:szCs w:val="20"/>
                <w:color w:val="auto"/>
              </w:rPr>
            </w:pPr>
            <w:r>
              <w:rPr>
                <w:rFonts w:ascii="Arial" w:cs="Arial" w:eastAsia="Arial" w:hAnsi="Arial"/>
                <w:sz w:val="12"/>
                <w:szCs w:val="12"/>
                <w:b w:val="1"/>
                <w:bCs w:val="1"/>
                <w:color w:val="050A54"/>
              </w:rPr>
              <w:t>Have Not</w:t>
            </w:r>
          </w:p>
        </w:tc>
        <w:tc>
          <w:tcPr>
            <w:tcW w:w="96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50A54"/>
              </w:rPr>
              <w:t>Rights That</w:t>
            </w:r>
          </w:p>
        </w:tc>
        <w:tc>
          <w:tcPr>
            <w:tcW w:w="940" w:type="dxa"/>
            <w:vAlign w:val="bottom"/>
            <w:gridSpan w:val="5"/>
          </w:tcPr>
          <w:p>
            <w:pPr>
              <w:ind w:left="100"/>
              <w:spacing w:after="0" w:line="134" w:lineRule="exact"/>
              <w:rPr>
                <w:sz w:val="20"/>
                <w:szCs w:val="20"/>
                <w:color w:val="auto"/>
              </w:rPr>
            </w:pPr>
            <w:r>
              <w:rPr>
                <w:rFonts w:ascii="Arial" w:cs="Arial" w:eastAsia="Arial" w:hAnsi="Arial"/>
                <w:sz w:val="12"/>
                <w:szCs w:val="12"/>
                <w:b w:val="1"/>
                <w:bCs w:val="1"/>
                <w:color w:val="050A54"/>
              </w:rPr>
              <w:t>Shares That</w:t>
            </w:r>
          </w:p>
        </w:tc>
        <w:tc>
          <w:tcPr>
            <w:tcW w:w="0" w:type="dxa"/>
            <w:vAlign w:val="bottom"/>
          </w:tcPr>
          <w:p>
            <w:pPr>
              <w:spacing w:after="0"/>
              <w:rPr>
                <w:sz w:val="1"/>
                <w:szCs w:val="1"/>
                <w:color w:val="auto"/>
              </w:rPr>
            </w:pPr>
          </w:p>
        </w:tc>
      </w:tr>
      <w:tr>
        <w:trPr>
          <w:trHeight w:val="134"/>
        </w:trPr>
        <w:tc>
          <w:tcPr>
            <w:tcW w:w="2400" w:type="dxa"/>
            <w:vAlign w:val="bottom"/>
            <w:vMerge w:val="restart"/>
          </w:tcPr>
          <w:p>
            <w:pPr>
              <w:ind w:left="1540"/>
              <w:spacing w:after="0"/>
              <w:rPr>
                <w:sz w:val="20"/>
                <w:szCs w:val="20"/>
                <w:color w:val="auto"/>
              </w:rPr>
            </w:pPr>
            <w:r>
              <w:rPr>
                <w:rFonts w:ascii="Arial" w:cs="Arial" w:eastAsia="Arial" w:hAnsi="Arial"/>
                <w:sz w:val="12"/>
                <w:szCs w:val="12"/>
                <w:b w:val="1"/>
                <w:bCs w:val="1"/>
                <w:color w:val="050A54"/>
              </w:rPr>
              <w:t>Name</w:t>
            </w:r>
          </w:p>
        </w:tc>
        <w:tc>
          <w:tcPr>
            <w:tcW w:w="1920" w:type="dxa"/>
            <w:vAlign w:val="bottom"/>
            <w:gridSpan w:val="2"/>
          </w:tcPr>
          <w:p>
            <w:pPr>
              <w:jc w:val="center"/>
              <w:ind w:left="938"/>
              <w:spacing w:after="0" w:line="134" w:lineRule="exact"/>
              <w:rPr>
                <w:sz w:val="20"/>
                <w:szCs w:val="20"/>
                <w:color w:val="auto"/>
              </w:rPr>
            </w:pPr>
            <w:r>
              <w:rPr>
                <w:rFonts w:ascii="Arial" w:cs="Arial" w:eastAsia="Arial" w:hAnsi="Arial"/>
                <w:sz w:val="12"/>
                <w:szCs w:val="12"/>
                <w:b w:val="1"/>
                <w:bCs w:val="1"/>
                <w:color w:val="050A54"/>
              </w:rPr>
              <w:t>(#)</w:t>
            </w:r>
          </w:p>
        </w:tc>
        <w:tc>
          <w:tcPr>
            <w:tcW w:w="680" w:type="dxa"/>
            <w:vAlign w:val="bottom"/>
            <w:gridSpan w:val="2"/>
          </w:tcPr>
          <w:p>
            <w:pPr>
              <w:jc w:val="right"/>
              <w:ind w:right="18"/>
              <w:spacing w:after="0" w:line="134" w:lineRule="exact"/>
              <w:rPr>
                <w:sz w:val="20"/>
                <w:szCs w:val="20"/>
                <w:color w:val="auto"/>
              </w:rPr>
            </w:pPr>
            <w:r>
              <w:rPr>
                <w:rFonts w:ascii="Arial" w:cs="Arial" w:eastAsia="Arial" w:hAnsi="Arial"/>
                <w:sz w:val="12"/>
                <w:szCs w:val="12"/>
                <w:b w:val="1"/>
                <w:bCs w:val="1"/>
                <w:color w:val="050A54"/>
              </w:rPr>
              <w:t>(#)</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center"/>
              <w:ind w:right="98"/>
              <w:spacing w:after="0" w:line="134" w:lineRule="exact"/>
              <w:rPr>
                <w:sz w:val="20"/>
                <w:szCs w:val="20"/>
                <w:color w:val="auto"/>
              </w:rPr>
            </w:pPr>
            <w:r>
              <w:rPr>
                <w:rFonts w:ascii="Arial" w:cs="Arial" w:eastAsia="Arial" w:hAnsi="Arial"/>
                <w:sz w:val="12"/>
                <w:szCs w:val="12"/>
                <w:b w:val="1"/>
                <w:bCs w:val="1"/>
                <w:color w:val="050A54"/>
              </w:rPr>
              <w:t>Price</w:t>
            </w:r>
          </w:p>
        </w:tc>
        <w:tc>
          <w:tcPr>
            <w:tcW w:w="980" w:type="dxa"/>
            <w:vAlign w:val="bottom"/>
            <w:gridSpan w:val="3"/>
          </w:tcPr>
          <w:p>
            <w:pPr>
              <w:jc w:val="center"/>
              <w:ind w:right="240"/>
              <w:spacing w:after="0" w:line="134" w:lineRule="exact"/>
              <w:rPr>
                <w:sz w:val="20"/>
                <w:szCs w:val="20"/>
                <w:color w:val="auto"/>
              </w:rPr>
            </w:pPr>
            <w:r>
              <w:rPr>
                <w:rFonts w:ascii="Arial" w:cs="Arial" w:eastAsia="Arial" w:hAnsi="Arial"/>
                <w:sz w:val="12"/>
                <w:szCs w:val="12"/>
                <w:b w:val="1"/>
                <w:bCs w:val="1"/>
                <w:color w:val="050A54"/>
              </w:rPr>
              <w:t>Expiration</w:t>
            </w:r>
          </w:p>
        </w:tc>
        <w:tc>
          <w:tcPr>
            <w:tcW w:w="120" w:type="dxa"/>
            <w:vAlign w:val="bottom"/>
          </w:tcPr>
          <w:p>
            <w:pPr>
              <w:spacing w:after="0"/>
              <w:rPr>
                <w:sz w:val="11"/>
                <w:szCs w:val="11"/>
                <w:color w:val="auto"/>
              </w:rPr>
            </w:pPr>
          </w:p>
        </w:tc>
        <w:tc>
          <w:tcPr>
            <w:tcW w:w="860" w:type="dxa"/>
            <w:vAlign w:val="bottom"/>
            <w:gridSpan w:val="2"/>
          </w:tcPr>
          <w:p>
            <w:pPr>
              <w:jc w:val="center"/>
              <w:ind w:right="38"/>
              <w:spacing w:after="0" w:line="134" w:lineRule="exact"/>
              <w:rPr>
                <w:sz w:val="20"/>
                <w:szCs w:val="20"/>
                <w:color w:val="auto"/>
              </w:rPr>
            </w:pPr>
            <w:r>
              <w:rPr>
                <w:rFonts w:ascii="Arial" w:cs="Arial" w:eastAsia="Arial" w:hAnsi="Arial"/>
                <w:sz w:val="12"/>
                <w:szCs w:val="12"/>
                <w:b w:val="1"/>
                <w:bCs w:val="1"/>
                <w:color w:val="050A54"/>
              </w:rPr>
              <w:t>Vested</w:t>
            </w:r>
          </w:p>
        </w:tc>
        <w:tc>
          <w:tcPr>
            <w:tcW w:w="160" w:type="dxa"/>
            <w:vAlign w:val="bottom"/>
          </w:tcPr>
          <w:p>
            <w:pPr>
              <w:spacing w:after="0"/>
              <w:rPr>
                <w:sz w:val="11"/>
                <w:szCs w:val="11"/>
                <w:color w:val="auto"/>
              </w:rPr>
            </w:pPr>
          </w:p>
        </w:tc>
        <w:tc>
          <w:tcPr>
            <w:tcW w:w="860" w:type="dxa"/>
            <w:vAlign w:val="bottom"/>
          </w:tcPr>
          <w:p>
            <w:pPr>
              <w:jc w:val="center"/>
              <w:ind w:right="157"/>
              <w:spacing w:after="0" w:line="134" w:lineRule="exact"/>
              <w:rPr>
                <w:sz w:val="20"/>
                <w:szCs w:val="20"/>
                <w:color w:val="auto"/>
              </w:rPr>
            </w:pPr>
            <w:r>
              <w:rPr>
                <w:rFonts w:ascii="Arial" w:cs="Arial" w:eastAsia="Arial" w:hAnsi="Arial"/>
                <w:sz w:val="12"/>
                <w:szCs w:val="12"/>
                <w:b w:val="1"/>
                <w:bCs w:val="1"/>
                <w:color w:val="050A54"/>
              </w:rPr>
              <w:t>Vested</w:t>
            </w:r>
          </w:p>
        </w:tc>
        <w:tc>
          <w:tcPr>
            <w:tcW w:w="96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50A54"/>
              </w:rPr>
              <w:t>Have Not</w:t>
            </w:r>
          </w:p>
        </w:tc>
        <w:tc>
          <w:tcPr>
            <w:tcW w:w="940" w:type="dxa"/>
            <w:vAlign w:val="bottom"/>
            <w:gridSpan w:val="5"/>
          </w:tcPr>
          <w:p>
            <w:pPr>
              <w:jc w:val="center"/>
              <w:ind w:right="40"/>
              <w:spacing w:after="0" w:line="134" w:lineRule="exact"/>
              <w:rPr>
                <w:sz w:val="20"/>
                <w:szCs w:val="20"/>
                <w:color w:val="auto"/>
              </w:rPr>
            </w:pPr>
            <w:r>
              <w:rPr>
                <w:rFonts w:ascii="Arial" w:cs="Arial" w:eastAsia="Arial" w:hAnsi="Arial"/>
                <w:sz w:val="12"/>
                <w:szCs w:val="12"/>
                <w:b w:val="1"/>
                <w:bCs w:val="1"/>
                <w:color w:val="050A54"/>
              </w:rPr>
              <w:t>Have Not</w:t>
            </w:r>
          </w:p>
        </w:tc>
        <w:tc>
          <w:tcPr>
            <w:tcW w:w="0" w:type="dxa"/>
            <w:vAlign w:val="bottom"/>
          </w:tcPr>
          <w:p>
            <w:pPr>
              <w:spacing w:after="0"/>
              <w:rPr>
                <w:sz w:val="1"/>
                <w:szCs w:val="1"/>
                <w:color w:val="auto"/>
              </w:rPr>
            </w:pPr>
          </w:p>
        </w:tc>
      </w:tr>
      <w:tr>
        <w:trPr>
          <w:trHeight w:val="180"/>
        </w:trPr>
        <w:tc>
          <w:tcPr>
            <w:tcW w:w="2400" w:type="dxa"/>
            <w:vAlign w:val="bottom"/>
            <w:vMerge w:val="continue"/>
          </w:tcPr>
          <w:p>
            <w:pPr>
              <w:spacing w:after="0"/>
              <w:rPr>
                <w:sz w:val="15"/>
                <w:szCs w:val="15"/>
                <w:color w:val="auto"/>
              </w:rPr>
            </w:pPr>
          </w:p>
        </w:tc>
        <w:tc>
          <w:tcPr>
            <w:tcW w:w="1920" w:type="dxa"/>
            <w:vAlign w:val="bottom"/>
            <w:gridSpan w:val="2"/>
          </w:tcPr>
          <w:p>
            <w:pPr>
              <w:jc w:val="center"/>
              <w:ind w:left="938"/>
              <w:spacing w:after="0"/>
              <w:rPr>
                <w:sz w:val="20"/>
                <w:szCs w:val="20"/>
                <w:color w:val="auto"/>
              </w:rPr>
            </w:pPr>
            <w:r>
              <w:rPr>
                <w:rFonts w:ascii="Arial" w:cs="Arial" w:eastAsia="Arial" w:hAnsi="Arial"/>
                <w:sz w:val="12"/>
                <w:szCs w:val="12"/>
                <w:b w:val="1"/>
                <w:bCs w:val="1"/>
                <w:color w:val="050A54"/>
              </w:rPr>
              <w:t>Exercisable</w:t>
            </w:r>
          </w:p>
        </w:tc>
        <w:tc>
          <w:tcPr>
            <w:tcW w:w="1040" w:type="dxa"/>
            <w:vAlign w:val="bottom"/>
            <w:gridSpan w:val="3"/>
          </w:tcPr>
          <w:p>
            <w:pPr>
              <w:jc w:val="center"/>
              <w:spacing w:after="0"/>
              <w:rPr>
                <w:sz w:val="20"/>
                <w:szCs w:val="20"/>
                <w:color w:val="auto"/>
              </w:rPr>
            </w:pPr>
            <w:r>
              <w:rPr>
                <w:rFonts w:ascii="Arial" w:cs="Arial" w:eastAsia="Arial" w:hAnsi="Arial"/>
                <w:sz w:val="12"/>
                <w:szCs w:val="12"/>
                <w:b w:val="1"/>
                <w:bCs w:val="1"/>
                <w:color w:val="050A54"/>
              </w:rPr>
              <w:t>Unexercisable</w:t>
            </w:r>
          </w:p>
        </w:tc>
        <w:tc>
          <w:tcPr>
            <w:tcW w:w="180" w:type="dxa"/>
            <w:vAlign w:val="bottom"/>
          </w:tcPr>
          <w:p>
            <w:pPr>
              <w:spacing w:after="0"/>
              <w:rPr>
                <w:sz w:val="15"/>
                <w:szCs w:val="15"/>
                <w:color w:val="auto"/>
              </w:rPr>
            </w:pPr>
          </w:p>
        </w:tc>
        <w:tc>
          <w:tcPr>
            <w:tcW w:w="500" w:type="dxa"/>
            <w:vAlign w:val="bottom"/>
          </w:tcPr>
          <w:p>
            <w:pPr>
              <w:jc w:val="center"/>
              <w:ind w:right="98"/>
              <w:spacing w:after="0"/>
              <w:rPr>
                <w:sz w:val="20"/>
                <w:szCs w:val="20"/>
                <w:color w:val="auto"/>
              </w:rPr>
            </w:pPr>
            <w:r>
              <w:rPr>
                <w:rFonts w:ascii="Arial" w:cs="Arial" w:eastAsia="Arial" w:hAnsi="Arial"/>
                <w:sz w:val="12"/>
                <w:szCs w:val="12"/>
                <w:b w:val="1"/>
                <w:bCs w:val="1"/>
                <w:color w:val="050A54"/>
                <w:w w:val="95"/>
              </w:rPr>
              <w:t>($)</w:t>
            </w:r>
          </w:p>
        </w:tc>
        <w:tc>
          <w:tcPr>
            <w:tcW w:w="980" w:type="dxa"/>
            <w:vAlign w:val="bottom"/>
            <w:gridSpan w:val="3"/>
          </w:tcPr>
          <w:p>
            <w:pPr>
              <w:jc w:val="center"/>
              <w:ind w:right="240"/>
              <w:spacing w:after="0"/>
              <w:rPr>
                <w:sz w:val="20"/>
                <w:szCs w:val="20"/>
                <w:color w:val="auto"/>
              </w:rPr>
            </w:pPr>
            <w:r>
              <w:rPr>
                <w:rFonts w:ascii="Arial" w:cs="Arial" w:eastAsia="Arial" w:hAnsi="Arial"/>
                <w:sz w:val="12"/>
                <w:szCs w:val="12"/>
                <w:b w:val="1"/>
                <w:bCs w:val="1"/>
                <w:color w:val="050A54"/>
                <w:w w:val="99"/>
              </w:rPr>
              <w:t>Date</w:t>
            </w:r>
          </w:p>
        </w:tc>
        <w:tc>
          <w:tcPr>
            <w:tcW w:w="620" w:type="dxa"/>
            <w:vAlign w:val="bottom"/>
            <w:gridSpan w:val="2"/>
          </w:tcPr>
          <w:p>
            <w:pPr>
              <w:jc w:val="center"/>
              <w:ind w:left="318"/>
              <w:spacing w:after="0"/>
              <w:rPr>
                <w:sz w:val="20"/>
                <w:szCs w:val="20"/>
                <w:color w:val="auto"/>
              </w:rPr>
            </w:pPr>
            <w:r>
              <w:rPr>
                <w:rFonts w:ascii="Arial" w:cs="Arial" w:eastAsia="Arial" w:hAnsi="Arial"/>
                <w:sz w:val="12"/>
                <w:szCs w:val="12"/>
                <w:b w:val="1"/>
                <w:bCs w:val="1"/>
                <w:color w:val="050A54"/>
              </w:rPr>
              <w:t>(#)</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177"/>
              <w:spacing w:after="0"/>
              <w:rPr>
                <w:sz w:val="20"/>
                <w:szCs w:val="20"/>
                <w:color w:val="auto"/>
              </w:rPr>
            </w:pPr>
            <w:r>
              <w:rPr>
                <w:rFonts w:ascii="Arial" w:cs="Arial" w:eastAsia="Arial" w:hAnsi="Arial"/>
                <w:sz w:val="12"/>
                <w:szCs w:val="12"/>
                <w:b w:val="1"/>
                <w:bCs w:val="1"/>
                <w:color w:val="050A54"/>
              </w:rPr>
              <w:t>($)(1)</w:t>
            </w:r>
          </w:p>
        </w:tc>
        <w:tc>
          <w:tcPr>
            <w:tcW w:w="960" w:type="dxa"/>
            <w:vAlign w:val="bottom"/>
            <w:gridSpan w:val="2"/>
          </w:tcPr>
          <w:p>
            <w:pPr>
              <w:jc w:val="center"/>
              <w:spacing w:after="0"/>
              <w:rPr>
                <w:sz w:val="20"/>
                <w:szCs w:val="20"/>
                <w:color w:val="auto"/>
              </w:rPr>
            </w:pPr>
            <w:r>
              <w:rPr>
                <w:rFonts w:ascii="Arial" w:cs="Arial" w:eastAsia="Arial" w:hAnsi="Arial"/>
                <w:sz w:val="12"/>
                <w:szCs w:val="12"/>
                <w:b w:val="1"/>
                <w:bCs w:val="1"/>
                <w:color w:val="050A54"/>
              </w:rPr>
              <w:t>Vested (#)</w:t>
            </w:r>
          </w:p>
        </w:tc>
        <w:tc>
          <w:tcPr>
            <w:tcW w:w="940" w:type="dxa"/>
            <w:vAlign w:val="bottom"/>
            <w:gridSpan w:val="5"/>
          </w:tcPr>
          <w:p>
            <w:pPr>
              <w:ind w:left="80"/>
              <w:spacing w:after="0"/>
              <w:rPr>
                <w:sz w:val="20"/>
                <w:szCs w:val="20"/>
                <w:color w:val="auto"/>
              </w:rPr>
            </w:pPr>
            <w:r>
              <w:rPr>
                <w:rFonts w:ascii="Arial" w:cs="Arial" w:eastAsia="Arial" w:hAnsi="Arial"/>
                <w:sz w:val="12"/>
                <w:szCs w:val="12"/>
                <w:b w:val="1"/>
                <w:bCs w:val="1"/>
                <w:color w:val="050A54"/>
              </w:rPr>
              <w:t>Vested ($)(2)</w:t>
            </w:r>
          </w:p>
        </w:tc>
        <w:tc>
          <w:tcPr>
            <w:tcW w:w="0" w:type="dxa"/>
            <w:vAlign w:val="bottom"/>
          </w:tcPr>
          <w:p>
            <w:pPr>
              <w:spacing w:after="0"/>
              <w:rPr>
                <w:sz w:val="1"/>
                <w:szCs w:val="1"/>
                <w:color w:val="auto"/>
              </w:rPr>
            </w:pPr>
          </w:p>
        </w:tc>
      </w:tr>
      <w:tr>
        <w:trPr>
          <w:trHeight w:val="34"/>
        </w:trPr>
        <w:tc>
          <w:tcPr>
            <w:tcW w:w="2400" w:type="dxa"/>
            <w:vAlign w:val="bottom"/>
            <w:tcBorders>
              <w:bottom w:val="single" w:sz="8" w:color="050A54"/>
            </w:tcBorders>
          </w:tcPr>
          <w:p>
            <w:pPr>
              <w:spacing w:after="0"/>
              <w:rPr>
                <w:sz w:val="2"/>
                <w:szCs w:val="2"/>
                <w:color w:val="auto"/>
              </w:rPr>
            </w:pPr>
          </w:p>
        </w:tc>
        <w:tc>
          <w:tcPr>
            <w:tcW w:w="1140" w:type="dxa"/>
            <w:vAlign w:val="bottom"/>
            <w:tcBorders>
              <w:bottom w:val="single" w:sz="8" w:color="050A54"/>
            </w:tcBorders>
          </w:tcPr>
          <w:p>
            <w:pPr>
              <w:spacing w:after="0"/>
              <w:rPr>
                <w:sz w:val="2"/>
                <w:szCs w:val="2"/>
                <w:color w:val="auto"/>
              </w:rPr>
            </w:pPr>
          </w:p>
        </w:tc>
        <w:tc>
          <w:tcPr>
            <w:tcW w:w="780" w:type="dxa"/>
            <w:vAlign w:val="bottom"/>
            <w:tcBorders>
              <w:bottom w:val="single" w:sz="8" w:color="050A54"/>
            </w:tcBorders>
          </w:tcPr>
          <w:p>
            <w:pPr>
              <w:spacing w:after="0"/>
              <w:rPr>
                <w:sz w:val="2"/>
                <w:szCs w:val="2"/>
                <w:color w:val="auto"/>
              </w:rPr>
            </w:pPr>
          </w:p>
        </w:tc>
        <w:tc>
          <w:tcPr>
            <w:tcW w:w="140" w:type="dxa"/>
            <w:vAlign w:val="bottom"/>
            <w:tcBorders>
              <w:bottom w:val="single" w:sz="8" w:color="050A54"/>
            </w:tcBorders>
          </w:tcPr>
          <w:p>
            <w:pPr>
              <w:spacing w:after="0"/>
              <w:rPr>
                <w:sz w:val="2"/>
                <w:szCs w:val="2"/>
                <w:color w:val="auto"/>
              </w:rPr>
            </w:pPr>
          </w:p>
        </w:tc>
        <w:tc>
          <w:tcPr>
            <w:tcW w:w="540" w:type="dxa"/>
            <w:vAlign w:val="bottom"/>
            <w:tcBorders>
              <w:bottom w:val="single" w:sz="8" w:color="050A54"/>
            </w:tcBorders>
          </w:tcPr>
          <w:p>
            <w:pPr>
              <w:spacing w:after="0"/>
              <w:rPr>
                <w:sz w:val="2"/>
                <w:szCs w:val="2"/>
                <w:color w:val="auto"/>
              </w:rPr>
            </w:pPr>
          </w:p>
        </w:tc>
        <w:tc>
          <w:tcPr>
            <w:tcW w:w="360" w:type="dxa"/>
            <w:vAlign w:val="bottom"/>
            <w:tcBorders>
              <w:bottom w:val="single" w:sz="8" w:color="050A54"/>
            </w:tcBorders>
          </w:tcPr>
          <w:p>
            <w:pPr>
              <w:spacing w:after="0"/>
              <w:rPr>
                <w:sz w:val="2"/>
                <w:szCs w:val="2"/>
                <w:color w:val="auto"/>
              </w:rPr>
            </w:pPr>
          </w:p>
        </w:tc>
        <w:tc>
          <w:tcPr>
            <w:tcW w:w="180" w:type="dxa"/>
            <w:vAlign w:val="bottom"/>
            <w:tcBorders>
              <w:bottom w:val="single" w:sz="8" w:color="050A54"/>
            </w:tcBorders>
          </w:tcPr>
          <w:p>
            <w:pPr>
              <w:spacing w:after="0"/>
              <w:rPr>
                <w:sz w:val="2"/>
                <w:szCs w:val="2"/>
                <w:color w:val="auto"/>
              </w:rPr>
            </w:pPr>
          </w:p>
        </w:tc>
        <w:tc>
          <w:tcPr>
            <w:tcW w:w="500" w:type="dxa"/>
            <w:vAlign w:val="bottom"/>
            <w:tcBorders>
              <w:bottom w:val="single" w:sz="8" w:color="050A54"/>
            </w:tcBorders>
          </w:tcPr>
          <w:p>
            <w:pPr>
              <w:spacing w:after="0"/>
              <w:rPr>
                <w:sz w:val="2"/>
                <w:szCs w:val="2"/>
                <w:color w:val="auto"/>
              </w:rPr>
            </w:pPr>
          </w:p>
        </w:tc>
        <w:tc>
          <w:tcPr>
            <w:tcW w:w="680" w:type="dxa"/>
            <w:vAlign w:val="bottom"/>
            <w:tcBorders>
              <w:bottom w:val="single" w:sz="8" w:color="050A54"/>
            </w:tcBorders>
          </w:tcPr>
          <w:p>
            <w:pPr>
              <w:spacing w:after="0"/>
              <w:rPr>
                <w:sz w:val="2"/>
                <w:szCs w:val="2"/>
                <w:color w:val="auto"/>
              </w:rPr>
            </w:pPr>
          </w:p>
        </w:tc>
        <w:tc>
          <w:tcPr>
            <w:tcW w:w="100" w:type="dxa"/>
            <w:vAlign w:val="bottom"/>
            <w:tcBorders>
              <w:bottom w:val="single" w:sz="8" w:color="050A54"/>
            </w:tcBorders>
          </w:tcPr>
          <w:p>
            <w:pPr>
              <w:spacing w:after="0"/>
              <w:rPr>
                <w:sz w:val="2"/>
                <w:szCs w:val="2"/>
                <w:color w:val="auto"/>
              </w:rPr>
            </w:pPr>
          </w:p>
        </w:tc>
        <w:tc>
          <w:tcPr>
            <w:tcW w:w="200" w:type="dxa"/>
            <w:vAlign w:val="bottom"/>
            <w:tcBorders>
              <w:bottom w:val="single" w:sz="8" w:color="E8E8E8"/>
            </w:tcBorders>
          </w:tcPr>
          <w:p>
            <w:pPr>
              <w:spacing w:after="0"/>
              <w:rPr>
                <w:sz w:val="2"/>
                <w:szCs w:val="2"/>
                <w:color w:val="auto"/>
              </w:rPr>
            </w:pPr>
          </w:p>
        </w:tc>
        <w:tc>
          <w:tcPr>
            <w:tcW w:w="120" w:type="dxa"/>
            <w:vAlign w:val="bottom"/>
            <w:tcBorders>
              <w:bottom w:val="single" w:sz="8" w:color="050A54"/>
            </w:tcBorders>
          </w:tcPr>
          <w:p>
            <w:pPr>
              <w:spacing w:after="0"/>
              <w:rPr>
                <w:sz w:val="2"/>
                <w:szCs w:val="2"/>
                <w:color w:val="auto"/>
              </w:rPr>
            </w:pPr>
          </w:p>
        </w:tc>
        <w:tc>
          <w:tcPr>
            <w:tcW w:w="500" w:type="dxa"/>
            <w:vAlign w:val="bottom"/>
            <w:tcBorders>
              <w:bottom w:val="single" w:sz="8" w:color="050A54"/>
            </w:tcBorders>
          </w:tcPr>
          <w:p>
            <w:pPr>
              <w:spacing w:after="0"/>
              <w:rPr>
                <w:sz w:val="2"/>
                <w:szCs w:val="2"/>
                <w:color w:val="auto"/>
              </w:rPr>
            </w:pPr>
          </w:p>
        </w:tc>
        <w:tc>
          <w:tcPr>
            <w:tcW w:w="360" w:type="dxa"/>
            <w:vAlign w:val="bottom"/>
            <w:tcBorders>
              <w:bottom w:val="single" w:sz="8" w:color="050A54"/>
            </w:tcBorders>
          </w:tcPr>
          <w:p>
            <w:pPr>
              <w:spacing w:after="0"/>
              <w:rPr>
                <w:sz w:val="2"/>
                <w:szCs w:val="2"/>
                <w:color w:val="auto"/>
              </w:rPr>
            </w:pPr>
          </w:p>
        </w:tc>
        <w:tc>
          <w:tcPr>
            <w:tcW w:w="160" w:type="dxa"/>
            <w:vAlign w:val="bottom"/>
            <w:tcBorders>
              <w:bottom w:val="single" w:sz="8" w:color="050A54"/>
            </w:tcBorders>
          </w:tcPr>
          <w:p>
            <w:pPr>
              <w:spacing w:after="0"/>
              <w:rPr>
                <w:sz w:val="2"/>
                <w:szCs w:val="2"/>
                <w:color w:val="auto"/>
              </w:rPr>
            </w:pPr>
          </w:p>
        </w:tc>
        <w:tc>
          <w:tcPr>
            <w:tcW w:w="860" w:type="dxa"/>
            <w:vAlign w:val="bottom"/>
            <w:tcBorders>
              <w:bottom w:val="single" w:sz="8" w:color="050A54"/>
            </w:tcBorders>
          </w:tcPr>
          <w:p>
            <w:pPr>
              <w:spacing w:after="0"/>
              <w:rPr>
                <w:sz w:val="2"/>
                <w:szCs w:val="2"/>
                <w:color w:val="auto"/>
              </w:rPr>
            </w:pPr>
          </w:p>
        </w:tc>
        <w:tc>
          <w:tcPr>
            <w:tcW w:w="680" w:type="dxa"/>
            <w:vAlign w:val="bottom"/>
            <w:tcBorders>
              <w:bottom w:val="single" w:sz="8" w:color="050A54"/>
            </w:tcBorders>
          </w:tcPr>
          <w:p>
            <w:pPr>
              <w:spacing w:after="0"/>
              <w:rPr>
                <w:sz w:val="2"/>
                <w:szCs w:val="2"/>
                <w:color w:val="auto"/>
              </w:rPr>
            </w:pPr>
          </w:p>
        </w:tc>
        <w:tc>
          <w:tcPr>
            <w:tcW w:w="280" w:type="dxa"/>
            <w:vAlign w:val="bottom"/>
            <w:tcBorders>
              <w:bottom w:val="single" w:sz="8" w:color="050A54"/>
            </w:tcBorders>
          </w:tcPr>
          <w:p>
            <w:pPr>
              <w:spacing w:after="0"/>
              <w:rPr>
                <w:sz w:val="2"/>
                <w:szCs w:val="2"/>
                <w:color w:val="auto"/>
              </w:rPr>
            </w:pPr>
          </w:p>
        </w:tc>
        <w:tc>
          <w:tcPr>
            <w:tcW w:w="220" w:type="dxa"/>
            <w:vAlign w:val="bottom"/>
            <w:tcBorders>
              <w:bottom w:val="single" w:sz="8" w:color="050A54"/>
            </w:tcBorders>
          </w:tcPr>
          <w:p>
            <w:pPr>
              <w:spacing w:after="0"/>
              <w:rPr>
                <w:sz w:val="2"/>
                <w:szCs w:val="2"/>
                <w:color w:val="auto"/>
              </w:rPr>
            </w:pPr>
          </w:p>
        </w:tc>
        <w:tc>
          <w:tcPr>
            <w:tcW w:w="180" w:type="dxa"/>
            <w:vAlign w:val="bottom"/>
            <w:tcBorders>
              <w:bottom w:val="single" w:sz="8" w:color="050A54"/>
            </w:tcBorders>
          </w:tcPr>
          <w:p>
            <w:pPr>
              <w:spacing w:after="0"/>
              <w:rPr>
                <w:sz w:val="2"/>
                <w:szCs w:val="2"/>
                <w:color w:val="auto"/>
              </w:rPr>
            </w:pPr>
          </w:p>
        </w:tc>
        <w:tc>
          <w:tcPr>
            <w:tcW w:w="20" w:type="dxa"/>
            <w:vAlign w:val="bottom"/>
            <w:tcBorders>
              <w:bottom w:val="single" w:sz="8" w:color="050A54"/>
            </w:tcBorders>
          </w:tcPr>
          <w:p>
            <w:pPr>
              <w:spacing w:after="0"/>
              <w:rPr>
                <w:sz w:val="2"/>
                <w:szCs w:val="2"/>
                <w:color w:val="auto"/>
              </w:rPr>
            </w:pPr>
          </w:p>
        </w:tc>
        <w:tc>
          <w:tcPr>
            <w:tcW w:w="420" w:type="dxa"/>
            <w:vAlign w:val="bottom"/>
            <w:tcBorders>
              <w:bottom w:val="single" w:sz="8" w:color="050A54"/>
            </w:tcBorders>
          </w:tcPr>
          <w:p>
            <w:pPr>
              <w:spacing w:after="0"/>
              <w:rPr>
                <w:sz w:val="2"/>
                <w:szCs w:val="2"/>
                <w:color w:val="auto"/>
              </w:rPr>
            </w:pPr>
          </w:p>
        </w:tc>
        <w:tc>
          <w:tcPr>
            <w:tcW w:w="100" w:type="dxa"/>
            <w:vAlign w:val="bottom"/>
            <w:tcBorders>
              <w:bottom w:val="single" w:sz="8" w:color="050A54"/>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400" w:type="dxa"/>
            <w:vAlign w:val="bottom"/>
            <w:shd w:val="clear" w:color="auto" w:fill="E8E8E8"/>
          </w:tcPr>
          <w:p>
            <w:pPr>
              <w:ind w:left="80"/>
              <w:spacing w:after="0"/>
              <w:rPr>
                <w:sz w:val="20"/>
                <w:szCs w:val="20"/>
                <w:color w:val="auto"/>
              </w:rPr>
            </w:pPr>
            <w:r>
              <w:rPr>
                <w:rFonts w:ascii="Arial" w:cs="Arial" w:eastAsia="Arial" w:hAnsi="Arial"/>
                <w:sz w:val="12"/>
                <w:szCs w:val="12"/>
                <w:color w:val="auto"/>
              </w:rPr>
              <w:t>Dan H. Arnold</w:t>
            </w:r>
          </w:p>
        </w:tc>
        <w:tc>
          <w:tcPr>
            <w:tcW w:w="1920" w:type="dxa"/>
            <w:vAlign w:val="bottom"/>
            <w:gridSpan w:val="2"/>
            <w:shd w:val="clear" w:color="auto" w:fill="E8E8E8"/>
          </w:tcPr>
          <w:p>
            <w:pPr>
              <w:jc w:val="right"/>
              <w:ind w:right="18"/>
              <w:spacing w:after="0"/>
              <w:rPr>
                <w:sz w:val="20"/>
                <w:szCs w:val="20"/>
                <w:color w:val="auto"/>
              </w:rPr>
            </w:pPr>
            <w:r>
              <w:rPr>
                <w:rFonts w:ascii="Arial" w:cs="Arial" w:eastAsia="Arial" w:hAnsi="Arial"/>
                <w:sz w:val="12"/>
                <w:szCs w:val="12"/>
                <w:color w:val="auto"/>
              </w:rPr>
              <w:t>78,031</w:t>
            </w:r>
          </w:p>
        </w:tc>
        <w:tc>
          <w:tcPr>
            <w:tcW w:w="140" w:type="dxa"/>
            <w:vAlign w:val="bottom"/>
            <w:shd w:val="clear" w:color="auto" w:fill="E8E8E8"/>
          </w:tcPr>
          <w:p>
            <w:pPr>
              <w:spacing w:after="0"/>
              <w:rPr>
                <w:sz w:val="13"/>
                <w:szCs w:val="13"/>
                <w:color w:val="auto"/>
              </w:rPr>
            </w:pPr>
          </w:p>
        </w:tc>
        <w:tc>
          <w:tcPr>
            <w:tcW w:w="54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360" w:type="dxa"/>
            <w:vAlign w:val="bottom"/>
            <w:shd w:val="clear" w:color="auto" w:fill="E8E8E8"/>
          </w:tcPr>
          <w:p>
            <w:pPr>
              <w:jc w:val="right"/>
              <w:ind w:right="78"/>
              <w:spacing w:after="0"/>
              <w:rPr>
                <w:sz w:val="20"/>
                <w:szCs w:val="20"/>
                <w:color w:val="auto"/>
              </w:rPr>
            </w:pPr>
            <w:r>
              <w:rPr>
                <w:rFonts w:ascii="Arial" w:cs="Arial" w:eastAsia="Arial" w:hAnsi="Arial"/>
                <w:sz w:val="12"/>
                <w:szCs w:val="12"/>
                <w:color w:val="auto"/>
              </w:rPr>
              <w:t>(3)</w:t>
            </w:r>
          </w:p>
        </w:tc>
        <w:tc>
          <w:tcPr>
            <w:tcW w:w="180" w:type="dxa"/>
            <w:vAlign w:val="bottom"/>
            <w:shd w:val="clear" w:color="auto" w:fill="E8E8E8"/>
          </w:tcPr>
          <w:p>
            <w:pPr>
              <w:ind w:left="100"/>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E8E8E8"/>
          </w:tcPr>
          <w:p>
            <w:pPr>
              <w:jc w:val="right"/>
              <w:spacing w:after="0"/>
              <w:rPr>
                <w:sz w:val="20"/>
                <w:szCs w:val="20"/>
                <w:color w:val="auto"/>
              </w:rPr>
            </w:pPr>
            <w:r>
              <w:rPr>
                <w:rFonts w:ascii="Arial" w:cs="Arial" w:eastAsia="Arial" w:hAnsi="Arial"/>
                <w:sz w:val="12"/>
                <w:szCs w:val="12"/>
                <w:color w:val="auto"/>
              </w:rPr>
              <w:t>19.85</w:t>
            </w:r>
          </w:p>
        </w:tc>
        <w:tc>
          <w:tcPr>
            <w:tcW w:w="780" w:type="dxa"/>
            <w:vAlign w:val="bottom"/>
            <w:gridSpan w:val="2"/>
            <w:shd w:val="clear" w:color="auto" w:fill="E8E8E8"/>
          </w:tcPr>
          <w:p>
            <w:pPr>
              <w:jc w:val="center"/>
              <w:spacing w:after="0"/>
              <w:rPr>
                <w:sz w:val="20"/>
                <w:szCs w:val="20"/>
                <w:color w:val="auto"/>
              </w:rPr>
            </w:pPr>
            <w:r>
              <w:rPr>
                <w:rFonts w:ascii="Arial" w:cs="Arial" w:eastAsia="Arial" w:hAnsi="Arial"/>
                <w:sz w:val="12"/>
                <w:szCs w:val="12"/>
                <w:color w:val="auto"/>
              </w:rPr>
              <w:t>2/25/2026</w:t>
            </w:r>
          </w:p>
        </w:tc>
        <w:tc>
          <w:tcPr>
            <w:tcW w:w="200" w:type="dxa"/>
            <w:vAlign w:val="bottom"/>
            <w:shd w:val="clear" w:color="auto" w:fill="E8E8E8"/>
          </w:tcPr>
          <w:p>
            <w:pPr>
              <w:spacing w:after="0"/>
              <w:rPr>
                <w:sz w:val="13"/>
                <w:szCs w:val="13"/>
                <w:color w:val="auto"/>
              </w:rPr>
            </w:pPr>
          </w:p>
        </w:tc>
        <w:tc>
          <w:tcPr>
            <w:tcW w:w="120" w:type="dxa"/>
            <w:vAlign w:val="bottom"/>
            <w:shd w:val="clear" w:color="auto" w:fill="E8E8E8"/>
          </w:tcPr>
          <w:p>
            <w:pPr>
              <w:spacing w:after="0"/>
              <w:rPr>
                <w:sz w:val="13"/>
                <w:szCs w:val="13"/>
                <w:color w:val="auto"/>
              </w:rPr>
            </w:pPr>
          </w:p>
        </w:tc>
        <w:tc>
          <w:tcPr>
            <w:tcW w:w="50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360" w:type="dxa"/>
            <w:vAlign w:val="bottom"/>
            <w:shd w:val="clear" w:color="auto" w:fill="E8E8E8"/>
          </w:tcPr>
          <w:p>
            <w:pPr>
              <w:spacing w:after="0"/>
              <w:rPr>
                <w:sz w:val="13"/>
                <w:szCs w:val="13"/>
                <w:color w:val="auto"/>
              </w:rPr>
            </w:pPr>
          </w:p>
        </w:tc>
        <w:tc>
          <w:tcPr>
            <w:tcW w:w="160" w:type="dxa"/>
            <w:vAlign w:val="bottom"/>
            <w:shd w:val="clear" w:color="auto" w:fill="E8E8E8"/>
          </w:tcPr>
          <w:p>
            <w:pPr>
              <w:ind w:left="8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E8E8E8"/>
          </w:tcPr>
          <w:p>
            <w:pPr>
              <w:jc w:val="right"/>
              <w:ind w:right="97"/>
              <w:spacing w:after="0"/>
              <w:rPr>
                <w:sz w:val="20"/>
                <w:szCs w:val="20"/>
                <w:color w:val="auto"/>
              </w:rPr>
            </w:pPr>
            <w:r>
              <w:rPr>
                <w:rFonts w:ascii="Arial" w:cs="Arial" w:eastAsia="Arial" w:hAnsi="Arial"/>
                <w:sz w:val="12"/>
                <w:szCs w:val="12"/>
                <w:color w:val="auto"/>
              </w:rPr>
              <w:t>—</w:t>
            </w:r>
          </w:p>
        </w:tc>
        <w:tc>
          <w:tcPr>
            <w:tcW w:w="680" w:type="dxa"/>
            <w:vAlign w:val="bottom"/>
            <w:shd w:val="clear" w:color="auto" w:fill="E8E8E8"/>
          </w:tcPr>
          <w:p>
            <w:pPr>
              <w:jc w:val="right"/>
              <w:ind w:right="78"/>
              <w:spacing w:after="0"/>
              <w:rPr>
                <w:sz w:val="20"/>
                <w:szCs w:val="20"/>
                <w:color w:val="auto"/>
              </w:rPr>
            </w:pPr>
            <w:r>
              <w:rPr>
                <w:rFonts w:ascii="Arial" w:cs="Arial" w:eastAsia="Arial" w:hAnsi="Arial"/>
                <w:sz w:val="12"/>
                <w:szCs w:val="12"/>
                <w:color w:val="auto"/>
              </w:rPr>
              <w:t>—</w:t>
            </w:r>
          </w:p>
        </w:tc>
        <w:tc>
          <w:tcPr>
            <w:tcW w:w="280" w:type="dxa"/>
            <w:vAlign w:val="bottom"/>
            <w:shd w:val="clear" w:color="auto" w:fill="E8E8E8"/>
          </w:tcPr>
          <w:p>
            <w:pPr>
              <w:spacing w:after="0"/>
              <w:rPr>
                <w:sz w:val="13"/>
                <w:szCs w:val="13"/>
                <w:color w:val="auto"/>
              </w:rPr>
            </w:pPr>
          </w:p>
        </w:tc>
        <w:tc>
          <w:tcPr>
            <w:tcW w:w="220" w:type="dxa"/>
            <w:vAlign w:val="bottom"/>
            <w:shd w:val="clear" w:color="auto" w:fill="E8E8E8"/>
          </w:tcPr>
          <w:p>
            <w:pPr>
              <w:ind w:left="80"/>
              <w:spacing w:after="0"/>
              <w:rPr>
                <w:sz w:val="20"/>
                <w:szCs w:val="20"/>
                <w:color w:val="auto"/>
              </w:rPr>
            </w:pPr>
            <w:r>
              <w:rPr>
                <w:rFonts w:ascii="Arial" w:cs="Arial" w:eastAsia="Arial" w:hAnsi="Arial"/>
                <w:sz w:val="12"/>
                <w:szCs w:val="12"/>
                <w:color w:val="auto"/>
              </w:rPr>
              <w:t>$</w:t>
            </w:r>
          </w:p>
        </w:tc>
        <w:tc>
          <w:tcPr>
            <w:tcW w:w="180" w:type="dxa"/>
            <w:vAlign w:val="bottom"/>
            <w:shd w:val="clear" w:color="auto" w:fill="E8E8E8"/>
          </w:tcPr>
          <w:p>
            <w:pPr>
              <w:spacing w:after="0"/>
              <w:rPr>
                <w:sz w:val="13"/>
                <w:szCs w:val="13"/>
                <w:color w:val="auto"/>
              </w:rPr>
            </w:pPr>
          </w:p>
        </w:tc>
        <w:tc>
          <w:tcPr>
            <w:tcW w:w="20" w:type="dxa"/>
            <w:vAlign w:val="bottom"/>
            <w:shd w:val="clear" w:color="auto" w:fill="E8E8E8"/>
          </w:tcPr>
          <w:p>
            <w:pPr>
              <w:spacing w:after="0"/>
              <w:rPr>
                <w:sz w:val="13"/>
                <w:szCs w:val="13"/>
                <w:color w:val="auto"/>
              </w:rPr>
            </w:pPr>
          </w:p>
        </w:tc>
        <w:tc>
          <w:tcPr>
            <w:tcW w:w="520" w:type="dxa"/>
            <w:vAlign w:val="bottom"/>
            <w:gridSpan w:val="2"/>
            <w:shd w:val="clear" w:color="auto" w:fill="E8E8E8"/>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3"/>
        </w:trPr>
        <w:tc>
          <w:tcPr>
            <w:tcW w:w="2400" w:type="dxa"/>
            <w:vAlign w:val="bottom"/>
            <w:shd w:val="clear" w:color="auto" w:fill="E8E8E8"/>
          </w:tcPr>
          <w:p>
            <w:pPr>
              <w:spacing w:after="0"/>
              <w:rPr>
                <w:sz w:val="15"/>
                <w:szCs w:val="15"/>
                <w:color w:val="auto"/>
              </w:rPr>
            </w:pPr>
          </w:p>
        </w:tc>
        <w:tc>
          <w:tcPr>
            <w:tcW w:w="1920" w:type="dxa"/>
            <w:vAlign w:val="bottom"/>
            <w:gridSpan w:val="2"/>
            <w:shd w:val="clear" w:color="auto" w:fill="E8E8E8"/>
          </w:tcPr>
          <w:p>
            <w:pPr>
              <w:jc w:val="right"/>
              <w:ind w:right="18"/>
              <w:spacing w:after="0"/>
              <w:rPr>
                <w:sz w:val="20"/>
                <w:szCs w:val="20"/>
                <w:color w:val="auto"/>
              </w:rPr>
            </w:pPr>
            <w:r>
              <w:rPr>
                <w:rFonts w:ascii="Arial" w:cs="Arial" w:eastAsia="Arial" w:hAnsi="Arial"/>
                <w:sz w:val="12"/>
                <w:szCs w:val="12"/>
                <w:color w:val="auto"/>
              </w:rPr>
              <w:t>123,131</w:t>
            </w:r>
          </w:p>
        </w:tc>
        <w:tc>
          <w:tcPr>
            <w:tcW w:w="140" w:type="dxa"/>
            <w:vAlign w:val="bottom"/>
            <w:shd w:val="clear" w:color="auto" w:fill="E8E8E8"/>
          </w:tcPr>
          <w:p>
            <w:pPr>
              <w:spacing w:after="0"/>
              <w:rPr>
                <w:sz w:val="15"/>
                <w:szCs w:val="15"/>
                <w:color w:val="auto"/>
              </w:rPr>
            </w:pPr>
          </w:p>
        </w:tc>
        <w:tc>
          <w:tcPr>
            <w:tcW w:w="54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360" w:type="dxa"/>
            <w:vAlign w:val="bottom"/>
            <w:shd w:val="clear" w:color="auto" w:fill="E8E8E8"/>
          </w:tcPr>
          <w:p>
            <w:pPr>
              <w:jc w:val="right"/>
              <w:ind w:right="78"/>
              <w:spacing w:after="0"/>
              <w:rPr>
                <w:sz w:val="20"/>
                <w:szCs w:val="20"/>
                <w:color w:val="auto"/>
              </w:rPr>
            </w:pPr>
            <w:r>
              <w:rPr>
                <w:rFonts w:ascii="Arial" w:cs="Arial" w:eastAsia="Arial" w:hAnsi="Arial"/>
                <w:sz w:val="12"/>
                <w:szCs w:val="12"/>
                <w:color w:val="auto"/>
              </w:rPr>
              <w:t>(4)</w:t>
            </w:r>
          </w:p>
        </w:tc>
        <w:tc>
          <w:tcPr>
            <w:tcW w:w="180" w:type="dxa"/>
            <w:vAlign w:val="bottom"/>
            <w:shd w:val="clear" w:color="auto" w:fill="E8E8E8"/>
          </w:tcPr>
          <w:p>
            <w:pPr>
              <w:ind w:left="100"/>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E8E8E8"/>
          </w:tcPr>
          <w:p>
            <w:pPr>
              <w:jc w:val="right"/>
              <w:spacing w:after="0"/>
              <w:rPr>
                <w:sz w:val="20"/>
                <w:szCs w:val="20"/>
                <w:color w:val="auto"/>
              </w:rPr>
            </w:pPr>
            <w:r>
              <w:rPr>
                <w:rFonts w:ascii="Arial" w:cs="Arial" w:eastAsia="Arial" w:hAnsi="Arial"/>
                <w:sz w:val="12"/>
                <w:szCs w:val="12"/>
                <w:color w:val="auto"/>
              </w:rPr>
              <w:t>39.48</w:t>
            </w:r>
          </w:p>
        </w:tc>
        <w:tc>
          <w:tcPr>
            <w:tcW w:w="780" w:type="dxa"/>
            <w:vAlign w:val="bottom"/>
            <w:gridSpan w:val="2"/>
            <w:shd w:val="clear" w:color="auto" w:fill="E8E8E8"/>
          </w:tcPr>
          <w:p>
            <w:pPr>
              <w:jc w:val="center"/>
              <w:spacing w:after="0"/>
              <w:rPr>
                <w:sz w:val="20"/>
                <w:szCs w:val="20"/>
                <w:color w:val="auto"/>
              </w:rPr>
            </w:pPr>
            <w:r>
              <w:rPr>
                <w:rFonts w:ascii="Arial" w:cs="Arial" w:eastAsia="Arial" w:hAnsi="Arial"/>
                <w:sz w:val="12"/>
                <w:szCs w:val="12"/>
                <w:color w:val="auto"/>
              </w:rPr>
              <w:t>3/13/2027</w:t>
            </w:r>
          </w:p>
        </w:tc>
        <w:tc>
          <w:tcPr>
            <w:tcW w:w="200" w:type="dxa"/>
            <w:vAlign w:val="bottom"/>
            <w:shd w:val="clear" w:color="auto" w:fill="E8E8E8"/>
          </w:tcPr>
          <w:p>
            <w:pPr>
              <w:spacing w:after="0"/>
              <w:rPr>
                <w:sz w:val="15"/>
                <w:szCs w:val="15"/>
                <w:color w:val="auto"/>
              </w:rPr>
            </w:pPr>
          </w:p>
        </w:tc>
        <w:tc>
          <w:tcPr>
            <w:tcW w:w="120" w:type="dxa"/>
            <w:vAlign w:val="bottom"/>
            <w:shd w:val="clear" w:color="auto" w:fill="E8E8E8"/>
          </w:tcPr>
          <w:p>
            <w:pPr>
              <w:spacing w:after="0"/>
              <w:rPr>
                <w:sz w:val="15"/>
                <w:szCs w:val="15"/>
                <w:color w:val="auto"/>
              </w:rPr>
            </w:pPr>
          </w:p>
        </w:tc>
        <w:tc>
          <w:tcPr>
            <w:tcW w:w="50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360" w:type="dxa"/>
            <w:vAlign w:val="bottom"/>
            <w:shd w:val="clear" w:color="auto" w:fill="E8E8E8"/>
          </w:tcPr>
          <w:p>
            <w:pPr>
              <w:spacing w:after="0"/>
              <w:rPr>
                <w:sz w:val="15"/>
                <w:szCs w:val="15"/>
                <w:color w:val="auto"/>
              </w:rPr>
            </w:pPr>
          </w:p>
        </w:tc>
        <w:tc>
          <w:tcPr>
            <w:tcW w:w="160" w:type="dxa"/>
            <w:vAlign w:val="bottom"/>
            <w:shd w:val="clear" w:color="auto" w:fill="E8E8E8"/>
          </w:tcPr>
          <w:p>
            <w:pPr>
              <w:ind w:left="8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E8E8E8"/>
          </w:tcPr>
          <w:p>
            <w:pPr>
              <w:jc w:val="right"/>
              <w:ind w:right="97"/>
              <w:spacing w:after="0"/>
              <w:rPr>
                <w:sz w:val="20"/>
                <w:szCs w:val="20"/>
                <w:color w:val="auto"/>
              </w:rPr>
            </w:pPr>
            <w:r>
              <w:rPr>
                <w:rFonts w:ascii="Arial" w:cs="Arial" w:eastAsia="Arial" w:hAnsi="Arial"/>
                <w:sz w:val="12"/>
                <w:szCs w:val="12"/>
                <w:color w:val="auto"/>
              </w:rPr>
              <w:t>—</w:t>
            </w:r>
          </w:p>
        </w:tc>
        <w:tc>
          <w:tcPr>
            <w:tcW w:w="680" w:type="dxa"/>
            <w:vAlign w:val="bottom"/>
            <w:shd w:val="clear" w:color="auto" w:fill="E8E8E8"/>
          </w:tcPr>
          <w:p>
            <w:pPr>
              <w:jc w:val="right"/>
              <w:ind w:right="78"/>
              <w:spacing w:after="0"/>
              <w:rPr>
                <w:sz w:val="20"/>
                <w:szCs w:val="20"/>
                <w:color w:val="auto"/>
              </w:rPr>
            </w:pPr>
            <w:r>
              <w:rPr>
                <w:rFonts w:ascii="Arial" w:cs="Arial" w:eastAsia="Arial" w:hAnsi="Arial"/>
                <w:sz w:val="12"/>
                <w:szCs w:val="12"/>
                <w:color w:val="auto"/>
              </w:rPr>
              <w:t>—</w:t>
            </w:r>
          </w:p>
        </w:tc>
        <w:tc>
          <w:tcPr>
            <w:tcW w:w="280" w:type="dxa"/>
            <w:vAlign w:val="bottom"/>
            <w:shd w:val="clear" w:color="auto" w:fill="E8E8E8"/>
          </w:tcPr>
          <w:p>
            <w:pPr>
              <w:spacing w:after="0"/>
              <w:rPr>
                <w:sz w:val="15"/>
                <w:szCs w:val="15"/>
                <w:color w:val="auto"/>
              </w:rPr>
            </w:pPr>
          </w:p>
        </w:tc>
        <w:tc>
          <w:tcPr>
            <w:tcW w:w="220" w:type="dxa"/>
            <w:vAlign w:val="bottom"/>
            <w:shd w:val="clear" w:color="auto" w:fill="E8E8E8"/>
          </w:tcPr>
          <w:p>
            <w:pPr>
              <w:ind w:left="80"/>
              <w:spacing w:after="0"/>
              <w:rPr>
                <w:sz w:val="20"/>
                <w:szCs w:val="20"/>
                <w:color w:val="auto"/>
              </w:rPr>
            </w:pPr>
            <w:r>
              <w:rPr>
                <w:rFonts w:ascii="Arial" w:cs="Arial" w:eastAsia="Arial" w:hAnsi="Arial"/>
                <w:sz w:val="12"/>
                <w:szCs w:val="12"/>
                <w:color w:val="auto"/>
              </w:rPr>
              <w:t>$</w:t>
            </w:r>
          </w:p>
        </w:tc>
        <w:tc>
          <w:tcPr>
            <w:tcW w:w="180" w:type="dxa"/>
            <w:vAlign w:val="bottom"/>
            <w:shd w:val="clear" w:color="auto" w:fill="E8E8E8"/>
          </w:tcPr>
          <w:p>
            <w:pPr>
              <w:spacing w:after="0"/>
              <w:rPr>
                <w:sz w:val="15"/>
                <w:szCs w:val="15"/>
                <w:color w:val="auto"/>
              </w:rPr>
            </w:pPr>
          </w:p>
        </w:tc>
        <w:tc>
          <w:tcPr>
            <w:tcW w:w="20" w:type="dxa"/>
            <w:vAlign w:val="bottom"/>
            <w:shd w:val="clear" w:color="auto" w:fill="E8E8E8"/>
          </w:tcPr>
          <w:p>
            <w:pPr>
              <w:spacing w:after="0"/>
              <w:rPr>
                <w:sz w:val="15"/>
                <w:szCs w:val="15"/>
                <w:color w:val="auto"/>
              </w:rPr>
            </w:pPr>
          </w:p>
        </w:tc>
        <w:tc>
          <w:tcPr>
            <w:tcW w:w="520" w:type="dxa"/>
            <w:vAlign w:val="bottom"/>
            <w:gridSpan w:val="2"/>
            <w:shd w:val="clear" w:color="auto" w:fill="E8E8E8"/>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7"/>
        </w:trPr>
        <w:tc>
          <w:tcPr>
            <w:tcW w:w="2400" w:type="dxa"/>
            <w:vAlign w:val="bottom"/>
            <w:shd w:val="clear" w:color="auto" w:fill="E8E8E8"/>
          </w:tcPr>
          <w:p>
            <w:pPr>
              <w:spacing w:after="0"/>
              <w:rPr>
                <w:sz w:val="16"/>
                <w:szCs w:val="16"/>
                <w:color w:val="auto"/>
              </w:rPr>
            </w:pPr>
          </w:p>
        </w:tc>
        <w:tc>
          <w:tcPr>
            <w:tcW w:w="1140" w:type="dxa"/>
            <w:vAlign w:val="bottom"/>
            <w:shd w:val="clear" w:color="auto" w:fill="E8E8E8"/>
          </w:tcPr>
          <w:p>
            <w:pPr>
              <w:spacing w:after="0"/>
              <w:rPr>
                <w:sz w:val="16"/>
                <w:szCs w:val="16"/>
                <w:color w:val="auto"/>
              </w:rPr>
            </w:pPr>
          </w:p>
        </w:tc>
        <w:tc>
          <w:tcPr>
            <w:tcW w:w="78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77,606</w:t>
            </w:r>
          </w:p>
        </w:tc>
        <w:tc>
          <w:tcPr>
            <w:tcW w:w="140" w:type="dxa"/>
            <w:vAlign w:val="bottom"/>
            <w:shd w:val="clear" w:color="auto" w:fill="E8E8E8"/>
          </w:tcPr>
          <w:p>
            <w:pPr>
              <w:spacing w:after="0"/>
              <w:rPr>
                <w:sz w:val="16"/>
                <w:szCs w:val="16"/>
                <w:color w:val="auto"/>
              </w:rPr>
            </w:pPr>
          </w:p>
        </w:tc>
        <w:tc>
          <w:tcPr>
            <w:tcW w:w="54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360" w:type="dxa"/>
            <w:vAlign w:val="bottom"/>
            <w:shd w:val="clear" w:color="auto" w:fill="E8E8E8"/>
          </w:tcPr>
          <w:p>
            <w:pPr>
              <w:jc w:val="right"/>
              <w:ind w:right="78"/>
              <w:spacing w:after="0"/>
              <w:rPr>
                <w:sz w:val="20"/>
                <w:szCs w:val="20"/>
                <w:color w:val="auto"/>
              </w:rPr>
            </w:pPr>
            <w:r>
              <w:rPr>
                <w:rFonts w:ascii="Arial" w:cs="Arial" w:eastAsia="Arial" w:hAnsi="Arial"/>
                <w:sz w:val="12"/>
                <w:szCs w:val="12"/>
                <w:color w:val="auto"/>
              </w:rPr>
              <w:t>(5)</w:t>
            </w:r>
          </w:p>
        </w:tc>
        <w:tc>
          <w:tcPr>
            <w:tcW w:w="180" w:type="dxa"/>
            <w:vAlign w:val="bottom"/>
            <w:shd w:val="clear" w:color="auto" w:fill="E8E8E8"/>
          </w:tcPr>
          <w:p>
            <w:pPr>
              <w:ind w:left="100"/>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E8E8E8"/>
          </w:tcPr>
          <w:p>
            <w:pPr>
              <w:jc w:val="right"/>
              <w:spacing w:after="0"/>
              <w:rPr>
                <w:sz w:val="20"/>
                <w:szCs w:val="20"/>
                <w:color w:val="auto"/>
              </w:rPr>
            </w:pPr>
            <w:r>
              <w:rPr>
                <w:rFonts w:ascii="Arial" w:cs="Arial" w:eastAsia="Arial" w:hAnsi="Arial"/>
                <w:sz w:val="12"/>
                <w:szCs w:val="12"/>
                <w:color w:val="auto"/>
              </w:rPr>
              <w:t>65.50</w:t>
            </w:r>
          </w:p>
        </w:tc>
        <w:tc>
          <w:tcPr>
            <w:tcW w:w="780" w:type="dxa"/>
            <w:vAlign w:val="bottom"/>
            <w:gridSpan w:val="2"/>
            <w:shd w:val="clear" w:color="auto" w:fill="E8E8E8"/>
          </w:tcPr>
          <w:p>
            <w:pPr>
              <w:jc w:val="center"/>
              <w:spacing w:after="0"/>
              <w:rPr>
                <w:sz w:val="20"/>
                <w:szCs w:val="20"/>
                <w:color w:val="auto"/>
              </w:rPr>
            </w:pPr>
            <w:r>
              <w:rPr>
                <w:rFonts w:ascii="Arial" w:cs="Arial" w:eastAsia="Arial" w:hAnsi="Arial"/>
                <w:sz w:val="12"/>
                <w:szCs w:val="12"/>
                <w:color w:val="auto"/>
              </w:rPr>
              <w:t>2/23/2028</w:t>
            </w:r>
          </w:p>
        </w:tc>
        <w:tc>
          <w:tcPr>
            <w:tcW w:w="200" w:type="dxa"/>
            <w:vAlign w:val="bottom"/>
            <w:shd w:val="clear" w:color="auto" w:fill="E8E8E8"/>
          </w:tcPr>
          <w:p>
            <w:pPr>
              <w:spacing w:after="0"/>
              <w:rPr>
                <w:sz w:val="16"/>
                <w:szCs w:val="16"/>
                <w:color w:val="auto"/>
              </w:rPr>
            </w:pPr>
          </w:p>
        </w:tc>
        <w:tc>
          <w:tcPr>
            <w:tcW w:w="120" w:type="dxa"/>
            <w:vAlign w:val="bottom"/>
            <w:shd w:val="clear" w:color="auto" w:fill="E8E8E8"/>
          </w:tcPr>
          <w:p>
            <w:pPr>
              <w:spacing w:after="0"/>
              <w:rPr>
                <w:sz w:val="16"/>
                <w:szCs w:val="16"/>
                <w:color w:val="auto"/>
              </w:rPr>
            </w:pPr>
          </w:p>
        </w:tc>
        <w:tc>
          <w:tcPr>
            <w:tcW w:w="50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360" w:type="dxa"/>
            <w:vAlign w:val="bottom"/>
            <w:shd w:val="clear" w:color="auto" w:fill="E8E8E8"/>
          </w:tcPr>
          <w:p>
            <w:pPr>
              <w:spacing w:after="0"/>
              <w:rPr>
                <w:sz w:val="16"/>
                <w:szCs w:val="16"/>
                <w:color w:val="auto"/>
              </w:rPr>
            </w:pPr>
          </w:p>
        </w:tc>
        <w:tc>
          <w:tcPr>
            <w:tcW w:w="160" w:type="dxa"/>
            <w:vAlign w:val="bottom"/>
            <w:shd w:val="clear" w:color="auto" w:fill="E8E8E8"/>
          </w:tcPr>
          <w:p>
            <w:pPr>
              <w:ind w:left="8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E8E8E8"/>
          </w:tcPr>
          <w:p>
            <w:pPr>
              <w:jc w:val="right"/>
              <w:ind w:right="97"/>
              <w:spacing w:after="0"/>
              <w:rPr>
                <w:sz w:val="20"/>
                <w:szCs w:val="20"/>
                <w:color w:val="auto"/>
              </w:rPr>
            </w:pPr>
            <w:r>
              <w:rPr>
                <w:rFonts w:ascii="Arial" w:cs="Arial" w:eastAsia="Arial" w:hAnsi="Arial"/>
                <w:sz w:val="12"/>
                <w:szCs w:val="12"/>
                <w:color w:val="auto"/>
              </w:rPr>
              <w:t>—</w:t>
            </w:r>
          </w:p>
        </w:tc>
        <w:tc>
          <w:tcPr>
            <w:tcW w:w="680" w:type="dxa"/>
            <w:vAlign w:val="bottom"/>
            <w:shd w:val="clear" w:color="auto" w:fill="E8E8E8"/>
          </w:tcPr>
          <w:p>
            <w:pPr>
              <w:jc w:val="right"/>
              <w:ind w:right="78"/>
              <w:spacing w:after="0"/>
              <w:rPr>
                <w:sz w:val="20"/>
                <w:szCs w:val="20"/>
                <w:color w:val="auto"/>
              </w:rPr>
            </w:pPr>
            <w:r>
              <w:rPr>
                <w:rFonts w:ascii="Arial" w:cs="Arial" w:eastAsia="Arial" w:hAnsi="Arial"/>
                <w:sz w:val="12"/>
                <w:szCs w:val="12"/>
                <w:color w:val="auto"/>
              </w:rPr>
              <w:t>—</w:t>
            </w:r>
          </w:p>
        </w:tc>
        <w:tc>
          <w:tcPr>
            <w:tcW w:w="280" w:type="dxa"/>
            <w:vAlign w:val="bottom"/>
            <w:shd w:val="clear" w:color="auto" w:fill="E8E8E8"/>
          </w:tcPr>
          <w:p>
            <w:pPr>
              <w:spacing w:after="0"/>
              <w:rPr>
                <w:sz w:val="16"/>
                <w:szCs w:val="16"/>
                <w:color w:val="auto"/>
              </w:rPr>
            </w:pPr>
          </w:p>
        </w:tc>
        <w:tc>
          <w:tcPr>
            <w:tcW w:w="220" w:type="dxa"/>
            <w:vAlign w:val="bottom"/>
            <w:shd w:val="clear" w:color="auto" w:fill="E8E8E8"/>
          </w:tcPr>
          <w:p>
            <w:pPr>
              <w:ind w:left="80"/>
              <w:spacing w:after="0"/>
              <w:rPr>
                <w:sz w:val="20"/>
                <w:szCs w:val="20"/>
                <w:color w:val="auto"/>
              </w:rPr>
            </w:pPr>
            <w:r>
              <w:rPr>
                <w:rFonts w:ascii="Arial" w:cs="Arial" w:eastAsia="Arial" w:hAnsi="Arial"/>
                <w:sz w:val="12"/>
                <w:szCs w:val="12"/>
                <w:color w:val="auto"/>
              </w:rPr>
              <w:t>$</w:t>
            </w:r>
          </w:p>
        </w:tc>
        <w:tc>
          <w:tcPr>
            <w:tcW w:w="180" w:type="dxa"/>
            <w:vAlign w:val="bottom"/>
            <w:shd w:val="clear" w:color="auto" w:fill="E8E8E8"/>
          </w:tcPr>
          <w:p>
            <w:pPr>
              <w:spacing w:after="0"/>
              <w:rPr>
                <w:sz w:val="16"/>
                <w:szCs w:val="16"/>
                <w:color w:val="auto"/>
              </w:rPr>
            </w:pPr>
          </w:p>
        </w:tc>
        <w:tc>
          <w:tcPr>
            <w:tcW w:w="20" w:type="dxa"/>
            <w:vAlign w:val="bottom"/>
            <w:shd w:val="clear" w:color="auto" w:fill="E8E8E8"/>
          </w:tcPr>
          <w:p>
            <w:pPr>
              <w:spacing w:after="0"/>
              <w:rPr>
                <w:sz w:val="16"/>
                <w:szCs w:val="16"/>
                <w:color w:val="auto"/>
              </w:rPr>
            </w:pPr>
          </w:p>
        </w:tc>
        <w:tc>
          <w:tcPr>
            <w:tcW w:w="520" w:type="dxa"/>
            <w:vAlign w:val="bottom"/>
            <w:gridSpan w:val="2"/>
            <w:shd w:val="clear" w:color="auto" w:fill="E8E8E8"/>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7"/>
        </w:trPr>
        <w:tc>
          <w:tcPr>
            <w:tcW w:w="2400" w:type="dxa"/>
            <w:vAlign w:val="bottom"/>
            <w:shd w:val="clear" w:color="auto" w:fill="E8E8E8"/>
          </w:tcPr>
          <w:p>
            <w:pPr>
              <w:spacing w:after="0"/>
              <w:rPr>
                <w:sz w:val="16"/>
                <w:szCs w:val="16"/>
                <w:color w:val="auto"/>
              </w:rPr>
            </w:pPr>
          </w:p>
        </w:tc>
        <w:tc>
          <w:tcPr>
            <w:tcW w:w="1140" w:type="dxa"/>
            <w:vAlign w:val="bottom"/>
            <w:shd w:val="clear" w:color="auto" w:fill="E8E8E8"/>
          </w:tcPr>
          <w:p>
            <w:pPr>
              <w:spacing w:after="0"/>
              <w:rPr>
                <w:sz w:val="16"/>
                <w:szCs w:val="16"/>
                <w:color w:val="auto"/>
              </w:rPr>
            </w:pPr>
          </w:p>
        </w:tc>
        <w:tc>
          <w:tcPr>
            <w:tcW w:w="78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45,880</w:t>
            </w:r>
          </w:p>
        </w:tc>
        <w:tc>
          <w:tcPr>
            <w:tcW w:w="680" w:type="dxa"/>
            <w:vAlign w:val="bottom"/>
            <w:gridSpan w:val="2"/>
            <w:shd w:val="clear" w:color="auto" w:fill="E8E8E8"/>
          </w:tcPr>
          <w:p>
            <w:pPr>
              <w:jc w:val="right"/>
              <w:ind w:right="18"/>
              <w:spacing w:after="0"/>
              <w:rPr>
                <w:sz w:val="20"/>
                <w:szCs w:val="20"/>
                <w:color w:val="auto"/>
              </w:rPr>
            </w:pPr>
            <w:r>
              <w:rPr>
                <w:rFonts w:ascii="Arial" w:cs="Arial" w:eastAsia="Arial" w:hAnsi="Arial"/>
                <w:sz w:val="12"/>
                <w:szCs w:val="12"/>
                <w:color w:val="auto"/>
              </w:rPr>
              <w:t>22,940</w:t>
            </w:r>
          </w:p>
        </w:tc>
        <w:tc>
          <w:tcPr>
            <w:tcW w:w="360" w:type="dxa"/>
            <w:vAlign w:val="bottom"/>
            <w:shd w:val="clear" w:color="auto" w:fill="E8E8E8"/>
          </w:tcPr>
          <w:p>
            <w:pPr>
              <w:jc w:val="right"/>
              <w:ind w:right="78"/>
              <w:spacing w:after="0"/>
              <w:rPr>
                <w:sz w:val="20"/>
                <w:szCs w:val="20"/>
                <w:color w:val="auto"/>
              </w:rPr>
            </w:pPr>
            <w:r>
              <w:rPr>
                <w:rFonts w:ascii="Arial" w:cs="Arial" w:eastAsia="Arial" w:hAnsi="Arial"/>
                <w:sz w:val="12"/>
                <w:szCs w:val="12"/>
                <w:color w:val="auto"/>
              </w:rPr>
              <w:t>(6)</w:t>
            </w:r>
          </w:p>
        </w:tc>
        <w:tc>
          <w:tcPr>
            <w:tcW w:w="180" w:type="dxa"/>
            <w:vAlign w:val="bottom"/>
            <w:shd w:val="clear" w:color="auto" w:fill="E8E8E8"/>
          </w:tcPr>
          <w:p>
            <w:pPr>
              <w:ind w:left="100"/>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E8E8E8"/>
          </w:tcPr>
          <w:p>
            <w:pPr>
              <w:jc w:val="right"/>
              <w:spacing w:after="0"/>
              <w:rPr>
                <w:sz w:val="20"/>
                <w:szCs w:val="20"/>
                <w:color w:val="auto"/>
              </w:rPr>
            </w:pPr>
            <w:r>
              <w:rPr>
                <w:rFonts w:ascii="Arial" w:cs="Arial" w:eastAsia="Arial" w:hAnsi="Arial"/>
                <w:sz w:val="12"/>
                <w:szCs w:val="12"/>
                <w:color w:val="auto"/>
              </w:rPr>
              <w:t>77.53</w:t>
            </w:r>
          </w:p>
        </w:tc>
        <w:tc>
          <w:tcPr>
            <w:tcW w:w="780" w:type="dxa"/>
            <w:vAlign w:val="bottom"/>
            <w:gridSpan w:val="2"/>
            <w:shd w:val="clear" w:color="auto" w:fill="E8E8E8"/>
          </w:tcPr>
          <w:p>
            <w:pPr>
              <w:jc w:val="center"/>
              <w:spacing w:after="0"/>
              <w:rPr>
                <w:sz w:val="20"/>
                <w:szCs w:val="20"/>
                <w:color w:val="auto"/>
              </w:rPr>
            </w:pPr>
            <w:r>
              <w:rPr>
                <w:rFonts w:ascii="Arial" w:cs="Arial" w:eastAsia="Arial" w:hAnsi="Arial"/>
                <w:sz w:val="12"/>
                <w:szCs w:val="12"/>
                <w:color w:val="auto"/>
              </w:rPr>
              <w:t>2/25/2029</w:t>
            </w:r>
          </w:p>
        </w:tc>
        <w:tc>
          <w:tcPr>
            <w:tcW w:w="200" w:type="dxa"/>
            <w:vAlign w:val="bottom"/>
            <w:shd w:val="clear" w:color="auto" w:fill="E8E8E8"/>
          </w:tcPr>
          <w:p>
            <w:pPr>
              <w:spacing w:after="0"/>
              <w:rPr>
                <w:sz w:val="16"/>
                <w:szCs w:val="16"/>
                <w:color w:val="auto"/>
              </w:rPr>
            </w:pPr>
          </w:p>
        </w:tc>
        <w:tc>
          <w:tcPr>
            <w:tcW w:w="120" w:type="dxa"/>
            <w:vAlign w:val="bottom"/>
            <w:shd w:val="clear" w:color="auto" w:fill="E8E8E8"/>
          </w:tcPr>
          <w:p>
            <w:pPr>
              <w:spacing w:after="0"/>
              <w:rPr>
                <w:sz w:val="16"/>
                <w:szCs w:val="16"/>
                <w:color w:val="auto"/>
              </w:rPr>
            </w:pPr>
          </w:p>
        </w:tc>
        <w:tc>
          <w:tcPr>
            <w:tcW w:w="50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360" w:type="dxa"/>
            <w:vAlign w:val="bottom"/>
            <w:shd w:val="clear" w:color="auto" w:fill="E8E8E8"/>
          </w:tcPr>
          <w:p>
            <w:pPr>
              <w:spacing w:after="0"/>
              <w:rPr>
                <w:sz w:val="16"/>
                <w:szCs w:val="16"/>
                <w:color w:val="auto"/>
              </w:rPr>
            </w:pPr>
          </w:p>
        </w:tc>
        <w:tc>
          <w:tcPr>
            <w:tcW w:w="160" w:type="dxa"/>
            <w:vAlign w:val="bottom"/>
            <w:shd w:val="clear" w:color="auto" w:fill="E8E8E8"/>
          </w:tcPr>
          <w:p>
            <w:pPr>
              <w:ind w:left="8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E8E8E8"/>
          </w:tcPr>
          <w:p>
            <w:pPr>
              <w:jc w:val="right"/>
              <w:ind w:right="97"/>
              <w:spacing w:after="0"/>
              <w:rPr>
                <w:sz w:val="20"/>
                <w:szCs w:val="20"/>
                <w:color w:val="auto"/>
              </w:rPr>
            </w:pPr>
            <w:r>
              <w:rPr>
                <w:rFonts w:ascii="Arial" w:cs="Arial" w:eastAsia="Arial" w:hAnsi="Arial"/>
                <w:sz w:val="12"/>
                <w:szCs w:val="12"/>
                <w:color w:val="auto"/>
              </w:rPr>
              <w:t>—</w:t>
            </w:r>
          </w:p>
        </w:tc>
        <w:tc>
          <w:tcPr>
            <w:tcW w:w="680" w:type="dxa"/>
            <w:vAlign w:val="bottom"/>
            <w:shd w:val="clear" w:color="auto" w:fill="E8E8E8"/>
          </w:tcPr>
          <w:p>
            <w:pPr>
              <w:jc w:val="right"/>
              <w:ind w:right="78"/>
              <w:spacing w:after="0"/>
              <w:rPr>
                <w:sz w:val="20"/>
                <w:szCs w:val="20"/>
                <w:color w:val="auto"/>
              </w:rPr>
            </w:pPr>
            <w:r>
              <w:rPr>
                <w:rFonts w:ascii="Arial" w:cs="Arial" w:eastAsia="Arial" w:hAnsi="Arial"/>
                <w:sz w:val="12"/>
                <w:szCs w:val="12"/>
                <w:color w:val="auto"/>
              </w:rPr>
              <w:t>—</w:t>
            </w:r>
          </w:p>
        </w:tc>
        <w:tc>
          <w:tcPr>
            <w:tcW w:w="280" w:type="dxa"/>
            <w:vAlign w:val="bottom"/>
            <w:shd w:val="clear" w:color="auto" w:fill="E8E8E8"/>
          </w:tcPr>
          <w:p>
            <w:pPr>
              <w:spacing w:after="0"/>
              <w:rPr>
                <w:sz w:val="16"/>
                <w:szCs w:val="16"/>
                <w:color w:val="auto"/>
              </w:rPr>
            </w:pPr>
          </w:p>
        </w:tc>
        <w:tc>
          <w:tcPr>
            <w:tcW w:w="220" w:type="dxa"/>
            <w:vAlign w:val="bottom"/>
            <w:shd w:val="clear" w:color="auto" w:fill="E8E8E8"/>
          </w:tcPr>
          <w:p>
            <w:pPr>
              <w:ind w:left="80"/>
              <w:spacing w:after="0"/>
              <w:rPr>
                <w:sz w:val="20"/>
                <w:szCs w:val="20"/>
                <w:color w:val="auto"/>
              </w:rPr>
            </w:pPr>
            <w:r>
              <w:rPr>
                <w:rFonts w:ascii="Arial" w:cs="Arial" w:eastAsia="Arial" w:hAnsi="Arial"/>
                <w:sz w:val="12"/>
                <w:szCs w:val="12"/>
                <w:color w:val="auto"/>
              </w:rPr>
              <w:t>$</w:t>
            </w:r>
          </w:p>
        </w:tc>
        <w:tc>
          <w:tcPr>
            <w:tcW w:w="180" w:type="dxa"/>
            <w:vAlign w:val="bottom"/>
            <w:shd w:val="clear" w:color="auto" w:fill="E8E8E8"/>
          </w:tcPr>
          <w:p>
            <w:pPr>
              <w:spacing w:after="0"/>
              <w:rPr>
                <w:sz w:val="16"/>
                <w:szCs w:val="16"/>
                <w:color w:val="auto"/>
              </w:rPr>
            </w:pPr>
          </w:p>
        </w:tc>
        <w:tc>
          <w:tcPr>
            <w:tcW w:w="20" w:type="dxa"/>
            <w:vAlign w:val="bottom"/>
            <w:shd w:val="clear" w:color="auto" w:fill="E8E8E8"/>
          </w:tcPr>
          <w:p>
            <w:pPr>
              <w:spacing w:after="0"/>
              <w:rPr>
                <w:sz w:val="16"/>
                <w:szCs w:val="16"/>
                <w:color w:val="auto"/>
              </w:rPr>
            </w:pPr>
          </w:p>
        </w:tc>
        <w:tc>
          <w:tcPr>
            <w:tcW w:w="520" w:type="dxa"/>
            <w:vAlign w:val="bottom"/>
            <w:gridSpan w:val="2"/>
            <w:shd w:val="clear" w:color="auto" w:fill="E8E8E8"/>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7"/>
        </w:trPr>
        <w:tc>
          <w:tcPr>
            <w:tcW w:w="2400" w:type="dxa"/>
            <w:vAlign w:val="bottom"/>
            <w:shd w:val="clear" w:color="auto" w:fill="E8E8E8"/>
          </w:tcPr>
          <w:p>
            <w:pPr>
              <w:spacing w:after="0"/>
              <w:rPr>
                <w:sz w:val="16"/>
                <w:szCs w:val="16"/>
                <w:color w:val="auto"/>
              </w:rPr>
            </w:pPr>
          </w:p>
        </w:tc>
        <w:tc>
          <w:tcPr>
            <w:tcW w:w="1140" w:type="dxa"/>
            <w:vAlign w:val="bottom"/>
            <w:shd w:val="clear" w:color="auto" w:fill="E8E8E8"/>
          </w:tcPr>
          <w:p>
            <w:pPr>
              <w:spacing w:after="0"/>
              <w:rPr>
                <w:sz w:val="16"/>
                <w:szCs w:val="16"/>
                <w:color w:val="auto"/>
              </w:rPr>
            </w:pPr>
          </w:p>
        </w:tc>
        <w:tc>
          <w:tcPr>
            <w:tcW w:w="78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140" w:type="dxa"/>
            <w:vAlign w:val="bottom"/>
            <w:shd w:val="clear" w:color="auto" w:fill="E8E8E8"/>
          </w:tcPr>
          <w:p>
            <w:pPr>
              <w:spacing w:after="0"/>
              <w:rPr>
                <w:sz w:val="16"/>
                <w:szCs w:val="16"/>
                <w:color w:val="auto"/>
              </w:rPr>
            </w:pPr>
          </w:p>
        </w:tc>
        <w:tc>
          <w:tcPr>
            <w:tcW w:w="54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360" w:type="dxa"/>
            <w:vAlign w:val="bottom"/>
            <w:shd w:val="clear" w:color="auto" w:fill="E8E8E8"/>
          </w:tcPr>
          <w:p>
            <w:pPr>
              <w:spacing w:after="0"/>
              <w:rPr>
                <w:sz w:val="16"/>
                <w:szCs w:val="16"/>
                <w:color w:val="auto"/>
              </w:rPr>
            </w:pPr>
          </w:p>
        </w:tc>
        <w:tc>
          <w:tcPr>
            <w:tcW w:w="180" w:type="dxa"/>
            <w:vAlign w:val="bottom"/>
            <w:shd w:val="clear" w:color="auto" w:fill="E8E8E8"/>
          </w:tcPr>
          <w:p>
            <w:pPr>
              <w:ind w:left="100"/>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E8E8E8"/>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E8E8E8"/>
          </w:tcPr>
          <w:p>
            <w:pPr>
              <w:spacing w:after="0"/>
              <w:rPr>
                <w:sz w:val="16"/>
                <w:szCs w:val="16"/>
                <w:color w:val="auto"/>
              </w:rPr>
            </w:pPr>
          </w:p>
        </w:tc>
        <w:tc>
          <w:tcPr>
            <w:tcW w:w="100" w:type="dxa"/>
            <w:vAlign w:val="bottom"/>
            <w:shd w:val="clear" w:color="auto" w:fill="E8E8E8"/>
          </w:tcPr>
          <w:p>
            <w:pPr>
              <w:spacing w:after="0"/>
              <w:rPr>
                <w:sz w:val="16"/>
                <w:szCs w:val="16"/>
                <w:color w:val="auto"/>
              </w:rPr>
            </w:pPr>
          </w:p>
        </w:tc>
        <w:tc>
          <w:tcPr>
            <w:tcW w:w="200" w:type="dxa"/>
            <w:vAlign w:val="bottom"/>
            <w:shd w:val="clear" w:color="auto" w:fill="E8E8E8"/>
          </w:tcPr>
          <w:p>
            <w:pPr>
              <w:spacing w:after="0"/>
              <w:rPr>
                <w:sz w:val="16"/>
                <w:szCs w:val="16"/>
                <w:color w:val="auto"/>
              </w:rPr>
            </w:pPr>
          </w:p>
        </w:tc>
        <w:tc>
          <w:tcPr>
            <w:tcW w:w="620" w:type="dxa"/>
            <w:vAlign w:val="bottom"/>
            <w:gridSpan w:val="2"/>
            <w:shd w:val="clear" w:color="auto" w:fill="E8E8E8"/>
          </w:tcPr>
          <w:p>
            <w:pPr>
              <w:jc w:val="right"/>
              <w:ind w:right="18"/>
              <w:spacing w:after="0"/>
              <w:rPr>
                <w:sz w:val="20"/>
                <w:szCs w:val="20"/>
                <w:color w:val="auto"/>
              </w:rPr>
            </w:pPr>
            <w:r>
              <w:rPr>
                <w:rFonts w:ascii="Arial" w:cs="Arial" w:eastAsia="Arial" w:hAnsi="Arial"/>
                <w:sz w:val="12"/>
                <w:szCs w:val="12"/>
                <w:color w:val="auto"/>
              </w:rPr>
              <w:t>12,937</w:t>
            </w:r>
          </w:p>
        </w:tc>
        <w:tc>
          <w:tcPr>
            <w:tcW w:w="360" w:type="dxa"/>
            <w:vAlign w:val="bottom"/>
            <w:shd w:val="clear" w:color="auto" w:fill="E8E8E8"/>
          </w:tcPr>
          <w:p>
            <w:pPr>
              <w:ind w:left="40"/>
              <w:spacing w:after="0"/>
              <w:rPr>
                <w:sz w:val="20"/>
                <w:szCs w:val="20"/>
                <w:color w:val="auto"/>
              </w:rPr>
            </w:pPr>
            <w:r>
              <w:rPr>
                <w:rFonts w:ascii="Arial" w:cs="Arial" w:eastAsia="Arial" w:hAnsi="Arial"/>
                <w:sz w:val="12"/>
                <w:szCs w:val="12"/>
                <w:color w:val="auto"/>
              </w:rPr>
              <w:t>(7)</w:t>
            </w:r>
          </w:p>
        </w:tc>
        <w:tc>
          <w:tcPr>
            <w:tcW w:w="160" w:type="dxa"/>
            <w:vAlign w:val="bottom"/>
            <w:shd w:val="clear" w:color="auto" w:fill="E8E8E8"/>
          </w:tcPr>
          <w:p>
            <w:pPr>
              <w:ind w:left="8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E8E8E8"/>
          </w:tcPr>
          <w:p>
            <w:pPr>
              <w:jc w:val="right"/>
              <w:ind w:right="97"/>
              <w:spacing w:after="0"/>
              <w:rPr>
                <w:sz w:val="20"/>
                <w:szCs w:val="20"/>
                <w:color w:val="auto"/>
              </w:rPr>
            </w:pPr>
            <w:r>
              <w:rPr>
                <w:rFonts w:ascii="Arial" w:cs="Arial" w:eastAsia="Arial" w:hAnsi="Arial"/>
                <w:sz w:val="12"/>
                <w:szCs w:val="12"/>
                <w:color w:val="auto"/>
              </w:rPr>
              <w:t>2,071,084</w:t>
            </w:r>
          </w:p>
        </w:tc>
        <w:tc>
          <w:tcPr>
            <w:tcW w:w="680" w:type="dxa"/>
            <w:vAlign w:val="bottom"/>
            <w:shd w:val="clear" w:color="auto" w:fill="E8E8E8"/>
          </w:tcPr>
          <w:p>
            <w:pPr>
              <w:jc w:val="right"/>
              <w:ind w:right="78"/>
              <w:spacing w:after="0"/>
              <w:rPr>
                <w:sz w:val="20"/>
                <w:szCs w:val="20"/>
                <w:color w:val="auto"/>
              </w:rPr>
            </w:pPr>
            <w:r>
              <w:rPr>
                <w:rFonts w:ascii="Arial" w:cs="Arial" w:eastAsia="Arial" w:hAnsi="Arial"/>
                <w:sz w:val="12"/>
                <w:szCs w:val="12"/>
                <w:color w:val="auto"/>
              </w:rPr>
              <w:t>—</w:t>
            </w:r>
          </w:p>
        </w:tc>
        <w:tc>
          <w:tcPr>
            <w:tcW w:w="280" w:type="dxa"/>
            <w:vAlign w:val="bottom"/>
            <w:shd w:val="clear" w:color="auto" w:fill="E8E8E8"/>
          </w:tcPr>
          <w:p>
            <w:pPr>
              <w:spacing w:after="0"/>
              <w:rPr>
                <w:sz w:val="16"/>
                <w:szCs w:val="16"/>
                <w:color w:val="auto"/>
              </w:rPr>
            </w:pPr>
          </w:p>
        </w:tc>
        <w:tc>
          <w:tcPr>
            <w:tcW w:w="220" w:type="dxa"/>
            <w:vAlign w:val="bottom"/>
            <w:shd w:val="clear" w:color="auto" w:fill="E8E8E8"/>
          </w:tcPr>
          <w:p>
            <w:pPr>
              <w:ind w:left="80"/>
              <w:spacing w:after="0"/>
              <w:rPr>
                <w:sz w:val="20"/>
                <w:szCs w:val="20"/>
                <w:color w:val="auto"/>
              </w:rPr>
            </w:pPr>
            <w:r>
              <w:rPr>
                <w:rFonts w:ascii="Arial" w:cs="Arial" w:eastAsia="Arial" w:hAnsi="Arial"/>
                <w:sz w:val="12"/>
                <w:szCs w:val="12"/>
                <w:color w:val="auto"/>
              </w:rPr>
              <w:t>$</w:t>
            </w:r>
          </w:p>
        </w:tc>
        <w:tc>
          <w:tcPr>
            <w:tcW w:w="180" w:type="dxa"/>
            <w:vAlign w:val="bottom"/>
            <w:shd w:val="clear" w:color="auto" w:fill="E8E8E8"/>
          </w:tcPr>
          <w:p>
            <w:pPr>
              <w:spacing w:after="0"/>
              <w:rPr>
                <w:sz w:val="16"/>
                <w:szCs w:val="16"/>
                <w:color w:val="auto"/>
              </w:rPr>
            </w:pPr>
          </w:p>
        </w:tc>
        <w:tc>
          <w:tcPr>
            <w:tcW w:w="20" w:type="dxa"/>
            <w:vAlign w:val="bottom"/>
            <w:shd w:val="clear" w:color="auto" w:fill="E8E8E8"/>
          </w:tcPr>
          <w:p>
            <w:pPr>
              <w:spacing w:after="0"/>
              <w:rPr>
                <w:sz w:val="16"/>
                <w:szCs w:val="16"/>
                <w:color w:val="auto"/>
              </w:rPr>
            </w:pPr>
          </w:p>
        </w:tc>
        <w:tc>
          <w:tcPr>
            <w:tcW w:w="520" w:type="dxa"/>
            <w:vAlign w:val="bottom"/>
            <w:gridSpan w:val="2"/>
            <w:shd w:val="clear" w:color="auto" w:fill="E8E8E8"/>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7"/>
        </w:trPr>
        <w:tc>
          <w:tcPr>
            <w:tcW w:w="2400" w:type="dxa"/>
            <w:vAlign w:val="bottom"/>
            <w:shd w:val="clear" w:color="auto" w:fill="E8E8E8"/>
          </w:tcPr>
          <w:p>
            <w:pPr>
              <w:spacing w:after="0"/>
              <w:rPr>
                <w:sz w:val="16"/>
                <w:szCs w:val="16"/>
                <w:color w:val="auto"/>
              </w:rPr>
            </w:pPr>
          </w:p>
        </w:tc>
        <w:tc>
          <w:tcPr>
            <w:tcW w:w="1140" w:type="dxa"/>
            <w:vAlign w:val="bottom"/>
            <w:shd w:val="clear" w:color="auto" w:fill="E8E8E8"/>
          </w:tcPr>
          <w:p>
            <w:pPr>
              <w:spacing w:after="0"/>
              <w:rPr>
                <w:sz w:val="16"/>
                <w:szCs w:val="16"/>
                <w:color w:val="auto"/>
              </w:rPr>
            </w:pPr>
          </w:p>
        </w:tc>
        <w:tc>
          <w:tcPr>
            <w:tcW w:w="78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140" w:type="dxa"/>
            <w:vAlign w:val="bottom"/>
            <w:shd w:val="clear" w:color="auto" w:fill="E8E8E8"/>
          </w:tcPr>
          <w:p>
            <w:pPr>
              <w:spacing w:after="0"/>
              <w:rPr>
                <w:sz w:val="16"/>
                <w:szCs w:val="16"/>
                <w:color w:val="auto"/>
              </w:rPr>
            </w:pPr>
          </w:p>
        </w:tc>
        <w:tc>
          <w:tcPr>
            <w:tcW w:w="54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360" w:type="dxa"/>
            <w:vAlign w:val="bottom"/>
            <w:shd w:val="clear" w:color="auto" w:fill="E8E8E8"/>
          </w:tcPr>
          <w:p>
            <w:pPr>
              <w:spacing w:after="0"/>
              <w:rPr>
                <w:sz w:val="16"/>
                <w:szCs w:val="16"/>
                <w:color w:val="auto"/>
              </w:rPr>
            </w:pPr>
          </w:p>
        </w:tc>
        <w:tc>
          <w:tcPr>
            <w:tcW w:w="180" w:type="dxa"/>
            <w:vAlign w:val="bottom"/>
            <w:shd w:val="clear" w:color="auto" w:fill="E8E8E8"/>
          </w:tcPr>
          <w:p>
            <w:pPr>
              <w:ind w:left="100"/>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E8E8E8"/>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E8E8E8"/>
          </w:tcPr>
          <w:p>
            <w:pPr>
              <w:spacing w:after="0"/>
              <w:rPr>
                <w:sz w:val="16"/>
                <w:szCs w:val="16"/>
                <w:color w:val="auto"/>
              </w:rPr>
            </w:pPr>
          </w:p>
        </w:tc>
        <w:tc>
          <w:tcPr>
            <w:tcW w:w="100" w:type="dxa"/>
            <w:vAlign w:val="bottom"/>
            <w:shd w:val="clear" w:color="auto" w:fill="E8E8E8"/>
          </w:tcPr>
          <w:p>
            <w:pPr>
              <w:spacing w:after="0"/>
              <w:rPr>
                <w:sz w:val="16"/>
                <w:szCs w:val="16"/>
                <w:color w:val="auto"/>
              </w:rPr>
            </w:pPr>
          </w:p>
        </w:tc>
        <w:tc>
          <w:tcPr>
            <w:tcW w:w="200" w:type="dxa"/>
            <w:vAlign w:val="bottom"/>
            <w:shd w:val="clear" w:color="auto" w:fill="E8E8E8"/>
          </w:tcPr>
          <w:p>
            <w:pPr>
              <w:spacing w:after="0"/>
              <w:rPr>
                <w:sz w:val="16"/>
                <w:szCs w:val="16"/>
                <w:color w:val="auto"/>
              </w:rPr>
            </w:pPr>
          </w:p>
        </w:tc>
        <w:tc>
          <w:tcPr>
            <w:tcW w:w="620" w:type="dxa"/>
            <w:vAlign w:val="bottom"/>
            <w:gridSpan w:val="2"/>
            <w:shd w:val="clear" w:color="auto" w:fill="E8E8E8"/>
          </w:tcPr>
          <w:p>
            <w:pPr>
              <w:jc w:val="right"/>
              <w:ind w:right="18"/>
              <w:spacing w:after="0"/>
              <w:rPr>
                <w:sz w:val="20"/>
                <w:szCs w:val="20"/>
                <w:color w:val="auto"/>
              </w:rPr>
            </w:pPr>
            <w:r>
              <w:rPr>
                <w:rFonts w:ascii="Arial" w:cs="Arial" w:eastAsia="Arial" w:hAnsi="Arial"/>
                <w:sz w:val="12"/>
                <w:szCs w:val="12"/>
                <w:color w:val="auto"/>
              </w:rPr>
              <w:t>9,698</w:t>
            </w:r>
          </w:p>
        </w:tc>
        <w:tc>
          <w:tcPr>
            <w:tcW w:w="360" w:type="dxa"/>
            <w:vAlign w:val="bottom"/>
            <w:shd w:val="clear" w:color="auto" w:fill="E8E8E8"/>
          </w:tcPr>
          <w:p>
            <w:pPr>
              <w:ind w:left="40"/>
              <w:spacing w:after="0"/>
              <w:rPr>
                <w:sz w:val="20"/>
                <w:szCs w:val="20"/>
                <w:color w:val="auto"/>
              </w:rPr>
            </w:pPr>
            <w:r>
              <w:rPr>
                <w:rFonts w:ascii="Arial" w:cs="Arial" w:eastAsia="Arial" w:hAnsi="Arial"/>
                <w:sz w:val="12"/>
                <w:szCs w:val="12"/>
                <w:color w:val="auto"/>
              </w:rPr>
              <w:t>(8)</w:t>
            </w:r>
          </w:p>
        </w:tc>
        <w:tc>
          <w:tcPr>
            <w:tcW w:w="160" w:type="dxa"/>
            <w:vAlign w:val="bottom"/>
            <w:shd w:val="clear" w:color="auto" w:fill="E8E8E8"/>
          </w:tcPr>
          <w:p>
            <w:pPr>
              <w:ind w:left="8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E8E8E8"/>
          </w:tcPr>
          <w:p>
            <w:pPr>
              <w:jc w:val="right"/>
              <w:ind w:right="97"/>
              <w:spacing w:after="0"/>
              <w:rPr>
                <w:sz w:val="20"/>
                <w:szCs w:val="20"/>
                <w:color w:val="auto"/>
              </w:rPr>
            </w:pPr>
            <w:r>
              <w:rPr>
                <w:rFonts w:ascii="Arial" w:cs="Arial" w:eastAsia="Arial" w:hAnsi="Arial"/>
                <w:sz w:val="12"/>
                <w:szCs w:val="12"/>
                <w:color w:val="auto"/>
              </w:rPr>
              <w:t>1,552,553</w:t>
            </w:r>
          </w:p>
        </w:tc>
        <w:tc>
          <w:tcPr>
            <w:tcW w:w="680" w:type="dxa"/>
            <w:vAlign w:val="bottom"/>
            <w:shd w:val="clear" w:color="auto" w:fill="E8E8E8"/>
          </w:tcPr>
          <w:p>
            <w:pPr>
              <w:jc w:val="right"/>
              <w:ind w:right="78"/>
              <w:spacing w:after="0"/>
              <w:rPr>
                <w:sz w:val="20"/>
                <w:szCs w:val="20"/>
                <w:color w:val="auto"/>
              </w:rPr>
            </w:pPr>
            <w:r>
              <w:rPr>
                <w:rFonts w:ascii="Arial" w:cs="Arial" w:eastAsia="Arial" w:hAnsi="Arial"/>
                <w:sz w:val="12"/>
                <w:szCs w:val="12"/>
                <w:color w:val="auto"/>
              </w:rPr>
              <w:t>—</w:t>
            </w:r>
          </w:p>
        </w:tc>
        <w:tc>
          <w:tcPr>
            <w:tcW w:w="280" w:type="dxa"/>
            <w:vAlign w:val="bottom"/>
            <w:shd w:val="clear" w:color="auto" w:fill="E8E8E8"/>
          </w:tcPr>
          <w:p>
            <w:pPr>
              <w:spacing w:after="0"/>
              <w:rPr>
                <w:sz w:val="16"/>
                <w:szCs w:val="16"/>
                <w:color w:val="auto"/>
              </w:rPr>
            </w:pPr>
          </w:p>
        </w:tc>
        <w:tc>
          <w:tcPr>
            <w:tcW w:w="220" w:type="dxa"/>
            <w:vAlign w:val="bottom"/>
            <w:shd w:val="clear" w:color="auto" w:fill="E8E8E8"/>
          </w:tcPr>
          <w:p>
            <w:pPr>
              <w:ind w:left="80"/>
              <w:spacing w:after="0"/>
              <w:rPr>
                <w:sz w:val="20"/>
                <w:szCs w:val="20"/>
                <w:color w:val="auto"/>
              </w:rPr>
            </w:pPr>
            <w:r>
              <w:rPr>
                <w:rFonts w:ascii="Arial" w:cs="Arial" w:eastAsia="Arial" w:hAnsi="Arial"/>
                <w:sz w:val="12"/>
                <w:szCs w:val="12"/>
                <w:color w:val="auto"/>
              </w:rPr>
              <w:t>$</w:t>
            </w:r>
          </w:p>
        </w:tc>
        <w:tc>
          <w:tcPr>
            <w:tcW w:w="180" w:type="dxa"/>
            <w:vAlign w:val="bottom"/>
            <w:shd w:val="clear" w:color="auto" w:fill="E8E8E8"/>
          </w:tcPr>
          <w:p>
            <w:pPr>
              <w:spacing w:after="0"/>
              <w:rPr>
                <w:sz w:val="16"/>
                <w:szCs w:val="16"/>
                <w:color w:val="auto"/>
              </w:rPr>
            </w:pPr>
          </w:p>
        </w:tc>
        <w:tc>
          <w:tcPr>
            <w:tcW w:w="20" w:type="dxa"/>
            <w:vAlign w:val="bottom"/>
            <w:shd w:val="clear" w:color="auto" w:fill="E8E8E8"/>
          </w:tcPr>
          <w:p>
            <w:pPr>
              <w:spacing w:after="0"/>
              <w:rPr>
                <w:sz w:val="16"/>
                <w:szCs w:val="16"/>
                <w:color w:val="auto"/>
              </w:rPr>
            </w:pPr>
          </w:p>
        </w:tc>
        <w:tc>
          <w:tcPr>
            <w:tcW w:w="520" w:type="dxa"/>
            <w:vAlign w:val="bottom"/>
            <w:gridSpan w:val="2"/>
            <w:shd w:val="clear" w:color="auto" w:fill="E8E8E8"/>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7"/>
        </w:trPr>
        <w:tc>
          <w:tcPr>
            <w:tcW w:w="2400" w:type="dxa"/>
            <w:vAlign w:val="bottom"/>
            <w:shd w:val="clear" w:color="auto" w:fill="E8E8E8"/>
          </w:tcPr>
          <w:p>
            <w:pPr>
              <w:spacing w:after="0"/>
              <w:rPr>
                <w:sz w:val="16"/>
                <w:szCs w:val="16"/>
                <w:color w:val="auto"/>
              </w:rPr>
            </w:pPr>
          </w:p>
        </w:tc>
        <w:tc>
          <w:tcPr>
            <w:tcW w:w="1140" w:type="dxa"/>
            <w:vAlign w:val="bottom"/>
            <w:shd w:val="clear" w:color="auto" w:fill="E8E8E8"/>
          </w:tcPr>
          <w:p>
            <w:pPr>
              <w:spacing w:after="0"/>
              <w:rPr>
                <w:sz w:val="16"/>
                <w:szCs w:val="16"/>
                <w:color w:val="auto"/>
              </w:rPr>
            </w:pPr>
          </w:p>
        </w:tc>
        <w:tc>
          <w:tcPr>
            <w:tcW w:w="78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140" w:type="dxa"/>
            <w:vAlign w:val="bottom"/>
            <w:shd w:val="clear" w:color="auto" w:fill="E8E8E8"/>
          </w:tcPr>
          <w:p>
            <w:pPr>
              <w:spacing w:after="0"/>
              <w:rPr>
                <w:sz w:val="16"/>
                <w:szCs w:val="16"/>
                <w:color w:val="auto"/>
              </w:rPr>
            </w:pPr>
          </w:p>
        </w:tc>
        <w:tc>
          <w:tcPr>
            <w:tcW w:w="54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360" w:type="dxa"/>
            <w:vAlign w:val="bottom"/>
            <w:shd w:val="clear" w:color="auto" w:fill="E8E8E8"/>
          </w:tcPr>
          <w:p>
            <w:pPr>
              <w:spacing w:after="0"/>
              <w:rPr>
                <w:sz w:val="16"/>
                <w:szCs w:val="16"/>
                <w:color w:val="auto"/>
              </w:rPr>
            </w:pPr>
          </w:p>
        </w:tc>
        <w:tc>
          <w:tcPr>
            <w:tcW w:w="180" w:type="dxa"/>
            <w:vAlign w:val="bottom"/>
            <w:shd w:val="clear" w:color="auto" w:fill="E8E8E8"/>
          </w:tcPr>
          <w:p>
            <w:pPr>
              <w:ind w:left="100"/>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E8E8E8"/>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E8E8E8"/>
          </w:tcPr>
          <w:p>
            <w:pPr>
              <w:spacing w:after="0"/>
              <w:rPr>
                <w:sz w:val="16"/>
                <w:szCs w:val="16"/>
                <w:color w:val="auto"/>
              </w:rPr>
            </w:pPr>
          </w:p>
        </w:tc>
        <w:tc>
          <w:tcPr>
            <w:tcW w:w="100" w:type="dxa"/>
            <w:vAlign w:val="bottom"/>
            <w:shd w:val="clear" w:color="auto" w:fill="E8E8E8"/>
          </w:tcPr>
          <w:p>
            <w:pPr>
              <w:spacing w:after="0"/>
              <w:rPr>
                <w:sz w:val="16"/>
                <w:szCs w:val="16"/>
                <w:color w:val="auto"/>
              </w:rPr>
            </w:pPr>
          </w:p>
        </w:tc>
        <w:tc>
          <w:tcPr>
            <w:tcW w:w="200" w:type="dxa"/>
            <w:vAlign w:val="bottom"/>
            <w:shd w:val="clear" w:color="auto" w:fill="E8E8E8"/>
          </w:tcPr>
          <w:p>
            <w:pPr>
              <w:spacing w:after="0"/>
              <w:rPr>
                <w:sz w:val="16"/>
                <w:szCs w:val="16"/>
                <w:color w:val="auto"/>
              </w:rPr>
            </w:pPr>
          </w:p>
        </w:tc>
        <w:tc>
          <w:tcPr>
            <w:tcW w:w="620" w:type="dxa"/>
            <w:vAlign w:val="bottom"/>
            <w:gridSpan w:val="2"/>
            <w:shd w:val="clear" w:color="auto" w:fill="E8E8E8"/>
          </w:tcPr>
          <w:p>
            <w:pPr>
              <w:jc w:val="right"/>
              <w:ind w:right="18"/>
              <w:spacing w:after="0"/>
              <w:rPr>
                <w:sz w:val="20"/>
                <w:szCs w:val="20"/>
                <w:color w:val="auto"/>
              </w:rPr>
            </w:pPr>
            <w:r>
              <w:rPr>
                <w:rFonts w:ascii="Arial" w:cs="Arial" w:eastAsia="Arial" w:hAnsi="Arial"/>
                <w:sz w:val="12"/>
                <w:szCs w:val="12"/>
                <w:color w:val="auto"/>
              </w:rPr>
              <w:t>14,743</w:t>
            </w:r>
          </w:p>
        </w:tc>
        <w:tc>
          <w:tcPr>
            <w:tcW w:w="360" w:type="dxa"/>
            <w:vAlign w:val="bottom"/>
            <w:shd w:val="clear" w:color="auto" w:fill="E8E8E8"/>
          </w:tcPr>
          <w:p>
            <w:pPr>
              <w:ind w:left="40"/>
              <w:spacing w:after="0"/>
              <w:rPr>
                <w:sz w:val="20"/>
                <w:szCs w:val="20"/>
                <w:color w:val="auto"/>
              </w:rPr>
            </w:pPr>
            <w:r>
              <w:rPr>
                <w:rFonts w:ascii="Arial" w:cs="Arial" w:eastAsia="Arial" w:hAnsi="Arial"/>
                <w:sz w:val="12"/>
                <w:szCs w:val="12"/>
                <w:color w:val="auto"/>
              </w:rPr>
              <w:t>(9)</w:t>
            </w:r>
          </w:p>
        </w:tc>
        <w:tc>
          <w:tcPr>
            <w:tcW w:w="160" w:type="dxa"/>
            <w:vAlign w:val="bottom"/>
            <w:shd w:val="clear" w:color="auto" w:fill="E8E8E8"/>
          </w:tcPr>
          <w:p>
            <w:pPr>
              <w:ind w:left="8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E8E8E8"/>
          </w:tcPr>
          <w:p>
            <w:pPr>
              <w:jc w:val="right"/>
              <w:ind w:right="97"/>
              <w:spacing w:after="0"/>
              <w:rPr>
                <w:sz w:val="20"/>
                <w:szCs w:val="20"/>
                <w:color w:val="auto"/>
              </w:rPr>
            </w:pPr>
            <w:r>
              <w:rPr>
                <w:rFonts w:ascii="Arial" w:cs="Arial" w:eastAsia="Arial" w:hAnsi="Arial"/>
                <w:sz w:val="12"/>
                <w:szCs w:val="12"/>
                <w:color w:val="auto"/>
              </w:rPr>
              <w:t>2,360,207</w:t>
            </w:r>
          </w:p>
        </w:tc>
        <w:tc>
          <w:tcPr>
            <w:tcW w:w="680" w:type="dxa"/>
            <w:vAlign w:val="bottom"/>
            <w:shd w:val="clear" w:color="auto" w:fill="E8E8E8"/>
          </w:tcPr>
          <w:p>
            <w:pPr>
              <w:jc w:val="right"/>
              <w:ind w:right="78"/>
              <w:spacing w:after="0"/>
              <w:rPr>
                <w:sz w:val="20"/>
                <w:szCs w:val="20"/>
                <w:color w:val="auto"/>
              </w:rPr>
            </w:pPr>
            <w:r>
              <w:rPr>
                <w:rFonts w:ascii="Arial" w:cs="Arial" w:eastAsia="Arial" w:hAnsi="Arial"/>
                <w:sz w:val="12"/>
                <w:szCs w:val="12"/>
                <w:color w:val="auto"/>
              </w:rPr>
              <w:t>—</w:t>
            </w:r>
          </w:p>
        </w:tc>
        <w:tc>
          <w:tcPr>
            <w:tcW w:w="280" w:type="dxa"/>
            <w:vAlign w:val="bottom"/>
            <w:shd w:val="clear" w:color="auto" w:fill="E8E8E8"/>
          </w:tcPr>
          <w:p>
            <w:pPr>
              <w:spacing w:after="0"/>
              <w:rPr>
                <w:sz w:val="16"/>
                <w:szCs w:val="16"/>
                <w:color w:val="auto"/>
              </w:rPr>
            </w:pPr>
          </w:p>
        </w:tc>
        <w:tc>
          <w:tcPr>
            <w:tcW w:w="220" w:type="dxa"/>
            <w:vAlign w:val="bottom"/>
            <w:shd w:val="clear" w:color="auto" w:fill="E8E8E8"/>
          </w:tcPr>
          <w:p>
            <w:pPr>
              <w:ind w:left="80"/>
              <w:spacing w:after="0"/>
              <w:rPr>
                <w:sz w:val="20"/>
                <w:szCs w:val="20"/>
                <w:color w:val="auto"/>
              </w:rPr>
            </w:pPr>
            <w:r>
              <w:rPr>
                <w:rFonts w:ascii="Arial" w:cs="Arial" w:eastAsia="Arial" w:hAnsi="Arial"/>
                <w:sz w:val="12"/>
                <w:szCs w:val="12"/>
                <w:color w:val="auto"/>
              </w:rPr>
              <w:t>$</w:t>
            </w:r>
          </w:p>
        </w:tc>
        <w:tc>
          <w:tcPr>
            <w:tcW w:w="180" w:type="dxa"/>
            <w:vAlign w:val="bottom"/>
            <w:shd w:val="clear" w:color="auto" w:fill="E8E8E8"/>
          </w:tcPr>
          <w:p>
            <w:pPr>
              <w:spacing w:after="0"/>
              <w:rPr>
                <w:sz w:val="16"/>
                <w:szCs w:val="16"/>
                <w:color w:val="auto"/>
              </w:rPr>
            </w:pPr>
          </w:p>
        </w:tc>
        <w:tc>
          <w:tcPr>
            <w:tcW w:w="20" w:type="dxa"/>
            <w:vAlign w:val="bottom"/>
            <w:shd w:val="clear" w:color="auto" w:fill="E8E8E8"/>
          </w:tcPr>
          <w:p>
            <w:pPr>
              <w:spacing w:after="0"/>
              <w:rPr>
                <w:sz w:val="16"/>
                <w:szCs w:val="16"/>
                <w:color w:val="auto"/>
              </w:rPr>
            </w:pPr>
          </w:p>
        </w:tc>
        <w:tc>
          <w:tcPr>
            <w:tcW w:w="520" w:type="dxa"/>
            <w:vAlign w:val="bottom"/>
            <w:gridSpan w:val="2"/>
            <w:shd w:val="clear" w:color="auto" w:fill="E8E8E8"/>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7"/>
        </w:trPr>
        <w:tc>
          <w:tcPr>
            <w:tcW w:w="2400" w:type="dxa"/>
            <w:vAlign w:val="bottom"/>
            <w:shd w:val="clear" w:color="auto" w:fill="E8E8E8"/>
          </w:tcPr>
          <w:p>
            <w:pPr>
              <w:spacing w:after="0"/>
              <w:rPr>
                <w:sz w:val="16"/>
                <w:szCs w:val="16"/>
                <w:color w:val="auto"/>
              </w:rPr>
            </w:pPr>
          </w:p>
        </w:tc>
        <w:tc>
          <w:tcPr>
            <w:tcW w:w="1140" w:type="dxa"/>
            <w:vAlign w:val="bottom"/>
            <w:shd w:val="clear" w:color="auto" w:fill="E8E8E8"/>
          </w:tcPr>
          <w:p>
            <w:pPr>
              <w:spacing w:after="0"/>
              <w:rPr>
                <w:sz w:val="16"/>
                <w:szCs w:val="16"/>
                <w:color w:val="auto"/>
              </w:rPr>
            </w:pPr>
          </w:p>
        </w:tc>
        <w:tc>
          <w:tcPr>
            <w:tcW w:w="78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140" w:type="dxa"/>
            <w:vAlign w:val="bottom"/>
            <w:shd w:val="clear" w:color="auto" w:fill="E8E8E8"/>
          </w:tcPr>
          <w:p>
            <w:pPr>
              <w:spacing w:after="0"/>
              <w:rPr>
                <w:sz w:val="16"/>
                <w:szCs w:val="16"/>
                <w:color w:val="auto"/>
              </w:rPr>
            </w:pPr>
          </w:p>
        </w:tc>
        <w:tc>
          <w:tcPr>
            <w:tcW w:w="54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360" w:type="dxa"/>
            <w:vAlign w:val="bottom"/>
            <w:shd w:val="clear" w:color="auto" w:fill="E8E8E8"/>
          </w:tcPr>
          <w:p>
            <w:pPr>
              <w:spacing w:after="0"/>
              <w:rPr>
                <w:sz w:val="16"/>
                <w:szCs w:val="16"/>
                <w:color w:val="auto"/>
              </w:rPr>
            </w:pPr>
          </w:p>
        </w:tc>
        <w:tc>
          <w:tcPr>
            <w:tcW w:w="180" w:type="dxa"/>
            <w:vAlign w:val="bottom"/>
            <w:shd w:val="clear" w:color="auto" w:fill="E8E8E8"/>
          </w:tcPr>
          <w:p>
            <w:pPr>
              <w:ind w:left="100"/>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E8E8E8"/>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E8E8E8"/>
          </w:tcPr>
          <w:p>
            <w:pPr>
              <w:spacing w:after="0"/>
              <w:rPr>
                <w:sz w:val="16"/>
                <w:szCs w:val="16"/>
                <w:color w:val="auto"/>
              </w:rPr>
            </w:pPr>
          </w:p>
        </w:tc>
        <w:tc>
          <w:tcPr>
            <w:tcW w:w="100" w:type="dxa"/>
            <w:vAlign w:val="bottom"/>
            <w:shd w:val="clear" w:color="auto" w:fill="E8E8E8"/>
          </w:tcPr>
          <w:p>
            <w:pPr>
              <w:spacing w:after="0"/>
              <w:rPr>
                <w:sz w:val="16"/>
                <w:szCs w:val="16"/>
                <w:color w:val="auto"/>
              </w:rPr>
            </w:pPr>
          </w:p>
        </w:tc>
        <w:tc>
          <w:tcPr>
            <w:tcW w:w="200" w:type="dxa"/>
            <w:vAlign w:val="bottom"/>
            <w:shd w:val="clear" w:color="auto" w:fill="E8E8E8"/>
          </w:tcPr>
          <w:p>
            <w:pPr>
              <w:spacing w:after="0"/>
              <w:rPr>
                <w:sz w:val="16"/>
                <w:szCs w:val="16"/>
                <w:color w:val="auto"/>
              </w:rPr>
            </w:pPr>
          </w:p>
        </w:tc>
        <w:tc>
          <w:tcPr>
            <w:tcW w:w="620" w:type="dxa"/>
            <w:vAlign w:val="bottom"/>
            <w:gridSpan w:val="2"/>
            <w:shd w:val="clear" w:color="auto" w:fill="E8E8E8"/>
          </w:tcPr>
          <w:p>
            <w:pPr>
              <w:jc w:val="right"/>
              <w:ind w:right="18"/>
              <w:spacing w:after="0"/>
              <w:rPr>
                <w:sz w:val="20"/>
                <w:szCs w:val="20"/>
                <w:color w:val="auto"/>
              </w:rPr>
            </w:pPr>
            <w:r>
              <w:rPr>
                <w:rFonts w:ascii="Arial" w:cs="Arial" w:eastAsia="Arial" w:hAnsi="Arial"/>
                <w:sz w:val="12"/>
                <w:szCs w:val="12"/>
                <w:color w:val="auto"/>
              </w:rPr>
              <w:t>45,856</w:t>
            </w:r>
          </w:p>
        </w:tc>
        <w:tc>
          <w:tcPr>
            <w:tcW w:w="360" w:type="dxa"/>
            <w:vAlign w:val="bottom"/>
            <w:shd w:val="clear" w:color="auto" w:fill="E8E8E8"/>
          </w:tcPr>
          <w:p>
            <w:pPr>
              <w:ind w:left="40"/>
              <w:spacing w:after="0"/>
              <w:rPr>
                <w:sz w:val="20"/>
                <w:szCs w:val="20"/>
                <w:color w:val="auto"/>
              </w:rPr>
            </w:pPr>
            <w:r>
              <w:rPr>
                <w:rFonts w:ascii="Arial" w:cs="Arial" w:eastAsia="Arial" w:hAnsi="Arial"/>
                <w:sz w:val="12"/>
                <w:szCs w:val="12"/>
                <w:color w:val="auto"/>
              </w:rPr>
              <w:t>(10)</w:t>
            </w:r>
          </w:p>
        </w:tc>
        <w:tc>
          <w:tcPr>
            <w:tcW w:w="160" w:type="dxa"/>
            <w:vAlign w:val="bottom"/>
            <w:shd w:val="clear" w:color="auto" w:fill="E8E8E8"/>
          </w:tcPr>
          <w:p>
            <w:pPr>
              <w:ind w:left="8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E8E8E8"/>
          </w:tcPr>
          <w:p>
            <w:pPr>
              <w:jc w:val="right"/>
              <w:ind w:right="97"/>
              <w:spacing w:after="0"/>
              <w:rPr>
                <w:sz w:val="20"/>
                <w:szCs w:val="20"/>
                <w:color w:val="auto"/>
              </w:rPr>
            </w:pPr>
            <w:r>
              <w:rPr>
                <w:rFonts w:ascii="Arial" w:cs="Arial" w:eastAsia="Arial" w:hAnsi="Arial"/>
                <w:sz w:val="12"/>
                <w:szCs w:val="12"/>
                <w:color w:val="auto"/>
              </w:rPr>
              <w:t>7,341,087</w:t>
            </w:r>
          </w:p>
        </w:tc>
        <w:tc>
          <w:tcPr>
            <w:tcW w:w="680" w:type="dxa"/>
            <w:vAlign w:val="bottom"/>
            <w:shd w:val="clear" w:color="auto" w:fill="E8E8E8"/>
          </w:tcPr>
          <w:p>
            <w:pPr>
              <w:jc w:val="right"/>
              <w:ind w:right="78"/>
              <w:spacing w:after="0"/>
              <w:rPr>
                <w:sz w:val="20"/>
                <w:szCs w:val="20"/>
                <w:color w:val="auto"/>
              </w:rPr>
            </w:pPr>
            <w:r>
              <w:rPr>
                <w:rFonts w:ascii="Arial" w:cs="Arial" w:eastAsia="Arial" w:hAnsi="Arial"/>
                <w:sz w:val="12"/>
                <w:szCs w:val="12"/>
                <w:color w:val="auto"/>
              </w:rPr>
              <w:t>—</w:t>
            </w:r>
          </w:p>
        </w:tc>
        <w:tc>
          <w:tcPr>
            <w:tcW w:w="280" w:type="dxa"/>
            <w:vAlign w:val="bottom"/>
            <w:shd w:val="clear" w:color="auto" w:fill="E8E8E8"/>
          </w:tcPr>
          <w:p>
            <w:pPr>
              <w:spacing w:after="0"/>
              <w:rPr>
                <w:sz w:val="16"/>
                <w:szCs w:val="16"/>
                <w:color w:val="auto"/>
              </w:rPr>
            </w:pPr>
          </w:p>
        </w:tc>
        <w:tc>
          <w:tcPr>
            <w:tcW w:w="220" w:type="dxa"/>
            <w:vAlign w:val="bottom"/>
            <w:shd w:val="clear" w:color="auto" w:fill="E8E8E8"/>
          </w:tcPr>
          <w:p>
            <w:pPr>
              <w:ind w:left="80"/>
              <w:spacing w:after="0"/>
              <w:rPr>
                <w:sz w:val="20"/>
                <w:szCs w:val="20"/>
                <w:color w:val="auto"/>
              </w:rPr>
            </w:pPr>
            <w:r>
              <w:rPr>
                <w:rFonts w:ascii="Arial" w:cs="Arial" w:eastAsia="Arial" w:hAnsi="Arial"/>
                <w:sz w:val="12"/>
                <w:szCs w:val="12"/>
                <w:color w:val="auto"/>
              </w:rPr>
              <w:t>$</w:t>
            </w:r>
          </w:p>
        </w:tc>
        <w:tc>
          <w:tcPr>
            <w:tcW w:w="180" w:type="dxa"/>
            <w:vAlign w:val="bottom"/>
            <w:shd w:val="clear" w:color="auto" w:fill="E8E8E8"/>
          </w:tcPr>
          <w:p>
            <w:pPr>
              <w:spacing w:after="0"/>
              <w:rPr>
                <w:sz w:val="16"/>
                <w:szCs w:val="16"/>
                <w:color w:val="auto"/>
              </w:rPr>
            </w:pPr>
          </w:p>
        </w:tc>
        <w:tc>
          <w:tcPr>
            <w:tcW w:w="20" w:type="dxa"/>
            <w:vAlign w:val="bottom"/>
            <w:shd w:val="clear" w:color="auto" w:fill="E8E8E8"/>
          </w:tcPr>
          <w:p>
            <w:pPr>
              <w:spacing w:after="0"/>
              <w:rPr>
                <w:sz w:val="16"/>
                <w:szCs w:val="16"/>
                <w:color w:val="auto"/>
              </w:rPr>
            </w:pPr>
          </w:p>
        </w:tc>
        <w:tc>
          <w:tcPr>
            <w:tcW w:w="520" w:type="dxa"/>
            <w:vAlign w:val="bottom"/>
            <w:gridSpan w:val="2"/>
            <w:shd w:val="clear" w:color="auto" w:fill="E8E8E8"/>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7"/>
        </w:trPr>
        <w:tc>
          <w:tcPr>
            <w:tcW w:w="2400" w:type="dxa"/>
            <w:vAlign w:val="bottom"/>
            <w:shd w:val="clear" w:color="auto" w:fill="E8E8E8"/>
          </w:tcPr>
          <w:p>
            <w:pPr>
              <w:spacing w:after="0"/>
              <w:rPr>
                <w:sz w:val="16"/>
                <w:szCs w:val="16"/>
                <w:color w:val="auto"/>
              </w:rPr>
            </w:pPr>
          </w:p>
        </w:tc>
        <w:tc>
          <w:tcPr>
            <w:tcW w:w="1140" w:type="dxa"/>
            <w:vAlign w:val="bottom"/>
            <w:shd w:val="clear" w:color="auto" w:fill="E8E8E8"/>
          </w:tcPr>
          <w:p>
            <w:pPr>
              <w:spacing w:after="0"/>
              <w:rPr>
                <w:sz w:val="16"/>
                <w:szCs w:val="16"/>
                <w:color w:val="auto"/>
              </w:rPr>
            </w:pPr>
          </w:p>
        </w:tc>
        <w:tc>
          <w:tcPr>
            <w:tcW w:w="78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140" w:type="dxa"/>
            <w:vAlign w:val="bottom"/>
            <w:shd w:val="clear" w:color="auto" w:fill="E8E8E8"/>
          </w:tcPr>
          <w:p>
            <w:pPr>
              <w:spacing w:after="0"/>
              <w:rPr>
                <w:sz w:val="16"/>
                <w:szCs w:val="16"/>
                <w:color w:val="auto"/>
              </w:rPr>
            </w:pPr>
          </w:p>
        </w:tc>
        <w:tc>
          <w:tcPr>
            <w:tcW w:w="54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360" w:type="dxa"/>
            <w:vAlign w:val="bottom"/>
            <w:shd w:val="clear" w:color="auto" w:fill="E8E8E8"/>
          </w:tcPr>
          <w:p>
            <w:pPr>
              <w:spacing w:after="0"/>
              <w:rPr>
                <w:sz w:val="16"/>
                <w:szCs w:val="16"/>
                <w:color w:val="auto"/>
              </w:rPr>
            </w:pPr>
          </w:p>
        </w:tc>
        <w:tc>
          <w:tcPr>
            <w:tcW w:w="180" w:type="dxa"/>
            <w:vAlign w:val="bottom"/>
            <w:shd w:val="clear" w:color="auto" w:fill="E8E8E8"/>
          </w:tcPr>
          <w:p>
            <w:pPr>
              <w:ind w:left="100"/>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E8E8E8"/>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E8E8E8"/>
          </w:tcPr>
          <w:p>
            <w:pPr>
              <w:spacing w:after="0"/>
              <w:rPr>
                <w:sz w:val="16"/>
                <w:szCs w:val="16"/>
                <w:color w:val="auto"/>
              </w:rPr>
            </w:pPr>
          </w:p>
        </w:tc>
        <w:tc>
          <w:tcPr>
            <w:tcW w:w="100" w:type="dxa"/>
            <w:vAlign w:val="bottom"/>
            <w:shd w:val="clear" w:color="auto" w:fill="E8E8E8"/>
          </w:tcPr>
          <w:p>
            <w:pPr>
              <w:spacing w:after="0"/>
              <w:rPr>
                <w:sz w:val="16"/>
                <w:szCs w:val="16"/>
                <w:color w:val="auto"/>
              </w:rPr>
            </w:pPr>
          </w:p>
        </w:tc>
        <w:tc>
          <w:tcPr>
            <w:tcW w:w="200" w:type="dxa"/>
            <w:vAlign w:val="bottom"/>
            <w:shd w:val="clear" w:color="auto" w:fill="E8E8E8"/>
          </w:tcPr>
          <w:p>
            <w:pPr>
              <w:spacing w:after="0"/>
              <w:rPr>
                <w:sz w:val="16"/>
                <w:szCs w:val="16"/>
                <w:color w:val="auto"/>
              </w:rPr>
            </w:pPr>
          </w:p>
        </w:tc>
        <w:tc>
          <w:tcPr>
            <w:tcW w:w="120" w:type="dxa"/>
            <w:vAlign w:val="bottom"/>
            <w:shd w:val="clear" w:color="auto" w:fill="E8E8E8"/>
          </w:tcPr>
          <w:p>
            <w:pPr>
              <w:spacing w:after="0"/>
              <w:rPr>
                <w:sz w:val="16"/>
                <w:szCs w:val="16"/>
                <w:color w:val="auto"/>
              </w:rPr>
            </w:pPr>
          </w:p>
        </w:tc>
        <w:tc>
          <w:tcPr>
            <w:tcW w:w="50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360" w:type="dxa"/>
            <w:vAlign w:val="bottom"/>
            <w:shd w:val="clear" w:color="auto" w:fill="E8E8E8"/>
          </w:tcPr>
          <w:p>
            <w:pPr>
              <w:spacing w:after="0"/>
              <w:rPr>
                <w:sz w:val="16"/>
                <w:szCs w:val="16"/>
                <w:color w:val="auto"/>
              </w:rPr>
            </w:pPr>
          </w:p>
        </w:tc>
        <w:tc>
          <w:tcPr>
            <w:tcW w:w="160" w:type="dxa"/>
            <w:vAlign w:val="bottom"/>
            <w:shd w:val="clear" w:color="auto" w:fill="E8E8E8"/>
          </w:tcPr>
          <w:p>
            <w:pPr>
              <w:ind w:left="8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E8E8E8"/>
          </w:tcPr>
          <w:p>
            <w:pPr>
              <w:jc w:val="right"/>
              <w:ind w:right="97"/>
              <w:spacing w:after="0"/>
              <w:rPr>
                <w:sz w:val="20"/>
                <w:szCs w:val="20"/>
                <w:color w:val="auto"/>
              </w:rPr>
            </w:pPr>
            <w:r>
              <w:rPr>
                <w:rFonts w:ascii="Arial" w:cs="Arial" w:eastAsia="Arial" w:hAnsi="Arial"/>
                <w:sz w:val="12"/>
                <w:szCs w:val="12"/>
                <w:color w:val="auto"/>
              </w:rPr>
              <w:t>—</w:t>
            </w:r>
          </w:p>
        </w:tc>
        <w:tc>
          <w:tcPr>
            <w:tcW w:w="680" w:type="dxa"/>
            <w:vAlign w:val="bottom"/>
            <w:shd w:val="clear" w:color="auto" w:fill="E8E8E8"/>
          </w:tcPr>
          <w:p>
            <w:pPr>
              <w:jc w:val="right"/>
              <w:ind w:right="58"/>
              <w:spacing w:after="0"/>
              <w:rPr>
                <w:sz w:val="20"/>
                <w:szCs w:val="20"/>
                <w:color w:val="auto"/>
              </w:rPr>
            </w:pPr>
            <w:r>
              <w:rPr>
                <w:rFonts w:ascii="Arial" w:cs="Arial" w:eastAsia="Arial" w:hAnsi="Arial"/>
                <w:sz w:val="12"/>
                <w:szCs w:val="12"/>
                <w:color w:val="auto"/>
              </w:rPr>
              <w:t>67,888</w:t>
            </w:r>
          </w:p>
        </w:tc>
        <w:tc>
          <w:tcPr>
            <w:tcW w:w="28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w w:val="84"/>
              </w:rPr>
              <w:t>(11)</w:t>
            </w:r>
          </w:p>
        </w:tc>
        <w:tc>
          <w:tcPr>
            <w:tcW w:w="220" w:type="dxa"/>
            <w:vAlign w:val="bottom"/>
            <w:shd w:val="clear" w:color="auto" w:fill="E8E8E8"/>
          </w:tcPr>
          <w:p>
            <w:pPr>
              <w:ind w:left="80"/>
              <w:spacing w:after="0"/>
              <w:rPr>
                <w:sz w:val="20"/>
                <w:szCs w:val="20"/>
                <w:color w:val="auto"/>
              </w:rPr>
            </w:pPr>
            <w:r>
              <w:rPr>
                <w:rFonts w:ascii="Arial" w:cs="Arial" w:eastAsia="Arial" w:hAnsi="Arial"/>
                <w:sz w:val="12"/>
                <w:szCs w:val="12"/>
                <w:color w:val="auto"/>
              </w:rPr>
              <w:t>$</w:t>
            </w:r>
          </w:p>
        </w:tc>
        <w:tc>
          <w:tcPr>
            <w:tcW w:w="720" w:type="dxa"/>
            <w:vAlign w:val="bottom"/>
            <w:gridSpan w:val="4"/>
            <w:shd w:val="clear" w:color="auto" w:fill="E8E8E8"/>
          </w:tcPr>
          <w:p>
            <w:pPr>
              <w:jc w:val="right"/>
              <w:ind w:right="100"/>
              <w:spacing w:after="0"/>
              <w:rPr>
                <w:sz w:val="20"/>
                <w:szCs w:val="20"/>
                <w:color w:val="auto"/>
              </w:rPr>
            </w:pPr>
            <w:r>
              <w:rPr>
                <w:rFonts w:ascii="Arial" w:cs="Arial" w:eastAsia="Arial" w:hAnsi="Arial"/>
                <w:sz w:val="12"/>
                <w:szCs w:val="12"/>
                <w:color w:val="auto"/>
                <w:w w:val="99"/>
              </w:rPr>
              <w:t>10,868,190</w:t>
            </w:r>
          </w:p>
        </w:tc>
        <w:tc>
          <w:tcPr>
            <w:tcW w:w="0" w:type="dxa"/>
            <w:vAlign w:val="bottom"/>
          </w:tcPr>
          <w:p>
            <w:pPr>
              <w:spacing w:after="0"/>
              <w:rPr>
                <w:sz w:val="1"/>
                <w:szCs w:val="1"/>
                <w:color w:val="auto"/>
              </w:rPr>
            </w:pPr>
          </w:p>
        </w:tc>
      </w:tr>
      <w:tr>
        <w:trPr>
          <w:trHeight w:val="227"/>
        </w:trPr>
        <w:tc>
          <w:tcPr>
            <w:tcW w:w="2400" w:type="dxa"/>
            <w:vAlign w:val="bottom"/>
            <w:shd w:val="clear" w:color="auto" w:fill="E8E8E8"/>
          </w:tcPr>
          <w:p>
            <w:pPr>
              <w:spacing w:after="0"/>
              <w:rPr>
                <w:sz w:val="19"/>
                <w:szCs w:val="19"/>
                <w:color w:val="auto"/>
              </w:rPr>
            </w:pPr>
          </w:p>
        </w:tc>
        <w:tc>
          <w:tcPr>
            <w:tcW w:w="1140" w:type="dxa"/>
            <w:vAlign w:val="bottom"/>
            <w:shd w:val="clear" w:color="auto" w:fill="E8E8E8"/>
          </w:tcPr>
          <w:p>
            <w:pPr>
              <w:spacing w:after="0"/>
              <w:rPr>
                <w:sz w:val="19"/>
                <w:szCs w:val="19"/>
                <w:color w:val="auto"/>
              </w:rPr>
            </w:pPr>
          </w:p>
        </w:tc>
        <w:tc>
          <w:tcPr>
            <w:tcW w:w="78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140" w:type="dxa"/>
            <w:vAlign w:val="bottom"/>
            <w:shd w:val="clear" w:color="auto" w:fill="E8E8E8"/>
          </w:tcPr>
          <w:p>
            <w:pPr>
              <w:spacing w:after="0"/>
              <w:rPr>
                <w:sz w:val="19"/>
                <w:szCs w:val="19"/>
                <w:color w:val="auto"/>
              </w:rPr>
            </w:pPr>
          </w:p>
        </w:tc>
        <w:tc>
          <w:tcPr>
            <w:tcW w:w="54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360" w:type="dxa"/>
            <w:vAlign w:val="bottom"/>
            <w:shd w:val="clear" w:color="auto" w:fill="E8E8E8"/>
          </w:tcPr>
          <w:p>
            <w:pPr>
              <w:spacing w:after="0"/>
              <w:rPr>
                <w:sz w:val="19"/>
                <w:szCs w:val="19"/>
                <w:color w:val="auto"/>
              </w:rPr>
            </w:pPr>
          </w:p>
        </w:tc>
        <w:tc>
          <w:tcPr>
            <w:tcW w:w="180" w:type="dxa"/>
            <w:vAlign w:val="bottom"/>
            <w:shd w:val="clear" w:color="auto" w:fill="E8E8E8"/>
          </w:tcPr>
          <w:p>
            <w:pPr>
              <w:ind w:left="100"/>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E8E8E8"/>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E8E8E8"/>
          </w:tcPr>
          <w:p>
            <w:pPr>
              <w:spacing w:after="0"/>
              <w:rPr>
                <w:sz w:val="19"/>
                <w:szCs w:val="19"/>
                <w:color w:val="auto"/>
              </w:rPr>
            </w:pPr>
          </w:p>
        </w:tc>
        <w:tc>
          <w:tcPr>
            <w:tcW w:w="100" w:type="dxa"/>
            <w:vAlign w:val="bottom"/>
            <w:shd w:val="clear" w:color="auto" w:fill="E8E8E8"/>
          </w:tcPr>
          <w:p>
            <w:pPr>
              <w:spacing w:after="0"/>
              <w:rPr>
                <w:sz w:val="19"/>
                <w:szCs w:val="19"/>
                <w:color w:val="auto"/>
              </w:rPr>
            </w:pPr>
          </w:p>
        </w:tc>
        <w:tc>
          <w:tcPr>
            <w:tcW w:w="200" w:type="dxa"/>
            <w:vAlign w:val="bottom"/>
            <w:shd w:val="clear" w:color="auto" w:fill="E8E8E8"/>
          </w:tcPr>
          <w:p>
            <w:pPr>
              <w:spacing w:after="0"/>
              <w:rPr>
                <w:sz w:val="19"/>
                <w:szCs w:val="19"/>
                <w:color w:val="auto"/>
              </w:rPr>
            </w:pPr>
          </w:p>
        </w:tc>
        <w:tc>
          <w:tcPr>
            <w:tcW w:w="120" w:type="dxa"/>
            <w:vAlign w:val="bottom"/>
            <w:shd w:val="clear" w:color="auto" w:fill="E8E8E8"/>
          </w:tcPr>
          <w:p>
            <w:pPr>
              <w:spacing w:after="0"/>
              <w:rPr>
                <w:sz w:val="19"/>
                <w:szCs w:val="19"/>
                <w:color w:val="auto"/>
              </w:rPr>
            </w:pPr>
          </w:p>
        </w:tc>
        <w:tc>
          <w:tcPr>
            <w:tcW w:w="50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360" w:type="dxa"/>
            <w:vAlign w:val="bottom"/>
            <w:shd w:val="clear" w:color="auto" w:fill="E8E8E8"/>
          </w:tcPr>
          <w:p>
            <w:pPr>
              <w:spacing w:after="0"/>
              <w:rPr>
                <w:sz w:val="19"/>
                <w:szCs w:val="19"/>
                <w:color w:val="auto"/>
              </w:rPr>
            </w:pPr>
          </w:p>
        </w:tc>
        <w:tc>
          <w:tcPr>
            <w:tcW w:w="160" w:type="dxa"/>
            <w:vAlign w:val="bottom"/>
            <w:shd w:val="clear" w:color="auto" w:fill="E8E8E8"/>
          </w:tcPr>
          <w:p>
            <w:pPr>
              <w:ind w:left="8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E8E8E8"/>
          </w:tcPr>
          <w:p>
            <w:pPr>
              <w:jc w:val="right"/>
              <w:ind w:right="97"/>
              <w:spacing w:after="0"/>
              <w:rPr>
                <w:sz w:val="20"/>
                <w:szCs w:val="20"/>
                <w:color w:val="auto"/>
              </w:rPr>
            </w:pPr>
            <w:r>
              <w:rPr>
                <w:rFonts w:ascii="Arial" w:cs="Arial" w:eastAsia="Arial" w:hAnsi="Arial"/>
                <w:sz w:val="12"/>
                <w:szCs w:val="12"/>
                <w:color w:val="auto"/>
              </w:rPr>
              <w:t>—</w:t>
            </w:r>
          </w:p>
        </w:tc>
        <w:tc>
          <w:tcPr>
            <w:tcW w:w="680" w:type="dxa"/>
            <w:vAlign w:val="bottom"/>
            <w:shd w:val="clear" w:color="auto" w:fill="E8E8E8"/>
          </w:tcPr>
          <w:p>
            <w:pPr>
              <w:jc w:val="right"/>
              <w:ind w:right="58"/>
              <w:spacing w:after="0"/>
              <w:rPr>
                <w:sz w:val="20"/>
                <w:szCs w:val="20"/>
                <w:color w:val="auto"/>
              </w:rPr>
            </w:pPr>
            <w:r>
              <w:rPr>
                <w:rFonts w:ascii="Arial" w:cs="Arial" w:eastAsia="Arial" w:hAnsi="Arial"/>
                <w:sz w:val="12"/>
                <w:szCs w:val="12"/>
                <w:color w:val="auto"/>
              </w:rPr>
              <w:t>68,800</w:t>
            </w:r>
          </w:p>
        </w:tc>
        <w:tc>
          <w:tcPr>
            <w:tcW w:w="28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w w:val="84"/>
              </w:rPr>
              <w:t>(11)</w:t>
            </w:r>
          </w:p>
        </w:tc>
        <w:tc>
          <w:tcPr>
            <w:tcW w:w="220" w:type="dxa"/>
            <w:vAlign w:val="bottom"/>
            <w:shd w:val="clear" w:color="auto" w:fill="E8E8E8"/>
          </w:tcPr>
          <w:p>
            <w:pPr>
              <w:ind w:left="80"/>
              <w:spacing w:after="0"/>
              <w:rPr>
                <w:sz w:val="20"/>
                <w:szCs w:val="20"/>
                <w:color w:val="auto"/>
              </w:rPr>
            </w:pPr>
            <w:r>
              <w:rPr>
                <w:rFonts w:ascii="Arial" w:cs="Arial" w:eastAsia="Arial" w:hAnsi="Arial"/>
                <w:sz w:val="12"/>
                <w:szCs w:val="12"/>
                <w:color w:val="auto"/>
              </w:rPr>
              <w:t>$</w:t>
            </w:r>
          </w:p>
        </w:tc>
        <w:tc>
          <w:tcPr>
            <w:tcW w:w="720" w:type="dxa"/>
            <w:vAlign w:val="bottom"/>
            <w:gridSpan w:val="4"/>
            <w:shd w:val="clear" w:color="auto" w:fill="E8E8E8"/>
          </w:tcPr>
          <w:p>
            <w:pPr>
              <w:jc w:val="right"/>
              <w:ind w:right="100"/>
              <w:spacing w:after="0"/>
              <w:rPr>
                <w:sz w:val="20"/>
                <w:szCs w:val="20"/>
                <w:color w:val="auto"/>
              </w:rPr>
            </w:pPr>
            <w:r>
              <w:rPr>
                <w:rFonts w:ascii="Arial" w:cs="Arial" w:eastAsia="Arial" w:hAnsi="Arial"/>
                <w:sz w:val="12"/>
                <w:szCs w:val="12"/>
                <w:color w:val="auto"/>
                <w:w w:val="99"/>
              </w:rPr>
              <w:t>11,014,192</w:t>
            </w:r>
          </w:p>
        </w:tc>
        <w:tc>
          <w:tcPr>
            <w:tcW w:w="0" w:type="dxa"/>
            <w:vAlign w:val="bottom"/>
          </w:tcPr>
          <w:p>
            <w:pPr>
              <w:spacing w:after="0"/>
              <w:rPr>
                <w:sz w:val="1"/>
                <w:szCs w:val="1"/>
                <w:color w:val="auto"/>
              </w:rPr>
            </w:pPr>
          </w:p>
        </w:tc>
      </w:tr>
      <w:tr>
        <w:trPr>
          <w:trHeight w:val="165"/>
        </w:trPr>
        <w:tc>
          <w:tcPr>
            <w:tcW w:w="2400" w:type="dxa"/>
            <w:vAlign w:val="bottom"/>
          </w:tcPr>
          <w:p>
            <w:pPr>
              <w:spacing w:after="0"/>
              <w:rPr>
                <w:sz w:val="20"/>
                <w:szCs w:val="20"/>
                <w:color w:val="auto"/>
              </w:rPr>
            </w:pPr>
            <w:r>
              <w:rPr>
                <w:rFonts w:ascii="Arial" w:cs="Arial" w:eastAsia="Arial" w:hAnsi="Arial"/>
                <w:sz w:val="12"/>
                <w:szCs w:val="12"/>
                <w:color w:val="auto"/>
              </w:rPr>
              <w:t>Matthew J. Audette</w:t>
            </w:r>
          </w:p>
        </w:tc>
        <w:tc>
          <w:tcPr>
            <w:tcW w:w="1920" w:type="dxa"/>
            <w:vAlign w:val="bottom"/>
            <w:gridSpan w:val="2"/>
          </w:tcPr>
          <w:p>
            <w:pPr>
              <w:jc w:val="right"/>
              <w:ind w:right="18"/>
              <w:spacing w:after="0"/>
              <w:rPr>
                <w:sz w:val="20"/>
                <w:szCs w:val="20"/>
                <w:color w:val="auto"/>
              </w:rPr>
            </w:pPr>
            <w:r>
              <w:rPr>
                <w:rFonts w:ascii="Arial" w:cs="Arial" w:eastAsia="Arial" w:hAnsi="Arial"/>
                <w:sz w:val="12"/>
                <w:szCs w:val="12"/>
                <w:color w:val="auto"/>
              </w:rPr>
              <w:t>60,810</w:t>
            </w:r>
          </w:p>
        </w:tc>
        <w:tc>
          <w:tcPr>
            <w:tcW w:w="140" w:type="dxa"/>
            <w:vAlign w:val="bottom"/>
          </w:tcPr>
          <w:p>
            <w:pPr>
              <w:spacing w:after="0"/>
              <w:rPr>
                <w:sz w:val="14"/>
                <w:szCs w:val="14"/>
                <w:color w:val="auto"/>
              </w:rPr>
            </w:pPr>
          </w:p>
        </w:tc>
        <w:tc>
          <w:tcPr>
            <w:tcW w:w="54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360" w:type="dxa"/>
            <w:vAlign w:val="bottom"/>
          </w:tcPr>
          <w:p>
            <w:pPr>
              <w:jc w:val="right"/>
              <w:ind w:right="78"/>
              <w:spacing w:after="0"/>
              <w:rPr>
                <w:sz w:val="20"/>
                <w:szCs w:val="20"/>
                <w:color w:val="auto"/>
              </w:rPr>
            </w:pPr>
            <w:r>
              <w:rPr>
                <w:rFonts w:ascii="Arial" w:cs="Arial" w:eastAsia="Arial" w:hAnsi="Arial"/>
                <w:sz w:val="12"/>
                <w:szCs w:val="12"/>
                <w:color w:val="auto"/>
              </w:rPr>
              <w:t>(3)</w:t>
            </w:r>
          </w:p>
        </w:tc>
        <w:tc>
          <w:tcPr>
            <w:tcW w:w="180" w:type="dxa"/>
            <w:vAlign w:val="bottom"/>
          </w:tcPr>
          <w:p>
            <w:pPr>
              <w:ind w:left="100"/>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19.85</w:t>
            </w:r>
          </w:p>
        </w:tc>
        <w:tc>
          <w:tcPr>
            <w:tcW w:w="780" w:type="dxa"/>
            <w:vAlign w:val="bottom"/>
            <w:gridSpan w:val="2"/>
          </w:tcPr>
          <w:p>
            <w:pPr>
              <w:jc w:val="center"/>
              <w:spacing w:after="0"/>
              <w:rPr>
                <w:sz w:val="20"/>
                <w:szCs w:val="20"/>
                <w:color w:val="auto"/>
              </w:rPr>
            </w:pPr>
            <w:r>
              <w:rPr>
                <w:rFonts w:ascii="Arial" w:cs="Arial" w:eastAsia="Arial" w:hAnsi="Arial"/>
                <w:sz w:val="12"/>
                <w:szCs w:val="12"/>
                <w:color w:val="auto"/>
              </w:rPr>
              <w:t>2/25/2026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4"/>
                <w:szCs w:val="14"/>
                <w:color w:val="auto"/>
              </w:rPr>
            </w:pPr>
          </w:p>
        </w:tc>
        <w:tc>
          <w:tcPr>
            <w:tcW w:w="160" w:type="dxa"/>
            <w:vAlign w:val="bottom"/>
          </w:tcPr>
          <w:p>
            <w:pPr>
              <w:ind w:left="8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97"/>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220" w:type="dxa"/>
            <w:vAlign w:val="bottom"/>
          </w:tcPr>
          <w:p>
            <w:pPr>
              <w:ind w:left="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9"/>
        </w:trPr>
        <w:tc>
          <w:tcPr>
            <w:tcW w:w="2400" w:type="dxa"/>
            <w:vAlign w:val="bottom"/>
          </w:tcPr>
          <w:p>
            <w:pPr>
              <w:spacing w:after="0"/>
              <w:rPr>
                <w:sz w:val="14"/>
                <w:szCs w:val="14"/>
                <w:color w:val="auto"/>
              </w:rPr>
            </w:pPr>
          </w:p>
        </w:tc>
        <w:tc>
          <w:tcPr>
            <w:tcW w:w="1920" w:type="dxa"/>
            <w:vAlign w:val="bottom"/>
            <w:gridSpan w:val="2"/>
          </w:tcPr>
          <w:p>
            <w:pPr>
              <w:jc w:val="right"/>
              <w:ind w:right="18"/>
              <w:spacing w:after="0"/>
              <w:rPr>
                <w:sz w:val="20"/>
                <w:szCs w:val="20"/>
                <w:color w:val="auto"/>
              </w:rPr>
            </w:pPr>
            <w:r>
              <w:rPr>
                <w:rFonts w:ascii="Arial" w:cs="Arial" w:eastAsia="Arial" w:hAnsi="Arial"/>
                <w:sz w:val="12"/>
                <w:szCs w:val="12"/>
                <w:color w:val="auto"/>
              </w:rPr>
              <w:t>27,704</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jc w:val="right"/>
              <w:ind w:right="78"/>
              <w:spacing w:after="0"/>
              <w:rPr>
                <w:sz w:val="20"/>
                <w:szCs w:val="20"/>
                <w:color w:val="auto"/>
              </w:rPr>
            </w:pPr>
            <w:r>
              <w:rPr>
                <w:rFonts w:ascii="Arial" w:cs="Arial" w:eastAsia="Arial" w:hAnsi="Arial"/>
                <w:sz w:val="12"/>
                <w:szCs w:val="12"/>
                <w:color w:val="auto"/>
              </w:rPr>
              <w:t>(4)</w:t>
            </w:r>
          </w:p>
        </w:tc>
        <w:tc>
          <w:tcPr>
            <w:tcW w:w="180" w:type="dxa"/>
            <w:vAlign w:val="bottom"/>
          </w:tcPr>
          <w:p>
            <w:pPr>
              <w:ind w:left="100"/>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39.48</w:t>
            </w:r>
          </w:p>
        </w:tc>
        <w:tc>
          <w:tcPr>
            <w:tcW w:w="780" w:type="dxa"/>
            <w:vAlign w:val="bottom"/>
            <w:gridSpan w:val="2"/>
          </w:tcPr>
          <w:p>
            <w:pPr>
              <w:jc w:val="center"/>
              <w:spacing w:after="0"/>
              <w:rPr>
                <w:sz w:val="20"/>
                <w:szCs w:val="20"/>
                <w:color w:val="auto"/>
              </w:rPr>
            </w:pPr>
            <w:r>
              <w:rPr>
                <w:rFonts w:ascii="Arial" w:cs="Arial" w:eastAsia="Arial" w:hAnsi="Arial"/>
                <w:sz w:val="12"/>
                <w:szCs w:val="12"/>
                <w:color w:val="auto"/>
              </w:rPr>
              <w:t>3/13/2027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4"/>
                <w:szCs w:val="14"/>
                <w:color w:val="auto"/>
              </w:rPr>
            </w:pPr>
          </w:p>
        </w:tc>
        <w:tc>
          <w:tcPr>
            <w:tcW w:w="160" w:type="dxa"/>
            <w:vAlign w:val="bottom"/>
          </w:tcPr>
          <w:p>
            <w:pPr>
              <w:ind w:left="8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97"/>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220" w:type="dxa"/>
            <w:vAlign w:val="bottom"/>
          </w:tcPr>
          <w:p>
            <w:pPr>
              <w:ind w:left="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7"/>
        </w:trPr>
        <w:tc>
          <w:tcPr>
            <w:tcW w:w="2400" w:type="dxa"/>
            <w:vAlign w:val="bottom"/>
          </w:tcPr>
          <w:p>
            <w:pPr>
              <w:spacing w:after="0"/>
              <w:rPr>
                <w:sz w:val="16"/>
                <w:szCs w:val="16"/>
                <w:color w:val="auto"/>
              </w:rPr>
            </w:pPr>
          </w:p>
        </w:tc>
        <w:tc>
          <w:tcPr>
            <w:tcW w:w="1920" w:type="dxa"/>
            <w:vAlign w:val="bottom"/>
            <w:gridSpan w:val="2"/>
          </w:tcPr>
          <w:p>
            <w:pPr>
              <w:jc w:val="right"/>
              <w:ind w:right="18"/>
              <w:spacing w:after="0"/>
              <w:rPr>
                <w:sz w:val="20"/>
                <w:szCs w:val="20"/>
                <w:color w:val="auto"/>
              </w:rPr>
            </w:pPr>
            <w:r>
              <w:rPr>
                <w:rFonts w:ascii="Arial" w:cs="Arial" w:eastAsia="Arial" w:hAnsi="Arial"/>
                <w:sz w:val="12"/>
                <w:szCs w:val="12"/>
                <w:color w:val="auto"/>
              </w:rPr>
              <w:t>15,874</w:t>
            </w:r>
          </w:p>
        </w:tc>
        <w:tc>
          <w:tcPr>
            <w:tcW w:w="140" w:type="dxa"/>
            <w:vAlign w:val="bottom"/>
          </w:tcPr>
          <w:p>
            <w:pPr>
              <w:spacing w:after="0"/>
              <w:rPr>
                <w:sz w:val="16"/>
                <w:szCs w:val="16"/>
                <w:color w:val="auto"/>
              </w:rPr>
            </w:pPr>
          </w:p>
        </w:tc>
        <w:tc>
          <w:tcPr>
            <w:tcW w:w="54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360" w:type="dxa"/>
            <w:vAlign w:val="bottom"/>
          </w:tcPr>
          <w:p>
            <w:pPr>
              <w:jc w:val="right"/>
              <w:ind w:right="78"/>
              <w:spacing w:after="0"/>
              <w:rPr>
                <w:sz w:val="20"/>
                <w:szCs w:val="20"/>
                <w:color w:val="auto"/>
              </w:rPr>
            </w:pPr>
            <w:r>
              <w:rPr>
                <w:rFonts w:ascii="Arial" w:cs="Arial" w:eastAsia="Arial" w:hAnsi="Arial"/>
                <w:sz w:val="12"/>
                <w:szCs w:val="12"/>
                <w:color w:val="auto"/>
              </w:rPr>
              <w:t>(5)</w:t>
            </w:r>
          </w:p>
        </w:tc>
        <w:tc>
          <w:tcPr>
            <w:tcW w:w="180" w:type="dxa"/>
            <w:vAlign w:val="bottom"/>
          </w:tcPr>
          <w:p>
            <w:pPr>
              <w:ind w:left="100"/>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65.50</w:t>
            </w:r>
          </w:p>
        </w:tc>
        <w:tc>
          <w:tcPr>
            <w:tcW w:w="780" w:type="dxa"/>
            <w:vAlign w:val="bottom"/>
            <w:gridSpan w:val="2"/>
          </w:tcPr>
          <w:p>
            <w:pPr>
              <w:jc w:val="center"/>
              <w:spacing w:after="0"/>
              <w:rPr>
                <w:sz w:val="20"/>
                <w:szCs w:val="20"/>
                <w:color w:val="auto"/>
              </w:rPr>
            </w:pPr>
            <w:r>
              <w:rPr>
                <w:rFonts w:ascii="Arial" w:cs="Arial" w:eastAsia="Arial" w:hAnsi="Arial"/>
                <w:sz w:val="12"/>
                <w:szCs w:val="12"/>
                <w:color w:val="auto"/>
              </w:rPr>
              <w:t>2/23/2028</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6"/>
                <w:szCs w:val="16"/>
                <w:color w:val="auto"/>
              </w:rPr>
            </w:pPr>
          </w:p>
        </w:tc>
        <w:tc>
          <w:tcPr>
            <w:tcW w:w="160" w:type="dxa"/>
            <w:vAlign w:val="bottom"/>
          </w:tcPr>
          <w:p>
            <w:pPr>
              <w:ind w:left="8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97"/>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6"/>
                <w:szCs w:val="16"/>
                <w:color w:val="auto"/>
              </w:rPr>
            </w:pPr>
          </w:p>
        </w:tc>
        <w:tc>
          <w:tcPr>
            <w:tcW w:w="220" w:type="dxa"/>
            <w:vAlign w:val="bottom"/>
          </w:tcPr>
          <w:p>
            <w:pPr>
              <w:ind w:left="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7"/>
        </w:trPr>
        <w:tc>
          <w:tcPr>
            <w:tcW w:w="2400" w:type="dxa"/>
            <w:vAlign w:val="bottom"/>
          </w:tcPr>
          <w:p>
            <w:pPr>
              <w:spacing w:after="0"/>
              <w:rPr>
                <w:sz w:val="16"/>
                <w:szCs w:val="16"/>
                <w:color w:val="auto"/>
              </w:rPr>
            </w:pPr>
          </w:p>
        </w:tc>
        <w:tc>
          <w:tcPr>
            <w:tcW w:w="1920" w:type="dxa"/>
            <w:vAlign w:val="bottom"/>
            <w:gridSpan w:val="2"/>
          </w:tcPr>
          <w:p>
            <w:pPr>
              <w:jc w:val="right"/>
              <w:ind w:right="18"/>
              <w:spacing w:after="0"/>
              <w:rPr>
                <w:sz w:val="20"/>
                <w:szCs w:val="20"/>
                <w:color w:val="auto"/>
              </w:rPr>
            </w:pPr>
            <w:r>
              <w:rPr>
                <w:rFonts w:ascii="Arial" w:cs="Arial" w:eastAsia="Arial" w:hAnsi="Arial"/>
                <w:sz w:val="12"/>
                <w:szCs w:val="12"/>
                <w:color w:val="auto"/>
              </w:rPr>
              <w:t>8,602</w:t>
            </w:r>
          </w:p>
        </w:tc>
        <w:tc>
          <w:tcPr>
            <w:tcW w:w="680" w:type="dxa"/>
            <w:vAlign w:val="bottom"/>
            <w:gridSpan w:val="2"/>
          </w:tcPr>
          <w:p>
            <w:pPr>
              <w:jc w:val="right"/>
              <w:ind w:right="18"/>
              <w:spacing w:after="0"/>
              <w:rPr>
                <w:sz w:val="20"/>
                <w:szCs w:val="20"/>
                <w:color w:val="auto"/>
              </w:rPr>
            </w:pPr>
            <w:r>
              <w:rPr>
                <w:rFonts w:ascii="Arial" w:cs="Arial" w:eastAsia="Arial" w:hAnsi="Arial"/>
                <w:sz w:val="12"/>
                <w:szCs w:val="12"/>
                <w:color w:val="auto"/>
              </w:rPr>
              <w:t>4,301</w:t>
            </w:r>
          </w:p>
        </w:tc>
        <w:tc>
          <w:tcPr>
            <w:tcW w:w="360" w:type="dxa"/>
            <w:vAlign w:val="bottom"/>
          </w:tcPr>
          <w:p>
            <w:pPr>
              <w:jc w:val="right"/>
              <w:ind w:right="78"/>
              <w:spacing w:after="0"/>
              <w:rPr>
                <w:sz w:val="20"/>
                <w:szCs w:val="20"/>
                <w:color w:val="auto"/>
              </w:rPr>
            </w:pPr>
            <w:r>
              <w:rPr>
                <w:rFonts w:ascii="Arial" w:cs="Arial" w:eastAsia="Arial" w:hAnsi="Arial"/>
                <w:sz w:val="12"/>
                <w:szCs w:val="12"/>
                <w:color w:val="auto"/>
              </w:rPr>
              <w:t>(6)</w:t>
            </w:r>
          </w:p>
        </w:tc>
        <w:tc>
          <w:tcPr>
            <w:tcW w:w="180" w:type="dxa"/>
            <w:vAlign w:val="bottom"/>
          </w:tcPr>
          <w:p>
            <w:pPr>
              <w:ind w:left="100"/>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77.53</w:t>
            </w:r>
          </w:p>
        </w:tc>
        <w:tc>
          <w:tcPr>
            <w:tcW w:w="780" w:type="dxa"/>
            <w:vAlign w:val="bottom"/>
            <w:gridSpan w:val="2"/>
          </w:tcPr>
          <w:p>
            <w:pPr>
              <w:jc w:val="center"/>
              <w:spacing w:after="0"/>
              <w:rPr>
                <w:sz w:val="20"/>
                <w:szCs w:val="20"/>
                <w:color w:val="auto"/>
              </w:rPr>
            </w:pPr>
            <w:r>
              <w:rPr>
                <w:rFonts w:ascii="Arial" w:cs="Arial" w:eastAsia="Arial" w:hAnsi="Arial"/>
                <w:sz w:val="12"/>
                <w:szCs w:val="12"/>
                <w:color w:val="auto"/>
              </w:rPr>
              <w:t>2/25/2029</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6"/>
                <w:szCs w:val="16"/>
                <w:color w:val="auto"/>
              </w:rPr>
            </w:pPr>
          </w:p>
        </w:tc>
        <w:tc>
          <w:tcPr>
            <w:tcW w:w="160" w:type="dxa"/>
            <w:vAlign w:val="bottom"/>
          </w:tcPr>
          <w:p>
            <w:pPr>
              <w:ind w:left="8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97"/>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6"/>
                <w:szCs w:val="16"/>
                <w:color w:val="auto"/>
              </w:rPr>
            </w:pPr>
          </w:p>
        </w:tc>
        <w:tc>
          <w:tcPr>
            <w:tcW w:w="220" w:type="dxa"/>
            <w:vAlign w:val="bottom"/>
          </w:tcPr>
          <w:p>
            <w:pPr>
              <w:ind w:left="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7"/>
        </w:trPr>
        <w:tc>
          <w:tcPr>
            <w:tcW w:w="2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6"/>
                <w:szCs w:val="16"/>
                <w:color w:val="auto"/>
              </w:rPr>
            </w:pPr>
          </w:p>
        </w:tc>
        <w:tc>
          <w:tcPr>
            <w:tcW w:w="54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6"/>
                <w:szCs w:val="16"/>
                <w:color w:val="auto"/>
              </w:rPr>
            </w:pPr>
          </w:p>
        </w:tc>
        <w:tc>
          <w:tcPr>
            <w:tcW w:w="180" w:type="dxa"/>
            <w:vAlign w:val="bottom"/>
          </w:tcPr>
          <w:p>
            <w:pPr>
              <w:ind w:left="100"/>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gridSpan w:val="2"/>
          </w:tcPr>
          <w:p>
            <w:pPr>
              <w:jc w:val="right"/>
              <w:ind w:right="18"/>
              <w:spacing w:after="0"/>
              <w:rPr>
                <w:sz w:val="20"/>
                <w:szCs w:val="20"/>
                <w:color w:val="auto"/>
              </w:rPr>
            </w:pPr>
            <w:r>
              <w:rPr>
                <w:rFonts w:ascii="Arial" w:cs="Arial" w:eastAsia="Arial" w:hAnsi="Arial"/>
                <w:sz w:val="12"/>
                <w:szCs w:val="12"/>
                <w:color w:val="auto"/>
              </w:rPr>
              <w:t>1,433</w:t>
            </w:r>
          </w:p>
        </w:tc>
        <w:tc>
          <w:tcPr>
            <w:tcW w:w="360" w:type="dxa"/>
            <w:vAlign w:val="bottom"/>
          </w:tcPr>
          <w:p>
            <w:pPr>
              <w:ind w:left="40"/>
              <w:spacing w:after="0"/>
              <w:rPr>
                <w:sz w:val="20"/>
                <w:szCs w:val="20"/>
                <w:color w:val="auto"/>
              </w:rPr>
            </w:pPr>
            <w:r>
              <w:rPr>
                <w:rFonts w:ascii="Arial" w:cs="Arial" w:eastAsia="Arial" w:hAnsi="Arial"/>
                <w:sz w:val="12"/>
                <w:szCs w:val="12"/>
                <w:color w:val="auto"/>
              </w:rPr>
              <w:t>(6)</w:t>
            </w:r>
          </w:p>
        </w:tc>
        <w:tc>
          <w:tcPr>
            <w:tcW w:w="160" w:type="dxa"/>
            <w:vAlign w:val="bottom"/>
          </w:tcPr>
          <w:p>
            <w:pPr>
              <w:ind w:left="8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97"/>
              <w:spacing w:after="0"/>
              <w:rPr>
                <w:sz w:val="20"/>
                <w:szCs w:val="20"/>
                <w:color w:val="auto"/>
              </w:rPr>
            </w:pPr>
            <w:r>
              <w:rPr>
                <w:rFonts w:ascii="Arial" w:cs="Arial" w:eastAsia="Arial" w:hAnsi="Arial"/>
                <w:sz w:val="12"/>
                <w:szCs w:val="12"/>
                <w:color w:val="auto"/>
              </w:rPr>
              <w:t>229,409</w:t>
            </w:r>
          </w:p>
        </w:tc>
        <w:tc>
          <w:tcPr>
            <w:tcW w:w="68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6"/>
                <w:szCs w:val="16"/>
                <w:color w:val="auto"/>
              </w:rPr>
            </w:pPr>
          </w:p>
        </w:tc>
        <w:tc>
          <w:tcPr>
            <w:tcW w:w="220" w:type="dxa"/>
            <w:vAlign w:val="bottom"/>
          </w:tcPr>
          <w:p>
            <w:pPr>
              <w:ind w:left="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7"/>
        </w:trPr>
        <w:tc>
          <w:tcPr>
            <w:tcW w:w="2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6"/>
                <w:szCs w:val="16"/>
                <w:color w:val="auto"/>
              </w:rPr>
            </w:pPr>
          </w:p>
        </w:tc>
        <w:tc>
          <w:tcPr>
            <w:tcW w:w="54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6"/>
                <w:szCs w:val="16"/>
                <w:color w:val="auto"/>
              </w:rPr>
            </w:pPr>
          </w:p>
        </w:tc>
        <w:tc>
          <w:tcPr>
            <w:tcW w:w="180" w:type="dxa"/>
            <w:vAlign w:val="bottom"/>
          </w:tcPr>
          <w:p>
            <w:pPr>
              <w:ind w:left="100"/>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gridSpan w:val="2"/>
          </w:tcPr>
          <w:p>
            <w:pPr>
              <w:jc w:val="right"/>
              <w:ind w:right="18"/>
              <w:spacing w:after="0"/>
              <w:rPr>
                <w:sz w:val="20"/>
                <w:szCs w:val="20"/>
                <w:color w:val="auto"/>
              </w:rPr>
            </w:pPr>
            <w:r>
              <w:rPr>
                <w:rFonts w:ascii="Arial" w:cs="Arial" w:eastAsia="Arial" w:hAnsi="Arial"/>
                <w:sz w:val="12"/>
                <w:szCs w:val="12"/>
                <w:color w:val="auto"/>
              </w:rPr>
              <w:t>3,134</w:t>
            </w:r>
          </w:p>
        </w:tc>
        <w:tc>
          <w:tcPr>
            <w:tcW w:w="360" w:type="dxa"/>
            <w:vAlign w:val="bottom"/>
          </w:tcPr>
          <w:p>
            <w:pPr>
              <w:ind w:left="40"/>
              <w:spacing w:after="0"/>
              <w:rPr>
                <w:sz w:val="20"/>
                <w:szCs w:val="20"/>
                <w:color w:val="auto"/>
              </w:rPr>
            </w:pPr>
            <w:r>
              <w:rPr>
                <w:rFonts w:ascii="Arial" w:cs="Arial" w:eastAsia="Arial" w:hAnsi="Arial"/>
                <w:sz w:val="12"/>
                <w:szCs w:val="12"/>
                <w:color w:val="auto"/>
              </w:rPr>
              <w:t>(7)</w:t>
            </w:r>
          </w:p>
        </w:tc>
        <w:tc>
          <w:tcPr>
            <w:tcW w:w="160" w:type="dxa"/>
            <w:vAlign w:val="bottom"/>
          </w:tcPr>
          <w:p>
            <w:pPr>
              <w:ind w:left="8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97"/>
              <w:spacing w:after="0"/>
              <w:rPr>
                <w:sz w:val="20"/>
                <w:szCs w:val="20"/>
                <w:color w:val="auto"/>
              </w:rPr>
            </w:pPr>
            <w:r>
              <w:rPr>
                <w:rFonts w:ascii="Arial" w:cs="Arial" w:eastAsia="Arial" w:hAnsi="Arial"/>
                <w:sz w:val="12"/>
                <w:szCs w:val="12"/>
                <w:color w:val="auto"/>
              </w:rPr>
              <w:t>501,722</w:t>
            </w:r>
          </w:p>
        </w:tc>
        <w:tc>
          <w:tcPr>
            <w:tcW w:w="68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6"/>
                <w:szCs w:val="16"/>
                <w:color w:val="auto"/>
              </w:rPr>
            </w:pPr>
          </w:p>
        </w:tc>
        <w:tc>
          <w:tcPr>
            <w:tcW w:w="220" w:type="dxa"/>
            <w:vAlign w:val="bottom"/>
          </w:tcPr>
          <w:p>
            <w:pPr>
              <w:ind w:left="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7"/>
        </w:trPr>
        <w:tc>
          <w:tcPr>
            <w:tcW w:w="2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6"/>
                <w:szCs w:val="16"/>
                <w:color w:val="auto"/>
              </w:rPr>
            </w:pPr>
          </w:p>
        </w:tc>
        <w:tc>
          <w:tcPr>
            <w:tcW w:w="54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6"/>
                <w:szCs w:val="16"/>
                <w:color w:val="auto"/>
              </w:rPr>
            </w:pPr>
          </w:p>
        </w:tc>
        <w:tc>
          <w:tcPr>
            <w:tcW w:w="180" w:type="dxa"/>
            <w:vAlign w:val="bottom"/>
          </w:tcPr>
          <w:p>
            <w:pPr>
              <w:ind w:left="100"/>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gridSpan w:val="2"/>
          </w:tcPr>
          <w:p>
            <w:pPr>
              <w:jc w:val="right"/>
              <w:ind w:right="18"/>
              <w:spacing w:after="0"/>
              <w:rPr>
                <w:sz w:val="20"/>
                <w:szCs w:val="20"/>
                <w:color w:val="auto"/>
              </w:rPr>
            </w:pPr>
            <w:r>
              <w:rPr>
                <w:rFonts w:ascii="Arial" w:cs="Arial" w:eastAsia="Arial" w:hAnsi="Arial"/>
                <w:sz w:val="12"/>
                <w:szCs w:val="12"/>
                <w:color w:val="auto"/>
              </w:rPr>
              <w:t>3,767</w:t>
            </w:r>
          </w:p>
        </w:tc>
        <w:tc>
          <w:tcPr>
            <w:tcW w:w="360" w:type="dxa"/>
            <w:vAlign w:val="bottom"/>
          </w:tcPr>
          <w:p>
            <w:pPr>
              <w:ind w:left="40"/>
              <w:spacing w:after="0"/>
              <w:rPr>
                <w:sz w:val="20"/>
                <w:szCs w:val="20"/>
                <w:color w:val="auto"/>
              </w:rPr>
            </w:pPr>
            <w:r>
              <w:rPr>
                <w:rFonts w:ascii="Arial" w:cs="Arial" w:eastAsia="Arial" w:hAnsi="Arial"/>
                <w:sz w:val="12"/>
                <w:szCs w:val="12"/>
                <w:color w:val="auto"/>
              </w:rPr>
              <w:t>(9)</w:t>
            </w:r>
          </w:p>
        </w:tc>
        <w:tc>
          <w:tcPr>
            <w:tcW w:w="160" w:type="dxa"/>
            <w:vAlign w:val="bottom"/>
          </w:tcPr>
          <w:p>
            <w:pPr>
              <w:ind w:left="8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97"/>
              <w:spacing w:after="0"/>
              <w:rPr>
                <w:sz w:val="20"/>
                <w:szCs w:val="20"/>
                <w:color w:val="auto"/>
              </w:rPr>
            </w:pPr>
            <w:r>
              <w:rPr>
                <w:rFonts w:ascii="Arial" w:cs="Arial" w:eastAsia="Arial" w:hAnsi="Arial"/>
                <w:sz w:val="12"/>
                <w:szCs w:val="12"/>
                <w:color w:val="auto"/>
              </w:rPr>
              <w:t>603,059</w:t>
            </w:r>
          </w:p>
        </w:tc>
        <w:tc>
          <w:tcPr>
            <w:tcW w:w="68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6"/>
                <w:szCs w:val="16"/>
                <w:color w:val="auto"/>
              </w:rPr>
            </w:pPr>
          </w:p>
        </w:tc>
        <w:tc>
          <w:tcPr>
            <w:tcW w:w="220" w:type="dxa"/>
            <w:vAlign w:val="bottom"/>
          </w:tcPr>
          <w:p>
            <w:pPr>
              <w:ind w:left="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7"/>
        </w:trPr>
        <w:tc>
          <w:tcPr>
            <w:tcW w:w="2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6"/>
                <w:szCs w:val="16"/>
                <w:color w:val="auto"/>
              </w:rPr>
            </w:pPr>
          </w:p>
        </w:tc>
        <w:tc>
          <w:tcPr>
            <w:tcW w:w="54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6"/>
                <w:szCs w:val="16"/>
                <w:color w:val="auto"/>
              </w:rPr>
            </w:pPr>
          </w:p>
        </w:tc>
        <w:tc>
          <w:tcPr>
            <w:tcW w:w="180" w:type="dxa"/>
            <w:vAlign w:val="bottom"/>
          </w:tcPr>
          <w:p>
            <w:pPr>
              <w:ind w:left="100"/>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gridSpan w:val="2"/>
          </w:tcPr>
          <w:p>
            <w:pPr>
              <w:jc w:val="right"/>
              <w:ind w:right="18"/>
              <w:spacing w:after="0"/>
              <w:rPr>
                <w:sz w:val="20"/>
                <w:szCs w:val="20"/>
                <w:color w:val="auto"/>
              </w:rPr>
            </w:pPr>
            <w:r>
              <w:rPr>
                <w:rFonts w:ascii="Arial" w:cs="Arial" w:eastAsia="Arial" w:hAnsi="Arial"/>
                <w:sz w:val="12"/>
                <w:szCs w:val="12"/>
                <w:color w:val="auto"/>
              </w:rPr>
              <w:t>11,464</w:t>
            </w:r>
          </w:p>
        </w:tc>
        <w:tc>
          <w:tcPr>
            <w:tcW w:w="360" w:type="dxa"/>
            <w:vAlign w:val="bottom"/>
          </w:tcPr>
          <w:p>
            <w:pPr>
              <w:ind w:left="40"/>
              <w:spacing w:after="0"/>
              <w:rPr>
                <w:sz w:val="20"/>
                <w:szCs w:val="20"/>
                <w:color w:val="auto"/>
              </w:rPr>
            </w:pPr>
            <w:r>
              <w:rPr>
                <w:rFonts w:ascii="Arial" w:cs="Arial" w:eastAsia="Arial" w:hAnsi="Arial"/>
                <w:sz w:val="12"/>
                <w:szCs w:val="12"/>
                <w:color w:val="auto"/>
              </w:rPr>
              <w:t>(10)</w:t>
            </w:r>
          </w:p>
        </w:tc>
        <w:tc>
          <w:tcPr>
            <w:tcW w:w="160" w:type="dxa"/>
            <w:vAlign w:val="bottom"/>
          </w:tcPr>
          <w:p>
            <w:pPr>
              <w:ind w:left="8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97"/>
              <w:spacing w:after="0"/>
              <w:rPr>
                <w:sz w:val="20"/>
                <w:szCs w:val="20"/>
                <w:color w:val="auto"/>
              </w:rPr>
            </w:pPr>
            <w:r>
              <w:rPr>
                <w:rFonts w:ascii="Arial" w:cs="Arial" w:eastAsia="Arial" w:hAnsi="Arial"/>
                <w:sz w:val="12"/>
                <w:szCs w:val="12"/>
                <w:color w:val="auto"/>
              </w:rPr>
              <w:t>1,835,272</w:t>
            </w:r>
          </w:p>
        </w:tc>
        <w:tc>
          <w:tcPr>
            <w:tcW w:w="68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6"/>
                <w:szCs w:val="16"/>
                <w:color w:val="auto"/>
              </w:rPr>
            </w:pPr>
          </w:p>
        </w:tc>
        <w:tc>
          <w:tcPr>
            <w:tcW w:w="220" w:type="dxa"/>
            <w:vAlign w:val="bottom"/>
          </w:tcPr>
          <w:p>
            <w:pPr>
              <w:ind w:left="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7"/>
        </w:trPr>
        <w:tc>
          <w:tcPr>
            <w:tcW w:w="2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6"/>
                <w:szCs w:val="16"/>
                <w:color w:val="auto"/>
              </w:rPr>
            </w:pPr>
          </w:p>
        </w:tc>
        <w:tc>
          <w:tcPr>
            <w:tcW w:w="54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6"/>
                <w:szCs w:val="16"/>
                <w:color w:val="auto"/>
              </w:rPr>
            </w:pPr>
          </w:p>
        </w:tc>
        <w:tc>
          <w:tcPr>
            <w:tcW w:w="180" w:type="dxa"/>
            <w:vAlign w:val="bottom"/>
          </w:tcPr>
          <w:p>
            <w:pPr>
              <w:ind w:left="100"/>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6"/>
                <w:szCs w:val="16"/>
                <w:color w:val="auto"/>
              </w:rPr>
            </w:pPr>
          </w:p>
        </w:tc>
        <w:tc>
          <w:tcPr>
            <w:tcW w:w="160" w:type="dxa"/>
            <w:vAlign w:val="bottom"/>
          </w:tcPr>
          <w:p>
            <w:pPr>
              <w:ind w:left="8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97"/>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58"/>
              <w:spacing w:after="0"/>
              <w:rPr>
                <w:sz w:val="20"/>
                <w:szCs w:val="20"/>
                <w:color w:val="auto"/>
              </w:rPr>
            </w:pPr>
            <w:r>
              <w:rPr>
                <w:rFonts w:ascii="Arial" w:cs="Arial" w:eastAsia="Arial" w:hAnsi="Arial"/>
                <w:sz w:val="12"/>
                <w:szCs w:val="12"/>
                <w:color w:val="auto"/>
              </w:rPr>
              <w:t>14,104</w:t>
            </w:r>
          </w:p>
        </w:tc>
        <w:tc>
          <w:tcPr>
            <w:tcW w:w="280" w:type="dxa"/>
            <w:vAlign w:val="bottom"/>
          </w:tcPr>
          <w:p>
            <w:pPr>
              <w:jc w:val="right"/>
              <w:ind w:right="18"/>
              <w:spacing w:after="0"/>
              <w:rPr>
                <w:sz w:val="20"/>
                <w:szCs w:val="20"/>
                <w:color w:val="auto"/>
              </w:rPr>
            </w:pPr>
            <w:r>
              <w:rPr>
                <w:rFonts w:ascii="Arial" w:cs="Arial" w:eastAsia="Arial" w:hAnsi="Arial"/>
                <w:sz w:val="12"/>
                <w:szCs w:val="12"/>
                <w:color w:val="auto"/>
                <w:w w:val="84"/>
              </w:rPr>
              <w:t>(11)</w:t>
            </w:r>
          </w:p>
        </w:tc>
        <w:tc>
          <w:tcPr>
            <w:tcW w:w="220" w:type="dxa"/>
            <w:vAlign w:val="bottom"/>
          </w:tcPr>
          <w:p>
            <w:pPr>
              <w:ind w:left="80"/>
              <w:spacing w:after="0"/>
              <w:rPr>
                <w:sz w:val="20"/>
                <w:szCs w:val="20"/>
                <w:color w:val="auto"/>
              </w:rPr>
            </w:pPr>
            <w:r>
              <w:rPr>
                <w:rFonts w:ascii="Arial" w:cs="Arial" w:eastAsia="Arial" w:hAnsi="Arial"/>
                <w:sz w:val="12"/>
                <w:szCs w:val="12"/>
                <w:color w:val="auto"/>
              </w:rPr>
              <w:t>$</w:t>
            </w:r>
          </w:p>
        </w:tc>
        <w:tc>
          <w:tcPr>
            <w:tcW w:w="720" w:type="dxa"/>
            <w:vAlign w:val="bottom"/>
            <w:gridSpan w:val="4"/>
          </w:tcPr>
          <w:p>
            <w:pPr>
              <w:jc w:val="right"/>
              <w:ind w:right="100"/>
              <w:spacing w:after="0"/>
              <w:rPr>
                <w:sz w:val="20"/>
                <w:szCs w:val="20"/>
                <w:color w:val="auto"/>
              </w:rPr>
            </w:pPr>
            <w:r>
              <w:rPr>
                <w:rFonts w:ascii="Arial" w:cs="Arial" w:eastAsia="Arial" w:hAnsi="Arial"/>
                <w:sz w:val="12"/>
                <w:szCs w:val="12"/>
                <w:color w:val="auto"/>
              </w:rPr>
              <w:t>2,257,909</w:t>
            </w:r>
          </w:p>
        </w:tc>
        <w:tc>
          <w:tcPr>
            <w:tcW w:w="0" w:type="dxa"/>
            <w:vAlign w:val="bottom"/>
          </w:tcPr>
          <w:p>
            <w:pPr>
              <w:spacing w:after="0"/>
              <w:rPr>
                <w:sz w:val="1"/>
                <w:szCs w:val="1"/>
                <w:color w:val="auto"/>
              </w:rPr>
            </w:pPr>
          </w:p>
        </w:tc>
      </w:tr>
      <w:tr>
        <w:trPr>
          <w:trHeight w:val="174"/>
        </w:trPr>
        <w:tc>
          <w:tcPr>
            <w:tcW w:w="2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54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5"/>
                <w:szCs w:val="15"/>
                <w:color w:val="auto"/>
              </w:rPr>
            </w:pPr>
          </w:p>
        </w:tc>
        <w:tc>
          <w:tcPr>
            <w:tcW w:w="180" w:type="dxa"/>
            <w:vAlign w:val="bottom"/>
          </w:tcPr>
          <w:p>
            <w:pPr>
              <w:ind w:left="100"/>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5"/>
                <w:szCs w:val="15"/>
                <w:color w:val="auto"/>
              </w:rPr>
            </w:pPr>
          </w:p>
        </w:tc>
        <w:tc>
          <w:tcPr>
            <w:tcW w:w="160" w:type="dxa"/>
            <w:vAlign w:val="bottom"/>
          </w:tcPr>
          <w:p>
            <w:pPr>
              <w:ind w:left="8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97"/>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78"/>
              <w:spacing w:after="0"/>
              <w:rPr>
                <w:sz w:val="20"/>
                <w:szCs w:val="20"/>
                <w:color w:val="auto"/>
              </w:rPr>
            </w:pPr>
            <w:r>
              <w:rPr>
                <w:rFonts w:ascii="Arial" w:cs="Arial" w:eastAsia="Arial" w:hAnsi="Arial"/>
                <w:sz w:val="12"/>
                <w:szCs w:val="12"/>
                <w:color w:val="auto"/>
              </w:rPr>
              <w:t>11,302</w:t>
            </w:r>
          </w:p>
        </w:tc>
        <w:tc>
          <w:tcPr>
            <w:tcW w:w="280" w:type="dxa"/>
            <w:vAlign w:val="bottom"/>
          </w:tcPr>
          <w:p>
            <w:pPr>
              <w:jc w:val="right"/>
              <w:ind w:right="18"/>
              <w:spacing w:after="0"/>
              <w:rPr>
                <w:sz w:val="20"/>
                <w:szCs w:val="20"/>
                <w:color w:val="auto"/>
              </w:rPr>
            </w:pPr>
            <w:r>
              <w:rPr>
                <w:rFonts w:ascii="Arial" w:cs="Arial" w:eastAsia="Arial" w:hAnsi="Arial"/>
                <w:sz w:val="12"/>
                <w:szCs w:val="12"/>
                <w:color w:val="auto"/>
                <w:w w:val="84"/>
              </w:rPr>
              <w:t>(11)</w:t>
            </w:r>
          </w:p>
        </w:tc>
        <w:tc>
          <w:tcPr>
            <w:tcW w:w="220" w:type="dxa"/>
            <w:vAlign w:val="bottom"/>
          </w:tcPr>
          <w:p>
            <w:pPr>
              <w:ind w:left="80"/>
              <w:spacing w:after="0"/>
              <w:rPr>
                <w:sz w:val="20"/>
                <w:szCs w:val="20"/>
                <w:color w:val="auto"/>
              </w:rPr>
            </w:pPr>
            <w:r>
              <w:rPr>
                <w:rFonts w:ascii="Arial" w:cs="Arial" w:eastAsia="Arial" w:hAnsi="Arial"/>
                <w:sz w:val="12"/>
                <w:szCs w:val="12"/>
                <w:color w:val="auto"/>
              </w:rPr>
              <w:t>$</w:t>
            </w:r>
          </w:p>
        </w:tc>
        <w:tc>
          <w:tcPr>
            <w:tcW w:w="720" w:type="dxa"/>
            <w:vAlign w:val="bottom"/>
            <w:gridSpan w:val="4"/>
          </w:tcPr>
          <w:p>
            <w:pPr>
              <w:jc w:val="right"/>
              <w:ind w:right="100"/>
              <w:spacing w:after="0"/>
              <w:rPr>
                <w:sz w:val="20"/>
                <w:szCs w:val="20"/>
                <w:color w:val="auto"/>
              </w:rPr>
            </w:pPr>
            <w:r>
              <w:rPr>
                <w:rFonts w:ascii="Arial" w:cs="Arial" w:eastAsia="Arial" w:hAnsi="Arial"/>
                <w:sz w:val="12"/>
                <w:szCs w:val="12"/>
                <w:color w:val="auto"/>
              </w:rPr>
              <w:t>1,809,337</w:t>
            </w:r>
          </w:p>
        </w:tc>
        <w:tc>
          <w:tcPr>
            <w:tcW w:w="0" w:type="dxa"/>
            <w:vAlign w:val="bottom"/>
          </w:tcPr>
          <w:p>
            <w:pPr>
              <w:spacing w:after="0"/>
              <w:rPr>
                <w:sz w:val="1"/>
                <w:szCs w:val="1"/>
                <w:color w:val="auto"/>
              </w:rPr>
            </w:pPr>
          </w:p>
        </w:tc>
      </w:tr>
      <w:tr>
        <w:trPr>
          <w:trHeight w:val="116"/>
        </w:trPr>
        <w:tc>
          <w:tcPr>
            <w:tcW w:w="2400" w:type="dxa"/>
            <w:vAlign w:val="bottom"/>
            <w:shd w:val="clear" w:color="auto" w:fill="E8E8E8"/>
          </w:tcPr>
          <w:p>
            <w:pPr>
              <w:spacing w:after="0" w:line="116" w:lineRule="exact"/>
              <w:rPr>
                <w:sz w:val="20"/>
                <w:szCs w:val="20"/>
                <w:color w:val="auto"/>
              </w:rPr>
            </w:pPr>
            <w:r>
              <w:rPr>
                <w:rFonts w:ascii="Arial" w:cs="Arial" w:eastAsia="Arial" w:hAnsi="Arial"/>
                <w:sz w:val="12"/>
                <w:szCs w:val="12"/>
                <w:color w:val="auto"/>
              </w:rPr>
              <w:t>Edward Fandrey</w:t>
            </w:r>
          </w:p>
        </w:tc>
        <w:tc>
          <w:tcPr>
            <w:tcW w:w="1140" w:type="dxa"/>
            <w:vAlign w:val="bottom"/>
            <w:shd w:val="clear" w:color="auto" w:fill="E8E8E8"/>
          </w:tcPr>
          <w:p>
            <w:pPr>
              <w:spacing w:after="0"/>
              <w:rPr>
                <w:sz w:val="10"/>
                <w:szCs w:val="10"/>
                <w:color w:val="auto"/>
              </w:rPr>
            </w:pPr>
          </w:p>
        </w:tc>
        <w:tc>
          <w:tcPr>
            <w:tcW w:w="780" w:type="dxa"/>
            <w:vAlign w:val="bottom"/>
            <w:shd w:val="clear" w:color="auto" w:fill="E8E8E8"/>
          </w:tcPr>
          <w:p>
            <w:pPr>
              <w:jc w:val="right"/>
              <w:ind w:right="18"/>
              <w:spacing w:after="0" w:line="116" w:lineRule="exact"/>
              <w:rPr>
                <w:sz w:val="20"/>
                <w:szCs w:val="20"/>
                <w:color w:val="auto"/>
              </w:rPr>
            </w:pPr>
            <w:r>
              <w:rPr>
                <w:rFonts w:ascii="Arial" w:cs="Arial" w:eastAsia="Arial" w:hAnsi="Arial"/>
                <w:sz w:val="12"/>
                <w:szCs w:val="12"/>
                <w:color w:val="auto"/>
              </w:rPr>
              <w:t>—</w:t>
            </w:r>
          </w:p>
        </w:tc>
        <w:tc>
          <w:tcPr>
            <w:tcW w:w="140" w:type="dxa"/>
            <w:vAlign w:val="bottom"/>
            <w:shd w:val="clear" w:color="auto" w:fill="E8E8E8"/>
          </w:tcPr>
          <w:p>
            <w:pPr>
              <w:spacing w:after="0"/>
              <w:rPr>
                <w:sz w:val="10"/>
                <w:szCs w:val="10"/>
                <w:color w:val="auto"/>
              </w:rPr>
            </w:pPr>
          </w:p>
        </w:tc>
        <w:tc>
          <w:tcPr>
            <w:tcW w:w="540" w:type="dxa"/>
            <w:vAlign w:val="bottom"/>
            <w:shd w:val="clear" w:color="auto" w:fill="E8E8E8"/>
          </w:tcPr>
          <w:p>
            <w:pPr>
              <w:jc w:val="right"/>
              <w:ind w:right="18"/>
              <w:spacing w:after="0" w:line="116" w:lineRule="exact"/>
              <w:rPr>
                <w:sz w:val="20"/>
                <w:szCs w:val="20"/>
                <w:color w:val="auto"/>
              </w:rPr>
            </w:pPr>
            <w:r>
              <w:rPr>
                <w:rFonts w:ascii="Arial" w:cs="Arial" w:eastAsia="Arial" w:hAnsi="Arial"/>
                <w:sz w:val="12"/>
                <w:szCs w:val="12"/>
                <w:color w:val="auto"/>
              </w:rPr>
              <w:t>—</w:t>
            </w:r>
          </w:p>
        </w:tc>
        <w:tc>
          <w:tcPr>
            <w:tcW w:w="360" w:type="dxa"/>
            <w:vAlign w:val="bottom"/>
            <w:shd w:val="clear" w:color="auto" w:fill="E8E8E8"/>
          </w:tcPr>
          <w:p>
            <w:pPr>
              <w:spacing w:after="0"/>
              <w:rPr>
                <w:sz w:val="10"/>
                <w:szCs w:val="10"/>
                <w:color w:val="auto"/>
              </w:rPr>
            </w:pPr>
          </w:p>
        </w:tc>
        <w:tc>
          <w:tcPr>
            <w:tcW w:w="180" w:type="dxa"/>
            <w:vAlign w:val="bottom"/>
            <w:shd w:val="clear" w:color="auto" w:fill="E8E8E8"/>
          </w:tcPr>
          <w:p>
            <w:pPr>
              <w:ind w:left="100"/>
              <w:spacing w:after="0" w:line="116" w:lineRule="exact"/>
              <w:rPr>
                <w:sz w:val="20"/>
                <w:szCs w:val="20"/>
                <w:color w:val="auto"/>
              </w:rPr>
            </w:pPr>
            <w:r>
              <w:rPr>
                <w:rFonts w:ascii="Arial" w:cs="Arial" w:eastAsia="Arial" w:hAnsi="Arial"/>
                <w:sz w:val="12"/>
                <w:szCs w:val="12"/>
                <w:color w:val="auto"/>
                <w:w w:val="89"/>
              </w:rPr>
              <w:t>$</w:t>
            </w:r>
          </w:p>
        </w:tc>
        <w:tc>
          <w:tcPr>
            <w:tcW w:w="500" w:type="dxa"/>
            <w:vAlign w:val="bottom"/>
            <w:shd w:val="clear" w:color="auto" w:fill="E8E8E8"/>
          </w:tcPr>
          <w:p>
            <w:pPr>
              <w:jc w:val="right"/>
              <w:spacing w:after="0" w:line="116" w:lineRule="exact"/>
              <w:rPr>
                <w:sz w:val="20"/>
                <w:szCs w:val="20"/>
                <w:color w:val="auto"/>
              </w:rPr>
            </w:pPr>
            <w:r>
              <w:rPr>
                <w:rFonts w:ascii="Arial" w:cs="Arial" w:eastAsia="Arial" w:hAnsi="Arial"/>
                <w:sz w:val="12"/>
                <w:szCs w:val="12"/>
                <w:color w:val="auto"/>
              </w:rPr>
              <w:t>—</w:t>
            </w:r>
          </w:p>
        </w:tc>
        <w:tc>
          <w:tcPr>
            <w:tcW w:w="680" w:type="dxa"/>
            <w:vAlign w:val="bottom"/>
            <w:shd w:val="clear" w:color="auto" w:fill="E8E8E8"/>
          </w:tcPr>
          <w:p>
            <w:pPr>
              <w:spacing w:after="0"/>
              <w:rPr>
                <w:sz w:val="10"/>
                <w:szCs w:val="10"/>
                <w:color w:val="auto"/>
              </w:rPr>
            </w:pPr>
          </w:p>
        </w:tc>
        <w:tc>
          <w:tcPr>
            <w:tcW w:w="100" w:type="dxa"/>
            <w:vAlign w:val="bottom"/>
            <w:shd w:val="clear" w:color="auto" w:fill="E8E8E8"/>
          </w:tcPr>
          <w:p>
            <w:pPr>
              <w:spacing w:after="0"/>
              <w:rPr>
                <w:sz w:val="10"/>
                <w:szCs w:val="10"/>
                <w:color w:val="auto"/>
              </w:rPr>
            </w:pPr>
          </w:p>
        </w:tc>
        <w:tc>
          <w:tcPr>
            <w:tcW w:w="200" w:type="dxa"/>
            <w:vAlign w:val="bottom"/>
            <w:shd w:val="clear" w:color="auto" w:fill="E8E8E8"/>
          </w:tcPr>
          <w:p>
            <w:pPr>
              <w:spacing w:after="0"/>
              <w:rPr>
                <w:sz w:val="10"/>
                <w:szCs w:val="10"/>
                <w:color w:val="auto"/>
              </w:rPr>
            </w:pPr>
          </w:p>
        </w:tc>
        <w:tc>
          <w:tcPr>
            <w:tcW w:w="620" w:type="dxa"/>
            <w:vAlign w:val="bottom"/>
            <w:gridSpan w:val="2"/>
            <w:shd w:val="clear" w:color="auto" w:fill="E8E8E8"/>
          </w:tcPr>
          <w:p>
            <w:pPr>
              <w:jc w:val="right"/>
              <w:ind w:right="18"/>
              <w:spacing w:after="0" w:line="116" w:lineRule="exact"/>
              <w:rPr>
                <w:sz w:val="20"/>
                <w:szCs w:val="20"/>
                <w:color w:val="auto"/>
              </w:rPr>
            </w:pPr>
            <w:r>
              <w:rPr>
                <w:rFonts w:ascii="Arial" w:cs="Arial" w:eastAsia="Arial" w:hAnsi="Arial"/>
                <w:sz w:val="12"/>
                <w:szCs w:val="12"/>
                <w:color w:val="auto"/>
              </w:rPr>
              <w:t>13,955</w:t>
            </w:r>
          </w:p>
        </w:tc>
        <w:tc>
          <w:tcPr>
            <w:tcW w:w="360" w:type="dxa"/>
            <w:vAlign w:val="bottom"/>
            <w:shd w:val="clear" w:color="auto" w:fill="E8E8E8"/>
          </w:tcPr>
          <w:p>
            <w:pPr>
              <w:ind w:left="40"/>
              <w:spacing w:after="0" w:line="116" w:lineRule="exact"/>
              <w:rPr>
                <w:sz w:val="20"/>
                <w:szCs w:val="20"/>
                <w:color w:val="auto"/>
              </w:rPr>
            </w:pPr>
            <w:r>
              <w:rPr>
                <w:rFonts w:ascii="Arial" w:cs="Arial" w:eastAsia="Arial" w:hAnsi="Arial"/>
                <w:sz w:val="12"/>
                <w:szCs w:val="12"/>
                <w:color w:val="auto"/>
              </w:rPr>
              <w:t>(12)</w:t>
            </w:r>
          </w:p>
        </w:tc>
        <w:tc>
          <w:tcPr>
            <w:tcW w:w="160" w:type="dxa"/>
            <w:vAlign w:val="bottom"/>
            <w:shd w:val="clear" w:color="auto" w:fill="E8E8E8"/>
          </w:tcPr>
          <w:p>
            <w:pPr>
              <w:ind w:left="80"/>
              <w:spacing w:after="0" w:line="116" w:lineRule="exact"/>
              <w:rPr>
                <w:sz w:val="20"/>
                <w:szCs w:val="20"/>
                <w:color w:val="auto"/>
              </w:rPr>
            </w:pPr>
            <w:r>
              <w:rPr>
                <w:rFonts w:ascii="Arial" w:cs="Arial" w:eastAsia="Arial" w:hAnsi="Arial"/>
                <w:sz w:val="12"/>
                <w:szCs w:val="12"/>
                <w:color w:val="auto"/>
                <w:w w:val="89"/>
              </w:rPr>
              <w:t>$</w:t>
            </w:r>
          </w:p>
        </w:tc>
        <w:tc>
          <w:tcPr>
            <w:tcW w:w="860" w:type="dxa"/>
            <w:vAlign w:val="bottom"/>
            <w:shd w:val="clear" w:color="auto" w:fill="E8E8E8"/>
          </w:tcPr>
          <w:p>
            <w:pPr>
              <w:jc w:val="right"/>
              <w:ind w:right="97"/>
              <w:spacing w:after="0" w:line="116" w:lineRule="exact"/>
              <w:rPr>
                <w:sz w:val="20"/>
                <w:szCs w:val="20"/>
                <w:color w:val="auto"/>
              </w:rPr>
            </w:pPr>
            <w:r>
              <w:rPr>
                <w:rFonts w:ascii="Arial" w:cs="Arial" w:eastAsia="Arial" w:hAnsi="Arial"/>
                <w:sz w:val="12"/>
                <w:szCs w:val="12"/>
                <w:color w:val="auto"/>
              </w:rPr>
              <w:t>2,234,056</w:t>
            </w:r>
          </w:p>
        </w:tc>
        <w:tc>
          <w:tcPr>
            <w:tcW w:w="680" w:type="dxa"/>
            <w:vAlign w:val="bottom"/>
            <w:shd w:val="clear" w:color="auto" w:fill="E8E8E8"/>
          </w:tcPr>
          <w:p>
            <w:pPr>
              <w:jc w:val="right"/>
              <w:ind w:right="78"/>
              <w:spacing w:after="0" w:line="116" w:lineRule="exact"/>
              <w:rPr>
                <w:sz w:val="20"/>
                <w:szCs w:val="20"/>
                <w:color w:val="auto"/>
              </w:rPr>
            </w:pPr>
            <w:r>
              <w:rPr>
                <w:rFonts w:ascii="Arial" w:cs="Arial" w:eastAsia="Arial" w:hAnsi="Arial"/>
                <w:sz w:val="12"/>
                <w:szCs w:val="12"/>
                <w:color w:val="auto"/>
              </w:rPr>
              <w:t>—</w:t>
            </w:r>
          </w:p>
        </w:tc>
        <w:tc>
          <w:tcPr>
            <w:tcW w:w="280" w:type="dxa"/>
            <w:vAlign w:val="bottom"/>
            <w:shd w:val="clear" w:color="auto" w:fill="E8E8E8"/>
          </w:tcPr>
          <w:p>
            <w:pPr>
              <w:spacing w:after="0"/>
              <w:rPr>
                <w:sz w:val="10"/>
                <w:szCs w:val="10"/>
                <w:color w:val="auto"/>
              </w:rPr>
            </w:pPr>
          </w:p>
        </w:tc>
        <w:tc>
          <w:tcPr>
            <w:tcW w:w="220" w:type="dxa"/>
            <w:vAlign w:val="bottom"/>
            <w:shd w:val="clear" w:color="auto" w:fill="E8E8E8"/>
          </w:tcPr>
          <w:p>
            <w:pPr>
              <w:ind w:left="80"/>
              <w:spacing w:after="0" w:line="116" w:lineRule="exact"/>
              <w:rPr>
                <w:sz w:val="20"/>
                <w:szCs w:val="20"/>
                <w:color w:val="auto"/>
              </w:rPr>
            </w:pPr>
            <w:r>
              <w:rPr>
                <w:rFonts w:ascii="Arial" w:cs="Arial" w:eastAsia="Arial" w:hAnsi="Arial"/>
                <w:sz w:val="12"/>
                <w:szCs w:val="12"/>
                <w:color w:val="auto"/>
              </w:rPr>
              <w:t>$</w:t>
            </w:r>
          </w:p>
        </w:tc>
        <w:tc>
          <w:tcPr>
            <w:tcW w:w="180" w:type="dxa"/>
            <w:vAlign w:val="bottom"/>
            <w:shd w:val="clear" w:color="auto" w:fill="E8E8E8"/>
          </w:tcPr>
          <w:p>
            <w:pPr>
              <w:spacing w:after="0"/>
              <w:rPr>
                <w:sz w:val="10"/>
                <w:szCs w:val="10"/>
                <w:color w:val="auto"/>
              </w:rPr>
            </w:pPr>
          </w:p>
        </w:tc>
        <w:tc>
          <w:tcPr>
            <w:tcW w:w="20" w:type="dxa"/>
            <w:vAlign w:val="bottom"/>
            <w:shd w:val="clear" w:color="auto" w:fill="E8E8E8"/>
          </w:tcPr>
          <w:p>
            <w:pPr>
              <w:spacing w:after="0"/>
              <w:rPr>
                <w:sz w:val="10"/>
                <w:szCs w:val="10"/>
                <w:color w:val="auto"/>
              </w:rPr>
            </w:pPr>
          </w:p>
        </w:tc>
        <w:tc>
          <w:tcPr>
            <w:tcW w:w="520" w:type="dxa"/>
            <w:vAlign w:val="bottom"/>
            <w:gridSpan w:val="2"/>
            <w:shd w:val="clear" w:color="auto" w:fill="E8E8E8"/>
          </w:tcPr>
          <w:p>
            <w:pPr>
              <w:jc w:val="right"/>
              <w:ind w:right="100"/>
              <w:spacing w:after="0" w:line="11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5"/>
        </w:trPr>
        <w:tc>
          <w:tcPr>
            <w:tcW w:w="2400" w:type="dxa"/>
            <w:vAlign w:val="bottom"/>
            <w:shd w:val="clear" w:color="auto" w:fill="E8E8E8"/>
          </w:tcPr>
          <w:p>
            <w:pPr>
              <w:spacing w:after="0"/>
              <w:rPr>
                <w:sz w:val="14"/>
                <w:szCs w:val="14"/>
                <w:color w:val="auto"/>
              </w:rPr>
            </w:pPr>
          </w:p>
        </w:tc>
        <w:tc>
          <w:tcPr>
            <w:tcW w:w="1140" w:type="dxa"/>
            <w:vAlign w:val="bottom"/>
            <w:shd w:val="clear" w:color="auto" w:fill="E8E8E8"/>
          </w:tcPr>
          <w:p>
            <w:pPr>
              <w:spacing w:after="0"/>
              <w:rPr>
                <w:sz w:val="14"/>
                <w:szCs w:val="14"/>
                <w:color w:val="auto"/>
              </w:rPr>
            </w:pPr>
          </w:p>
        </w:tc>
        <w:tc>
          <w:tcPr>
            <w:tcW w:w="78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140" w:type="dxa"/>
            <w:vAlign w:val="bottom"/>
            <w:shd w:val="clear" w:color="auto" w:fill="E8E8E8"/>
          </w:tcPr>
          <w:p>
            <w:pPr>
              <w:spacing w:after="0"/>
              <w:rPr>
                <w:sz w:val="14"/>
                <w:szCs w:val="14"/>
                <w:color w:val="auto"/>
              </w:rPr>
            </w:pPr>
          </w:p>
        </w:tc>
        <w:tc>
          <w:tcPr>
            <w:tcW w:w="54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360" w:type="dxa"/>
            <w:vAlign w:val="bottom"/>
            <w:shd w:val="clear" w:color="auto" w:fill="E8E8E8"/>
          </w:tcPr>
          <w:p>
            <w:pPr>
              <w:spacing w:after="0"/>
              <w:rPr>
                <w:sz w:val="14"/>
                <w:szCs w:val="14"/>
                <w:color w:val="auto"/>
              </w:rPr>
            </w:pPr>
          </w:p>
        </w:tc>
        <w:tc>
          <w:tcPr>
            <w:tcW w:w="180" w:type="dxa"/>
            <w:vAlign w:val="bottom"/>
            <w:shd w:val="clear" w:color="auto" w:fill="E8E8E8"/>
          </w:tcPr>
          <w:p>
            <w:pPr>
              <w:ind w:left="100"/>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E8E8E8"/>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E8E8E8"/>
          </w:tcPr>
          <w:p>
            <w:pPr>
              <w:spacing w:after="0"/>
              <w:rPr>
                <w:sz w:val="14"/>
                <w:szCs w:val="14"/>
                <w:color w:val="auto"/>
              </w:rPr>
            </w:pPr>
          </w:p>
        </w:tc>
        <w:tc>
          <w:tcPr>
            <w:tcW w:w="100" w:type="dxa"/>
            <w:vAlign w:val="bottom"/>
            <w:shd w:val="clear" w:color="auto" w:fill="E8E8E8"/>
          </w:tcPr>
          <w:p>
            <w:pPr>
              <w:spacing w:after="0"/>
              <w:rPr>
                <w:sz w:val="14"/>
                <w:szCs w:val="14"/>
                <w:color w:val="auto"/>
              </w:rPr>
            </w:pPr>
          </w:p>
        </w:tc>
        <w:tc>
          <w:tcPr>
            <w:tcW w:w="200" w:type="dxa"/>
            <w:vAlign w:val="bottom"/>
            <w:shd w:val="clear" w:color="auto" w:fill="E8E8E8"/>
          </w:tcPr>
          <w:p>
            <w:pPr>
              <w:spacing w:after="0"/>
              <w:rPr>
                <w:sz w:val="14"/>
                <w:szCs w:val="14"/>
                <w:color w:val="auto"/>
              </w:rPr>
            </w:pPr>
          </w:p>
        </w:tc>
        <w:tc>
          <w:tcPr>
            <w:tcW w:w="620" w:type="dxa"/>
            <w:vAlign w:val="bottom"/>
            <w:gridSpan w:val="2"/>
            <w:shd w:val="clear" w:color="auto" w:fill="E8E8E8"/>
          </w:tcPr>
          <w:p>
            <w:pPr>
              <w:jc w:val="right"/>
              <w:ind w:right="18"/>
              <w:spacing w:after="0"/>
              <w:rPr>
                <w:sz w:val="20"/>
                <w:szCs w:val="20"/>
                <w:color w:val="auto"/>
              </w:rPr>
            </w:pPr>
            <w:r>
              <w:rPr>
                <w:rFonts w:ascii="Arial" w:cs="Arial" w:eastAsia="Arial" w:hAnsi="Arial"/>
                <w:sz w:val="12"/>
                <w:szCs w:val="12"/>
                <w:color w:val="auto"/>
              </w:rPr>
              <w:t>3,603</w:t>
            </w:r>
          </w:p>
        </w:tc>
        <w:tc>
          <w:tcPr>
            <w:tcW w:w="360" w:type="dxa"/>
            <w:vAlign w:val="bottom"/>
            <w:shd w:val="clear" w:color="auto" w:fill="E8E8E8"/>
          </w:tcPr>
          <w:p>
            <w:pPr>
              <w:ind w:left="40"/>
              <w:spacing w:after="0"/>
              <w:rPr>
                <w:sz w:val="20"/>
                <w:szCs w:val="20"/>
                <w:color w:val="auto"/>
              </w:rPr>
            </w:pPr>
            <w:r>
              <w:rPr>
                <w:rFonts w:ascii="Arial" w:cs="Arial" w:eastAsia="Arial" w:hAnsi="Arial"/>
                <w:sz w:val="12"/>
                <w:szCs w:val="12"/>
                <w:color w:val="auto"/>
              </w:rPr>
              <w:t>(9)</w:t>
            </w:r>
          </w:p>
        </w:tc>
        <w:tc>
          <w:tcPr>
            <w:tcW w:w="160" w:type="dxa"/>
            <w:vAlign w:val="bottom"/>
            <w:shd w:val="clear" w:color="auto" w:fill="E8E8E8"/>
          </w:tcPr>
          <w:p>
            <w:pPr>
              <w:ind w:left="8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E8E8E8"/>
          </w:tcPr>
          <w:p>
            <w:pPr>
              <w:jc w:val="right"/>
              <w:ind w:right="97"/>
              <w:spacing w:after="0"/>
              <w:rPr>
                <w:sz w:val="20"/>
                <w:szCs w:val="20"/>
                <w:color w:val="auto"/>
              </w:rPr>
            </w:pPr>
            <w:r>
              <w:rPr>
                <w:rFonts w:ascii="Arial" w:cs="Arial" w:eastAsia="Arial" w:hAnsi="Arial"/>
                <w:sz w:val="12"/>
                <w:szCs w:val="12"/>
                <w:color w:val="auto"/>
              </w:rPr>
              <w:t>576,804</w:t>
            </w:r>
          </w:p>
        </w:tc>
        <w:tc>
          <w:tcPr>
            <w:tcW w:w="680" w:type="dxa"/>
            <w:vAlign w:val="bottom"/>
            <w:shd w:val="clear" w:color="auto" w:fill="E8E8E8"/>
          </w:tcPr>
          <w:p>
            <w:pPr>
              <w:jc w:val="right"/>
              <w:ind w:right="78"/>
              <w:spacing w:after="0"/>
              <w:rPr>
                <w:sz w:val="20"/>
                <w:szCs w:val="20"/>
                <w:color w:val="auto"/>
              </w:rPr>
            </w:pPr>
            <w:r>
              <w:rPr>
                <w:rFonts w:ascii="Arial" w:cs="Arial" w:eastAsia="Arial" w:hAnsi="Arial"/>
                <w:sz w:val="12"/>
                <w:szCs w:val="12"/>
                <w:color w:val="auto"/>
              </w:rPr>
              <w:t>—</w:t>
            </w:r>
          </w:p>
        </w:tc>
        <w:tc>
          <w:tcPr>
            <w:tcW w:w="280" w:type="dxa"/>
            <w:vAlign w:val="bottom"/>
            <w:shd w:val="clear" w:color="auto" w:fill="E8E8E8"/>
          </w:tcPr>
          <w:p>
            <w:pPr>
              <w:spacing w:after="0"/>
              <w:rPr>
                <w:sz w:val="14"/>
                <w:szCs w:val="14"/>
                <w:color w:val="auto"/>
              </w:rPr>
            </w:pPr>
          </w:p>
        </w:tc>
        <w:tc>
          <w:tcPr>
            <w:tcW w:w="220" w:type="dxa"/>
            <w:vAlign w:val="bottom"/>
            <w:shd w:val="clear" w:color="auto" w:fill="E8E8E8"/>
          </w:tcPr>
          <w:p>
            <w:pPr>
              <w:ind w:left="80"/>
              <w:spacing w:after="0"/>
              <w:rPr>
                <w:sz w:val="20"/>
                <w:szCs w:val="20"/>
                <w:color w:val="auto"/>
              </w:rPr>
            </w:pPr>
            <w:r>
              <w:rPr>
                <w:rFonts w:ascii="Arial" w:cs="Arial" w:eastAsia="Arial" w:hAnsi="Arial"/>
                <w:sz w:val="12"/>
                <w:szCs w:val="12"/>
                <w:color w:val="auto"/>
              </w:rPr>
              <w:t>$</w:t>
            </w:r>
          </w:p>
        </w:tc>
        <w:tc>
          <w:tcPr>
            <w:tcW w:w="180" w:type="dxa"/>
            <w:vAlign w:val="bottom"/>
            <w:shd w:val="clear" w:color="auto" w:fill="E8E8E8"/>
          </w:tcPr>
          <w:p>
            <w:pPr>
              <w:spacing w:after="0"/>
              <w:rPr>
                <w:sz w:val="14"/>
                <w:szCs w:val="14"/>
                <w:color w:val="auto"/>
              </w:rPr>
            </w:pPr>
          </w:p>
        </w:tc>
        <w:tc>
          <w:tcPr>
            <w:tcW w:w="20" w:type="dxa"/>
            <w:vAlign w:val="bottom"/>
            <w:shd w:val="clear" w:color="auto" w:fill="E8E8E8"/>
          </w:tcPr>
          <w:p>
            <w:pPr>
              <w:spacing w:after="0"/>
              <w:rPr>
                <w:sz w:val="14"/>
                <w:szCs w:val="14"/>
                <w:color w:val="auto"/>
              </w:rPr>
            </w:pPr>
          </w:p>
        </w:tc>
        <w:tc>
          <w:tcPr>
            <w:tcW w:w="520" w:type="dxa"/>
            <w:vAlign w:val="bottom"/>
            <w:gridSpan w:val="2"/>
            <w:shd w:val="clear" w:color="auto" w:fill="E8E8E8"/>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4"/>
        </w:trPr>
        <w:tc>
          <w:tcPr>
            <w:tcW w:w="2400" w:type="dxa"/>
            <w:vAlign w:val="bottom"/>
            <w:shd w:val="clear" w:color="auto" w:fill="E8E8E8"/>
          </w:tcPr>
          <w:p>
            <w:pPr>
              <w:spacing w:after="0"/>
              <w:rPr>
                <w:sz w:val="15"/>
                <w:szCs w:val="15"/>
                <w:color w:val="auto"/>
              </w:rPr>
            </w:pPr>
          </w:p>
        </w:tc>
        <w:tc>
          <w:tcPr>
            <w:tcW w:w="1140" w:type="dxa"/>
            <w:vAlign w:val="bottom"/>
            <w:shd w:val="clear" w:color="auto" w:fill="E8E8E8"/>
          </w:tcPr>
          <w:p>
            <w:pPr>
              <w:spacing w:after="0"/>
              <w:rPr>
                <w:sz w:val="15"/>
                <w:szCs w:val="15"/>
                <w:color w:val="auto"/>
              </w:rPr>
            </w:pPr>
          </w:p>
        </w:tc>
        <w:tc>
          <w:tcPr>
            <w:tcW w:w="78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140" w:type="dxa"/>
            <w:vAlign w:val="bottom"/>
            <w:shd w:val="clear" w:color="auto" w:fill="E8E8E8"/>
          </w:tcPr>
          <w:p>
            <w:pPr>
              <w:spacing w:after="0"/>
              <w:rPr>
                <w:sz w:val="15"/>
                <w:szCs w:val="15"/>
                <w:color w:val="auto"/>
              </w:rPr>
            </w:pPr>
          </w:p>
        </w:tc>
        <w:tc>
          <w:tcPr>
            <w:tcW w:w="54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360" w:type="dxa"/>
            <w:vAlign w:val="bottom"/>
            <w:shd w:val="clear" w:color="auto" w:fill="E8E8E8"/>
          </w:tcPr>
          <w:p>
            <w:pPr>
              <w:spacing w:after="0"/>
              <w:rPr>
                <w:sz w:val="15"/>
                <w:szCs w:val="15"/>
                <w:color w:val="auto"/>
              </w:rPr>
            </w:pPr>
          </w:p>
        </w:tc>
        <w:tc>
          <w:tcPr>
            <w:tcW w:w="180" w:type="dxa"/>
            <w:vAlign w:val="bottom"/>
            <w:shd w:val="clear" w:color="auto" w:fill="E8E8E8"/>
          </w:tcPr>
          <w:p>
            <w:pPr>
              <w:ind w:left="100"/>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E8E8E8"/>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E8E8E8"/>
          </w:tcPr>
          <w:p>
            <w:pPr>
              <w:spacing w:after="0"/>
              <w:rPr>
                <w:sz w:val="15"/>
                <w:szCs w:val="15"/>
                <w:color w:val="auto"/>
              </w:rPr>
            </w:pPr>
          </w:p>
        </w:tc>
        <w:tc>
          <w:tcPr>
            <w:tcW w:w="100" w:type="dxa"/>
            <w:vAlign w:val="bottom"/>
            <w:shd w:val="clear" w:color="auto" w:fill="E8E8E8"/>
          </w:tcPr>
          <w:p>
            <w:pPr>
              <w:spacing w:after="0"/>
              <w:rPr>
                <w:sz w:val="15"/>
                <w:szCs w:val="15"/>
                <w:color w:val="auto"/>
              </w:rPr>
            </w:pPr>
          </w:p>
        </w:tc>
        <w:tc>
          <w:tcPr>
            <w:tcW w:w="200" w:type="dxa"/>
            <w:vAlign w:val="bottom"/>
            <w:shd w:val="clear" w:color="auto" w:fill="E8E8E8"/>
          </w:tcPr>
          <w:p>
            <w:pPr>
              <w:spacing w:after="0"/>
              <w:rPr>
                <w:sz w:val="15"/>
                <w:szCs w:val="15"/>
                <w:color w:val="auto"/>
              </w:rPr>
            </w:pPr>
          </w:p>
        </w:tc>
        <w:tc>
          <w:tcPr>
            <w:tcW w:w="120" w:type="dxa"/>
            <w:vAlign w:val="bottom"/>
            <w:shd w:val="clear" w:color="auto" w:fill="E8E8E8"/>
          </w:tcPr>
          <w:p>
            <w:pPr>
              <w:spacing w:after="0"/>
              <w:rPr>
                <w:sz w:val="15"/>
                <w:szCs w:val="15"/>
                <w:color w:val="auto"/>
              </w:rPr>
            </w:pPr>
          </w:p>
        </w:tc>
        <w:tc>
          <w:tcPr>
            <w:tcW w:w="50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360" w:type="dxa"/>
            <w:vAlign w:val="bottom"/>
            <w:shd w:val="clear" w:color="auto" w:fill="E8E8E8"/>
          </w:tcPr>
          <w:p>
            <w:pPr>
              <w:spacing w:after="0"/>
              <w:rPr>
                <w:sz w:val="15"/>
                <w:szCs w:val="15"/>
                <w:color w:val="auto"/>
              </w:rPr>
            </w:pPr>
          </w:p>
        </w:tc>
        <w:tc>
          <w:tcPr>
            <w:tcW w:w="160" w:type="dxa"/>
            <w:vAlign w:val="bottom"/>
            <w:shd w:val="clear" w:color="auto" w:fill="E8E8E8"/>
          </w:tcPr>
          <w:p>
            <w:pPr>
              <w:ind w:left="8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E8E8E8"/>
          </w:tcPr>
          <w:p>
            <w:pPr>
              <w:jc w:val="right"/>
              <w:ind w:right="97"/>
              <w:spacing w:after="0"/>
              <w:rPr>
                <w:sz w:val="20"/>
                <w:szCs w:val="20"/>
                <w:color w:val="auto"/>
              </w:rPr>
            </w:pPr>
            <w:r>
              <w:rPr>
                <w:rFonts w:ascii="Arial" w:cs="Arial" w:eastAsia="Arial" w:hAnsi="Arial"/>
                <w:sz w:val="12"/>
                <w:szCs w:val="12"/>
                <w:color w:val="auto"/>
              </w:rPr>
              <w:t>—</w:t>
            </w:r>
          </w:p>
        </w:tc>
        <w:tc>
          <w:tcPr>
            <w:tcW w:w="680" w:type="dxa"/>
            <w:vAlign w:val="bottom"/>
            <w:shd w:val="clear" w:color="auto" w:fill="E8E8E8"/>
          </w:tcPr>
          <w:p>
            <w:pPr>
              <w:jc w:val="right"/>
              <w:ind w:right="58"/>
              <w:spacing w:after="0"/>
              <w:rPr>
                <w:sz w:val="20"/>
                <w:szCs w:val="20"/>
                <w:color w:val="auto"/>
              </w:rPr>
            </w:pPr>
            <w:r>
              <w:rPr>
                <w:rFonts w:ascii="Arial" w:cs="Arial" w:eastAsia="Arial" w:hAnsi="Arial"/>
                <w:sz w:val="12"/>
                <w:szCs w:val="12"/>
                <w:color w:val="auto"/>
              </w:rPr>
              <w:t>10,810</w:t>
            </w:r>
          </w:p>
        </w:tc>
        <w:tc>
          <w:tcPr>
            <w:tcW w:w="28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w w:val="84"/>
              </w:rPr>
              <w:t>(11)</w:t>
            </w:r>
          </w:p>
        </w:tc>
        <w:tc>
          <w:tcPr>
            <w:tcW w:w="220" w:type="dxa"/>
            <w:vAlign w:val="bottom"/>
            <w:shd w:val="clear" w:color="auto" w:fill="E8E8E8"/>
          </w:tcPr>
          <w:p>
            <w:pPr>
              <w:ind w:left="80"/>
              <w:spacing w:after="0"/>
              <w:rPr>
                <w:sz w:val="20"/>
                <w:szCs w:val="20"/>
                <w:color w:val="auto"/>
              </w:rPr>
            </w:pPr>
            <w:r>
              <w:rPr>
                <w:rFonts w:ascii="Arial" w:cs="Arial" w:eastAsia="Arial" w:hAnsi="Arial"/>
                <w:sz w:val="12"/>
                <w:szCs w:val="12"/>
                <w:color w:val="auto"/>
              </w:rPr>
              <w:t>$</w:t>
            </w:r>
          </w:p>
        </w:tc>
        <w:tc>
          <w:tcPr>
            <w:tcW w:w="720" w:type="dxa"/>
            <w:vAlign w:val="bottom"/>
            <w:gridSpan w:val="4"/>
            <w:shd w:val="clear" w:color="auto" w:fill="E8E8E8"/>
          </w:tcPr>
          <w:p>
            <w:pPr>
              <w:jc w:val="right"/>
              <w:ind w:right="100"/>
              <w:spacing w:after="0"/>
              <w:rPr>
                <w:sz w:val="20"/>
                <w:szCs w:val="20"/>
                <w:color w:val="auto"/>
              </w:rPr>
            </w:pPr>
            <w:r>
              <w:rPr>
                <w:rFonts w:ascii="Arial" w:cs="Arial" w:eastAsia="Arial" w:hAnsi="Arial"/>
                <w:sz w:val="12"/>
                <w:szCs w:val="12"/>
                <w:color w:val="auto"/>
              </w:rPr>
              <w:t>1,730,573</w:t>
            </w:r>
          </w:p>
        </w:tc>
        <w:tc>
          <w:tcPr>
            <w:tcW w:w="0" w:type="dxa"/>
            <w:vAlign w:val="bottom"/>
          </w:tcPr>
          <w:p>
            <w:pPr>
              <w:spacing w:after="0"/>
              <w:rPr>
                <w:sz w:val="1"/>
                <w:szCs w:val="1"/>
                <w:color w:val="auto"/>
              </w:rPr>
            </w:pPr>
          </w:p>
        </w:tc>
      </w:tr>
      <w:tr>
        <w:trPr>
          <w:trHeight w:val="165"/>
        </w:trPr>
        <w:tc>
          <w:tcPr>
            <w:tcW w:w="2400" w:type="dxa"/>
            <w:vAlign w:val="bottom"/>
          </w:tcPr>
          <w:p>
            <w:pPr>
              <w:spacing w:after="0"/>
              <w:rPr>
                <w:sz w:val="20"/>
                <w:szCs w:val="20"/>
                <w:color w:val="auto"/>
              </w:rPr>
            </w:pPr>
            <w:r>
              <w:rPr>
                <w:rFonts w:ascii="Arial" w:cs="Arial" w:eastAsia="Arial" w:hAnsi="Arial"/>
                <w:sz w:val="12"/>
                <w:szCs w:val="12"/>
                <w:color w:val="auto"/>
              </w:rPr>
              <w:t>Dayton Semerjian</w:t>
            </w:r>
          </w:p>
        </w:tc>
        <w:tc>
          <w:tcPr>
            <w:tcW w:w="1140" w:type="dxa"/>
            <w:vAlign w:val="bottom"/>
          </w:tcPr>
          <w:p>
            <w:pPr>
              <w:spacing w:after="0"/>
              <w:rPr>
                <w:sz w:val="14"/>
                <w:szCs w:val="14"/>
                <w:color w:val="auto"/>
              </w:rPr>
            </w:pPr>
          </w:p>
        </w:tc>
        <w:tc>
          <w:tcPr>
            <w:tcW w:w="78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54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right"/>
              <w:ind w:right="18"/>
              <w:spacing w:after="0"/>
              <w:rPr>
                <w:sz w:val="20"/>
                <w:szCs w:val="20"/>
                <w:color w:val="auto"/>
              </w:rPr>
            </w:pPr>
            <w:r>
              <w:rPr>
                <w:rFonts w:ascii="Arial" w:cs="Arial" w:eastAsia="Arial" w:hAnsi="Arial"/>
                <w:sz w:val="12"/>
                <w:szCs w:val="12"/>
                <w:color w:val="auto"/>
              </w:rPr>
              <w:t>2,460</w:t>
            </w:r>
          </w:p>
        </w:tc>
        <w:tc>
          <w:tcPr>
            <w:tcW w:w="360" w:type="dxa"/>
            <w:vAlign w:val="bottom"/>
          </w:tcPr>
          <w:p>
            <w:pPr>
              <w:ind w:left="40"/>
              <w:spacing w:after="0"/>
              <w:rPr>
                <w:sz w:val="20"/>
                <w:szCs w:val="20"/>
                <w:color w:val="auto"/>
              </w:rPr>
            </w:pPr>
            <w:r>
              <w:rPr>
                <w:rFonts w:ascii="Arial" w:cs="Arial" w:eastAsia="Arial" w:hAnsi="Arial"/>
                <w:sz w:val="12"/>
                <w:szCs w:val="12"/>
                <w:color w:val="auto"/>
              </w:rPr>
              <w:t>(7)</w:t>
            </w:r>
          </w:p>
        </w:tc>
        <w:tc>
          <w:tcPr>
            <w:tcW w:w="160" w:type="dxa"/>
            <w:vAlign w:val="bottom"/>
          </w:tcPr>
          <w:p>
            <w:pPr>
              <w:ind w:left="8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97"/>
              <w:spacing w:after="0"/>
              <w:rPr>
                <w:sz w:val="20"/>
                <w:szCs w:val="20"/>
                <w:color w:val="auto"/>
              </w:rPr>
            </w:pPr>
            <w:r>
              <w:rPr>
                <w:rFonts w:ascii="Arial" w:cs="Arial" w:eastAsia="Arial" w:hAnsi="Arial"/>
                <w:sz w:val="12"/>
                <w:szCs w:val="12"/>
                <w:color w:val="auto"/>
              </w:rPr>
              <w:t>393,821</w:t>
            </w:r>
          </w:p>
        </w:tc>
        <w:tc>
          <w:tcPr>
            <w:tcW w:w="68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220" w:type="dxa"/>
            <w:vAlign w:val="bottom"/>
          </w:tcPr>
          <w:p>
            <w:pPr>
              <w:ind w:left="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9"/>
        </w:trPr>
        <w:tc>
          <w:tcPr>
            <w:tcW w:w="2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54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right"/>
              <w:ind w:right="18"/>
              <w:spacing w:after="0"/>
              <w:rPr>
                <w:sz w:val="20"/>
                <w:szCs w:val="20"/>
                <w:color w:val="auto"/>
              </w:rPr>
            </w:pPr>
            <w:r>
              <w:rPr>
                <w:rFonts w:ascii="Arial" w:cs="Arial" w:eastAsia="Arial" w:hAnsi="Arial"/>
                <w:sz w:val="12"/>
                <w:szCs w:val="12"/>
                <w:color w:val="auto"/>
              </w:rPr>
              <w:t>2,866</w:t>
            </w:r>
          </w:p>
        </w:tc>
        <w:tc>
          <w:tcPr>
            <w:tcW w:w="360" w:type="dxa"/>
            <w:vAlign w:val="bottom"/>
          </w:tcPr>
          <w:p>
            <w:pPr>
              <w:ind w:left="40"/>
              <w:spacing w:after="0"/>
              <w:rPr>
                <w:sz w:val="20"/>
                <w:szCs w:val="20"/>
                <w:color w:val="auto"/>
              </w:rPr>
            </w:pPr>
            <w:r>
              <w:rPr>
                <w:rFonts w:ascii="Arial" w:cs="Arial" w:eastAsia="Arial" w:hAnsi="Arial"/>
                <w:sz w:val="12"/>
                <w:szCs w:val="12"/>
                <w:color w:val="auto"/>
              </w:rPr>
              <w:t>(9)</w:t>
            </w:r>
          </w:p>
        </w:tc>
        <w:tc>
          <w:tcPr>
            <w:tcW w:w="160" w:type="dxa"/>
            <w:vAlign w:val="bottom"/>
          </w:tcPr>
          <w:p>
            <w:pPr>
              <w:ind w:left="8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97"/>
              <w:spacing w:after="0"/>
              <w:rPr>
                <w:sz w:val="20"/>
                <w:szCs w:val="20"/>
                <w:color w:val="auto"/>
              </w:rPr>
            </w:pPr>
            <w:r>
              <w:rPr>
                <w:rFonts w:ascii="Arial" w:cs="Arial" w:eastAsia="Arial" w:hAnsi="Arial"/>
                <w:sz w:val="12"/>
                <w:szCs w:val="12"/>
                <w:color w:val="auto"/>
              </w:rPr>
              <w:t>458,818</w:t>
            </w:r>
          </w:p>
        </w:tc>
        <w:tc>
          <w:tcPr>
            <w:tcW w:w="68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220" w:type="dxa"/>
            <w:vAlign w:val="bottom"/>
          </w:tcPr>
          <w:p>
            <w:pPr>
              <w:ind w:left="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7"/>
        </w:trPr>
        <w:tc>
          <w:tcPr>
            <w:tcW w:w="2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6"/>
                <w:szCs w:val="16"/>
                <w:color w:val="auto"/>
              </w:rPr>
            </w:pPr>
          </w:p>
        </w:tc>
        <w:tc>
          <w:tcPr>
            <w:tcW w:w="54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6"/>
                <w:szCs w:val="16"/>
                <w:color w:val="auto"/>
              </w:rPr>
            </w:pPr>
          </w:p>
        </w:tc>
        <w:tc>
          <w:tcPr>
            <w:tcW w:w="180" w:type="dxa"/>
            <w:vAlign w:val="bottom"/>
          </w:tcPr>
          <w:p>
            <w:pPr>
              <w:ind w:left="100"/>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6"/>
                <w:szCs w:val="16"/>
                <w:color w:val="auto"/>
              </w:rPr>
            </w:pPr>
          </w:p>
        </w:tc>
        <w:tc>
          <w:tcPr>
            <w:tcW w:w="160" w:type="dxa"/>
            <w:vAlign w:val="bottom"/>
          </w:tcPr>
          <w:p>
            <w:pPr>
              <w:ind w:left="8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97"/>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78"/>
              <w:spacing w:after="0"/>
              <w:rPr>
                <w:sz w:val="20"/>
                <w:szCs w:val="20"/>
                <w:color w:val="auto"/>
              </w:rPr>
            </w:pPr>
            <w:r>
              <w:rPr>
                <w:rFonts w:ascii="Arial" w:cs="Arial" w:eastAsia="Arial" w:hAnsi="Arial"/>
                <w:sz w:val="12"/>
                <w:szCs w:val="12"/>
                <w:color w:val="auto"/>
              </w:rPr>
              <w:t>11,068</w:t>
            </w:r>
          </w:p>
        </w:tc>
        <w:tc>
          <w:tcPr>
            <w:tcW w:w="280" w:type="dxa"/>
            <w:vAlign w:val="bottom"/>
          </w:tcPr>
          <w:p>
            <w:pPr>
              <w:jc w:val="right"/>
              <w:ind w:right="18"/>
              <w:spacing w:after="0"/>
              <w:rPr>
                <w:sz w:val="20"/>
                <w:szCs w:val="20"/>
                <w:color w:val="auto"/>
              </w:rPr>
            </w:pPr>
            <w:r>
              <w:rPr>
                <w:rFonts w:ascii="Arial" w:cs="Arial" w:eastAsia="Arial" w:hAnsi="Arial"/>
                <w:sz w:val="12"/>
                <w:szCs w:val="12"/>
                <w:color w:val="auto"/>
                <w:w w:val="84"/>
              </w:rPr>
              <w:t>(11)</w:t>
            </w:r>
          </w:p>
        </w:tc>
        <w:tc>
          <w:tcPr>
            <w:tcW w:w="220" w:type="dxa"/>
            <w:vAlign w:val="bottom"/>
          </w:tcPr>
          <w:p>
            <w:pPr>
              <w:ind w:left="80"/>
              <w:spacing w:after="0"/>
              <w:rPr>
                <w:sz w:val="20"/>
                <w:szCs w:val="20"/>
                <w:color w:val="auto"/>
              </w:rPr>
            </w:pPr>
            <w:r>
              <w:rPr>
                <w:rFonts w:ascii="Arial" w:cs="Arial" w:eastAsia="Arial" w:hAnsi="Arial"/>
                <w:sz w:val="12"/>
                <w:szCs w:val="12"/>
                <w:color w:val="auto"/>
              </w:rPr>
              <w:t>$</w:t>
            </w:r>
          </w:p>
        </w:tc>
        <w:tc>
          <w:tcPr>
            <w:tcW w:w="720" w:type="dxa"/>
            <w:vAlign w:val="bottom"/>
            <w:gridSpan w:val="4"/>
          </w:tcPr>
          <w:p>
            <w:pPr>
              <w:jc w:val="right"/>
              <w:ind w:right="100"/>
              <w:spacing w:after="0"/>
              <w:rPr>
                <w:sz w:val="20"/>
                <w:szCs w:val="20"/>
                <w:color w:val="auto"/>
              </w:rPr>
            </w:pPr>
            <w:r>
              <w:rPr>
                <w:rFonts w:ascii="Arial" w:cs="Arial" w:eastAsia="Arial" w:hAnsi="Arial"/>
                <w:sz w:val="12"/>
                <w:szCs w:val="12"/>
                <w:color w:val="auto"/>
              </w:rPr>
              <w:t>1,771,876</w:t>
            </w:r>
          </w:p>
        </w:tc>
        <w:tc>
          <w:tcPr>
            <w:tcW w:w="0" w:type="dxa"/>
            <w:vAlign w:val="bottom"/>
          </w:tcPr>
          <w:p>
            <w:pPr>
              <w:spacing w:after="0"/>
              <w:rPr>
                <w:sz w:val="1"/>
                <w:szCs w:val="1"/>
                <w:color w:val="auto"/>
              </w:rPr>
            </w:pPr>
          </w:p>
        </w:tc>
      </w:tr>
      <w:tr>
        <w:trPr>
          <w:trHeight w:val="187"/>
        </w:trPr>
        <w:tc>
          <w:tcPr>
            <w:tcW w:w="2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6"/>
                <w:szCs w:val="16"/>
                <w:color w:val="auto"/>
              </w:rPr>
            </w:pPr>
          </w:p>
        </w:tc>
        <w:tc>
          <w:tcPr>
            <w:tcW w:w="54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6"/>
                <w:szCs w:val="16"/>
                <w:color w:val="auto"/>
              </w:rPr>
            </w:pPr>
          </w:p>
        </w:tc>
        <w:tc>
          <w:tcPr>
            <w:tcW w:w="180" w:type="dxa"/>
            <w:vAlign w:val="bottom"/>
          </w:tcPr>
          <w:p>
            <w:pPr>
              <w:ind w:left="100"/>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6"/>
                <w:szCs w:val="16"/>
                <w:color w:val="auto"/>
              </w:rPr>
            </w:pPr>
          </w:p>
        </w:tc>
        <w:tc>
          <w:tcPr>
            <w:tcW w:w="160" w:type="dxa"/>
            <w:vAlign w:val="bottom"/>
          </w:tcPr>
          <w:p>
            <w:pPr>
              <w:ind w:left="8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97"/>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58"/>
              <w:spacing w:after="0"/>
              <w:rPr>
                <w:sz w:val="20"/>
                <w:szCs w:val="20"/>
                <w:color w:val="auto"/>
              </w:rPr>
            </w:pPr>
            <w:r>
              <w:rPr>
                <w:rFonts w:ascii="Arial" w:cs="Arial" w:eastAsia="Arial" w:hAnsi="Arial"/>
                <w:sz w:val="12"/>
                <w:szCs w:val="12"/>
                <w:color w:val="auto"/>
              </w:rPr>
              <w:t>8,600</w:t>
            </w:r>
          </w:p>
        </w:tc>
        <w:tc>
          <w:tcPr>
            <w:tcW w:w="280" w:type="dxa"/>
            <w:vAlign w:val="bottom"/>
          </w:tcPr>
          <w:p>
            <w:pPr>
              <w:jc w:val="right"/>
              <w:ind w:right="18"/>
              <w:spacing w:after="0"/>
              <w:rPr>
                <w:sz w:val="20"/>
                <w:szCs w:val="20"/>
                <w:color w:val="auto"/>
              </w:rPr>
            </w:pPr>
            <w:r>
              <w:rPr>
                <w:rFonts w:ascii="Arial" w:cs="Arial" w:eastAsia="Arial" w:hAnsi="Arial"/>
                <w:sz w:val="12"/>
                <w:szCs w:val="12"/>
                <w:color w:val="auto"/>
                <w:w w:val="84"/>
              </w:rPr>
              <w:t>(11)</w:t>
            </w:r>
          </w:p>
        </w:tc>
        <w:tc>
          <w:tcPr>
            <w:tcW w:w="220" w:type="dxa"/>
            <w:vAlign w:val="bottom"/>
          </w:tcPr>
          <w:p>
            <w:pPr>
              <w:ind w:left="80"/>
              <w:spacing w:after="0"/>
              <w:rPr>
                <w:sz w:val="20"/>
                <w:szCs w:val="20"/>
                <w:color w:val="auto"/>
              </w:rPr>
            </w:pPr>
            <w:r>
              <w:rPr>
                <w:rFonts w:ascii="Arial" w:cs="Arial" w:eastAsia="Arial" w:hAnsi="Arial"/>
                <w:sz w:val="12"/>
                <w:szCs w:val="12"/>
                <w:color w:val="auto"/>
              </w:rPr>
              <w:t>$</w:t>
            </w:r>
          </w:p>
        </w:tc>
        <w:tc>
          <w:tcPr>
            <w:tcW w:w="720" w:type="dxa"/>
            <w:vAlign w:val="bottom"/>
            <w:gridSpan w:val="4"/>
          </w:tcPr>
          <w:p>
            <w:pPr>
              <w:jc w:val="right"/>
              <w:ind w:right="100"/>
              <w:spacing w:after="0"/>
              <w:rPr>
                <w:sz w:val="20"/>
                <w:szCs w:val="20"/>
                <w:color w:val="auto"/>
              </w:rPr>
            </w:pPr>
            <w:r>
              <w:rPr>
                <w:rFonts w:ascii="Arial" w:cs="Arial" w:eastAsia="Arial" w:hAnsi="Arial"/>
                <w:sz w:val="12"/>
                <w:szCs w:val="12"/>
                <w:color w:val="auto"/>
              </w:rPr>
              <w:t>1,376,774</w:t>
            </w:r>
          </w:p>
        </w:tc>
        <w:tc>
          <w:tcPr>
            <w:tcW w:w="0" w:type="dxa"/>
            <w:vAlign w:val="bottom"/>
          </w:tcPr>
          <w:p>
            <w:pPr>
              <w:spacing w:after="0"/>
              <w:rPr>
                <w:sz w:val="1"/>
                <w:szCs w:val="1"/>
                <w:color w:val="auto"/>
              </w:rPr>
            </w:pPr>
          </w:p>
        </w:tc>
      </w:tr>
      <w:tr>
        <w:trPr>
          <w:trHeight w:val="40"/>
        </w:trPr>
        <w:tc>
          <w:tcPr>
            <w:tcW w:w="2400" w:type="dxa"/>
            <w:vAlign w:val="bottom"/>
            <w:tcBorders>
              <w:bottom w:val="single" w:sz="8" w:color="050A54"/>
            </w:tcBorders>
          </w:tcPr>
          <w:p>
            <w:pPr>
              <w:spacing w:after="0"/>
              <w:rPr>
                <w:sz w:val="3"/>
                <w:szCs w:val="3"/>
                <w:color w:val="auto"/>
              </w:rPr>
            </w:pPr>
          </w:p>
        </w:tc>
        <w:tc>
          <w:tcPr>
            <w:tcW w:w="1140" w:type="dxa"/>
            <w:vAlign w:val="bottom"/>
            <w:tcBorders>
              <w:bottom w:val="single" w:sz="8" w:color="050A54"/>
            </w:tcBorders>
          </w:tcPr>
          <w:p>
            <w:pPr>
              <w:spacing w:after="0"/>
              <w:rPr>
                <w:sz w:val="3"/>
                <w:szCs w:val="3"/>
                <w:color w:val="auto"/>
              </w:rPr>
            </w:pPr>
          </w:p>
        </w:tc>
        <w:tc>
          <w:tcPr>
            <w:tcW w:w="780" w:type="dxa"/>
            <w:vAlign w:val="bottom"/>
            <w:tcBorders>
              <w:bottom w:val="single" w:sz="8" w:color="050A54"/>
            </w:tcBorders>
          </w:tcPr>
          <w:p>
            <w:pPr>
              <w:spacing w:after="0"/>
              <w:rPr>
                <w:sz w:val="3"/>
                <w:szCs w:val="3"/>
                <w:color w:val="auto"/>
              </w:rPr>
            </w:pPr>
          </w:p>
        </w:tc>
        <w:tc>
          <w:tcPr>
            <w:tcW w:w="140" w:type="dxa"/>
            <w:vAlign w:val="bottom"/>
            <w:tcBorders>
              <w:bottom w:val="single" w:sz="8" w:color="050A54"/>
            </w:tcBorders>
          </w:tcPr>
          <w:p>
            <w:pPr>
              <w:spacing w:after="0"/>
              <w:rPr>
                <w:sz w:val="3"/>
                <w:szCs w:val="3"/>
                <w:color w:val="auto"/>
              </w:rPr>
            </w:pPr>
          </w:p>
        </w:tc>
        <w:tc>
          <w:tcPr>
            <w:tcW w:w="540" w:type="dxa"/>
            <w:vAlign w:val="bottom"/>
            <w:tcBorders>
              <w:bottom w:val="single" w:sz="8" w:color="050A54"/>
            </w:tcBorders>
          </w:tcPr>
          <w:p>
            <w:pPr>
              <w:spacing w:after="0"/>
              <w:rPr>
                <w:sz w:val="3"/>
                <w:szCs w:val="3"/>
                <w:color w:val="auto"/>
              </w:rPr>
            </w:pPr>
          </w:p>
        </w:tc>
        <w:tc>
          <w:tcPr>
            <w:tcW w:w="360" w:type="dxa"/>
            <w:vAlign w:val="bottom"/>
            <w:tcBorders>
              <w:bottom w:val="single" w:sz="8" w:color="050A54"/>
            </w:tcBorders>
          </w:tcPr>
          <w:p>
            <w:pPr>
              <w:spacing w:after="0"/>
              <w:rPr>
                <w:sz w:val="3"/>
                <w:szCs w:val="3"/>
                <w:color w:val="auto"/>
              </w:rPr>
            </w:pPr>
          </w:p>
        </w:tc>
        <w:tc>
          <w:tcPr>
            <w:tcW w:w="180" w:type="dxa"/>
            <w:vAlign w:val="bottom"/>
            <w:tcBorders>
              <w:bottom w:val="single" w:sz="8" w:color="050A54"/>
            </w:tcBorders>
          </w:tcPr>
          <w:p>
            <w:pPr>
              <w:spacing w:after="0"/>
              <w:rPr>
                <w:sz w:val="3"/>
                <w:szCs w:val="3"/>
                <w:color w:val="auto"/>
              </w:rPr>
            </w:pPr>
          </w:p>
        </w:tc>
        <w:tc>
          <w:tcPr>
            <w:tcW w:w="500" w:type="dxa"/>
            <w:vAlign w:val="bottom"/>
            <w:tcBorders>
              <w:bottom w:val="single" w:sz="8" w:color="050A54"/>
            </w:tcBorders>
          </w:tcPr>
          <w:p>
            <w:pPr>
              <w:spacing w:after="0"/>
              <w:rPr>
                <w:sz w:val="3"/>
                <w:szCs w:val="3"/>
                <w:color w:val="auto"/>
              </w:rPr>
            </w:pPr>
          </w:p>
        </w:tc>
        <w:tc>
          <w:tcPr>
            <w:tcW w:w="680" w:type="dxa"/>
            <w:vAlign w:val="bottom"/>
            <w:tcBorders>
              <w:bottom w:val="single" w:sz="8" w:color="050A54"/>
            </w:tcBorders>
          </w:tcPr>
          <w:p>
            <w:pPr>
              <w:spacing w:after="0"/>
              <w:rPr>
                <w:sz w:val="3"/>
                <w:szCs w:val="3"/>
                <w:color w:val="auto"/>
              </w:rPr>
            </w:pPr>
          </w:p>
        </w:tc>
        <w:tc>
          <w:tcPr>
            <w:tcW w:w="100" w:type="dxa"/>
            <w:vAlign w:val="bottom"/>
            <w:tcBorders>
              <w:bottom w:val="single" w:sz="8" w:color="050A54"/>
            </w:tcBorders>
          </w:tcPr>
          <w:p>
            <w:pPr>
              <w:spacing w:after="0"/>
              <w:rPr>
                <w:sz w:val="3"/>
                <w:szCs w:val="3"/>
                <w:color w:val="auto"/>
              </w:rPr>
            </w:pPr>
          </w:p>
        </w:tc>
        <w:tc>
          <w:tcPr>
            <w:tcW w:w="200" w:type="dxa"/>
            <w:vAlign w:val="bottom"/>
            <w:tcBorders>
              <w:bottom w:val="single" w:sz="8" w:color="050A54"/>
            </w:tcBorders>
          </w:tcPr>
          <w:p>
            <w:pPr>
              <w:spacing w:after="0"/>
              <w:rPr>
                <w:sz w:val="3"/>
                <w:szCs w:val="3"/>
                <w:color w:val="auto"/>
              </w:rPr>
            </w:pPr>
          </w:p>
        </w:tc>
        <w:tc>
          <w:tcPr>
            <w:tcW w:w="120" w:type="dxa"/>
            <w:vAlign w:val="bottom"/>
            <w:tcBorders>
              <w:bottom w:val="single" w:sz="8" w:color="050A54"/>
            </w:tcBorders>
          </w:tcPr>
          <w:p>
            <w:pPr>
              <w:spacing w:after="0"/>
              <w:rPr>
                <w:sz w:val="3"/>
                <w:szCs w:val="3"/>
                <w:color w:val="auto"/>
              </w:rPr>
            </w:pPr>
          </w:p>
        </w:tc>
        <w:tc>
          <w:tcPr>
            <w:tcW w:w="500" w:type="dxa"/>
            <w:vAlign w:val="bottom"/>
            <w:tcBorders>
              <w:bottom w:val="single" w:sz="8" w:color="050A54"/>
            </w:tcBorders>
          </w:tcPr>
          <w:p>
            <w:pPr>
              <w:spacing w:after="0"/>
              <w:rPr>
                <w:sz w:val="3"/>
                <w:szCs w:val="3"/>
                <w:color w:val="auto"/>
              </w:rPr>
            </w:pPr>
          </w:p>
        </w:tc>
        <w:tc>
          <w:tcPr>
            <w:tcW w:w="360" w:type="dxa"/>
            <w:vAlign w:val="bottom"/>
            <w:tcBorders>
              <w:bottom w:val="single" w:sz="8" w:color="050A54"/>
            </w:tcBorders>
          </w:tcPr>
          <w:p>
            <w:pPr>
              <w:spacing w:after="0"/>
              <w:rPr>
                <w:sz w:val="3"/>
                <w:szCs w:val="3"/>
                <w:color w:val="auto"/>
              </w:rPr>
            </w:pPr>
          </w:p>
        </w:tc>
        <w:tc>
          <w:tcPr>
            <w:tcW w:w="160" w:type="dxa"/>
            <w:vAlign w:val="bottom"/>
            <w:tcBorders>
              <w:bottom w:val="single" w:sz="8" w:color="050A54"/>
            </w:tcBorders>
          </w:tcPr>
          <w:p>
            <w:pPr>
              <w:spacing w:after="0"/>
              <w:rPr>
                <w:sz w:val="3"/>
                <w:szCs w:val="3"/>
                <w:color w:val="auto"/>
              </w:rPr>
            </w:pPr>
          </w:p>
        </w:tc>
        <w:tc>
          <w:tcPr>
            <w:tcW w:w="2040" w:type="dxa"/>
            <w:vAlign w:val="bottom"/>
            <w:tcBorders>
              <w:bottom w:val="single" w:sz="8" w:color="050A54"/>
            </w:tcBorders>
            <w:gridSpan w:val="4"/>
          </w:tcPr>
          <w:p>
            <w:pPr>
              <w:spacing w:after="0"/>
              <w:rPr>
                <w:sz w:val="3"/>
                <w:szCs w:val="3"/>
                <w:color w:val="auto"/>
              </w:rPr>
            </w:pPr>
          </w:p>
        </w:tc>
        <w:tc>
          <w:tcPr>
            <w:tcW w:w="180" w:type="dxa"/>
            <w:vAlign w:val="bottom"/>
            <w:tcBorders>
              <w:bottom w:val="single" w:sz="8" w:color="050A54"/>
            </w:tcBorders>
          </w:tcPr>
          <w:p>
            <w:pPr>
              <w:spacing w:after="0"/>
              <w:rPr>
                <w:sz w:val="3"/>
                <w:szCs w:val="3"/>
                <w:color w:val="auto"/>
              </w:rPr>
            </w:pPr>
          </w:p>
        </w:tc>
        <w:tc>
          <w:tcPr>
            <w:tcW w:w="20" w:type="dxa"/>
            <w:vAlign w:val="bottom"/>
            <w:tcBorders>
              <w:bottom w:val="single" w:sz="8" w:color="050A54"/>
            </w:tcBorders>
          </w:tcPr>
          <w:p>
            <w:pPr>
              <w:spacing w:after="0"/>
              <w:rPr>
                <w:sz w:val="3"/>
                <w:szCs w:val="3"/>
                <w:color w:val="auto"/>
              </w:rPr>
            </w:pPr>
          </w:p>
        </w:tc>
        <w:tc>
          <w:tcPr>
            <w:tcW w:w="420" w:type="dxa"/>
            <w:vAlign w:val="bottom"/>
            <w:tcBorders>
              <w:bottom w:val="single" w:sz="8" w:color="050A54"/>
            </w:tcBorders>
          </w:tcPr>
          <w:p>
            <w:pPr>
              <w:spacing w:after="0"/>
              <w:rPr>
                <w:sz w:val="3"/>
                <w:szCs w:val="3"/>
                <w:color w:val="auto"/>
              </w:rPr>
            </w:pPr>
          </w:p>
        </w:tc>
        <w:tc>
          <w:tcPr>
            <w:tcW w:w="100" w:type="dxa"/>
            <w:vAlign w:val="bottom"/>
            <w:tcBorders>
              <w:bottom w:val="single" w:sz="8" w:color="050A54"/>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2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40" w:type="dxa"/>
            <w:vAlign w:val="bottom"/>
            <w:gridSpan w:val="4"/>
            <w:vMerge w:val="restart"/>
          </w:tcPr>
          <w:p>
            <w:pPr>
              <w:ind w:left="180"/>
              <w:spacing w:after="0"/>
              <w:rPr>
                <w:sz w:val="20"/>
                <w:szCs w:val="20"/>
                <w:color w:val="auto"/>
              </w:rPr>
            </w:pPr>
            <w:r>
              <w:rPr>
                <w:rFonts w:ascii="Arial" w:cs="Arial" w:eastAsia="Arial" w:hAnsi="Arial"/>
                <w:sz w:val="18"/>
                <w:szCs w:val="18"/>
                <w:b w:val="1"/>
                <w:bCs w:val="1"/>
                <w:color w:val="050A54"/>
                <w:w w:val="98"/>
              </w:rPr>
              <w:t>2022 Proxy Statement</w:t>
            </w:r>
          </w:p>
        </w:tc>
        <w:tc>
          <w:tcPr>
            <w:tcW w:w="18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050A54"/>
              </w:rPr>
              <w:t>53</w:t>
            </w:r>
          </w:p>
        </w:tc>
        <w:tc>
          <w:tcPr>
            <w:tcW w:w="0" w:type="dxa"/>
            <w:vAlign w:val="bottom"/>
          </w:tcPr>
          <w:p>
            <w:pPr>
              <w:spacing w:after="0"/>
              <w:rPr>
                <w:sz w:val="1"/>
                <w:szCs w:val="1"/>
                <w:color w:val="auto"/>
              </w:rPr>
            </w:pPr>
          </w:p>
        </w:tc>
      </w:tr>
      <w:tr>
        <w:trPr>
          <w:trHeight w:val="214"/>
        </w:trPr>
        <w:tc>
          <w:tcPr>
            <w:tcW w:w="2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4"/>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4" w:right="49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780"/>
        <w:spacing w:after="0"/>
        <w:rPr>
          <w:sz w:val="20"/>
          <w:szCs w:val="20"/>
          <w:color w:val="auto"/>
        </w:rPr>
      </w:pPr>
      <w:r>
        <w:rPr>
          <w:rFonts w:ascii="Arial" w:cs="Arial" w:eastAsia="Arial" w:hAnsi="Arial"/>
          <w:sz w:val="20"/>
          <w:szCs w:val="20"/>
          <w:b w:val="1"/>
          <w:bCs w:val="1"/>
          <w:color w:val="050A54"/>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4" w:lineRule="exact"/>
        <w:rPr>
          <w:sz w:val="20"/>
          <w:szCs w:val="20"/>
          <w:color w:val="auto"/>
        </w:rPr>
      </w:pPr>
    </w:p>
    <w:tbl>
      <w:tblPr>
        <w:tblLayout w:type="fixed"/>
        <w:tblInd w:w="1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420" w:type="dxa"/>
            <w:vAlign w:val="bottom"/>
            <w:tcBorders>
              <w:bottom w:val="single" w:sz="8" w:color="050A54"/>
            </w:tcBorders>
          </w:tcPr>
          <w:p>
            <w:pPr>
              <w:spacing w:after="0"/>
              <w:rPr>
                <w:sz w:val="14"/>
                <w:szCs w:val="14"/>
                <w:color w:val="auto"/>
              </w:rPr>
            </w:pPr>
          </w:p>
        </w:tc>
        <w:tc>
          <w:tcPr>
            <w:tcW w:w="1960" w:type="dxa"/>
            <w:vAlign w:val="bottom"/>
            <w:tcBorders>
              <w:bottom w:val="single" w:sz="8" w:color="050A54"/>
            </w:tcBorders>
            <w:gridSpan w:val="2"/>
          </w:tcPr>
          <w:p>
            <w:pPr>
              <w:jc w:val="right"/>
              <w:ind w:right="498"/>
              <w:spacing w:after="0"/>
              <w:rPr>
                <w:sz w:val="20"/>
                <w:szCs w:val="20"/>
                <w:color w:val="auto"/>
              </w:rPr>
            </w:pPr>
            <w:r>
              <w:rPr>
                <w:rFonts w:ascii="Arial" w:cs="Arial" w:eastAsia="Arial" w:hAnsi="Arial"/>
                <w:sz w:val="12"/>
                <w:szCs w:val="12"/>
                <w:b w:val="1"/>
                <w:bCs w:val="1"/>
                <w:color w:val="050A54"/>
              </w:rPr>
              <w:t>Option Awards</w:t>
            </w:r>
          </w:p>
        </w:tc>
        <w:tc>
          <w:tcPr>
            <w:tcW w:w="140" w:type="dxa"/>
            <w:vAlign w:val="bottom"/>
            <w:tcBorders>
              <w:bottom w:val="single" w:sz="8" w:color="050A54"/>
            </w:tcBorders>
          </w:tcPr>
          <w:p>
            <w:pPr>
              <w:spacing w:after="0"/>
              <w:rPr>
                <w:sz w:val="14"/>
                <w:szCs w:val="14"/>
                <w:color w:val="auto"/>
              </w:rPr>
            </w:pPr>
          </w:p>
        </w:tc>
        <w:tc>
          <w:tcPr>
            <w:tcW w:w="520" w:type="dxa"/>
            <w:vAlign w:val="bottom"/>
            <w:tcBorders>
              <w:bottom w:val="single" w:sz="8" w:color="050A54"/>
            </w:tcBorders>
          </w:tcPr>
          <w:p>
            <w:pPr>
              <w:spacing w:after="0"/>
              <w:rPr>
                <w:sz w:val="14"/>
                <w:szCs w:val="14"/>
                <w:color w:val="auto"/>
              </w:rPr>
            </w:pPr>
          </w:p>
        </w:tc>
        <w:tc>
          <w:tcPr>
            <w:tcW w:w="360" w:type="dxa"/>
            <w:vAlign w:val="bottom"/>
            <w:tcBorders>
              <w:bottom w:val="single" w:sz="8" w:color="050A54"/>
            </w:tcBorders>
          </w:tcPr>
          <w:p>
            <w:pPr>
              <w:spacing w:after="0"/>
              <w:rPr>
                <w:sz w:val="14"/>
                <w:szCs w:val="14"/>
                <w:color w:val="auto"/>
              </w:rPr>
            </w:pPr>
          </w:p>
        </w:tc>
        <w:tc>
          <w:tcPr>
            <w:tcW w:w="180" w:type="dxa"/>
            <w:vAlign w:val="bottom"/>
            <w:tcBorders>
              <w:bottom w:val="single" w:sz="8" w:color="050A54"/>
            </w:tcBorders>
          </w:tcPr>
          <w:p>
            <w:pPr>
              <w:spacing w:after="0"/>
              <w:rPr>
                <w:sz w:val="14"/>
                <w:szCs w:val="14"/>
                <w:color w:val="auto"/>
              </w:rPr>
            </w:pPr>
          </w:p>
        </w:tc>
        <w:tc>
          <w:tcPr>
            <w:tcW w:w="500" w:type="dxa"/>
            <w:vAlign w:val="bottom"/>
            <w:tcBorders>
              <w:bottom w:val="single" w:sz="8" w:color="050A54"/>
            </w:tcBorders>
          </w:tcPr>
          <w:p>
            <w:pPr>
              <w:spacing w:after="0"/>
              <w:rPr>
                <w:sz w:val="14"/>
                <w:szCs w:val="14"/>
                <w:color w:val="auto"/>
              </w:rPr>
            </w:pPr>
          </w:p>
        </w:tc>
        <w:tc>
          <w:tcPr>
            <w:tcW w:w="680" w:type="dxa"/>
            <w:vAlign w:val="bottom"/>
            <w:tcBorders>
              <w:bottom w:val="single" w:sz="8" w:color="050A54"/>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bottom w:val="single" w:sz="8" w:color="050A54"/>
            </w:tcBorders>
          </w:tcPr>
          <w:p>
            <w:pPr>
              <w:spacing w:after="0"/>
              <w:rPr>
                <w:sz w:val="14"/>
                <w:szCs w:val="14"/>
                <w:color w:val="auto"/>
              </w:rPr>
            </w:pPr>
          </w:p>
        </w:tc>
        <w:tc>
          <w:tcPr>
            <w:tcW w:w="340" w:type="dxa"/>
            <w:vAlign w:val="bottom"/>
            <w:tcBorders>
              <w:bottom w:val="single" w:sz="8" w:color="050A54"/>
            </w:tcBorders>
          </w:tcPr>
          <w:p>
            <w:pPr>
              <w:spacing w:after="0"/>
              <w:rPr>
                <w:sz w:val="14"/>
                <w:szCs w:val="14"/>
                <w:color w:val="auto"/>
              </w:rPr>
            </w:pPr>
          </w:p>
        </w:tc>
        <w:tc>
          <w:tcPr>
            <w:tcW w:w="160" w:type="dxa"/>
            <w:vAlign w:val="bottom"/>
            <w:tcBorders>
              <w:bottom w:val="single" w:sz="8" w:color="050A54"/>
            </w:tcBorders>
          </w:tcPr>
          <w:p>
            <w:pPr>
              <w:spacing w:after="0"/>
              <w:rPr>
                <w:sz w:val="14"/>
                <w:szCs w:val="14"/>
                <w:color w:val="auto"/>
              </w:rPr>
            </w:pPr>
          </w:p>
        </w:tc>
        <w:tc>
          <w:tcPr>
            <w:tcW w:w="1520" w:type="dxa"/>
            <w:vAlign w:val="bottom"/>
            <w:tcBorders>
              <w:bottom w:val="single" w:sz="8" w:color="050A54"/>
            </w:tcBorders>
            <w:gridSpan w:val="2"/>
          </w:tcPr>
          <w:p>
            <w:pPr>
              <w:jc w:val="right"/>
              <w:ind w:right="198"/>
              <w:spacing w:after="0"/>
              <w:rPr>
                <w:sz w:val="20"/>
                <w:szCs w:val="20"/>
                <w:color w:val="auto"/>
              </w:rPr>
            </w:pPr>
            <w:r>
              <w:rPr>
                <w:rFonts w:ascii="Arial" w:cs="Arial" w:eastAsia="Arial" w:hAnsi="Arial"/>
                <w:sz w:val="12"/>
                <w:szCs w:val="12"/>
                <w:b w:val="1"/>
                <w:bCs w:val="1"/>
                <w:color w:val="050A54"/>
              </w:rPr>
              <w:t>Stock Awards</w:t>
            </w:r>
          </w:p>
        </w:tc>
        <w:tc>
          <w:tcPr>
            <w:tcW w:w="320" w:type="dxa"/>
            <w:vAlign w:val="bottom"/>
            <w:tcBorders>
              <w:bottom w:val="single" w:sz="8" w:color="050A54"/>
            </w:tcBorders>
          </w:tcPr>
          <w:p>
            <w:pPr>
              <w:spacing w:after="0"/>
              <w:rPr>
                <w:sz w:val="14"/>
                <w:szCs w:val="14"/>
                <w:color w:val="auto"/>
              </w:rPr>
            </w:pPr>
          </w:p>
        </w:tc>
        <w:tc>
          <w:tcPr>
            <w:tcW w:w="160" w:type="dxa"/>
            <w:vAlign w:val="bottom"/>
            <w:tcBorders>
              <w:bottom w:val="single" w:sz="8" w:color="050A54"/>
            </w:tcBorders>
          </w:tcPr>
          <w:p>
            <w:pPr>
              <w:spacing w:after="0"/>
              <w:rPr>
                <w:sz w:val="14"/>
                <w:szCs w:val="14"/>
                <w:color w:val="auto"/>
              </w:rPr>
            </w:pPr>
          </w:p>
        </w:tc>
        <w:tc>
          <w:tcPr>
            <w:tcW w:w="660" w:type="dxa"/>
            <w:vAlign w:val="bottom"/>
            <w:tcBorders>
              <w:bottom w:val="single" w:sz="8" w:color="050A54"/>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980" w:type="dxa"/>
            <w:vAlign w:val="bottom"/>
            <w:gridSpan w:val="2"/>
          </w:tcPr>
          <w:p>
            <w:pPr>
              <w:jc w:val="center"/>
              <w:spacing w:after="0" w:line="109" w:lineRule="exact"/>
              <w:rPr>
                <w:sz w:val="20"/>
                <w:szCs w:val="20"/>
                <w:color w:val="auto"/>
              </w:rPr>
            </w:pPr>
            <w:r>
              <w:rPr>
                <w:rFonts w:ascii="Arial" w:cs="Arial" w:eastAsia="Arial" w:hAnsi="Arial"/>
                <w:sz w:val="12"/>
                <w:szCs w:val="12"/>
                <w:b w:val="1"/>
                <w:bCs w:val="1"/>
                <w:color w:val="050A54"/>
              </w:rPr>
              <w:t>Equity</w:t>
            </w:r>
          </w:p>
        </w:tc>
        <w:tc>
          <w:tcPr>
            <w:tcW w:w="160" w:type="dxa"/>
            <w:vAlign w:val="bottom"/>
          </w:tcPr>
          <w:p>
            <w:pPr>
              <w:spacing w:after="0"/>
              <w:rPr>
                <w:sz w:val="9"/>
                <w:szCs w:val="9"/>
                <w:color w:val="auto"/>
              </w:rPr>
            </w:pPr>
          </w:p>
        </w:tc>
        <w:tc>
          <w:tcPr>
            <w:tcW w:w="76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050A54"/>
              </w:rPr>
              <w:t>Equity</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50A54"/>
              </w:rPr>
              <w:t>Incentive</w:t>
            </w:r>
          </w:p>
        </w:tc>
        <w:tc>
          <w:tcPr>
            <w:tcW w:w="1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jc w:val="center"/>
              <w:ind w:left="298"/>
              <w:spacing w:after="0" w:line="134" w:lineRule="exact"/>
              <w:rPr>
                <w:sz w:val="20"/>
                <w:szCs w:val="20"/>
                <w:color w:val="auto"/>
              </w:rPr>
            </w:pPr>
            <w:r>
              <w:rPr>
                <w:rFonts w:ascii="Arial" w:cs="Arial" w:eastAsia="Arial" w:hAnsi="Arial"/>
                <w:sz w:val="12"/>
                <w:szCs w:val="12"/>
                <w:b w:val="1"/>
                <w:bCs w:val="1"/>
                <w:color w:val="050A54"/>
              </w:rPr>
              <w:t>Plan</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center"/>
              <w:ind w:right="180"/>
              <w:spacing w:after="0" w:line="134" w:lineRule="exact"/>
              <w:rPr>
                <w:sz w:val="20"/>
                <w:szCs w:val="20"/>
                <w:color w:val="auto"/>
              </w:rPr>
            </w:pPr>
            <w:r>
              <w:rPr>
                <w:rFonts w:ascii="Arial" w:cs="Arial" w:eastAsia="Arial" w:hAnsi="Arial"/>
                <w:sz w:val="12"/>
                <w:szCs w:val="12"/>
                <w:b w:val="1"/>
                <w:bCs w:val="1"/>
                <w:color w:val="050A54"/>
              </w:rPr>
              <w:t>Incentive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50A54"/>
              </w:rPr>
              <w:t>Awards:</w:t>
            </w:r>
          </w:p>
        </w:tc>
        <w:tc>
          <w:tcPr>
            <w:tcW w:w="160" w:type="dxa"/>
            <w:vAlign w:val="bottom"/>
          </w:tcPr>
          <w:p>
            <w:pPr>
              <w:spacing w:after="0"/>
              <w:rPr>
                <w:sz w:val="11"/>
                <w:szCs w:val="11"/>
                <w:color w:val="auto"/>
              </w:rPr>
            </w:pPr>
          </w:p>
        </w:tc>
        <w:tc>
          <w:tcPr>
            <w:tcW w:w="760" w:type="dxa"/>
            <w:vAlign w:val="bottom"/>
            <w:gridSpan w:val="2"/>
          </w:tcPr>
          <w:p>
            <w:pPr>
              <w:jc w:val="center"/>
              <w:ind w:right="180"/>
              <w:spacing w:after="0" w:line="134" w:lineRule="exact"/>
              <w:rPr>
                <w:sz w:val="20"/>
                <w:szCs w:val="20"/>
                <w:color w:val="auto"/>
              </w:rPr>
            </w:pPr>
            <w:r>
              <w:rPr>
                <w:rFonts w:ascii="Arial" w:cs="Arial" w:eastAsia="Arial" w:hAnsi="Arial"/>
                <w:sz w:val="12"/>
                <w:szCs w:val="12"/>
                <w:b w:val="1"/>
                <w:bCs w:val="1"/>
                <w:color w:val="050A54"/>
              </w:rPr>
              <w:t>Plan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vMerge w:val="restart"/>
          </w:tcPr>
          <w:p>
            <w:pPr>
              <w:jc w:val="center"/>
              <w:ind w:right="38"/>
              <w:spacing w:after="0"/>
              <w:rPr>
                <w:sz w:val="20"/>
                <w:szCs w:val="20"/>
                <w:color w:val="auto"/>
              </w:rPr>
            </w:pPr>
            <w:r>
              <w:rPr>
                <w:rFonts w:ascii="Arial" w:cs="Arial" w:eastAsia="Arial" w:hAnsi="Arial"/>
                <w:sz w:val="12"/>
                <w:szCs w:val="12"/>
                <w:b w:val="1"/>
                <w:bCs w:val="1"/>
                <w:color w:val="050A54"/>
              </w:rPr>
              <w:t>Number of</w:t>
            </w:r>
          </w:p>
        </w:tc>
        <w:tc>
          <w:tcPr>
            <w:tcW w:w="140" w:type="dxa"/>
            <w:vAlign w:val="bottom"/>
          </w:tcPr>
          <w:p>
            <w:pPr>
              <w:spacing w:after="0"/>
              <w:rPr>
                <w:sz w:val="11"/>
                <w:szCs w:val="11"/>
                <w:color w:val="auto"/>
              </w:rPr>
            </w:pPr>
          </w:p>
        </w:tc>
        <w:tc>
          <w:tcPr>
            <w:tcW w:w="880" w:type="dxa"/>
            <w:vAlign w:val="bottom"/>
            <w:gridSpan w:val="2"/>
            <w:vMerge w:val="restart"/>
          </w:tcPr>
          <w:p>
            <w:pPr>
              <w:jc w:val="center"/>
              <w:ind w:right="78"/>
              <w:spacing w:after="0"/>
              <w:rPr>
                <w:sz w:val="20"/>
                <w:szCs w:val="20"/>
                <w:color w:val="auto"/>
              </w:rPr>
            </w:pPr>
            <w:r>
              <w:rPr>
                <w:rFonts w:ascii="Arial" w:cs="Arial" w:eastAsia="Arial" w:hAnsi="Arial"/>
                <w:sz w:val="12"/>
                <w:szCs w:val="12"/>
                <w:b w:val="1"/>
                <w:bCs w:val="1"/>
                <w:color w:val="050A54"/>
              </w:rPr>
              <w:t>Number of</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center"/>
              <w:ind w:right="38"/>
              <w:spacing w:after="0"/>
              <w:rPr>
                <w:sz w:val="20"/>
                <w:szCs w:val="20"/>
                <w:color w:val="auto"/>
              </w:rPr>
            </w:pPr>
            <w:r>
              <w:rPr>
                <w:rFonts w:ascii="Arial" w:cs="Arial" w:eastAsia="Arial" w:hAnsi="Arial"/>
                <w:sz w:val="12"/>
                <w:szCs w:val="12"/>
                <w:b w:val="1"/>
                <w:bCs w:val="1"/>
                <w:color w:val="050A54"/>
              </w:rPr>
              <w:t>Number of</w:t>
            </w:r>
          </w:p>
        </w:tc>
        <w:tc>
          <w:tcPr>
            <w:tcW w:w="10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050A54"/>
              </w:rPr>
              <w:t>Market Value</w:t>
            </w:r>
          </w:p>
        </w:tc>
        <w:tc>
          <w:tcPr>
            <w:tcW w:w="98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50A54"/>
              </w:rPr>
              <w:t>Number of</w:t>
            </w:r>
          </w:p>
        </w:tc>
        <w:tc>
          <w:tcPr>
            <w:tcW w:w="160" w:type="dxa"/>
            <w:vAlign w:val="bottom"/>
          </w:tcPr>
          <w:p>
            <w:pPr>
              <w:spacing w:after="0"/>
              <w:rPr>
                <w:sz w:val="11"/>
                <w:szCs w:val="11"/>
                <w:color w:val="auto"/>
              </w:rPr>
            </w:pPr>
          </w:p>
        </w:tc>
        <w:tc>
          <w:tcPr>
            <w:tcW w:w="760" w:type="dxa"/>
            <w:vAlign w:val="bottom"/>
            <w:gridSpan w:val="2"/>
          </w:tcPr>
          <w:p>
            <w:pPr>
              <w:jc w:val="center"/>
              <w:ind w:right="180"/>
              <w:spacing w:after="0" w:line="134" w:lineRule="exact"/>
              <w:rPr>
                <w:sz w:val="20"/>
                <w:szCs w:val="20"/>
                <w:color w:val="auto"/>
              </w:rPr>
            </w:pPr>
            <w:r>
              <w:rPr>
                <w:rFonts w:ascii="Arial" w:cs="Arial" w:eastAsia="Arial" w:hAnsi="Arial"/>
                <w:sz w:val="12"/>
                <w:szCs w:val="12"/>
                <w:b w:val="1"/>
                <w:bCs w:val="1"/>
                <w:color w:val="050A54"/>
              </w:rPr>
              <w:t>Awards:</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980" w:type="dxa"/>
            <w:vAlign w:val="bottom"/>
            <w:gridSpan w:val="2"/>
          </w:tcPr>
          <w:p>
            <w:pPr>
              <w:jc w:val="center"/>
              <w:spacing w:after="0" w:line="125" w:lineRule="exact"/>
              <w:rPr>
                <w:sz w:val="20"/>
                <w:szCs w:val="20"/>
                <w:color w:val="auto"/>
              </w:rPr>
            </w:pPr>
            <w:r>
              <w:rPr>
                <w:rFonts w:ascii="Arial" w:cs="Arial" w:eastAsia="Arial" w:hAnsi="Arial"/>
                <w:sz w:val="12"/>
                <w:szCs w:val="12"/>
                <w:b w:val="1"/>
                <w:bCs w:val="1"/>
                <w:color w:val="050A54"/>
              </w:rPr>
              <w:t>Unearned</w:t>
            </w:r>
          </w:p>
        </w:tc>
        <w:tc>
          <w:tcPr>
            <w:tcW w:w="160" w:type="dxa"/>
            <w:vAlign w:val="bottom"/>
          </w:tcPr>
          <w:p>
            <w:pPr>
              <w:spacing w:after="0"/>
              <w:rPr>
                <w:sz w:val="10"/>
                <w:szCs w:val="10"/>
                <w:color w:val="auto"/>
              </w:rPr>
            </w:pPr>
          </w:p>
        </w:tc>
        <w:tc>
          <w:tcPr>
            <w:tcW w:w="760" w:type="dxa"/>
            <w:vAlign w:val="bottom"/>
            <w:gridSpan w:val="2"/>
          </w:tcPr>
          <w:p>
            <w:pPr>
              <w:jc w:val="center"/>
              <w:ind w:right="160"/>
              <w:spacing w:after="0" w:line="125" w:lineRule="exact"/>
              <w:rPr>
                <w:sz w:val="20"/>
                <w:szCs w:val="20"/>
                <w:color w:val="auto"/>
              </w:rPr>
            </w:pPr>
            <w:r>
              <w:rPr>
                <w:rFonts w:ascii="Arial" w:cs="Arial" w:eastAsia="Arial" w:hAnsi="Arial"/>
                <w:sz w:val="12"/>
                <w:szCs w:val="12"/>
                <w:b w:val="1"/>
                <w:bCs w:val="1"/>
                <w:color w:val="050A54"/>
              </w:rPr>
              <w:t>Market or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jc w:val="center"/>
              <w:ind w:right="58"/>
              <w:spacing w:after="0" w:line="134" w:lineRule="exact"/>
              <w:rPr>
                <w:sz w:val="20"/>
                <w:szCs w:val="20"/>
                <w:color w:val="auto"/>
              </w:rPr>
            </w:pPr>
            <w:r>
              <w:rPr>
                <w:rFonts w:ascii="Arial" w:cs="Arial" w:eastAsia="Arial" w:hAnsi="Arial"/>
                <w:sz w:val="12"/>
                <w:szCs w:val="12"/>
                <w:b w:val="1"/>
                <w:bCs w:val="1"/>
                <w:color w:val="050A54"/>
              </w:rPr>
              <w:t>Securities</w:t>
            </w:r>
          </w:p>
        </w:tc>
        <w:tc>
          <w:tcPr>
            <w:tcW w:w="140" w:type="dxa"/>
            <w:vAlign w:val="bottom"/>
          </w:tcPr>
          <w:p>
            <w:pPr>
              <w:spacing w:after="0"/>
              <w:rPr>
                <w:sz w:val="11"/>
                <w:szCs w:val="11"/>
                <w:color w:val="auto"/>
              </w:rPr>
            </w:pPr>
          </w:p>
        </w:tc>
        <w:tc>
          <w:tcPr>
            <w:tcW w:w="880" w:type="dxa"/>
            <w:vAlign w:val="bottom"/>
            <w:gridSpan w:val="2"/>
          </w:tcPr>
          <w:p>
            <w:pPr>
              <w:jc w:val="center"/>
              <w:ind w:right="58"/>
              <w:spacing w:after="0" w:line="134" w:lineRule="exact"/>
              <w:rPr>
                <w:sz w:val="20"/>
                <w:szCs w:val="20"/>
                <w:color w:val="auto"/>
              </w:rPr>
            </w:pPr>
            <w:r>
              <w:rPr>
                <w:rFonts w:ascii="Arial" w:cs="Arial" w:eastAsia="Arial" w:hAnsi="Arial"/>
                <w:sz w:val="12"/>
                <w:szCs w:val="12"/>
                <w:b w:val="1"/>
                <w:bCs w:val="1"/>
                <w:color w:val="050A54"/>
              </w:rPr>
              <w:t>Securities</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38"/>
              <w:spacing w:after="0" w:line="134" w:lineRule="exact"/>
              <w:rPr>
                <w:sz w:val="20"/>
                <w:szCs w:val="20"/>
                <w:color w:val="auto"/>
              </w:rPr>
            </w:pPr>
            <w:r>
              <w:rPr>
                <w:rFonts w:ascii="Arial" w:cs="Arial" w:eastAsia="Arial" w:hAnsi="Arial"/>
                <w:sz w:val="12"/>
                <w:szCs w:val="12"/>
                <w:b w:val="1"/>
                <w:bCs w:val="1"/>
                <w:color w:val="050A54"/>
              </w:rPr>
              <w:t>Shares or</w:t>
            </w:r>
          </w:p>
        </w:tc>
        <w:tc>
          <w:tcPr>
            <w:tcW w:w="10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050A54"/>
              </w:rPr>
              <w:t>of Shares or</w:t>
            </w:r>
          </w:p>
        </w:tc>
        <w:tc>
          <w:tcPr>
            <w:tcW w:w="98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50A54"/>
              </w:rPr>
              <w:t>Shares,</w:t>
            </w:r>
          </w:p>
        </w:tc>
        <w:tc>
          <w:tcPr>
            <w:tcW w:w="160" w:type="dxa"/>
            <w:vAlign w:val="bottom"/>
          </w:tcPr>
          <w:p>
            <w:pPr>
              <w:spacing w:after="0"/>
              <w:rPr>
                <w:sz w:val="11"/>
                <w:szCs w:val="11"/>
                <w:color w:val="auto"/>
              </w:rPr>
            </w:pPr>
          </w:p>
        </w:tc>
        <w:tc>
          <w:tcPr>
            <w:tcW w:w="760" w:type="dxa"/>
            <w:vAlign w:val="bottom"/>
            <w:gridSpan w:val="2"/>
          </w:tcPr>
          <w:p>
            <w:pPr>
              <w:jc w:val="center"/>
              <w:ind w:right="180"/>
              <w:spacing w:after="0" w:line="134" w:lineRule="exact"/>
              <w:rPr>
                <w:sz w:val="20"/>
                <w:szCs w:val="20"/>
                <w:color w:val="auto"/>
              </w:rPr>
            </w:pPr>
            <w:r>
              <w:rPr>
                <w:rFonts w:ascii="Arial" w:cs="Arial" w:eastAsia="Arial" w:hAnsi="Arial"/>
                <w:sz w:val="12"/>
                <w:szCs w:val="12"/>
                <w:b w:val="1"/>
                <w:bCs w:val="1"/>
                <w:color w:val="050A54"/>
              </w:rPr>
              <w:t>Payout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jc w:val="center"/>
              <w:ind w:right="38"/>
              <w:spacing w:after="0" w:line="134" w:lineRule="exact"/>
              <w:rPr>
                <w:sz w:val="20"/>
                <w:szCs w:val="20"/>
                <w:color w:val="auto"/>
              </w:rPr>
            </w:pPr>
            <w:r>
              <w:rPr>
                <w:rFonts w:ascii="Arial" w:cs="Arial" w:eastAsia="Arial" w:hAnsi="Arial"/>
                <w:sz w:val="12"/>
                <w:szCs w:val="12"/>
                <w:b w:val="1"/>
                <w:bCs w:val="1"/>
                <w:color w:val="050A54"/>
              </w:rPr>
              <w:t>Underlying</w:t>
            </w:r>
          </w:p>
        </w:tc>
        <w:tc>
          <w:tcPr>
            <w:tcW w:w="140" w:type="dxa"/>
            <w:vAlign w:val="bottom"/>
          </w:tcPr>
          <w:p>
            <w:pPr>
              <w:spacing w:after="0"/>
              <w:rPr>
                <w:sz w:val="11"/>
                <w:szCs w:val="11"/>
                <w:color w:val="auto"/>
              </w:rPr>
            </w:pPr>
          </w:p>
        </w:tc>
        <w:tc>
          <w:tcPr>
            <w:tcW w:w="880" w:type="dxa"/>
            <w:vAlign w:val="bottom"/>
            <w:gridSpan w:val="2"/>
          </w:tcPr>
          <w:p>
            <w:pPr>
              <w:jc w:val="center"/>
              <w:ind w:right="78"/>
              <w:spacing w:after="0" w:line="134" w:lineRule="exact"/>
              <w:rPr>
                <w:sz w:val="20"/>
                <w:szCs w:val="20"/>
                <w:color w:val="auto"/>
              </w:rPr>
            </w:pPr>
            <w:r>
              <w:rPr>
                <w:rFonts w:ascii="Arial" w:cs="Arial" w:eastAsia="Arial" w:hAnsi="Arial"/>
                <w:sz w:val="12"/>
                <w:szCs w:val="12"/>
                <w:b w:val="1"/>
                <w:bCs w:val="1"/>
                <w:color w:val="050A54"/>
              </w:rPr>
              <w:t>Underlying</w:t>
            </w:r>
          </w:p>
        </w:tc>
        <w:tc>
          <w:tcPr>
            <w:tcW w:w="68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050A54"/>
              </w:rPr>
              <w:t>Option</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38"/>
              <w:spacing w:after="0" w:line="134" w:lineRule="exact"/>
              <w:rPr>
                <w:sz w:val="20"/>
                <w:szCs w:val="20"/>
                <w:color w:val="auto"/>
              </w:rPr>
            </w:pPr>
            <w:r>
              <w:rPr>
                <w:rFonts w:ascii="Arial" w:cs="Arial" w:eastAsia="Arial" w:hAnsi="Arial"/>
                <w:sz w:val="12"/>
                <w:szCs w:val="12"/>
                <w:b w:val="1"/>
                <w:bCs w:val="1"/>
                <w:color w:val="050A54"/>
              </w:rPr>
              <w:t>Units of</w:t>
            </w:r>
          </w:p>
        </w:tc>
        <w:tc>
          <w:tcPr>
            <w:tcW w:w="160" w:type="dxa"/>
            <w:vAlign w:val="bottom"/>
          </w:tcPr>
          <w:p>
            <w:pPr>
              <w:spacing w:after="0"/>
              <w:rPr>
                <w:sz w:val="11"/>
                <w:szCs w:val="11"/>
                <w:color w:val="auto"/>
              </w:rPr>
            </w:pPr>
          </w:p>
        </w:tc>
        <w:tc>
          <w:tcPr>
            <w:tcW w:w="860" w:type="dxa"/>
            <w:vAlign w:val="bottom"/>
          </w:tcPr>
          <w:p>
            <w:pPr>
              <w:jc w:val="center"/>
              <w:ind w:right="178"/>
              <w:spacing w:after="0" w:line="134" w:lineRule="exact"/>
              <w:rPr>
                <w:sz w:val="20"/>
                <w:szCs w:val="20"/>
                <w:color w:val="auto"/>
              </w:rPr>
            </w:pPr>
            <w:r>
              <w:rPr>
                <w:rFonts w:ascii="Arial" w:cs="Arial" w:eastAsia="Arial" w:hAnsi="Arial"/>
                <w:sz w:val="12"/>
                <w:szCs w:val="12"/>
                <w:b w:val="1"/>
                <w:bCs w:val="1"/>
                <w:color w:val="050A54"/>
              </w:rPr>
              <w:t>Units of</w:t>
            </w:r>
          </w:p>
        </w:tc>
        <w:tc>
          <w:tcPr>
            <w:tcW w:w="98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50A54"/>
              </w:rPr>
              <w:t>Units or</w:t>
            </w:r>
          </w:p>
        </w:tc>
        <w:tc>
          <w:tcPr>
            <w:tcW w:w="160" w:type="dxa"/>
            <w:vAlign w:val="bottom"/>
          </w:tcPr>
          <w:p>
            <w:pPr>
              <w:spacing w:after="0"/>
              <w:rPr>
                <w:sz w:val="11"/>
                <w:szCs w:val="11"/>
                <w:color w:val="auto"/>
              </w:rPr>
            </w:pPr>
          </w:p>
        </w:tc>
        <w:tc>
          <w:tcPr>
            <w:tcW w:w="760" w:type="dxa"/>
            <w:vAlign w:val="bottom"/>
            <w:gridSpan w:val="2"/>
          </w:tcPr>
          <w:p>
            <w:pPr>
              <w:jc w:val="center"/>
              <w:ind w:right="160"/>
              <w:spacing w:after="0" w:line="134" w:lineRule="exact"/>
              <w:rPr>
                <w:sz w:val="20"/>
                <w:szCs w:val="20"/>
                <w:color w:val="auto"/>
              </w:rPr>
            </w:pPr>
            <w:r>
              <w:rPr>
                <w:rFonts w:ascii="Arial" w:cs="Arial" w:eastAsia="Arial" w:hAnsi="Arial"/>
                <w:sz w:val="12"/>
                <w:szCs w:val="12"/>
                <w:b w:val="1"/>
                <w:bCs w:val="1"/>
                <w:color w:val="050A54"/>
              </w:rPr>
              <w:t>Value of</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jc w:val="center"/>
              <w:ind w:right="38"/>
              <w:spacing w:after="0" w:line="134" w:lineRule="exact"/>
              <w:rPr>
                <w:sz w:val="20"/>
                <w:szCs w:val="20"/>
                <w:color w:val="auto"/>
              </w:rPr>
            </w:pPr>
            <w:r>
              <w:rPr>
                <w:rFonts w:ascii="Arial" w:cs="Arial" w:eastAsia="Arial" w:hAnsi="Arial"/>
                <w:sz w:val="12"/>
                <w:szCs w:val="12"/>
                <w:b w:val="1"/>
                <w:bCs w:val="1"/>
                <w:color w:val="050A54"/>
              </w:rPr>
              <w:t>Unexercised</w:t>
            </w:r>
          </w:p>
        </w:tc>
        <w:tc>
          <w:tcPr>
            <w:tcW w:w="140" w:type="dxa"/>
            <w:vAlign w:val="bottom"/>
          </w:tcPr>
          <w:p>
            <w:pPr>
              <w:spacing w:after="0"/>
              <w:rPr>
                <w:sz w:val="11"/>
                <w:szCs w:val="11"/>
                <w:color w:val="auto"/>
              </w:rPr>
            </w:pPr>
          </w:p>
        </w:tc>
        <w:tc>
          <w:tcPr>
            <w:tcW w:w="880" w:type="dxa"/>
            <w:vAlign w:val="bottom"/>
            <w:gridSpan w:val="2"/>
          </w:tcPr>
          <w:p>
            <w:pPr>
              <w:jc w:val="center"/>
              <w:ind w:right="78"/>
              <w:spacing w:after="0" w:line="134" w:lineRule="exact"/>
              <w:rPr>
                <w:sz w:val="20"/>
                <w:szCs w:val="20"/>
                <w:color w:val="auto"/>
              </w:rPr>
            </w:pPr>
            <w:r>
              <w:rPr>
                <w:rFonts w:ascii="Arial" w:cs="Arial" w:eastAsia="Arial" w:hAnsi="Arial"/>
                <w:sz w:val="12"/>
                <w:szCs w:val="12"/>
                <w:b w:val="1"/>
                <w:bCs w:val="1"/>
                <w:color w:val="050A54"/>
              </w:rPr>
              <w:t>Unexercised</w:t>
            </w:r>
          </w:p>
        </w:tc>
        <w:tc>
          <w:tcPr>
            <w:tcW w:w="680" w:type="dxa"/>
            <w:vAlign w:val="bottom"/>
            <w:gridSpan w:val="2"/>
            <w:vMerge w:val="continue"/>
          </w:tcPr>
          <w:p>
            <w:pPr>
              <w:spacing w:after="0"/>
              <w:rPr>
                <w:sz w:val="11"/>
                <w:szCs w:val="11"/>
                <w:color w:val="auto"/>
              </w:rPr>
            </w:pPr>
          </w:p>
        </w:tc>
        <w:tc>
          <w:tcPr>
            <w:tcW w:w="1000" w:type="dxa"/>
            <w:vAlign w:val="bottom"/>
            <w:gridSpan w:val="3"/>
            <w:vMerge w:val="restart"/>
          </w:tcPr>
          <w:p>
            <w:pPr>
              <w:jc w:val="center"/>
              <w:ind w:right="240"/>
              <w:spacing w:after="0"/>
              <w:rPr>
                <w:sz w:val="20"/>
                <w:szCs w:val="20"/>
                <w:color w:val="auto"/>
              </w:rPr>
            </w:pPr>
            <w:r>
              <w:rPr>
                <w:rFonts w:ascii="Arial" w:cs="Arial" w:eastAsia="Arial" w:hAnsi="Arial"/>
                <w:sz w:val="12"/>
                <w:szCs w:val="12"/>
                <w:b w:val="1"/>
                <w:bCs w:val="1"/>
                <w:color w:val="050A54"/>
              </w:rPr>
              <w:t>Option</w:t>
            </w:r>
          </w:p>
        </w:tc>
        <w:tc>
          <w:tcPr>
            <w:tcW w:w="100" w:type="dxa"/>
            <w:vAlign w:val="bottom"/>
          </w:tcPr>
          <w:p>
            <w:pPr>
              <w:spacing w:after="0"/>
              <w:rPr>
                <w:sz w:val="11"/>
                <w:szCs w:val="11"/>
                <w:color w:val="auto"/>
              </w:rPr>
            </w:pPr>
          </w:p>
        </w:tc>
        <w:tc>
          <w:tcPr>
            <w:tcW w:w="800" w:type="dxa"/>
            <w:vAlign w:val="bottom"/>
            <w:gridSpan w:val="2"/>
          </w:tcPr>
          <w:p>
            <w:pPr>
              <w:jc w:val="center"/>
              <w:ind w:right="18"/>
              <w:spacing w:after="0" w:line="134" w:lineRule="exact"/>
              <w:rPr>
                <w:sz w:val="20"/>
                <w:szCs w:val="20"/>
                <w:color w:val="auto"/>
              </w:rPr>
            </w:pPr>
            <w:r>
              <w:rPr>
                <w:rFonts w:ascii="Arial" w:cs="Arial" w:eastAsia="Arial" w:hAnsi="Arial"/>
                <w:sz w:val="12"/>
                <w:szCs w:val="12"/>
                <w:b w:val="1"/>
                <w:bCs w:val="1"/>
                <w:color w:val="050A54"/>
              </w:rPr>
              <w:t>Stock That</w:t>
            </w:r>
          </w:p>
        </w:tc>
        <w:tc>
          <w:tcPr>
            <w:tcW w:w="160" w:type="dxa"/>
            <w:vAlign w:val="bottom"/>
          </w:tcPr>
          <w:p>
            <w:pPr>
              <w:spacing w:after="0"/>
              <w:rPr>
                <w:sz w:val="11"/>
                <w:szCs w:val="11"/>
                <w:color w:val="auto"/>
              </w:rPr>
            </w:pPr>
          </w:p>
        </w:tc>
        <w:tc>
          <w:tcPr>
            <w:tcW w:w="860" w:type="dxa"/>
            <w:vAlign w:val="bottom"/>
          </w:tcPr>
          <w:p>
            <w:pPr>
              <w:jc w:val="center"/>
              <w:ind w:right="158"/>
              <w:spacing w:after="0" w:line="134" w:lineRule="exact"/>
              <w:rPr>
                <w:sz w:val="20"/>
                <w:szCs w:val="20"/>
                <w:color w:val="auto"/>
              </w:rPr>
            </w:pPr>
            <w:r>
              <w:rPr>
                <w:rFonts w:ascii="Arial" w:cs="Arial" w:eastAsia="Arial" w:hAnsi="Arial"/>
                <w:sz w:val="12"/>
                <w:szCs w:val="12"/>
                <w:b w:val="1"/>
                <w:bCs w:val="1"/>
                <w:color w:val="050A54"/>
              </w:rPr>
              <w:t>Stock That</w:t>
            </w:r>
          </w:p>
        </w:tc>
        <w:tc>
          <w:tcPr>
            <w:tcW w:w="660" w:type="dxa"/>
            <w:vAlign w:val="bottom"/>
          </w:tcPr>
          <w:p>
            <w:pPr>
              <w:jc w:val="center"/>
              <w:ind w:left="278"/>
              <w:spacing w:after="0" w:line="134" w:lineRule="exact"/>
              <w:rPr>
                <w:sz w:val="20"/>
                <w:szCs w:val="20"/>
                <w:color w:val="auto"/>
              </w:rPr>
            </w:pPr>
            <w:r>
              <w:rPr>
                <w:rFonts w:ascii="Arial" w:cs="Arial" w:eastAsia="Arial" w:hAnsi="Arial"/>
                <w:sz w:val="12"/>
                <w:szCs w:val="12"/>
                <w:b w:val="1"/>
                <w:bCs w:val="1"/>
                <w:color w:val="050A54"/>
                <w:w w:val="99"/>
              </w:rPr>
              <w:t>Other</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center"/>
              <w:ind w:right="180"/>
              <w:spacing w:after="0" w:line="134" w:lineRule="exact"/>
              <w:rPr>
                <w:sz w:val="20"/>
                <w:szCs w:val="20"/>
                <w:color w:val="auto"/>
              </w:rPr>
            </w:pPr>
            <w:r>
              <w:rPr>
                <w:rFonts w:ascii="Arial" w:cs="Arial" w:eastAsia="Arial" w:hAnsi="Arial"/>
                <w:sz w:val="12"/>
                <w:szCs w:val="12"/>
                <w:b w:val="1"/>
                <w:bCs w:val="1"/>
                <w:color w:val="050A54"/>
              </w:rPr>
              <w:t>Unearned</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jc w:val="center"/>
              <w:ind w:right="38"/>
              <w:spacing w:after="0" w:line="134" w:lineRule="exact"/>
              <w:rPr>
                <w:sz w:val="20"/>
                <w:szCs w:val="20"/>
                <w:color w:val="auto"/>
              </w:rPr>
            </w:pPr>
            <w:r>
              <w:rPr>
                <w:rFonts w:ascii="Arial" w:cs="Arial" w:eastAsia="Arial" w:hAnsi="Arial"/>
                <w:sz w:val="12"/>
                <w:szCs w:val="12"/>
                <w:b w:val="1"/>
                <w:bCs w:val="1"/>
                <w:color w:val="050A54"/>
              </w:rPr>
              <w:t>Options</w:t>
            </w:r>
          </w:p>
        </w:tc>
        <w:tc>
          <w:tcPr>
            <w:tcW w:w="140" w:type="dxa"/>
            <w:vAlign w:val="bottom"/>
          </w:tcPr>
          <w:p>
            <w:pPr>
              <w:spacing w:after="0"/>
              <w:rPr>
                <w:sz w:val="11"/>
                <w:szCs w:val="11"/>
                <w:color w:val="auto"/>
              </w:rPr>
            </w:pPr>
          </w:p>
        </w:tc>
        <w:tc>
          <w:tcPr>
            <w:tcW w:w="880" w:type="dxa"/>
            <w:vAlign w:val="bottom"/>
            <w:gridSpan w:val="2"/>
          </w:tcPr>
          <w:p>
            <w:pPr>
              <w:jc w:val="center"/>
              <w:ind w:right="58"/>
              <w:spacing w:after="0" w:line="134" w:lineRule="exact"/>
              <w:rPr>
                <w:sz w:val="20"/>
                <w:szCs w:val="20"/>
                <w:color w:val="auto"/>
              </w:rPr>
            </w:pPr>
            <w:r>
              <w:rPr>
                <w:rFonts w:ascii="Arial" w:cs="Arial" w:eastAsia="Arial" w:hAnsi="Arial"/>
                <w:sz w:val="12"/>
                <w:szCs w:val="12"/>
                <w:b w:val="1"/>
                <w:bCs w:val="1"/>
                <w:color w:val="050A54"/>
              </w:rPr>
              <w:t>Options</w:t>
            </w:r>
          </w:p>
        </w:tc>
        <w:tc>
          <w:tcPr>
            <w:tcW w:w="68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050A54"/>
              </w:rPr>
              <w:t>Exercise</w:t>
            </w:r>
          </w:p>
        </w:tc>
        <w:tc>
          <w:tcPr>
            <w:tcW w:w="10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38"/>
              <w:spacing w:after="0" w:line="134" w:lineRule="exact"/>
              <w:rPr>
                <w:sz w:val="20"/>
                <w:szCs w:val="20"/>
                <w:color w:val="auto"/>
              </w:rPr>
            </w:pPr>
            <w:r>
              <w:rPr>
                <w:rFonts w:ascii="Arial" w:cs="Arial" w:eastAsia="Arial" w:hAnsi="Arial"/>
                <w:sz w:val="12"/>
                <w:szCs w:val="12"/>
                <w:b w:val="1"/>
                <w:bCs w:val="1"/>
                <w:color w:val="050A54"/>
              </w:rPr>
              <w:t>Have Not</w:t>
            </w:r>
          </w:p>
        </w:tc>
        <w:tc>
          <w:tcPr>
            <w:tcW w:w="160" w:type="dxa"/>
            <w:vAlign w:val="bottom"/>
          </w:tcPr>
          <w:p>
            <w:pPr>
              <w:spacing w:after="0"/>
              <w:rPr>
                <w:sz w:val="11"/>
                <w:szCs w:val="11"/>
                <w:color w:val="auto"/>
              </w:rPr>
            </w:pPr>
          </w:p>
        </w:tc>
        <w:tc>
          <w:tcPr>
            <w:tcW w:w="860" w:type="dxa"/>
            <w:vAlign w:val="bottom"/>
          </w:tcPr>
          <w:p>
            <w:pPr>
              <w:jc w:val="center"/>
              <w:ind w:right="178"/>
              <w:spacing w:after="0" w:line="134" w:lineRule="exact"/>
              <w:rPr>
                <w:sz w:val="20"/>
                <w:szCs w:val="20"/>
                <w:color w:val="auto"/>
              </w:rPr>
            </w:pPr>
            <w:r>
              <w:rPr>
                <w:rFonts w:ascii="Arial" w:cs="Arial" w:eastAsia="Arial" w:hAnsi="Arial"/>
                <w:sz w:val="12"/>
                <w:szCs w:val="12"/>
                <w:b w:val="1"/>
                <w:bCs w:val="1"/>
                <w:color w:val="050A54"/>
              </w:rPr>
              <w:t>Have Not</w:t>
            </w:r>
          </w:p>
        </w:tc>
        <w:tc>
          <w:tcPr>
            <w:tcW w:w="98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50A54"/>
              </w:rPr>
              <w:t>Rights That</w:t>
            </w:r>
          </w:p>
        </w:tc>
        <w:tc>
          <w:tcPr>
            <w:tcW w:w="9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050A54"/>
              </w:rPr>
              <w:t>Shares That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20" w:type="dxa"/>
            <w:vAlign w:val="bottom"/>
            <w:vMerge w:val="restart"/>
          </w:tcPr>
          <w:p>
            <w:pPr>
              <w:ind w:left="1540"/>
              <w:spacing w:after="0"/>
              <w:rPr>
                <w:sz w:val="20"/>
                <w:szCs w:val="20"/>
                <w:color w:val="auto"/>
              </w:rPr>
            </w:pPr>
            <w:r>
              <w:rPr>
                <w:rFonts w:ascii="Arial" w:cs="Arial" w:eastAsia="Arial" w:hAnsi="Arial"/>
                <w:sz w:val="12"/>
                <w:szCs w:val="12"/>
                <w:b w:val="1"/>
                <w:bCs w:val="1"/>
                <w:color w:val="050A54"/>
              </w:rPr>
              <w:t>Name</w:t>
            </w:r>
          </w:p>
        </w:tc>
        <w:tc>
          <w:tcPr>
            <w:tcW w:w="1960" w:type="dxa"/>
            <w:vAlign w:val="bottom"/>
            <w:gridSpan w:val="2"/>
          </w:tcPr>
          <w:p>
            <w:pPr>
              <w:jc w:val="center"/>
              <w:ind w:left="938"/>
              <w:spacing w:after="0" w:line="134" w:lineRule="exact"/>
              <w:rPr>
                <w:sz w:val="20"/>
                <w:szCs w:val="20"/>
                <w:color w:val="auto"/>
              </w:rPr>
            </w:pPr>
            <w:r>
              <w:rPr>
                <w:rFonts w:ascii="Arial" w:cs="Arial" w:eastAsia="Arial" w:hAnsi="Arial"/>
                <w:sz w:val="12"/>
                <w:szCs w:val="12"/>
                <w:b w:val="1"/>
                <w:bCs w:val="1"/>
                <w:color w:val="050A54"/>
              </w:rPr>
              <w:t>(#)</w:t>
            </w:r>
          </w:p>
        </w:tc>
        <w:tc>
          <w:tcPr>
            <w:tcW w:w="660" w:type="dxa"/>
            <w:vAlign w:val="bottom"/>
            <w:gridSpan w:val="2"/>
          </w:tcPr>
          <w:p>
            <w:pPr>
              <w:jc w:val="center"/>
              <w:ind w:left="318"/>
              <w:spacing w:after="0" w:line="134" w:lineRule="exact"/>
              <w:rPr>
                <w:sz w:val="20"/>
                <w:szCs w:val="20"/>
                <w:color w:val="auto"/>
              </w:rPr>
            </w:pPr>
            <w:r>
              <w:rPr>
                <w:rFonts w:ascii="Arial" w:cs="Arial" w:eastAsia="Arial" w:hAnsi="Arial"/>
                <w:sz w:val="12"/>
                <w:szCs w:val="12"/>
                <w:b w:val="1"/>
                <w:bCs w:val="1"/>
                <w:color w:val="050A54"/>
              </w:rPr>
              <w:t>(#)</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center"/>
              <w:ind w:right="78"/>
              <w:spacing w:after="0" w:line="134" w:lineRule="exact"/>
              <w:rPr>
                <w:sz w:val="20"/>
                <w:szCs w:val="20"/>
                <w:color w:val="auto"/>
              </w:rPr>
            </w:pPr>
            <w:r>
              <w:rPr>
                <w:rFonts w:ascii="Arial" w:cs="Arial" w:eastAsia="Arial" w:hAnsi="Arial"/>
                <w:sz w:val="12"/>
                <w:szCs w:val="12"/>
                <w:b w:val="1"/>
                <w:bCs w:val="1"/>
                <w:color w:val="050A54"/>
              </w:rPr>
              <w:t>Price</w:t>
            </w:r>
          </w:p>
        </w:tc>
        <w:tc>
          <w:tcPr>
            <w:tcW w:w="1000" w:type="dxa"/>
            <w:vAlign w:val="bottom"/>
            <w:gridSpan w:val="3"/>
          </w:tcPr>
          <w:p>
            <w:pPr>
              <w:jc w:val="center"/>
              <w:ind w:right="240"/>
              <w:spacing w:after="0" w:line="134" w:lineRule="exact"/>
              <w:rPr>
                <w:sz w:val="20"/>
                <w:szCs w:val="20"/>
                <w:color w:val="auto"/>
              </w:rPr>
            </w:pPr>
            <w:r>
              <w:rPr>
                <w:rFonts w:ascii="Arial" w:cs="Arial" w:eastAsia="Arial" w:hAnsi="Arial"/>
                <w:sz w:val="12"/>
                <w:szCs w:val="12"/>
                <w:b w:val="1"/>
                <w:bCs w:val="1"/>
                <w:color w:val="050A54"/>
              </w:rPr>
              <w:t>Expiration</w:t>
            </w:r>
          </w:p>
        </w:tc>
        <w:tc>
          <w:tcPr>
            <w:tcW w:w="100" w:type="dxa"/>
            <w:vAlign w:val="bottom"/>
          </w:tcPr>
          <w:p>
            <w:pPr>
              <w:spacing w:after="0"/>
              <w:rPr>
                <w:sz w:val="11"/>
                <w:szCs w:val="11"/>
                <w:color w:val="auto"/>
              </w:rPr>
            </w:pPr>
          </w:p>
        </w:tc>
        <w:tc>
          <w:tcPr>
            <w:tcW w:w="800" w:type="dxa"/>
            <w:vAlign w:val="bottom"/>
            <w:gridSpan w:val="2"/>
          </w:tcPr>
          <w:p>
            <w:pPr>
              <w:jc w:val="center"/>
              <w:ind w:right="18"/>
              <w:spacing w:after="0" w:line="134" w:lineRule="exact"/>
              <w:rPr>
                <w:sz w:val="20"/>
                <w:szCs w:val="20"/>
                <w:color w:val="auto"/>
              </w:rPr>
            </w:pPr>
            <w:r>
              <w:rPr>
                <w:rFonts w:ascii="Arial" w:cs="Arial" w:eastAsia="Arial" w:hAnsi="Arial"/>
                <w:sz w:val="12"/>
                <w:szCs w:val="12"/>
                <w:b w:val="1"/>
                <w:bCs w:val="1"/>
                <w:color w:val="050A54"/>
              </w:rPr>
              <w:t>Vested</w:t>
            </w:r>
          </w:p>
        </w:tc>
        <w:tc>
          <w:tcPr>
            <w:tcW w:w="160" w:type="dxa"/>
            <w:vAlign w:val="bottom"/>
          </w:tcPr>
          <w:p>
            <w:pPr>
              <w:spacing w:after="0"/>
              <w:rPr>
                <w:sz w:val="11"/>
                <w:szCs w:val="11"/>
                <w:color w:val="auto"/>
              </w:rPr>
            </w:pPr>
          </w:p>
        </w:tc>
        <w:tc>
          <w:tcPr>
            <w:tcW w:w="860" w:type="dxa"/>
            <w:vAlign w:val="bottom"/>
          </w:tcPr>
          <w:p>
            <w:pPr>
              <w:jc w:val="center"/>
              <w:ind w:right="158"/>
              <w:spacing w:after="0" w:line="134" w:lineRule="exact"/>
              <w:rPr>
                <w:sz w:val="20"/>
                <w:szCs w:val="20"/>
                <w:color w:val="auto"/>
              </w:rPr>
            </w:pPr>
            <w:r>
              <w:rPr>
                <w:rFonts w:ascii="Arial" w:cs="Arial" w:eastAsia="Arial" w:hAnsi="Arial"/>
                <w:sz w:val="12"/>
                <w:szCs w:val="12"/>
                <w:b w:val="1"/>
                <w:bCs w:val="1"/>
                <w:color w:val="050A54"/>
              </w:rPr>
              <w:t>Vested</w:t>
            </w:r>
          </w:p>
        </w:tc>
        <w:tc>
          <w:tcPr>
            <w:tcW w:w="98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50A54"/>
              </w:rPr>
              <w:t>Have Not</w:t>
            </w:r>
          </w:p>
        </w:tc>
        <w:tc>
          <w:tcPr>
            <w:tcW w:w="160" w:type="dxa"/>
            <w:vAlign w:val="bottom"/>
          </w:tcPr>
          <w:p>
            <w:pPr>
              <w:spacing w:after="0"/>
              <w:rPr>
                <w:sz w:val="11"/>
                <w:szCs w:val="11"/>
                <w:color w:val="auto"/>
              </w:rPr>
            </w:pPr>
          </w:p>
        </w:tc>
        <w:tc>
          <w:tcPr>
            <w:tcW w:w="760" w:type="dxa"/>
            <w:vAlign w:val="bottom"/>
            <w:gridSpan w:val="2"/>
          </w:tcPr>
          <w:p>
            <w:pPr>
              <w:jc w:val="center"/>
              <w:ind w:right="180"/>
              <w:spacing w:after="0" w:line="134" w:lineRule="exact"/>
              <w:rPr>
                <w:sz w:val="20"/>
                <w:szCs w:val="20"/>
                <w:color w:val="auto"/>
              </w:rPr>
            </w:pPr>
            <w:r>
              <w:rPr>
                <w:rFonts w:ascii="Arial" w:cs="Arial" w:eastAsia="Arial" w:hAnsi="Arial"/>
                <w:sz w:val="12"/>
                <w:szCs w:val="12"/>
                <w:b w:val="1"/>
                <w:bCs w:val="1"/>
                <w:color w:val="050A54"/>
              </w:rPr>
              <w:t>Have Not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42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tcPr>
          <w:p>
            <w:pPr>
              <w:jc w:val="center"/>
              <w:ind w:right="38"/>
              <w:spacing w:after="0"/>
              <w:rPr>
                <w:sz w:val="20"/>
                <w:szCs w:val="20"/>
                <w:color w:val="auto"/>
              </w:rPr>
            </w:pPr>
            <w:r>
              <w:rPr>
                <w:rFonts w:ascii="Arial" w:cs="Arial" w:eastAsia="Arial" w:hAnsi="Arial"/>
                <w:sz w:val="12"/>
                <w:szCs w:val="12"/>
                <w:b w:val="1"/>
                <w:bCs w:val="1"/>
                <w:color w:val="050A54"/>
              </w:rPr>
              <w:t>Exercisable</w:t>
            </w:r>
          </w:p>
        </w:tc>
        <w:tc>
          <w:tcPr>
            <w:tcW w:w="1020" w:type="dxa"/>
            <w:vAlign w:val="bottom"/>
            <w:gridSpan w:val="3"/>
          </w:tcPr>
          <w:p>
            <w:pPr>
              <w:jc w:val="center"/>
              <w:spacing w:after="0"/>
              <w:rPr>
                <w:sz w:val="20"/>
                <w:szCs w:val="20"/>
                <w:color w:val="auto"/>
              </w:rPr>
            </w:pPr>
            <w:r>
              <w:rPr>
                <w:rFonts w:ascii="Arial" w:cs="Arial" w:eastAsia="Arial" w:hAnsi="Arial"/>
                <w:sz w:val="12"/>
                <w:szCs w:val="12"/>
                <w:b w:val="1"/>
                <w:bCs w:val="1"/>
                <w:color w:val="050A54"/>
              </w:rPr>
              <w:t>Unexercisable</w:t>
            </w:r>
          </w:p>
        </w:tc>
        <w:tc>
          <w:tcPr>
            <w:tcW w:w="180" w:type="dxa"/>
            <w:vAlign w:val="bottom"/>
          </w:tcPr>
          <w:p>
            <w:pPr>
              <w:spacing w:after="0"/>
              <w:rPr>
                <w:sz w:val="15"/>
                <w:szCs w:val="15"/>
                <w:color w:val="auto"/>
              </w:rPr>
            </w:pPr>
          </w:p>
        </w:tc>
        <w:tc>
          <w:tcPr>
            <w:tcW w:w="500" w:type="dxa"/>
            <w:vAlign w:val="bottom"/>
          </w:tcPr>
          <w:p>
            <w:pPr>
              <w:jc w:val="center"/>
              <w:ind w:right="78"/>
              <w:spacing w:after="0"/>
              <w:rPr>
                <w:sz w:val="20"/>
                <w:szCs w:val="20"/>
                <w:color w:val="auto"/>
              </w:rPr>
            </w:pPr>
            <w:r>
              <w:rPr>
                <w:rFonts w:ascii="Arial" w:cs="Arial" w:eastAsia="Arial" w:hAnsi="Arial"/>
                <w:sz w:val="12"/>
                <w:szCs w:val="12"/>
                <w:b w:val="1"/>
                <w:bCs w:val="1"/>
                <w:color w:val="050A54"/>
              </w:rPr>
              <w:t>($)</w:t>
            </w:r>
          </w:p>
        </w:tc>
        <w:tc>
          <w:tcPr>
            <w:tcW w:w="1000" w:type="dxa"/>
            <w:vAlign w:val="bottom"/>
            <w:gridSpan w:val="3"/>
          </w:tcPr>
          <w:p>
            <w:pPr>
              <w:jc w:val="center"/>
              <w:ind w:right="240"/>
              <w:spacing w:after="0"/>
              <w:rPr>
                <w:sz w:val="20"/>
                <w:szCs w:val="20"/>
                <w:color w:val="auto"/>
              </w:rPr>
            </w:pPr>
            <w:r>
              <w:rPr>
                <w:rFonts w:ascii="Arial" w:cs="Arial" w:eastAsia="Arial" w:hAnsi="Arial"/>
                <w:sz w:val="12"/>
                <w:szCs w:val="12"/>
                <w:b w:val="1"/>
                <w:bCs w:val="1"/>
                <w:color w:val="050A54"/>
              </w:rPr>
              <w:t>Date</w:t>
            </w:r>
          </w:p>
        </w:tc>
        <w:tc>
          <w:tcPr>
            <w:tcW w:w="560" w:type="dxa"/>
            <w:vAlign w:val="bottom"/>
            <w:gridSpan w:val="2"/>
          </w:tcPr>
          <w:p>
            <w:pPr>
              <w:jc w:val="center"/>
              <w:ind w:left="298"/>
              <w:spacing w:after="0"/>
              <w:rPr>
                <w:sz w:val="20"/>
                <w:szCs w:val="20"/>
                <w:color w:val="auto"/>
              </w:rPr>
            </w:pPr>
            <w:r>
              <w:rPr>
                <w:rFonts w:ascii="Arial" w:cs="Arial" w:eastAsia="Arial" w:hAnsi="Arial"/>
                <w:sz w:val="12"/>
                <w:szCs w:val="12"/>
                <w:b w:val="1"/>
                <w:bCs w:val="1"/>
                <w:color w:val="050A54"/>
              </w:rPr>
              <w:t>(#)</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178"/>
              <w:spacing w:after="0"/>
              <w:rPr>
                <w:sz w:val="20"/>
                <w:szCs w:val="20"/>
                <w:color w:val="auto"/>
              </w:rPr>
            </w:pPr>
            <w:r>
              <w:rPr>
                <w:rFonts w:ascii="Arial" w:cs="Arial" w:eastAsia="Arial" w:hAnsi="Arial"/>
                <w:sz w:val="12"/>
                <w:szCs w:val="12"/>
                <w:b w:val="1"/>
                <w:bCs w:val="1"/>
                <w:color w:val="050A54"/>
              </w:rPr>
              <w:t>($)(1)</w:t>
            </w:r>
          </w:p>
        </w:tc>
        <w:tc>
          <w:tcPr>
            <w:tcW w:w="980" w:type="dxa"/>
            <w:vAlign w:val="bottom"/>
            <w:gridSpan w:val="2"/>
          </w:tcPr>
          <w:p>
            <w:pPr>
              <w:jc w:val="center"/>
              <w:spacing w:after="0"/>
              <w:rPr>
                <w:sz w:val="20"/>
                <w:szCs w:val="20"/>
                <w:color w:val="auto"/>
              </w:rPr>
            </w:pPr>
            <w:r>
              <w:rPr>
                <w:rFonts w:ascii="Arial" w:cs="Arial" w:eastAsia="Arial" w:hAnsi="Arial"/>
                <w:sz w:val="12"/>
                <w:szCs w:val="12"/>
                <w:b w:val="1"/>
                <w:bCs w:val="1"/>
                <w:color w:val="050A54"/>
              </w:rPr>
              <w:t>Vested (#)</w:t>
            </w:r>
          </w:p>
        </w:tc>
        <w:tc>
          <w:tcPr>
            <w:tcW w:w="920" w:type="dxa"/>
            <w:vAlign w:val="bottom"/>
            <w:gridSpan w:val="3"/>
          </w:tcPr>
          <w:p>
            <w:pPr>
              <w:ind w:left="80"/>
              <w:spacing w:after="0"/>
              <w:rPr>
                <w:sz w:val="20"/>
                <w:szCs w:val="20"/>
                <w:color w:val="auto"/>
              </w:rPr>
            </w:pPr>
            <w:r>
              <w:rPr>
                <w:rFonts w:ascii="Arial" w:cs="Arial" w:eastAsia="Arial" w:hAnsi="Arial"/>
                <w:sz w:val="12"/>
                <w:szCs w:val="12"/>
                <w:b w:val="1"/>
                <w:bCs w:val="1"/>
                <w:color w:val="050A54"/>
              </w:rPr>
              <w:t>Vested ($)(2)</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20" w:type="dxa"/>
            <w:vAlign w:val="bottom"/>
            <w:tcBorders>
              <w:bottom w:val="single" w:sz="8" w:color="050A54"/>
            </w:tcBorders>
          </w:tcPr>
          <w:p>
            <w:pPr>
              <w:spacing w:after="0"/>
              <w:rPr>
                <w:sz w:val="2"/>
                <w:szCs w:val="2"/>
                <w:color w:val="auto"/>
              </w:rPr>
            </w:pPr>
          </w:p>
        </w:tc>
        <w:tc>
          <w:tcPr>
            <w:tcW w:w="1120" w:type="dxa"/>
            <w:vAlign w:val="bottom"/>
            <w:tcBorders>
              <w:bottom w:val="single" w:sz="8" w:color="050A54"/>
            </w:tcBorders>
          </w:tcPr>
          <w:p>
            <w:pPr>
              <w:spacing w:after="0"/>
              <w:rPr>
                <w:sz w:val="2"/>
                <w:szCs w:val="2"/>
                <w:color w:val="auto"/>
              </w:rPr>
            </w:pPr>
          </w:p>
        </w:tc>
        <w:tc>
          <w:tcPr>
            <w:tcW w:w="840" w:type="dxa"/>
            <w:vAlign w:val="bottom"/>
            <w:tcBorders>
              <w:bottom w:val="single" w:sz="8" w:color="050A54"/>
            </w:tcBorders>
          </w:tcPr>
          <w:p>
            <w:pPr>
              <w:spacing w:after="0"/>
              <w:rPr>
                <w:sz w:val="2"/>
                <w:szCs w:val="2"/>
                <w:color w:val="auto"/>
              </w:rPr>
            </w:pPr>
          </w:p>
        </w:tc>
        <w:tc>
          <w:tcPr>
            <w:tcW w:w="140" w:type="dxa"/>
            <w:vAlign w:val="bottom"/>
            <w:tcBorders>
              <w:bottom w:val="single" w:sz="8" w:color="050A54"/>
            </w:tcBorders>
          </w:tcPr>
          <w:p>
            <w:pPr>
              <w:spacing w:after="0"/>
              <w:rPr>
                <w:sz w:val="2"/>
                <w:szCs w:val="2"/>
                <w:color w:val="auto"/>
              </w:rPr>
            </w:pPr>
          </w:p>
        </w:tc>
        <w:tc>
          <w:tcPr>
            <w:tcW w:w="520" w:type="dxa"/>
            <w:vAlign w:val="bottom"/>
            <w:tcBorders>
              <w:bottom w:val="single" w:sz="8" w:color="050A54"/>
            </w:tcBorders>
          </w:tcPr>
          <w:p>
            <w:pPr>
              <w:spacing w:after="0"/>
              <w:rPr>
                <w:sz w:val="2"/>
                <w:szCs w:val="2"/>
                <w:color w:val="auto"/>
              </w:rPr>
            </w:pPr>
          </w:p>
        </w:tc>
        <w:tc>
          <w:tcPr>
            <w:tcW w:w="360" w:type="dxa"/>
            <w:vAlign w:val="bottom"/>
            <w:tcBorders>
              <w:bottom w:val="single" w:sz="8" w:color="050A54"/>
            </w:tcBorders>
          </w:tcPr>
          <w:p>
            <w:pPr>
              <w:spacing w:after="0"/>
              <w:rPr>
                <w:sz w:val="2"/>
                <w:szCs w:val="2"/>
                <w:color w:val="auto"/>
              </w:rPr>
            </w:pPr>
          </w:p>
        </w:tc>
        <w:tc>
          <w:tcPr>
            <w:tcW w:w="180" w:type="dxa"/>
            <w:vAlign w:val="bottom"/>
            <w:tcBorders>
              <w:bottom w:val="single" w:sz="8" w:color="050A54"/>
            </w:tcBorders>
          </w:tcPr>
          <w:p>
            <w:pPr>
              <w:spacing w:after="0"/>
              <w:rPr>
                <w:sz w:val="2"/>
                <w:szCs w:val="2"/>
                <w:color w:val="auto"/>
              </w:rPr>
            </w:pPr>
          </w:p>
        </w:tc>
        <w:tc>
          <w:tcPr>
            <w:tcW w:w="500" w:type="dxa"/>
            <w:vAlign w:val="bottom"/>
            <w:tcBorders>
              <w:bottom w:val="single" w:sz="8" w:color="050A54"/>
            </w:tcBorders>
          </w:tcPr>
          <w:p>
            <w:pPr>
              <w:spacing w:after="0"/>
              <w:rPr>
                <w:sz w:val="2"/>
                <w:szCs w:val="2"/>
                <w:color w:val="auto"/>
              </w:rPr>
            </w:pPr>
          </w:p>
        </w:tc>
        <w:tc>
          <w:tcPr>
            <w:tcW w:w="680" w:type="dxa"/>
            <w:vAlign w:val="bottom"/>
            <w:tcBorders>
              <w:bottom w:val="single" w:sz="8" w:color="050A54"/>
            </w:tcBorders>
          </w:tcPr>
          <w:p>
            <w:pPr>
              <w:spacing w:after="0"/>
              <w:rPr>
                <w:sz w:val="2"/>
                <w:szCs w:val="2"/>
                <w:color w:val="auto"/>
              </w:rPr>
            </w:pPr>
          </w:p>
        </w:tc>
        <w:tc>
          <w:tcPr>
            <w:tcW w:w="100" w:type="dxa"/>
            <w:vAlign w:val="bottom"/>
            <w:tcBorders>
              <w:bottom w:val="single" w:sz="8" w:color="050A54"/>
            </w:tcBorders>
          </w:tcPr>
          <w:p>
            <w:pPr>
              <w:spacing w:after="0"/>
              <w:rPr>
                <w:sz w:val="2"/>
                <w:szCs w:val="2"/>
                <w:color w:val="auto"/>
              </w:rPr>
            </w:pPr>
          </w:p>
        </w:tc>
        <w:tc>
          <w:tcPr>
            <w:tcW w:w="220" w:type="dxa"/>
            <w:vAlign w:val="bottom"/>
            <w:tcBorders>
              <w:bottom w:val="single" w:sz="8" w:color="E8E8E8"/>
            </w:tcBorders>
          </w:tcPr>
          <w:p>
            <w:pPr>
              <w:spacing w:after="0"/>
              <w:rPr>
                <w:sz w:val="2"/>
                <w:szCs w:val="2"/>
                <w:color w:val="auto"/>
              </w:rPr>
            </w:pPr>
          </w:p>
        </w:tc>
        <w:tc>
          <w:tcPr>
            <w:tcW w:w="100" w:type="dxa"/>
            <w:vAlign w:val="bottom"/>
            <w:tcBorders>
              <w:bottom w:val="single" w:sz="8" w:color="050A54"/>
            </w:tcBorders>
          </w:tcPr>
          <w:p>
            <w:pPr>
              <w:spacing w:after="0"/>
              <w:rPr>
                <w:sz w:val="2"/>
                <w:szCs w:val="2"/>
                <w:color w:val="auto"/>
              </w:rPr>
            </w:pPr>
          </w:p>
        </w:tc>
        <w:tc>
          <w:tcPr>
            <w:tcW w:w="460" w:type="dxa"/>
            <w:vAlign w:val="bottom"/>
            <w:tcBorders>
              <w:bottom w:val="single" w:sz="8" w:color="050A54"/>
            </w:tcBorders>
          </w:tcPr>
          <w:p>
            <w:pPr>
              <w:spacing w:after="0"/>
              <w:rPr>
                <w:sz w:val="2"/>
                <w:szCs w:val="2"/>
                <w:color w:val="auto"/>
              </w:rPr>
            </w:pPr>
          </w:p>
        </w:tc>
        <w:tc>
          <w:tcPr>
            <w:tcW w:w="340" w:type="dxa"/>
            <w:vAlign w:val="bottom"/>
            <w:tcBorders>
              <w:bottom w:val="single" w:sz="8" w:color="050A54"/>
            </w:tcBorders>
          </w:tcPr>
          <w:p>
            <w:pPr>
              <w:spacing w:after="0"/>
              <w:rPr>
                <w:sz w:val="2"/>
                <w:szCs w:val="2"/>
                <w:color w:val="auto"/>
              </w:rPr>
            </w:pPr>
          </w:p>
        </w:tc>
        <w:tc>
          <w:tcPr>
            <w:tcW w:w="160" w:type="dxa"/>
            <w:vAlign w:val="bottom"/>
            <w:tcBorders>
              <w:bottom w:val="single" w:sz="8" w:color="050A54"/>
            </w:tcBorders>
          </w:tcPr>
          <w:p>
            <w:pPr>
              <w:spacing w:after="0"/>
              <w:rPr>
                <w:sz w:val="2"/>
                <w:szCs w:val="2"/>
                <w:color w:val="auto"/>
              </w:rPr>
            </w:pPr>
          </w:p>
        </w:tc>
        <w:tc>
          <w:tcPr>
            <w:tcW w:w="860" w:type="dxa"/>
            <w:vAlign w:val="bottom"/>
            <w:tcBorders>
              <w:bottom w:val="single" w:sz="8" w:color="050A54"/>
            </w:tcBorders>
          </w:tcPr>
          <w:p>
            <w:pPr>
              <w:spacing w:after="0"/>
              <w:rPr>
                <w:sz w:val="2"/>
                <w:szCs w:val="2"/>
                <w:color w:val="auto"/>
              </w:rPr>
            </w:pPr>
          </w:p>
        </w:tc>
        <w:tc>
          <w:tcPr>
            <w:tcW w:w="660" w:type="dxa"/>
            <w:vAlign w:val="bottom"/>
            <w:tcBorders>
              <w:bottom w:val="single" w:sz="8" w:color="050A54"/>
            </w:tcBorders>
          </w:tcPr>
          <w:p>
            <w:pPr>
              <w:spacing w:after="0"/>
              <w:rPr>
                <w:sz w:val="2"/>
                <w:szCs w:val="2"/>
                <w:color w:val="auto"/>
              </w:rPr>
            </w:pPr>
          </w:p>
        </w:tc>
        <w:tc>
          <w:tcPr>
            <w:tcW w:w="320" w:type="dxa"/>
            <w:vAlign w:val="bottom"/>
            <w:tcBorders>
              <w:bottom w:val="single" w:sz="8" w:color="050A54"/>
            </w:tcBorders>
          </w:tcPr>
          <w:p>
            <w:pPr>
              <w:spacing w:after="0"/>
              <w:rPr>
                <w:sz w:val="2"/>
                <w:szCs w:val="2"/>
                <w:color w:val="auto"/>
              </w:rPr>
            </w:pPr>
          </w:p>
        </w:tc>
        <w:tc>
          <w:tcPr>
            <w:tcW w:w="160" w:type="dxa"/>
            <w:vAlign w:val="bottom"/>
            <w:tcBorders>
              <w:bottom w:val="single" w:sz="8" w:color="050A54"/>
            </w:tcBorders>
          </w:tcPr>
          <w:p>
            <w:pPr>
              <w:spacing w:after="0"/>
              <w:rPr>
                <w:sz w:val="2"/>
                <w:szCs w:val="2"/>
                <w:color w:val="auto"/>
              </w:rPr>
            </w:pPr>
          </w:p>
        </w:tc>
        <w:tc>
          <w:tcPr>
            <w:tcW w:w="660" w:type="dxa"/>
            <w:vAlign w:val="bottom"/>
            <w:tcBorders>
              <w:bottom w:val="single" w:sz="8" w:color="050A54"/>
            </w:tcBorders>
          </w:tcPr>
          <w:p>
            <w:pPr>
              <w:spacing w:after="0"/>
              <w:rPr>
                <w:sz w:val="2"/>
                <w:szCs w:val="2"/>
                <w:color w:val="auto"/>
              </w:rPr>
            </w:pPr>
          </w:p>
        </w:tc>
        <w:tc>
          <w:tcPr>
            <w:tcW w:w="100" w:type="dxa"/>
            <w:vAlign w:val="bottom"/>
            <w:tcBorders>
              <w:bottom w:val="single" w:sz="8" w:color="050A54"/>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420" w:type="dxa"/>
            <w:vAlign w:val="bottom"/>
            <w:shd w:val="clear" w:color="auto" w:fill="E8E8E8"/>
          </w:tcPr>
          <w:p>
            <w:pPr>
              <w:spacing w:after="0"/>
              <w:rPr>
                <w:sz w:val="20"/>
                <w:szCs w:val="20"/>
                <w:color w:val="auto"/>
              </w:rPr>
            </w:pPr>
            <w:r>
              <w:rPr>
                <w:rFonts w:ascii="Arial" w:cs="Arial" w:eastAsia="Arial" w:hAnsi="Arial"/>
                <w:sz w:val="12"/>
                <w:szCs w:val="12"/>
                <w:color w:val="auto"/>
              </w:rPr>
              <w:t>Richard Steinmeier</w:t>
            </w:r>
          </w:p>
        </w:tc>
        <w:tc>
          <w:tcPr>
            <w:tcW w:w="1960" w:type="dxa"/>
            <w:vAlign w:val="bottom"/>
            <w:gridSpan w:val="2"/>
            <w:shd w:val="clear" w:color="auto" w:fill="E8E8E8"/>
          </w:tcPr>
          <w:p>
            <w:pPr>
              <w:jc w:val="right"/>
              <w:ind w:right="38"/>
              <w:spacing w:after="0"/>
              <w:rPr>
                <w:sz w:val="20"/>
                <w:szCs w:val="20"/>
                <w:color w:val="auto"/>
              </w:rPr>
            </w:pPr>
            <w:r>
              <w:rPr>
                <w:rFonts w:ascii="Arial" w:cs="Arial" w:eastAsia="Arial" w:hAnsi="Arial"/>
                <w:sz w:val="12"/>
                <w:szCs w:val="12"/>
                <w:color w:val="auto"/>
              </w:rPr>
              <w:t>4,904</w:t>
            </w:r>
          </w:p>
        </w:tc>
        <w:tc>
          <w:tcPr>
            <w:tcW w:w="660" w:type="dxa"/>
            <w:vAlign w:val="bottom"/>
            <w:gridSpan w:val="2"/>
            <w:shd w:val="clear" w:color="auto" w:fill="E8E8E8"/>
          </w:tcPr>
          <w:p>
            <w:pPr>
              <w:jc w:val="right"/>
              <w:ind w:right="38"/>
              <w:spacing w:after="0"/>
              <w:rPr>
                <w:sz w:val="20"/>
                <w:szCs w:val="20"/>
                <w:color w:val="auto"/>
              </w:rPr>
            </w:pPr>
            <w:r>
              <w:rPr>
                <w:rFonts w:ascii="Arial" w:cs="Arial" w:eastAsia="Arial" w:hAnsi="Arial"/>
                <w:sz w:val="12"/>
                <w:szCs w:val="12"/>
                <w:color w:val="auto"/>
              </w:rPr>
              <w:t>2,451</w:t>
            </w:r>
          </w:p>
        </w:tc>
        <w:tc>
          <w:tcPr>
            <w:tcW w:w="360" w:type="dxa"/>
            <w:vAlign w:val="bottom"/>
            <w:shd w:val="clear" w:color="auto" w:fill="E8E8E8"/>
          </w:tcPr>
          <w:p>
            <w:pPr>
              <w:jc w:val="right"/>
              <w:ind w:right="78"/>
              <w:spacing w:after="0"/>
              <w:rPr>
                <w:sz w:val="20"/>
                <w:szCs w:val="20"/>
                <w:color w:val="auto"/>
              </w:rPr>
            </w:pPr>
            <w:r>
              <w:rPr>
                <w:rFonts w:ascii="Arial" w:cs="Arial" w:eastAsia="Arial" w:hAnsi="Arial"/>
                <w:sz w:val="12"/>
                <w:szCs w:val="12"/>
                <w:color w:val="auto"/>
              </w:rPr>
              <w:t>(6)</w:t>
            </w:r>
          </w:p>
        </w:tc>
        <w:tc>
          <w:tcPr>
            <w:tcW w:w="180" w:type="dxa"/>
            <w:vAlign w:val="bottom"/>
            <w:shd w:val="clear" w:color="auto" w:fill="E8E8E8"/>
          </w:tcPr>
          <w:p>
            <w:pPr>
              <w:ind w:left="100"/>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E8E8E8"/>
          </w:tcPr>
          <w:p>
            <w:pPr>
              <w:jc w:val="right"/>
              <w:spacing w:after="0"/>
              <w:rPr>
                <w:sz w:val="20"/>
                <w:szCs w:val="20"/>
                <w:color w:val="auto"/>
              </w:rPr>
            </w:pPr>
            <w:r>
              <w:rPr>
                <w:rFonts w:ascii="Arial" w:cs="Arial" w:eastAsia="Arial" w:hAnsi="Arial"/>
                <w:sz w:val="12"/>
                <w:szCs w:val="12"/>
                <w:color w:val="auto"/>
              </w:rPr>
              <w:t>77.53</w:t>
            </w:r>
          </w:p>
        </w:tc>
        <w:tc>
          <w:tcPr>
            <w:tcW w:w="780" w:type="dxa"/>
            <w:vAlign w:val="bottom"/>
            <w:gridSpan w:val="2"/>
            <w:shd w:val="clear" w:color="auto" w:fill="E8E8E8"/>
          </w:tcPr>
          <w:p>
            <w:pPr>
              <w:jc w:val="right"/>
              <w:ind w:right="100"/>
              <w:spacing w:after="0"/>
              <w:rPr>
                <w:sz w:val="20"/>
                <w:szCs w:val="20"/>
                <w:color w:val="auto"/>
              </w:rPr>
            </w:pPr>
            <w:r>
              <w:rPr>
                <w:rFonts w:ascii="Arial" w:cs="Arial" w:eastAsia="Arial" w:hAnsi="Arial"/>
                <w:sz w:val="12"/>
                <w:szCs w:val="12"/>
                <w:color w:val="auto"/>
              </w:rPr>
              <w:t>2/25/2029</w:t>
            </w:r>
          </w:p>
        </w:tc>
        <w:tc>
          <w:tcPr>
            <w:tcW w:w="220" w:type="dxa"/>
            <w:vAlign w:val="bottom"/>
            <w:shd w:val="clear" w:color="auto" w:fill="E8E8E8"/>
          </w:tcPr>
          <w:p>
            <w:pPr>
              <w:spacing w:after="0"/>
              <w:rPr>
                <w:sz w:val="13"/>
                <w:szCs w:val="13"/>
                <w:color w:val="auto"/>
              </w:rPr>
            </w:pPr>
          </w:p>
        </w:tc>
        <w:tc>
          <w:tcPr>
            <w:tcW w:w="100" w:type="dxa"/>
            <w:vAlign w:val="bottom"/>
            <w:shd w:val="clear" w:color="auto" w:fill="E8E8E8"/>
          </w:tcPr>
          <w:p>
            <w:pPr>
              <w:spacing w:after="0"/>
              <w:rPr>
                <w:sz w:val="13"/>
                <w:szCs w:val="13"/>
                <w:color w:val="auto"/>
              </w:rPr>
            </w:pPr>
          </w:p>
        </w:tc>
        <w:tc>
          <w:tcPr>
            <w:tcW w:w="460" w:type="dxa"/>
            <w:vAlign w:val="bottom"/>
            <w:shd w:val="clear" w:color="auto" w:fill="E8E8E8"/>
          </w:tcPr>
          <w:p>
            <w:pPr>
              <w:jc w:val="right"/>
              <w:ind w:right="38"/>
              <w:spacing w:after="0"/>
              <w:rPr>
                <w:sz w:val="20"/>
                <w:szCs w:val="20"/>
                <w:color w:val="auto"/>
              </w:rPr>
            </w:pPr>
            <w:r>
              <w:rPr>
                <w:rFonts w:ascii="Arial" w:cs="Arial" w:eastAsia="Arial" w:hAnsi="Arial"/>
                <w:sz w:val="12"/>
                <w:szCs w:val="12"/>
                <w:color w:val="auto"/>
              </w:rPr>
              <w:t>—</w:t>
            </w:r>
          </w:p>
        </w:tc>
        <w:tc>
          <w:tcPr>
            <w:tcW w:w="340" w:type="dxa"/>
            <w:vAlign w:val="bottom"/>
            <w:shd w:val="clear" w:color="auto" w:fill="E8E8E8"/>
          </w:tcPr>
          <w:p>
            <w:pPr>
              <w:spacing w:after="0"/>
              <w:rPr>
                <w:sz w:val="13"/>
                <w:szCs w:val="13"/>
                <w:color w:val="auto"/>
              </w:rPr>
            </w:pPr>
          </w:p>
        </w:tc>
        <w:tc>
          <w:tcPr>
            <w:tcW w:w="160" w:type="dxa"/>
            <w:vAlign w:val="bottom"/>
            <w:shd w:val="clear" w:color="auto" w:fill="E8E8E8"/>
          </w:tcPr>
          <w:p>
            <w:pPr>
              <w:ind w:left="8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E8E8E8"/>
          </w:tcPr>
          <w:p>
            <w:pPr>
              <w:jc w:val="right"/>
              <w:ind w:right="98"/>
              <w:spacing w:after="0"/>
              <w:rPr>
                <w:sz w:val="20"/>
                <w:szCs w:val="20"/>
                <w:color w:val="auto"/>
              </w:rPr>
            </w:pPr>
            <w:r>
              <w:rPr>
                <w:rFonts w:ascii="Arial" w:cs="Arial" w:eastAsia="Arial" w:hAnsi="Arial"/>
                <w:sz w:val="12"/>
                <w:szCs w:val="12"/>
                <w:color w:val="auto"/>
              </w:rPr>
              <w:t>—</w:t>
            </w:r>
          </w:p>
        </w:tc>
        <w:tc>
          <w:tcPr>
            <w:tcW w:w="660" w:type="dxa"/>
            <w:vAlign w:val="bottom"/>
            <w:shd w:val="clear" w:color="auto" w:fill="E8E8E8"/>
          </w:tcPr>
          <w:p>
            <w:pPr>
              <w:jc w:val="right"/>
              <w:ind w:right="58"/>
              <w:spacing w:after="0"/>
              <w:rPr>
                <w:sz w:val="20"/>
                <w:szCs w:val="20"/>
                <w:color w:val="auto"/>
              </w:rPr>
            </w:pPr>
            <w:r>
              <w:rPr>
                <w:rFonts w:ascii="Arial" w:cs="Arial" w:eastAsia="Arial" w:hAnsi="Arial"/>
                <w:sz w:val="12"/>
                <w:szCs w:val="12"/>
                <w:color w:val="auto"/>
              </w:rPr>
              <w:t>—</w:t>
            </w:r>
          </w:p>
        </w:tc>
        <w:tc>
          <w:tcPr>
            <w:tcW w:w="320" w:type="dxa"/>
            <w:vAlign w:val="bottom"/>
            <w:shd w:val="clear" w:color="auto" w:fill="E8E8E8"/>
          </w:tcPr>
          <w:p>
            <w:pPr>
              <w:spacing w:after="0"/>
              <w:rPr>
                <w:sz w:val="13"/>
                <w:szCs w:val="13"/>
                <w:color w:val="auto"/>
              </w:rPr>
            </w:pPr>
          </w:p>
        </w:tc>
        <w:tc>
          <w:tcPr>
            <w:tcW w:w="160" w:type="dxa"/>
            <w:vAlign w:val="bottom"/>
            <w:shd w:val="clear" w:color="auto" w:fill="E8E8E8"/>
          </w:tcPr>
          <w:p>
            <w:pPr>
              <w:ind w:left="80"/>
              <w:spacing w:after="0"/>
              <w:rPr>
                <w:sz w:val="20"/>
                <w:szCs w:val="20"/>
                <w:color w:val="auto"/>
              </w:rPr>
            </w:pPr>
            <w:r>
              <w:rPr>
                <w:rFonts w:ascii="Arial" w:cs="Arial" w:eastAsia="Arial" w:hAnsi="Arial"/>
                <w:sz w:val="12"/>
                <w:szCs w:val="12"/>
                <w:color w:val="auto"/>
                <w:w w:val="89"/>
              </w:rPr>
              <w:t>$</w:t>
            </w:r>
          </w:p>
        </w:tc>
        <w:tc>
          <w:tcPr>
            <w:tcW w:w="760" w:type="dxa"/>
            <w:vAlign w:val="bottom"/>
            <w:gridSpan w:val="2"/>
            <w:shd w:val="clear" w:color="auto" w:fill="E8E8E8"/>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20" w:type="dxa"/>
            <w:vAlign w:val="bottom"/>
            <w:shd w:val="clear" w:color="auto" w:fill="E8E8E8"/>
          </w:tcPr>
          <w:p>
            <w:pPr>
              <w:spacing w:after="0"/>
              <w:rPr>
                <w:sz w:val="14"/>
                <w:szCs w:val="14"/>
                <w:color w:val="auto"/>
              </w:rPr>
            </w:pPr>
          </w:p>
        </w:tc>
        <w:tc>
          <w:tcPr>
            <w:tcW w:w="1120" w:type="dxa"/>
            <w:vAlign w:val="bottom"/>
            <w:shd w:val="clear" w:color="auto" w:fill="E8E8E8"/>
          </w:tcPr>
          <w:p>
            <w:pPr>
              <w:spacing w:after="0"/>
              <w:rPr>
                <w:sz w:val="14"/>
                <w:szCs w:val="14"/>
                <w:color w:val="auto"/>
              </w:rPr>
            </w:pPr>
          </w:p>
        </w:tc>
        <w:tc>
          <w:tcPr>
            <w:tcW w:w="840" w:type="dxa"/>
            <w:vAlign w:val="bottom"/>
            <w:shd w:val="clear" w:color="auto" w:fill="E8E8E8"/>
          </w:tcPr>
          <w:p>
            <w:pPr>
              <w:jc w:val="right"/>
              <w:ind w:right="38"/>
              <w:spacing w:after="0"/>
              <w:rPr>
                <w:sz w:val="20"/>
                <w:szCs w:val="20"/>
                <w:color w:val="auto"/>
              </w:rPr>
            </w:pPr>
            <w:r>
              <w:rPr>
                <w:rFonts w:ascii="Arial" w:cs="Arial" w:eastAsia="Arial" w:hAnsi="Arial"/>
                <w:sz w:val="12"/>
                <w:szCs w:val="12"/>
                <w:color w:val="auto"/>
              </w:rPr>
              <w:t>—</w:t>
            </w:r>
          </w:p>
        </w:tc>
        <w:tc>
          <w:tcPr>
            <w:tcW w:w="140" w:type="dxa"/>
            <w:vAlign w:val="bottom"/>
            <w:shd w:val="clear" w:color="auto" w:fill="E8E8E8"/>
          </w:tcPr>
          <w:p>
            <w:pPr>
              <w:spacing w:after="0"/>
              <w:rPr>
                <w:sz w:val="14"/>
                <w:szCs w:val="14"/>
                <w:color w:val="auto"/>
              </w:rPr>
            </w:pPr>
          </w:p>
        </w:tc>
        <w:tc>
          <w:tcPr>
            <w:tcW w:w="520" w:type="dxa"/>
            <w:vAlign w:val="bottom"/>
            <w:shd w:val="clear" w:color="auto" w:fill="E8E8E8"/>
          </w:tcPr>
          <w:p>
            <w:pPr>
              <w:jc w:val="right"/>
              <w:ind w:right="38"/>
              <w:spacing w:after="0"/>
              <w:rPr>
                <w:sz w:val="20"/>
                <w:szCs w:val="20"/>
                <w:color w:val="auto"/>
              </w:rPr>
            </w:pPr>
            <w:r>
              <w:rPr>
                <w:rFonts w:ascii="Arial" w:cs="Arial" w:eastAsia="Arial" w:hAnsi="Arial"/>
                <w:sz w:val="12"/>
                <w:szCs w:val="12"/>
                <w:color w:val="auto"/>
              </w:rPr>
              <w:t>—</w:t>
            </w:r>
          </w:p>
        </w:tc>
        <w:tc>
          <w:tcPr>
            <w:tcW w:w="360" w:type="dxa"/>
            <w:vAlign w:val="bottom"/>
            <w:shd w:val="clear" w:color="auto" w:fill="E8E8E8"/>
          </w:tcPr>
          <w:p>
            <w:pPr>
              <w:spacing w:after="0"/>
              <w:rPr>
                <w:sz w:val="14"/>
                <w:szCs w:val="14"/>
                <w:color w:val="auto"/>
              </w:rPr>
            </w:pPr>
          </w:p>
        </w:tc>
        <w:tc>
          <w:tcPr>
            <w:tcW w:w="180" w:type="dxa"/>
            <w:vAlign w:val="bottom"/>
            <w:shd w:val="clear" w:color="auto" w:fill="E8E8E8"/>
          </w:tcPr>
          <w:p>
            <w:pPr>
              <w:ind w:left="100"/>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E8E8E8"/>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E8E8E8"/>
          </w:tcPr>
          <w:p>
            <w:pPr>
              <w:spacing w:after="0"/>
              <w:rPr>
                <w:sz w:val="14"/>
                <w:szCs w:val="14"/>
                <w:color w:val="auto"/>
              </w:rPr>
            </w:pPr>
          </w:p>
        </w:tc>
        <w:tc>
          <w:tcPr>
            <w:tcW w:w="100" w:type="dxa"/>
            <w:vAlign w:val="bottom"/>
            <w:shd w:val="clear" w:color="auto" w:fill="E8E8E8"/>
          </w:tcPr>
          <w:p>
            <w:pPr>
              <w:spacing w:after="0"/>
              <w:rPr>
                <w:sz w:val="14"/>
                <w:szCs w:val="14"/>
                <w:color w:val="auto"/>
              </w:rPr>
            </w:pPr>
          </w:p>
        </w:tc>
        <w:tc>
          <w:tcPr>
            <w:tcW w:w="220" w:type="dxa"/>
            <w:vAlign w:val="bottom"/>
            <w:shd w:val="clear" w:color="auto" w:fill="E8E8E8"/>
          </w:tcPr>
          <w:p>
            <w:pPr>
              <w:spacing w:after="0"/>
              <w:rPr>
                <w:sz w:val="14"/>
                <w:szCs w:val="14"/>
                <w:color w:val="auto"/>
              </w:rPr>
            </w:pPr>
          </w:p>
        </w:tc>
        <w:tc>
          <w:tcPr>
            <w:tcW w:w="560" w:type="dxa"/>
            <w:vAlign w:val="bottom"/>
            <w:gridSpan w:val="2"/>
            <w:shd w:val="clear" w:color="auto" w:fill="E8E8E8"/>
          </w:tcPr>
          <w:p>
            <w:pPr>
              <w:jc w:val="right"/>
              <w:ind w:right="38"/>
              <w:spacing w:after="0"/>
              <w:rPr>
                <w:sz w:val="20"/>
                <w:szCs w:val="20"/>
                <w:color w:val="auto"/>
              </w:rPr>
            </w:pPr>
            <w:r>
              <w:rPr>
                <w:rFonts w:ascii="Arial" w:cs="Arial" w:eastAsia="Arial" w:hAnsi="Arial"/>
                <w:sz w:val="12"/>
                <w:szCs w:val="12"/>
                <w:color w:val="auto"/>
              </w:rPr>
              <w:t>7,537</w:t>
            </w:r>
          </w:p>
        </w:tc>
        <w:tc>
          <w:tcPr>
            <w:tcW w:w="340" w:type="dxa"/>
            <w:vAlign w:val="bottom"/>
            <w:shd w:val="clear" w:color="auto" w:fill="E8E8E8"/>
          </w:tcPr>
          <w:p>
            <w:pPr>
              <w:ind w:left="20"/>
              <w:spacing w:after="0"/>
              <w:rPr>
                <w:sz w:val="20"/>
                <w:szCs w:val="20"/>
                <w:color w:val="auto"/>
              </w:rPr>
            </w:pPr>
            <w:r>
              <w:rPr>
                <w:rFonts w:ascii="Arial" w:cs="Arial" w:eastAsia="Arial" w:hAnsi="Arial"/>
                <w:sz w:val="12"/>
                <w:szCs w:val="12"/>
                <w:color w:val="auto"/>
              </w:rPr>
              <w:t>(13)</w:t>
            </w:r>
          </w:p>
        </w:tc>
        <w:tc>
          <w:tcPr>
            <w:tcW w:w="160" w:type="dxa"/>
            <w:vAlign w:val="bottom"/>
            <w:shd w:val="clear" w:color="auto" w:fill="E8E8E8"/>
          </w:tcPr>
          <w:p>
            <w:pPr>
              <w:ind w:left="8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E8E8E8"/>
          </w:tcPr>
          <w:p>
            <w:pPr>
              <w:jc w:val="right"/>
              <w:ind w:right="98"/>
              <w:spacing w:after="0"/>
              <w:rPr>
                <w:sz w:val="20"/>
                <w:szCs w:val="20"/>
                <w:color w:val="auto"/>
              </w:rPr>
            </w:pPr>
            <w:r>
              <w:rPr>
                <w:rFonts w:ascii="Arial" w:cs="Arial" w:eastAsia="Arial" w:hAnsi="Arial"/>
                <w:sz w:val="12"/>
                <w:szCs w:val="12"/>
                <w:color w:val="auto"/>
              </w:rPr>
              <w:t>1,206,598</w:t>
            </w:r>
          </w:p>
        </w:tc>
        <w:tc>
          <w:tcPr>
            <w:tcW w:w="660" w:type="dxa"/>
            <w:vAlign w:val="bottom"/>
            <w:shd w:val="clear" w:color="auto" w:fill="E8E8E8"/>
          </w:tcPr>
          <w:p>
            <w:pPr>
              <w:jc w:val="right"/>
              <w:ind w:right="58"/>
              <w:spacing w:after="0"/>
              <w:rPr>
                <w:sz w:val="20"/>
                <w:szCs w:val="20"/>
                <w:color w:val="auto"/>
              </w:rPr>
            </w:pPr>
            <w:r>
              <w:rPr>
                <w:rFonts w:ascii="Arial" w:cs="Arial" w:eastAsia="Arial" w:hAnsi="Arial"/>
                <w:sz w:val="12"/>
                <w:szCs w:val="12"/>
                <w:color w:val="auto"/>
              </w:rPr>
              <w:t>—</w:t>
            </w:r>
          </w:p>
        </w:tc>
        <w:tc>
          <w:tcPr>
            <w:tcW w:w="320" w:type="dxa"/>
            <w:vAlign w:val="bottom"/>
            <w:shd w:val="clear" w:color="auto" w:fill="E8E8E8"/>
          </w:tcPr>
          <w:p>
            <w:pPr>
              <w:spacing w:after="0"/>
              <w:rPr>
                <w:sz w:val="14"/>
                <w:szCs w:val="14"/>
                <w:color w:val="auto"/>
              </w:rPr>
            </w:pPr>
          </w:p>
        </w:tc>
        <w:tc>
          <w:tcPr>
            <w:tcW w:w="160" w:type="dxa"/>
            <w:vAlign w:val="bottom"/>
            <w:shd w:val="clear" w:color="auto" w:fill="E8E8E8"/>
          </w:tcPr>
          <w:p>
            <w:pPr>
              <w:ind w:left="80"/>
              <w:spacing w:after="0"/>
              <w:rPr>
                <w:sz w:val="20"/>
                <w:szCs w:val="20"/>
                <w:color w:val="auto"/>
              </w:rPr>
            </w:pPr>
            <w:r>
              <w:rPr>
                <w:rFonts w:ascii="Arial" w:cs="Arial" w:eastAsia="Arial" w:hAnsi="Arial"/>
                <w:sz w:val="12"/>
                <w:szCs w:val="12"/>
                <w:color w:val="auto"/>
                <w:w w:val="89"/>
              </w:rPr>
              <w:t>$</w:t>
            </w:r>
          </w:p>
        </w:tc>
        <w:tc>
          <w:tcPr>
            <w:tcW w:w="760" w:type="dxa"/>
            <w:vAlign w:val="bottom"/>
            <w:gridSpan w:val="2"/>
            <w:shd w:val="clear" w:color="auto" w:fill="E8E8E8"/>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420" w:type="dxa"/>
            <w:vAlign w:val="bottom"/>
            <w:shd w:val="clear" w:color="auto" w:fill="E8E8E8"/>
          </w:tcPr>
          <w:p>
            <w:pPr>
              <w:spacing w:after="0"/>
              <w:rPr>
                <w:sz w:val="16"/>
                <w:szCs w:val="16"/>
                <w:color w:val="auto"/>
              </w:rPr>
            </w:pPr>
          </w:p>
        </w:tc>
        <w:tc>
          <w:tcPr>
            <w:tcW w:w="1120" w:type="dxa"/>
            <w:vAlign w:val="bottom"/>
            <w:shd w:val="clear" w:color="auto" w:fill="E8E8E8"/>
          </w:tcPr>
          <w:p>
            <w:pPr>
              <w:spacing w:after="0"/>
              <w:rPr>
                <w:sz w:val="16"/>
                <w:szCs w:val="16"/>
                <w:color w:val="auto"/>
              </w:rPr>
            </w:pPr>
          </w:p>
        </w:tc>
        <w:tc>
          <w:tcPr>
            <w:tcW w:w="840" w:type="dxa"/>
            <w:vAlign w:val="bottom"/>
            <w:shd w:val="clear" w:color="auto" w:fill="E8E8E8"/>
          </w:tcPr>
          <w:p>
            <w:pPr>
              <w:jc w:val="right"/>
              <w:ind w:right="38"/>
              <w:spacing w:after="0"/>
              <w:rPr>
                <w:sz w:val="20"/>
                <w:szCs w:val="20"/>
                <w:color w:val="auto"/>
              </w:rPr>
            </w:pPr>
            <w:r>
              <w:rPr>
                <w:rFonts w:ascii="Arial" w:cs="Arial" w:eastAsia="Arial" w:hAnsi="Arial"/>
                <w:sz w:val="12"/>
                <w:szCs w:val="12"/>
                <w:color w:val="auto"/>
              </w:rPr>
              <w:t>—</w:t>
            </w:r>
          </w:p>
        </w:tc>
        <w:tc>
          <w:tcPr>
            <w:tcW w:w="140" w:type="dxa"/>
            <w:vAlign w:val="bottom"/>
            <w:shd w:val="clear" w:color="auto" w:fill="E8E8E8"/>
          </w:tcPr>
          <w:p>
            <w:pPr>
              <w:spacing w:after="0"/>
              <w:rPr>
                <w:sz w:val="16"/>
                <w:szCs w:val="16"/>
                <w:color w:val="auto"/>
              </w:rPr>
            </w:pPr>
          </w:p>
        </w:tc>
        <w:tc>
          <w:tcPr>
            <w:tcW w:w="520" w:type="dxa"/>
            <w:vAlign w:val="bottom"/>
            <w:shd w:val="clear" w:color="auto" w:fill="E8E8E8"/>
          </w:tcPr>
          <w:p>
            <w:pPr>
              <w:jc w:val="right"/>
              <w:ind w:right="38"/>
              <w:spacing w:after="0"/>
              <w:rPr>
                <w:sz w:val="20"/>
                <w:szCs w:val="20"/>
                <w:color w:val="auto"/>
              </w:rPr>
            </w:pPr>
            <w:r>
              <w:rPr>
                <w:rFonts w:ascii="Arial" w:cs="Arial" w:eastAsia="Arial" w:hAnsi="Arial"/>
                <w:sz w:val="12"/>
                <w:szCs w:val="12"/>
                <w:color w:val="auto"/>
              </w:rPr>
              <w:t>—</w:t>
            </w:r>
          </w:p>
        </w:tc>
        <w:tc>
          <w:tcPr>
            <w:tcW w:w="360" w:type="dxa"/>
            <w:vAlign w:val="bottom"/>
            <w:shd w:val="clear" w:color="auto" w:fill="E8E8E8"/>
          </w:tcPr>
          <w:p>
            <w:pPr>
              <w:spacing w:after="0"/>
              <w:rPr>
                <w:sz w:val="16"/>
                <w:szCs w:val="16"/>
                <w:color w:val="auto"/>
              </w:rPr>
            </w:pPr>
          </w:p>
        </w:tc>
        <w:tc>
          <w:tcPr>
            <w:tcW w:w="180" w:type="dxa"/>
            <w:vAlign w:val="bottom"/>
            <w:shd w:val="clear" w:color="auto" w:fill="E8E8E8"/>
          </w:tcPr>
          <w:p>
            <w:pPr>
              <w:ind w:left="100"/>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E8E8E8"/>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E8E8E8"/>
          </w:tcPr>
          <w:p>
            <w:pPr>
              <w:spacing w:after="0"/>
              <w:rPr>
                <w:sz w:val="16"/>
                <w:szCs w:val="16"/>
                <w:color w:val="auto"/>
              </w:rPr>
            </w:pPr>
          </w:p>
        </w:tc>
        <w:tc>
          <w:tcPr>
            <w:tcW w:w="100" w:type="dxa"/>
            <w:vAlign w:val="bottom"/>
            <w:shd w:val="clear" w:color="auto" w:fill="E8E8E8"/>
          </w:tcPr>
          <w:p>
            <w:pPr>
              <w:spacing w:after="0"/>
              <w:rPr>
                <w:sz w:val="16"/>
                <w:szCs w:val="16"/>
                <w:color w:val="auto"/>
              </w:rPr>
            </w:pPr>
          </w:p>
        </w:tc>
        <w:tc>
          <w:tcPr>
            <w:tcW w:w="220" w:type="dxa"/>
            <w:vAlign w:val="bottom"/>
            <w:shd w:val="clear" w:color="auto" w:fill="E8E8E8"/>
          </w:tcPr>
          <w:p>
            <w:pPr>
              <w:spacing w:after="0"/>
              <w:rPr>
                <w:sz w:val="16"/>
                <w:szCs w:val="16"/>
                <w:color w:val="auto"/>
              </w:rPr>
            </w:pPr>
          </w:p>
        </w:tc>
        <w:tc>
          <w:tcPr>
            <w:tcW w:w="560" w:type="dxa"/>
            <w:vAlign w:val="bottom"/>
            <w:gridSpan w:val="2"/>
            <w:shd w:val="clear" w:color="auto" w:fill="E8E8E8"/>
          </w:tcPr>
          <w:p>
            <w:pPr>
              <w:jc w:val="right"/>
              <w:ind w:right="38"/>
              <w:spacing w:after="0"/>
              <w:rPr>
                <w:sz w:val="20"/>
                <w:szCs w:val="20"/>
                <w:color w:val="auto"/>
              </w:rPr>
            </w:pPr>
            <w:r>
              <w:rPr>
                <w:rFonts w:ascii="Arial" w:cs="Arial" w:eastAsia="Arial" w:hAnsi="Arial"/>
                <w:sz w:val="12"/>
                <w:szCs w:val="12"/>
                <w:color w:val="auto"/>
              </w:rPr>
              <w:t>816</w:t>
            </w:r>
          </w:p>
        </w:tc>
        <w:tc>
          <w:tcPr>
            <w:tcW w:w="340" w:type="dxa"/>
            <w:vAlign w:val="bottom"/>
            <w:shd w:val="clear" w:color="auto" w:fill="E8E8E8"/>
          </w:tcPr>
          <w:p>
            <w:pPr>
              <w:ind w:left="20"/>
              <w:spacing w:after="0"/>
              <w:rPr>
                <w:sz w:val="20"/>
                <w:szCs w:val="20"/>
                <w:color w:val="auto"/>
              </w:rPr>
            </w:pPr>
            <w:r>
              <w:rPr>
                <w:rFonts w:ascii="Arial" w:cs="Arial" w:eastAsia="Arial" w:hAnsi="Arial"/>
                <w:sz w:val="12"/>
                <w:szCs w:val="12"/>
                <w:color w:val="auto"/>
              </w:rPr>
              <w:t>(6)</w:t>
            </w:r>
          </w:p>
        </w:tc>
        <w:tc>
          <w:tcPr>
            <w:tcW w:w="160" w:type="dxa"/>
            <w:vAlign w:val="bottom"/>
            <w:shd w:val="clear" w:color="auto" w:fill="E8E8E8"/>
          </w:tcPr>
          <w:p>
            <w:pPr>
              <w:ind w:left="8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E8E8E8"/>
          </w:tcPr>
          <w:p>
            <w:pPr>
              <w:jc w:val="right"/>
              <w:ind w:right="98"/>
              <w:spacing w:after="0"/>
              <w:rPr>
                <w:sz w:val="20"/>
                <w:szCs w:val="20"/>
                <w:color w:val="auto"/>
              </w:rPr>
            </w:pPr>
            <w:r>
              <w:rPr>
                <w:rFonts w:ascii="Arial" w:cs="Arial" w:eastAsia="Arial" w:hAnsi="Arial"/>
                <w:sz w:val="12"/>
                <w:szCs w:val="12"/>
                <w:color w:val="auto"/>
              </w:rPr>
              <w:t>130,633</w:t>
            </w:r>
          </w:p>
        </w:tc>
        <w:tc>
          <w:tcPr>
            <w:tcW w:w="660" w:type="dxa"/>
            <w:vAlign w:val="bottom"/>
            <w:shd w:val="clear" w:color="auto" w:fill="E8E8E8"/>
          </w:tcPr>
          <w:p>
            <w:pPr>
              <w:jc w:val="right"/>
              <w:ind w:right="58"/>
              <w:spacing w:after="0"/>
              <w:rPr>
                <w:sz w:val="20"/>
                <w:szCs w:val="20"/>
                <w:color w:val="auto"/>
              </w:rPr>
            </w:pPr>
            <w:r>
              <w:rPr>
                <w:rFonts w:ascii="Arial" w:cs="Arial" w:eastAsia="Arial" w:hAnsi="Arial"/>
                <w:sz w:val="12"/>
                <w:szCs w:val="12"/>
                <w:color w:val="auto"/>
              </w:rPr>
              <w:t>—</w:t>
            </w:r>
          </w:p>
        </w:tc>
        <w:tc>
          <w:tcPr>
            <w:tcW w:w="320" w:type="dxa"/>
            <w:vAlign w:val="bottom"/>
            <w:shd w:val="clear" w:color="auto" w:fill="E8E8E8"/>
          </w:tcPr>
          <w:p>
            <w:pPr>
              <w:spacing w:after="0"/>
              <w:rPr>
                <w:sz w:val="16"/>
                <w:szCs w:val="16"/>
                <w:color w:val="auto"/>
              </w:rPr>
            </w:pPr>
          </w:p>
        </w:tc>
        <w:tc>
          <w:tcPr>
            <w:tcW w:w="160" w:type="dxa"/>
            <w:vAlign w:val="bottom"/>
            <w:shd w:val="clear" w:color="auto" w:fill="E8E8E8"/>
          </w:tcPr>
          <w:p>
            <w:pPr>
              <w:ind w:left="80"/>
              <w:spacing w:after="0"/>
              <w:rPr>
                <w:sz w:val="20"/>
                <w:szCs w:val="20"/>
                <w:color w:val="auto"/>
              </w:rPr>
            </w:pPr>
            <w:r>
              <w:rPr>
                <w:rFonts w:ascii="Arial" w:cs="Arial" w:eastAsia="Arial" w:hAnsi="Arial"/>
                <w:sz w:val="12"/>
                <w:szCs w:val="12"/>
                <w:color w:val="auto"/>
                <w:w w:val="89"/>
              </w:rPr>
              <w:t>$</w:t>
            </w:r>
          </w:p>
        </w:tc>
        <w:tc>
          <w:tcPr>
            <w:tcW w:w="760" w:type="dxa"/>
            <w:vAlign w:val="bottom"/>
            <w:gridSpan w:val="2"/>
            <w:shd w:val="clear" w:color="auto" w:fill="E8E8E8"/>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420" w:type="dxa"/>
            <w:vAlign w:val="bottom"/>
            <w:shd w:val="clear" w:color="auto" w:fill="E8E8E8"/>
          </w:tcPr>
          <w:p>
            <w:pPr>
              <w:spacing w:after="0"/>
              <w:rPr>
                <w:sz w:val="16"/>
                <w:szCs w:val="16"/>
                <w:color w:val="auto"/>
              </w:rPr>
            </w:pPr>
          </w:p>
        </w:tc>
        <w:tc>
          <w:tcPr>
            <w:tcW w:w="1120" w:type="dxa"/>
            <w:vAlign w:val="bottom"/>
            <w:shd w:val="clear" w:color="auto" w:fill="E8E8E8"/>
          </w:tcPr>
          <w:p>
            <w:pPr>
              <w:spacing w:after="0"/>
              <w:rPr>
                <w:sz w:val="16"/>
                <w:szCs w:val="16"/>
                <w:color w:val="auto"/>
              </w:rPr>
            </w:pPr>
          </w:p>
        </w:tc>
        <w:tc>
          <w:tcPr>
            <w:tcW w:w="840" w:type="dxa"/>
            <w:vAlign w:val="bottom"/>
            <w:shd w:val="clear" w:color="auto" w:fill="E8E8E8"/>
          </w:tcPr>
          <w:p>
            <w:pPr>
              <w:jc w:val="right"/>
              <w:ind w:right="38"/>
              <w:spacing w:after="0"/>
              <w:rPr>
                <w:sz w:val="20"/>
                <w:szCs w:val="20"/>
                <w:color w:val="auto"/>
              </w:rPr>
            </w:pPr>
            <w:r>
              <w:rPr>
                <w:rFonts w:ascii="Arial" w:cs="Arial" w:eastAsia="Arial" w:hAnsi="Arial"/>
                <w:sz w:val="12"/>
                <w:szCs w:val="12"/>
                <w:color w:val="auto"/>
              </w:rPr>
              <w:t>—</w:t>
            </w:r>
          </w:p>
        </w:tc>
        <w:tc>
          <w:tcPr>
            <w:tcW w:w="140" w:type="dxa"/>
            <w:vAlign w:val="bottom"/>
            <w:shd w:val="clear" w:color="auto" w:fill="E8E8E8"/>
          </w:tcPr>
          <w:p>
            <w:pPr>
              <w:spacing w:after="0"/>
              <w:rPr>
                <w:sz w:val="16"/>
                <w:szCs w:val="16"/>
                <w:color w:val="auto"/>
              </w:rPr>
            </w:pPr>
          </w:p>
        </w:tc>
        <w:tc>
          <w:tcPr>
            <w:tcW w:w="520" w:type="dxa"/>
            <w:vAlign w:val="bottom"/>
            <w:shd w:val="clear" w:color="auto" w:fill="E8E8E8"/>
          </w:tcPr>
          <w:p>
            <w:pPr>
              <w:jc w:val="right"/>
              <w:ind w:right="38"/>
              <w:spacing w:after="0"/>
              <w:rPr>
                <w:sz w:val="20"/>
                <w:szCs w:val="20"/>
                <w:color w:val="auto"/>
              </w:rPr>
            </w:pPr>
            <w:r>
              <w:rPr>
                <w:rFonts w:ascii="Arial" w:cs="Arial" w:eastAsia="Arial" w:hAnsi="Arial"/>
                <w:sz w:val="12"/>
                <w:szCs w:val="12"/>
                <w:color w:val="auto"/>
              </w:rPr>
              <w:t>—</w:t>
            </w:r>
          </w:p>
        </w:tc>
        <w:tc>
          <w:tcPr>
            <w:tcW w:w="360" w:type="dxa"/>
            <w:vAlign w:val="bottom"/>
            <w:shd w:val="clear" w:color="auto" w:fill="E8E8E8"/>
          </w:tcPr>
          <w:p>
            <w:pPr>
              <w:spacing w:after="0"/>
              <w:rPr>
                <w:sz w:val="16"/>
                <w:szCs w:val="16"/>
                <w:color w:val="auto"/>
              </w:rPr>
            </w:pPr>
          </w:p>
        </w:tc>
        <w:tc>
          <w:tcPr>
            <w:tcW w:w="180" w:type="dxa"/>
            <w:vAlign w:val="bottom"/>
            <w:shd w:val="clear" w:color="auto" w:fill="E8E8E8"/>
          </w:tcPr>
          <w:p>
            <w:pPr>
              <w:ind w:left="100"/>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E8E8E8"/>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E8E8E8"/>
          </w:tcPr>
          <w:p>
            <w:pPr>
              <w:spacing w:after="0"/>
              <w:rPr>
                <w:sz w:val="16"/>
                <w:szCs w:val="16"/>
                <w:color w:val="auto"/>
              </w:rPr>
            </w:pPr>
          </w:p>
        </w:tc>
        <w:tc>
          <w:tcPr>
            <w:tcW w:w="100" w:type="dxa"/>
            <w:vAlign w:val="bottom"/>
            <w:shd w:val="clear" w:color="auto" w:fill="E8E8E8"/>
          </w:tcPr>
          <w:p>
            <w:pPr>
              <w:spacing w:after="0"/>
              <w:rPr>
                <w:sz w:val="16"/>
                <w:szCs w:val="16"/>
                <w:color w:val="auto"/>
              </w:rPr>
            </w:pPr>
          </w:p>
        </w:tc>
        <w:tc>
          <w:tcPr>
            <w:tcW w:w="220" w:type="dxa"/>
            <w:vAlign w:val="bottom"/>
            <w:shd w:val="clear" w:color="auto" w:fill="E8E8E8"/>
          </w:tcPr>
          <w:p>
            <w:pPr>
              <w:spacing w:after="0"/>
              <w:rPr>
                <w:sz w:val="16"/>
                <w:szCs w:val="16"/>
                <w:color w:val="auto"/>
              </w:rPr>
            </w:pPr>
          </w:p>
        </w:tc>
        <w:tc>
          <w:tcPr>
            <w:tcW w:w="560" w:type="dxa"/>
            <w:vAlign w:val="bottom"/>
            <w:gridSpan w:val="2"/>
            <w:shd w:val="clear" w:color="auto" w:fill="E8E8E8"/>
          </w:tcPr>
          <w:p>
            <w:pPr>
              <w:jc w:val="right"/>
              <w:ind w:right="38"/>
              <w:spacing w:after="0"/>
              <w:rPr>
                <w:sz w:val="20"/>
                <w:szCs w:val="20"/>
                <w:color w:val="auto"/>
              </w:rPr>
            </w:pPr>
            <w:r>
              <w:rPr>
                <w:rFonts w:ascii="Arial" w:cs="Arial" w:eastAsia="Arial" w:hAnsi="Arial"/>
                <w:sz w:val="12"/>
                <w:szCs w:val="12"/>
                <w:color w:val="auto"/>
              </w:rPr>
              <w:t>2,755</w:t>
            </w:r>
          </w:p>
        </w:tc>
        <w:tc>
          <w:tcPr>
            <w:tcW w:w="340" w:type="dxa"/>
            <w:vAlign w:val="bottom"/>
            <w:shd w:val="clear" w:color="auto" w:fill="E8E8E8"/>
          </w:tcPr>
          <w:p>
            <w:pPr>
              <w:ind w:left="20"/>
              <w:spacing w:after="0"/>
              <w:rPr>
                <w:sz w:val="20"/>
                <w:szCs w:val="20"/>
                <w:color w:val="auto"/>
              </w:rPr>
            </w:pPr>
            <w:r>
              <w:rPr>
                <w:rFonts w:ascii="Arial" w:cs="Arial" w:eastAsia="Arial" w:hAnsi="Arial"/>
                <w:sz w:val="12"/>
                <w:szCs w:val="12"/>
                <w:color w:val="auto"/>
              </w:rPr>
              <w:t>(7)</w:t>
            </w:r>
          </w:p>
        </w:tc>
        <w:tc>
          <w:tcPr>
            <w:tcW w:w="160" w:type="dxa"/>
            <w:vAlign w:val="bottom"/>
            <w:shd w:val="clear" w:color="auto" w:fill="E8E8E8"/>
          </w:tcPr>
          <w:p>
            <w:pPr>
              <w:ind w:left="8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E8E8E8"/>
          </w:tcPr>
          <w:p>
            <w:pPr>
              <w:jc w:val="right"/>
              <w:ind w:right="98"/>
              <w:spacing w:after="0"/>
              <w:rPr>
                <w:sz w:val="20"/>
                <w:szCs w:val="20"/>
                <w:color w:val="auto"/>
              </w:rPr>
            </w:pPr>
            <w:r>
              <w:rPr>
                <w:rFonts w:ascii="Arial" w:cs="Arial" w:eastAsia="Arial" w:hAnsi="Arial"/>
                <w:sz w:val="12"/>
                <w:szCs w:val="12"/>
                <w:color w:val="auto"/>
              </w:rPr>
              <w:t>441,048</w:t>
            </w:r>
          </w:p>
        </w:tc>
        <w:tc>
          <w:tcPr>
            <w:tcW w:w="660" w:type="dxa"/>
            <w:vAlign w:val="bottom"/>
            <w:shd w:val="clear" w:color="auto" w:fill="E8E8E8"/>
          </w:tcPr>
          <w:p>
            <w:pPr>
              <w:jc w:val="right"/>
              <w:ind w:right="58"/>
              <w:spacing w:after="0"/>
              <w:rPr>
                <w:sz w:val="20"/>
                <w:szCs w:val="20"/>
                <w:color w:val="auto"/>
              </w:rPr>
            </w:pPr>
            <w:r>
              <w:rPr>
                <w:rFonts w:ascii="Arial" w:cs="Arial" w:eastAsia="Arial" w:hAnsi="Arial"/>
                <w:sz w:val="12"/>
                <w:szCs w:val="12"/>
                <w:color w:val="auto"/>
              </w:rPr>
              <w:t>—</w:t>
            </w:r>
          </w:p>
        </w:tc>
        <w:tc>
          <w:tcPr>
            <w:tcW w:w="320" w:type="dxa"/>
            <w:vAlign w:val="bottom"/>
            <w:shd w:val="clear" w:color="auto" w:fill="E8E8E8"/>
          </w:tcPr>
          <w:p>
            <w:pPr>
              <w:spacing w:after="0"/>
              <w:rPr>
                <w:sz w:val="16"/>
                <w:szCs w:val="16"/>
                <w:color w:val="auto"/>
              </w:rPr>
            </w:pPr>
          </w:p>
        </w:tc>
        <w:tc>
          <w:tcPr>
            <w:tcW w:w="160" w:type="dxa"/>
            <w:vAlign w:val="bottom"/>
            <w:shd w:val="clear" w:color="auto" w:fill="E8E8E8"/>
          </w:tcPr>
          <w:p>
            <w:pPr>
              <w:ind w:left="80"/>
              <w:spacing w:after="0"/>
              <w:rPr>
                <w:sz w:val="20"/>
                <w:szCs w:val="20"/>
                <w:color w:val="auto"/>
              </w:rPr>
            </w:pPr>
            <w:r>
              <w:rPr>
                <w:rFonts w:ascii="Arial" w:cs="Arial" w:eastAsia="Arial" w:hAnsi="Arial"/>
                <w:sz w:val="12"/>
                <w:szCs w:val="12"/>
                <w:color w:val="auto"/>
                <w:w w:val="89"/>
              </w:rPr>
              <w:t>$</w:t>
            </w:r>
          </w:p>
        </w:tc>
        <w:tc>
          <w:tcPr>
            <w:tcW w:w="760" w:type="dxa"/>
            <w:vAlign w:val="bottom"/>
            <w:gridSpan w:val="2"/>
            <w:shd w:val="clear" w:color="auto" w:fill="E8E8E8"/>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420" w:type="dxa"/>
            <w:vAlign w:val="bottom"/>
            <w:shd w:val="clear" w:color="auto" w:fill="E8E8E8"/>
          </w:tcPr>
          <w:p>
            <w:pPr>
              <w:spacing w:after="0"/>
              <w:rPr>
                <w:sz w:val="16"/>
                <w:szCs w:val="16"/>
                <w:color w:val="auto"/>
              </w:rPr>
            </w:pPr>
          </w:p>
        </w:tc>
        <w:tc>
          <w:tcPr>
            <w:tcW w:w="1120" w:type="dxa"/>
            <w:vAlign w:val="bottom"/>
            <w:shd w:val="clear" w:color="auto" w:fill="E8E8E8"/>
          </w:tcPr>
          <w:p>
            <w:pPr>
              <w:spacing w:after="0"/>
              <w:rPr>
                <w:sz w:val="16"/>
                <w:szCs w:val="16"/>
                <w:color w:val="auto"/>
              </w:rPr>
            </w:pPr>
          </w:p>
        </w:tc>
        <w:tc>
          <w:tcPr>
            <w:tcW w:w="840" w:type="dxa"/>
            <w:vAlign w:val="bottom"/>
            <w:shd w:val="clear" w:color="auto" w:fill="E8E8E8"/>
          </w:tcPr>
          <w:p>
            <w:pPr>
              <w:jc w:val="right"/>
              <w:ind w:right="38"/>
              <w:spacing w:after="0"/>
              <w:rPr>
                <w:sz w:val="20"/>
                <w:szCs w:val="20"/>
                <w:color w:val="auto"/>
              </w:rPr>
            </w:pPr>
            <w:r>
              <w:rPr>
                <w:rFonts w:ascii="Arial" w:cs="Arial" w:eastAsia="Arial" w:hAnsi="Arial"/>
                <w:sz w:val="12"/>
                <w:szCs w:val="12"/>
                <w:color w:val="auto"/>
              </w:rPr>
              <w:t>—</w:t>
            </w:r>
          </w:p>
        </w:tc>
        <w:tc>
          <w:tcPr>
            <w:tcW w:w="140" w:type="dxa"/>
            <w:vAlign w:val="bottom"/>
            <w:shd w:val="clear" w:color="auto" w:fill="E8E8E8"/>
          </w:tcPr>
          <w:p>
            <w:pPr>
              <w:spacing w:after="0"/>
              <w:rPr>
                <w:sz w:val="16"/>
                <w:szCs w:val="16"/>
                <w:color w:val="auto"/>
              </w:rPr>
            </w:pPr>
          </w:p>
        </w:tc>
        <w:tc>
          <w:tcPr>
            <w:tcW w:w="520" w:type="dxa"/>
            <w:vAlign w:val="bottom"/>
            <w:shd w:val="clear" w:color="auto" w:fill="E8E8E8"/>
          </w:tcPr>
          <w:p>
            <w:pPr>
              <w:jc w:val="right"/>
              <w:ind w:right="38"/>
              <w:spacing w:after="0"/>
              <w:rPr>
                <w:sz w:val="20"/>
                <w:szCs w:val="20"/>
                <w:color w:val="auto"/>
              </w:rPr>
            </w:pPr>
            <w:r>
              <w:rPr>
                <w:rFonts w:ascii="Arial" w:cs="Arial" w:eastAsia="Arial" w:hAnsi="Arial"/>
                <w:sz w:val="12"/>
                <w:szCs w:val="12"/>
                <w:color w:val="auto"/>
              </w:rPr>
              <w:t>—</w:t>
            </w:r>
          </w:p>
        </w:tc>
        <w:tc>
          <w:tcPr>
            <w:tcW w:w="360" w:type="dxa"/>
            <w:vAlign w:val="bottom"/>
            <w:shd w:val="clear" w:color="auto" w:fill="E8E8E8"/>
          </w:tcPr>
          <w:p>
            <w:pPr>
              <w:spacing w:after="0"/>
              <w:rPr>
                <w:sz w:val="16"/>
                <w:szCs w:val="16"/>
                <w:color w:val="auto"/>
              </w:rPr>
            </w:pPr>
          </w:p>
        </w:tc>
        <w:tc>
          <w:tcPr>
            <w:tcW w:w="180" w:type="dxa"/>
            <w:vAlign w:val="bottom"/>
            <w:shd w:val="clear" w:color="auto" w:fill="E8E8E8"/>
          </w:tcPr>
          <w:p>
            <w:pPr>
              <w:ind w:left="100"/>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E8E8E8"/>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E8E8E8"/>
          </w:tcPr>
          <w:p>
            <w:pPr>
              <w:spacing w:after="0"/>
              <w:rPr>
                <w:sz w:val="16"/>
                <w:szCs w:val="16"/>
                <w:color w:val="auto"/>
              </w:rPr>
            </w:pPr>
          </w:p>
        </w:tc>
        <w:tc>
          <w:tcPr>
            <w:tcW w:w="100" w:type="dxa"/>
            <w:vAlign w:val="bottom"/>
            <w:shd w:val="clear" w:color="auto" w:fill="E8E8E8"/>
          </w:tcPr>
          <w:p>
            <w:pPr>
              <w:spacing w:after="0"/>
              <w:rPr>
                <w:sz w:val="16"/>
                <w:szCs w:val="16"/>
                <w:color w:val="auto"/>
              </w:rPr>
            </w:pPr>
          </w:p>
        </w:tc>
        <w:tc>
          <w:tcPr>
            <w:tcW w:w="220" w:type="dxa"/>
            <w:vAlign w:val="bottom"/>
            <w:shd w:val="clear" w:color="auto" w:fill="E8E8E8"/>
          </w:tcPr>
          <w:p>
            <w:pPr>
              <w:spacing w:after="0"/>
              <w:rPr>
                <w:sz w:val="16"/>
                <w:szCs w:val="16"/>
                <w:color w:val="auto"/>
              </w:rPr>
            </w:pPr>
          </w:p>
        </w:tc>
        <w:tc>
          <w:tcPr>
            <w:tcW w:w="560" w:type="dxa"/>
            <w:vAlign w:val="bottom"/>
            <w:gridSpan w:val="2"/>
            <w:shd w:val="clear" w:color="auto" w:fill="E8E8E8"/>
          </w:tcPr>
          <w:p>
            <w:pPr>
              <w:jc w:val="right"/>
              <w:ind w:right="38"/>
              <w:spacing w:after="0"/>
              <w:rPr>
                <w:sz w:val="20"/>
                <w:szCs w:val="20"/>
                <w:color w:val="auto"/>
              </w:rPr>
            </w:pPr>
            <w:r>
              <w:rPr>
                <w:rFonts w:ascii="Arial" w:cs="Arial" w:eastAsia="Arial" w:hAnsi="Arial"/>
                <w:sz w:val="12"/>
                <w:szCs w:val="12"/>
                <w:color w:val="auto"/>
              </w:rPr>
              <w:t>4,259</w:t>
            </w:r>
          </w:p>
        </w:tc>
        <w:tc>
          <w:tcPr>
            <w:tcW w:w="340" w:type="dxa"/>
            <w:vAlign w:val="bottom"/>
            <w:shd w:val="clear" w:color="auto" w:fill="E8E8E8"/>
          </w:tcPr>
          <w:p>
            <w:pPr>
              <w:ind w:left="20"/>
              <w:spacing w:after="0"/>
              <w:rPr>
                <w:sz w:val="20"/>
                <w:szCs w:val="20"/>
                <w:color w:val="auto"/>
              </w:rPr>
            </w:pPr>
            <w:r>
              <w:rPr>
                <w:rFonts w:ascii="Arial" w:cs="Arial" w:eastAsia="Arial" w:hAnsi="Arial"/>
                <w:sz w:val="12"/>
                <w:szCs w:val="12"/>
                <w:color w:val="auto"/>
              </w:rPr>
              <w:t>(9)</w:t>
            </w:r>
          </w:p>
        </w:tc>
        <w:tc>
          <w:tcPr>
            <w:tcW w:w="160" w:type="dxa"/>
            <w:vAlign w:val="bottom"/>
            <w:shd w:val="clear" w:color="auto" w:fill="E8E8E8"/>
          </w:tcPr>
          <w:p>
            <w:pPr>
              <w:ind w:left="8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E8E8E8"/>
          </w:tcPr>
          <w:p>
            <w:pPr>
              <w:jc w:val="right"/>
              <w:ind w:right="98"/>
              <w:spacing w:after="0"/>
              <w:rPr>
                <w:sz w:val="20"/>
                <w:szCs w:val="20"/>
                <w:color w:val="auto"/>
              </w:rPr>
            </w:pPr>
            <w:r>
              <w:rPr>
                <w:rFonts w:ascii="Arial" w:cs="Arial" w:eastAsia="Arial" w:hAnsi="Arial"/>
                <w:sz w:val="12"/>
                <w:szCs w:val="12"/>
                <w:color w:val="auto"/>
              </w:rPr>
              <w:t>681,823</w:t>
            </w:r>
          </w:p>
        </w:tc>
        <w:tc>
          <w:tcPr>
            <w:tcW w:w="660" w:type="dxa"/>
            <w:vAlign w:val="bottom"/>
            <w:shd w:val="clear" w:color="auto" w:fill="E8E8E8"/>
          </w:tcPr>
          <w:p>
            <w:pPr>
              <w:jc w:val="right"/>
              <w:ind w:right="58"/>
              <w:spacing w:after="0"/>
              <w:rPr>
                <w:sz w:val="20"/>
                <w:szCs w:val="20"/>
                <w:color w:val="auto"/>
              </w:rPr>
            </w:pPr>
            <w:r>
              <w:rPr>
                <w:rFonts w:ascii="Arial" w:cs="Arial" w:eastAsia="Arial" w:hAnsi="Arial"/>
                <w:sz w:val="12"/>
                <w:szCs w:val="12"/>
                <w:color w:val="auto"/>
              </w:rPr>
              <w:t>—</w:t>
            </w:r>
          </w:p>
        </w:tc>
        <w:tc>
          <w:tcPr>
            <w:tcW w:w="320" w:type="dxa"/>
            <w:vAlign w:val="bottom"/>
            <w:shd w:val="clear" w:color="auto" w:fill="E8E8E8"/>
          </w:tcPr>
          <w:p>
            <w:pPr>
              <w:spacing w:after="0"/>
              <w:rPr>
                <w:sz w:val="16"/>
                <w:szCs w:val="16"/>
                <w:color w:val="auto"/>
              </w:rPr>
            </w:pPr>
          </w:p>
        </w:tc>
        <w:tc>
          <w:tcPr>
            <w:tcW w:w="160" w:type="dxa"/>
            <w:vAlign w:val="bottom"/>
            <w:shd w:val="clear" w:color="auto" w:fill="E8E8E8"/>
          </w:tcPr>
          <w:p>
            <w:pPr>
              <w:ind w:left="80"/>
              <w:spacing w:after="0"/>
              <w:rPr>
                <w:sz w:val="20"/>
                <w:szCs w:val="20"/>
                <w:color w:val="auto"/>
              </w:rPr>
            </w:pPr>
            <w:r>
              <w:rPr>
                <w:rFonts w:ascii="Arial" w:cs="Arial" w:eastAsia="Arial" w:hAnsi="Arial"/>
                <w:sz w:val="12"/>
                <w:szCs w:val="12"/>
                <w:color w:val="auto"/>
                <w:w w:val="89"/>
              </w:rPr>
              <w:t>$</w:t>
            </w:r>
          </w:p>
        </w:tc>
        <w:tc>
          <w:tcPr>
            <w:tcW w:w="760" w:type="dxa"/>
            <w:vAlign w:val="bottom"/>
            <w:gridSpan w:val="2"/>
            <w:shd w:val="clear" w:color="auto" w:fill="E8E8E8"/>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420" w:type="dxa"/>
            <w:vAlign w:val="bottom"/>
            <w:shd w:val="clear" w:color="auto" w:fill="E8E8E8"/>
          </w:tcPr>
          <w:p>
            <w:pPr>
              <w:spacing w:after="0"/>
              <w:rPr>
                <w:sz w:val="16"/>
                <w:szCs w:val="16"/>
                <w:color w:val="auto"/>
              </w:rPr>
            </w:pPr>
          </w:p>
        </w:tc>
        <w:tc>
          <w:tcPr>
            <w:tcW w:w="1120" w:type="dxa"/>
            <w:vAlign w:val="bottom"/>
            <w:shd w:val="clear" w:color="auto" w:fill="E8E8E8"/>
          </w:tcPr>
          <w:p>
            <w:pPr>
              <w:spacing w:after="0"/>
              <w:rPr>
                <w:sz w:val="16"/>
                <w:szCs w:val="16"/>
                <w:color w:val="auto"/>
              </w:rPr>
            </w:pPr>
          </w:p>
        </w:tc>
        <w:tc>
          <w:tcPr>
            <w:tcW w:w="840" w:type="dxa"/>
            <w:vAlign w:val="bottom"/>
            <w:shd w:val="clear" w:color="auto" w:fill="E8E8E8"/>
          </w:tcPr>
          <w:p>
            <w:pPr>
              <w:jc w:val="right"/>
              <w:ind w:right="38"/>
              <w:spacing w:after="0"/>
              <w:rPr>
                <w:sz w:val="20"/>
                <w:szCs w:val="20"/>
                <w:color w:val="auto"/>
              </w:rPr>
            </w:pPr>
            <w:r>
              <w:rPr>
                <w:rFonts w:ascii="Arial" w:cs="Arial" w:eastAsia="Arial" w:hAnsi="Arial"/>
                <w:sz w:val="12"/>
                <w:szCs w:val="12"/>
                <w:color w:val="auto"/>
              </w:rPr>
              <w:t>—</w:t>
            </w:r>
          </w:p>
        </w:tc>
        <w:tc>
          <w:tcPr>
            <w:tcW w:w="140" w:type="dxa"/>
            <w:vAlign w:val="bottom"/>
            <w:shd w:val="clear" w:color="auto" w:fill="E8E8E8"/>
          </w:tcPr>
          <w:p>
            <w:pPr>
              <w:spacing w:after="0"/>
              <w:rPr>
                <w:sz w:val="16"/>
                <w:szCs w:val="16"/>
                <w:color w:val="auto"/>
              </w:rPr>
            </w:pPr>
          </w:p>
        </w:tc>
        <w:tc>
          <w:tcPr>
            <w:tcW w:w="520" w:type="dxa"/>
            <w:vAlign w:val="bottom"/>
            <w:shd w:val="clear" w:color="auto" w:fill="E8E8E8"/>
          </w:tcPr>
          <w:p>
            <w:pPr>
              <w:jc w:val="right"/>
              <w:ind w:right="38"/>
              <w:spacing w:after="0"/>
              <w:rPr>
                <w:sz w:val="20"/>
                <w:szCs w:val="20"/>
                <w:color w:val="auto"/>
              </w:rPr>
            </w:pPr>
            <w:r>
              <w:rPr>
                <w:rFonts w:ascii="Arial" w:cs="Arial" w:eastAsia="Arial" w:hAnsi="Arial"/>
                <w:sz w:val="12"/>
                <w:szCs w:val="12"/>
                <w:color w:val="auto"/>
              </w:rPr>
              <w:t>—</w:t>
            </w:r>
          </w:p>
        </w:tc>
        <w:tc>
          <w:tcPr>
            <w:tcW w:w="360" w:type="dxa"/>
            <w:vAlign w:val="bottom"/>
            <w:shd w:val="clear" w:color="auto" w:fill="E8E8E8"/>
          </w:tcPr>
          <w:p>
            <w:pPr>
              <w:spacing w:after="0"/>
              <w:rPr>
                <w:sz w:val="16"/>
                <w:szCs w:val="16"/>
                <w:color w:val="auto"/>
              </w:rPr>
            </w:pPr>
          </w:p>
        </w:tc>
        <w:tc>
          <w:tcPr>
            <w:tcW w:w="180" w:type="dxa"/>
            <w:vAlign w:val="bottom"/>
            <w:shd w:val="clear" w:color="auto" w:fill="E8E8E8"/>
          </w:tcPr>
          <w:p>
            <w:pPr>
              <w:ind w:left="100"/>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E8E8E8"/>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E8E8E8"/>
          </w:tcPr>
          <w:p>
            <w:pPr>
              <w:spacing w:after="0"/>
              <w:rPr>
                <w:sz w:val="16"/>
                <w:szCs w:val="16"/>
                <w:color w:val="auto"/>
              </w:rPr>
            </w:pPr>
          </w:p>
        </w:tc>
        <w:tc>
          <w:tcPr>
            <w:tcW w:w="100" w:type="dxa"/>
            <w:vAlign w:val="bottom"/>
            <w:shd w:val="clear" w:color="auto" w:fill="E8E8E8"/>
          </w:tcPr>
          <w:p>
            <w:pPr>
              <w:spacing w:after="0"/>
              <w:rPr>
                <w:sz w:val="16"/>
                <w:szCs w:val="16"/>
                <w:color w:val="auto"/>
              </w:rPr>
            </w:pPr>
          </w:p>
        </w:tc>
        <w:tc>
          <w:tcPr>
            <w:tcW w:w="220" w:type="dxa"/>
            <w:vAlign w:val="bottom"/>
            <w:shd w:val="clear" w:color="auto" w:fill="E8E8E8"/>
          </w:tcPr>
          <w:p>
            <w:pPr>
              <w:spacing w:after="0"/>
              <w:rPr>
                <w:sz w:val="16"/>
                <w:szCs w:val="16"/>
                <w:color w:val="auto"/>
              </w:rPr>
            </w:pPr>
          </w:p>
        </w:tc>
        <w:tc>
          <w:tcPr>
            <w:tcW w:w="560" w:type="dxa"/>
            <w:vAlign w:val="bottom"/>
            <w:gridSpan w:val="2"/>
            <w:shd w:val="clear" w:color="auto" w:fill="E8E8E8"/>
          </w:tcPr>
          <w:p>
            <w:pPr>
              <w:jc w:val="right"/>
              <w:ind w:right="38"/>
              <w:spacing w:after="0"/>
              <w:rPr>
                <w:sz w:val="20"/>
                <w:szCs w:val="20"/>
                <w:color w:val="auto"/>
              </w:rPr>
            </w:pPr>
            <w:r>
              <w:rPr>
                <w:rFonts w:ascii="Arial" w:cs="Arial" w:eastAsia="Arial" w:hAnsi="Arial"/>
                <w:sz w:val="12"/>
                <w:szCs w:val="12"/>
                <w:color w:val="auto"/>
              </w:rPr>
              <w:t>6,534</w:t>
            </w:r>
          </w:p>
        </w:tc>
        <w:tc>
          <w:tcPr>
            <w:tcW w:w="340" w:type="dxa"/>
            <w:vAlign w:val="bottom"/>
            <w:shd w:val="clear" w:color="auto" w:fill="E8E8E8"/>
          </w:tcPr>
          <w:p>
            <w:pPr>
              <w:ind w:left="20"/>
              <w:spacing w:after="0"/>
              <w:rPr>
                <w:sz w:val="20"/>
                <w:szCs w:val="20"/>
                <w:color w:val="auto"/>
              </w:rPr>
            </w:pPr>
            <w:r>
              <w:rPr>
                <w:rFonts w:ascii="Arial" w:cs="Arial" w:eastAsia="Arial" w:hAnsi="Arial"/>
                <w:sz w:val="12"/>
                <w:szCs w:val="12"/>
                <w:color w:val="auto"/>
              </w:rPr>
              <w:t>(10)</w:t>
            </w:r>
          </w:p>
        </w:tc>
        <w:tc>
          <w:tcPr>
            <w:tcW w:w="160" w:type="dxa"/>
            <w:vAlign w:val="bottom"/>
            <w:shd w:val="clear" w:color="auto" w:fill="E8E8E8"/>
          </w:tcPr>
          <w:p>
            <w:pPr>
              <w:ind w:left="8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E8E8E8"/>
          </w:tcPr>
          <w:p>
            <w:pPr>
              <w:jc w:val="right"/>
              <w:ind w:right="98"/>
              <w:spacing w:after="0"/>
              <w:rPr>
                <w:sz w:val="20"/>
                <w:szCs w:val="20"/>
                <w:color w:val="auto"/>
              </w:rPr>
            </w:pPr>
            <w:r>
              <w:rPr>
                <w:rFonts w:ascii="Arial" w:cs="Arial" w:eastAsia="Arial" w:hAnsi="Arial"/>
                <w:sz w:val="12"/>
                <w:szCs w:val="12"/>
                <w:color w:val="auto"/>
              </w:rPr>
              <w:t>1,046,028</w:t>
            </w:r>
          </w:p>
        </w:tc>
        <w:tc>
          <w:tcPr>
            <w:tcW w:w="660" w:type="dxa"/>
            <w:vAlign w:val="bottom"/>
            <w:shd w:val="clear" w:color="auto" w:fill="E8E8E8"/>
          </w:tcPr>
          <w:p>
            <w:pPr>
              <w:jc w:val="right"/>
              <w:ind w:right="58"/>
              <w:spacing w:after="0"/>
              <w:rPr>
                <w:sz w:val="20"/>
                <w:szCs w:val="20"/>
                <w:color w:val="auto"/>
              </w:rPr>
            </w:pPr>
            <w:r>
              <w:rPr>
                <w:rFonts w:ascii="Arial" w:cs="Arial" w:eastAsia="Arial" w:hAnsi="Arial"/>
                <w:sz w:val="12"/>
                <w:szCs w:val="12"/>
                <w:color w:val="auto"/>
              </w:rPr>
              <w:t>—</w:t>
            </w:r>
          </w:p>
        </w:tc>
        <w:tc>
          <w:tcPr>
            <w:tcW w:w="320" w:type="dxa"/>
            <w:vAlign w:val="bottom"/>
            <w:shd w:val="clear" w:color="auto" w:fill="E8E8E8"/>
          </w:tcPr>
          <w:p>
            <w:pPr>
              <w:spacing w:after="0"/>
              <w:rPr>
                <w:sz w:val="16"/>
                <w:szCs w:val="16"/>
                <w:color w:val="auto"/>
              </w:rPr>
            </w:pPr>
          </w:p>
        </w:tc>
        <w:tc>
          <w:tcPr>
            <w:tcW w:w="160" w:type="dxa"/>
            <w:vAlign w:val="bottom"/>
            <w:shd w:val="clear" w:color="auto" w:fill="E8E8E8"/>
          </w:tcPr>
          <w:p>
            <w:pPr>
              <w:ind w:left="80"/>
              <w:spacing w:after="0"/>
              <w:rPr>
                <w:sz w:val="20"/>
                <w:szCs w:val="20"/>
                <w:color w:val="auto"/>
              </w:rPr>
            </w:pPr>
            <w:r>
              <w:rPr>
                <w:rFonts w:ascii="Arial" w:cs="Arial" w:eastAsia="Arial" w:hAnsi="Arial"/>
                <w:sz w:val="12"/>
                <w:szCs w:val="12"/>
                <w:color w:val="auto"/>
                <w:w w:val="89"/>
              </w:rPr>
              <w:t>$</w:t>
            </w:r>
          </w:p>
        </w:tc>
        <w:tc>
          <w:tcPr>
            <w:tcW w:w="760" w:type="dxa"/>
            <w:vAlign w:val="bottom"/>
            <w:gridSpan w:val="2"/>
            <w:shd w:val="clear" w:color="auto" w:fill="E8E8E8"/>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420" w:type="dxa"/>
            <w:vAlign w:val="bottom"/>
            <w:shd w:val="clear" w:color="auto" w:fill="E8E8E8"/>
          </w:tcPr>
          <w:p>
            <w:pPr>
              <w:spacing w:after="0"/>
              <w:rPr>
                <w:sz w:val="16"/>
                <w:szCs w:val="16"/>
                <w:color w:val="auto"/>
              </w:rPr>
            </w:pPr>
          </w:p>
        </w:tc>
        <w:tc>
          <w:tcPr>
            <w:tcW w:w="1120" w:type="dxa"/>
            <w:vAlign w:val="bottom"/>
            <w:shd w:val="clear" w:color="auto" w:fill="E8E8E8"/>
          </w:tcPr>
          <w:p>
            <w:pPr>
              <w:spacing w:after="0"/>
              <w:rPr>
                <w:sz w:val="16"/>
                <w:szCs w:val="16"/>
                <w:color w:val="auto"/>
              </w:rPr>
            </w:pPr>
          </w:p>
        </w:tc>
        <w:tc>
          <w:tcPr>
            <w:tcW w:w="840" w:type="dxa"/>
            <w:vAlign w:val="bottom"/>
            <w:shd w:val="clear" w:color="auto" w:fill="E8E8E8"/>
          </w:tcPr>
          <w:p>
            <w:pPr>
              <w:jc w:val="right"/>
              <w:ind w:right="38"/>
              <w:spacing w:after="0"/>
              <w:rPr>
                <w:sz w:val="20"/>
                <w:szCs w:val="20"/>
                <w:color w:val="auto"/>
              </w:rPr>
            </w:pPr>
            <w:r>
              <w:rPr>
                <w:rFonts w:ascii="Arial" w:cs="Arial" w:eastAsia="Arial" w:hAnsi="Arial"/>
                <w:sz w:val="12"/>
                <w:szCs w:val="12"/>
                <w:color w:val="auto"/>
              </w:rPr>
              <w:t>—</w:t>
            </w:r>
          </w:p>
        </w:tc>
        <w:tc>
          <w:tcPr>
            <w:tcW w:w="140" w:type="dxa"/>
            <w:vAlign w:val="bottom"/>
            <w:shd w:val="clear" w:color="auto" w:fill="E8E8E8"/>
          </w:tcPr>
          <w:p>
            <w:pPr>
              <w:spacing w:after="0"/>
              <w:rPr>
                <w:sz w:val="16"/>
                <w:szCs w:val="16"/>
                <w:color w:val="auto"/>
              </w:rPr>
            </w:pPr>
          </w:p>
        </w:tc>
        <w:tc>
          <w:tcPr>
            <w:tcW w:w="520" w:type="dxa"/>
            <w:vAlign w:val="bottom"/>
            <w:shd w:val="clear" w:color="auto" w:fill="E8E8E8"/>
          </w:tcPr>
          <w:p>
            <w:pPr>
              <w:jc w:val="right"/>
              <w:ind w:right="38"/>
              <w:spacing w:after="0"/>
              <w:rPr>
                <w:sz w:val="20"/>
                <w:szCs w:val="20"/>
                <w:color w:val="auto"/>
              </w:rPr>
            </w:pPr>
            <w:r>
              <w:rPr>
                <w:rFonts w:ascii="Arial" w:cs="Arial" w:eastAsia="Arial" w:hAnsi="Arial"/>
                <w:sz w:val="12"/>
                <w:szCs w:val="12"/>
                <w:color w:val="auto"/>
              </w:rPr>
              <w:t>—</w:t>
            </w:r>
          </w:p>
        </w:tc>
        <w:tc>
          <w:tcPr>
            <w:tcW w:w="360" w:type="dxa"/>
            <w:vAlign w:val="bottom"/>
            <w:shd w:val="clear" w:color="auto" w:fill="E8E8E8"/>
          </w:tcPr>
          <w:p>
            <w:pPr>
              <w:spacing w:after="0"/>
              <w:rPr>
                <w:sz w:val="16"/>
                <w:szCs w:val="16"/>
                <w:color w:val="auto"/>
              </w:rPr>
            </w:pPr>
          </w:p>
        </w:tc>
        <w:tc>
          <w:tcPr>
            <w:tcW w:w="180" w:type="dxa"/>
            <w:vAlign w:val="bottom"/>
            <w:shd w:val="clear" w:color="auto" w:fill="E8E8E8"/>
          </w:tcPr>
          <w:p>
            <w:pPr>
              <w:ind w:left="100"/>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E8E8E8"/>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E8E8E8"/>
          </w:tcPr>
          <w:p>
            <w:pPr>
              <w:spacing w:after="0"/>
              <w:rPr>
                <w:sz w:val="16"/>
                <w:szCs w:val="16"/>
                <w:color w:val="auto"/>
              </w:rPr>
            </w:pPr>
          </w:p>
        </w:tc>
        <w:tc>
          <w:tcPr>
            <w:tcW w:w="100" w:type="dxa"/>
            <w:vAlign w:val="bottom"/>
            <w:shd w:val="clear" w:color="auto" w:fill="E8E8E8"/>
          </w:tcPr>
          <w:p>
            <w:pPr>
              <w:spacing w:after="0"/>
              <w:rPr>
                <w:sz w:val="16"/>
                <w:szCs w:val="16"/>
                <w:color w:val="auto"/>
              </w:rPr>
            </w:pPr>
          </w:p>
        </w:tc>
        <w:tc>
          <w:tcPr>
            <w:tcW w:w="220" w:type="dxa"/>
            <w:vAlign w:val="bottom"/>
            <w:shd w:val="clear" w:color="auto" w:fill="E8E8E8"/>
          </w:tcPr>
          <w:p>
            <w:pPr>
              <w:spacing w:after="0"/>
              <w:rPr>
                <w:sz w:val="16"/>
                <w:szCs w:val="16"/>
                <w:color w:val="auto"/>
              </w:rPr>
            </w:pPr>
          </w:p>
        </w:tc>
        <w:tc>
          <w:tcPr>
            <w:tcW w:w="100" w:type="dxa"/>
            <w:vAlign w:val="bottom"/>
            <w:shd w:val="clear" w:color="auto" w:fill="E8E8E8"/>
          </w:tcPr>
          <w:p>
            <w:pPr>
              <w:spacing w:after="0"/>
              <w:rPr>
                <w:sz w:val="16"/>
                <w:szCs w:val="16"/>
                <w:color w:val="auto"/>
              </w:rPr>
            </w:pPr>
          </w:p>
        </w:tc>
        <w:tc>
          <w:tcPr>
            <w:tcW w:w="460" w:type="dxa"/>
            <w:vAlign w:val="bottom"/>
            <w:shd w:val="clear" w:color="auto" w:fill="E8E8E8"/>
          </w:tcPr>
          <w:p>
            <w:pPr>
              <w:jc w:val="right"/>
              <w:ind w:right="38"/>
              <w:spacing w:after="0"/>
              <w:rPr>
                <w:sz w:val="20"/>
                <w:szCs w:val="20"/>
                <w:color w:val="auto"/>
              </w:rPr>
            </w:pPr>
            <w:r>
              <w:rPr>
                <w:rFonts w:ascii="Arial" w:cs="Arial" w:eastAsia="Arial" w:hAnsi="Arial"/>
                <w:sz w:val="12"/>
                <w:szCs w:val="12"/>
                <w:color w:val="auto"/>
              </w:rPr>
              <w:t>—</w:t>
            </w:r>
          </w:p>
        </w:tc>
        <w:tc>
          <w:tcPr>
            <w:tcW w:w="340" w:type="dxa"/>
            <w:vAlign w:val="bottom"/>
            <w:shd w:val="clear" w:color="auto" w:fill="E8E8E8"/>
          </w:tcPr>
          <w:p>
            <w:pPr>
              <w:spacing w:after="0"/>
              <w:rPr>
                <w:sz w:val="16"/>
                <w:szCs w:val="16"/>
                <w:color w:val="auto"/>
              </w:rPr>
            </w:pPr>
          </w:p>
        </w:tc>
        <w:tc>
          <w:tcPr>
            <w:tcW w:w="160" w:type="dxa"/>
            <w:vAlign w:val="bottom"/>
            <w:shd w:val="clear" w:color="auto" w:fill="E8E8E8"/>
          </w:tcPr>
          <w:p>
            <w:pPr>
              <w:ind w:left="8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E8E8E8"/>
          </w:tcPr>
          <w:p>
            <w:pPr>
              <w:jc w:val="right"/>
              <w:ind w:right="98"/>
              <w:spacing w:after="0"/>
              <w:rPr>
                <w:sz w:val="20"/>
                <w:szCs w:val="20"/>
                <w:color w:val="auto"/>
              </w:rPr>
            </w:pPr>
            <w:r>
              <w:rPr>
                <w:rFonts w:ascii="Arial" w:cs="Arial" w:eastAsia="Arial" w:hAnsi="Arial"/>
                <w:sz w:val="12"/>
                <w:szCs w:val="12"/>
                <w:color w:val="auto"/>
              </w:rPr>
              <w:t>—</w:t>
            </w:r>
          </w:p>
        </w:tc>
        <w:tc>
          <w:tcPr>
            <w:tcW w:w="660" w:type="dxa"/>
            <w:vAlign w:val="bottom"/>
            <w:shd w:val="clear" w:color="auto" w:fill="E8E8E8"/>
          </w:tcPr>
          <w:p>
            <w:pPr>
              <w:jc w:val="right"/>
              <w:ind w:right="38"/>
              <w:spacing w:after="0"/>
              <w:rPr>
                <w:sz w:val="20"/>
                <w:szCs w:val="20"/>
                <w:color w:val="auto"/>
              </w:rPr>
            </w:pPr>
            <w:r>
              <w:rPr>
                <w:rFonts w:ascii="Arial" w:cs="Arial" w:eastAsia="Arial" w:hAnsi="Arial"/>
                <w:sz w:val="12"/>
                <w:szCs w:val="12"/>
                <w:color w:val="auto"/>
              </w:rPr>
              <w:t>12,396</w:t>
            </w:r>
          </w:p>
        </w:tc>
        <w:tc>
          <w:tcPr>
            <w:tcW w:w="320" w:type="dxa"/>
            <w:vAlign w:val="bottom"/>
            <w:shd w:val="clear" w:color="auto" w:fill="E8E8E8"/>
          </w:tcPr>
          <w:p>
            <w:pPr>
              <w:jc w:val="right"/>
              <w:ind w:right="38"/>
              <w:spacing w:after="0"/>
              <w:rPr>
                <w:sz w:val="20"/>
                <w:szCs w:val="20"/>
                <w:color w:val="auto"/>
              </w:rPr>
            </w:pPr>
            <w:r>
              <w:rPr>
                <w:rFonts w:ascii="Arial" w:cs="Arial" w:eastAsia="Arial" w:hAnsi="Arial"/>
                <w:sz w:val="12"/>
                <w:szCs w:val="12"/>
                <w:color w:val="auto"/>
                <w:w w:val="93"/>
              </w:rPr>
              <w:t>(11)</w:t>
            </w:r>
          </w:p>
        </w:tc>
        <w:tc>
          <w:tcPr>
            <w:tcW w:w="160" w:type="dxa"/>
            <w:vAlign w:val="bottom"/>
            <w:shd w:val="clear" w:color="auto" w:fill="E8E8E8"/>
          </w:tcPr>
          <w:p>
            <w:pPr>
              <w:ind w:left="80"/>
              <w:spacing w:after="0"/>
              <w:rPr>
                <w:sz w:val="20"/>
                <w:szCs w:val="20"/>
                <w:color w:val="auto"/>
              </w:rPr>
            </w:pPr>
            <w:r>
              <w:rPr>
                <w:rFonts w:ascii="Arial" w:cs="Arial" w:eastAsia="Arial" w:hAnsi="Arial"/>
                <w:sz w:val="12"/>
                <w:szCs w:val="12"/>
                <w:color w:val="auto"/>
                <w:w w:val="89"/>
              </w:rPr>
              <w:t>$</w:t>
            </w:r>
          </w:p>
        </w:tc>
        <w:tc>
          <w:tcPr>
            <w:tcW w:w="760" w:type="dxa"/>
            <w:vAlign w:val="bottom"/>
            <w:gridSpan w:val="2"/>
            <w:shd w:val="clear" w:color="auto" w:fill="E8E8E8"/>
          </w:tcPr>
          <w:p>
            <w:pPr>
              <w:jc w:val="right"/>
              <w:ind w:right="100"/>
              <w:spacing w:after="0"/>
              <w:rPr>
                <w:sz w:val="20"/>
                <w:szCs w:val="20"/>
                <w:color w:val="auto"/>
              </w:rPr>
            </w:pPr>
            <w:r>
              <w:rPr>
                <w:rFonts w:ascii="Arial" w:cs="Arial" w:eastAsia="Arial" w:hAnsi="Arial"/>
                <w:sz w:val="12"/>
                <w:szCs w:val="12"/>
                <w:color w:val="auto"/>
              </w:rPr>
              <w:t>1,984,476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420" w:type="dxa"/>
            <w:vAlign w:val="bottom"/>
            <w:tcBorders>
              <w:bottom w:val="single" w:sz="8" w:color="E8E8E8"/>
            </w:tcBorders>
            <w:shd w:val="clear" w:color="auto" w:fill="E8E8E8"/>
          </w:tcPr>
          <w:p>
            <w:pPr>
              <w:spacing w:after="0"/>
              <w:rPr>
                <w:sz w:val="18"/>
                <w:szCs w:val="18"/>
                <w:color w:val="auto"/>
              </w:rPr>
            </w:pPr>
          </w:p>
        </w:tc>
        <w:tc>
          <w:tcPr>
            <w:tcW w:w="1120" w:type="dxa"/>
            <w:vAlign w:val="bottom"/>
            <w:tcBorders>
              <w:bottom w:val="single" w:sz="8" w:color="E8E8E8"/>
            </w:tcBorders>
            <w:shd w:val="clear" w:color="auto" w:fill="E8E8E8"/>
          </w:tcPr>
          <w:p>
            <w:pPr>
              <w:spacing w:after="0"/>
              <w:rPr>
                <w:sz w:val="18"/>
                <w:szCs w:val="18"/>
                <w:color w:val="auto"/>
              </w:rPr>
            </w:pPr>
          </w:p>
        </w:tc>
        <w:tc>
          <w:tcPr>
            <w:tcW w:w="840" w:type="dxa"/>
            <w:vAlign w:val="bottom"/>
            <w:tcBorders>
              <w:bottom w:val="single" w:sz="8" w:color="E8E8E8"/>
            </w:tcBorders>
            <w:shd w:val="clear" w:color="auto" w:fill="E8E8E8"/>
          </w:tcPr>
          <w:p>
            <w:pPr>
              <w:jc w:val="right"/>
              <w:ind w:right="38"/>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E8E8E8"/>
            </w:tcBorders>
            <w:shd w:val="clear" w:color="auto" w:fill="E8E8E8"/>
          </w:tcPr>
          <w:p>
            <w:pPr>
              <w:spacing w:after="0"/>
              <w:rPr>
                <w:sz w:val="18"/>
                <w:szCs w:val="18"/>
                <w:color w:val="auto"/>
              </w:rPr>
            </w:pPr>
          </w:p>
        </w:tc>
        <w:tc>
          <w:tcPr>
            <w:tcW w:w="520" w:type="dxa"/>
            <w:vAlign w:val="bottom"/>
            <w:tcBorders>
              <w:bottom w:val="single" w:sz="8" w:color="E8E8E8"/>
            </w:tcBorders>
            <w:shd w:val="clear" w:color="auto" w:fill="E8E8E8"/>
          </w:tcPr>
          <w:p>
            <w:pPr>
              <w:jc w:val="right"/>
              <w:ind w:right="38"/>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E8E8E8"/>
            </w:tcBorders>
            <w:shd w:val="clear" w:color="auto" w:fill="E8E8E8"/>
          </w:tcPr>
          <w:p>
            <w:pPr>
              <w:spacing w:after="0"/>
              <w:rPr>
                <w:sz w:val="18"/>
                <w:szCs w:val="18"/>
                <w:color w:val="auto"/>
              </w:rPr>
            </w:pPr>
          </w:p>
        </w:tc>
        <w:tc>
          <w:tcPr>
            <w:tcW w:w="180" w:type="dxa"/>
            <w:vAlign w:val="bottom"/>
            <w:tcBorders>
              <w:bottom w:val="single" w:sz="8" w:color="E8E8E8"/>
            </w:tcBorders>
            <w:shd w:val="clear" w:color="auto" w:fill="E8E8E8"/>
          </w:tcPr>
          <w:p>
            <w:pPr>
              <w:ind w:left="100"/>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E8E8E8"/>
            </w:tcBorders>
            <w:shd w:val="clear" w:color="auto" w:fill="E8E8E8"/>
          </w:tcPr>
          <w:p>
            <w:pPr>
              <w:spacing w:after="0"/>
              <w:rPr>
                <w:sz w:val="18"/>
                <w:szCs w:val="18"/>
                <w:color w:val="auto"/>
              </w:rPr>
            </w:pPr>
          </w:p>
        </w:tc>
        <w:tc>
          <w:tcPr>
            <w:tcW w:w="100" w:type="dxa"/>
            <w:vAlign w:val="bottom"/>
            <w:tcBorders>
              <w:bottom w:val="single" w:sz="8" w:color="E8E8E8"/>
            </w:tcBorders>
            <w:shd w:val="clear" w:color="auto" w:fill="E8E8E8"/>
          </w:tcPr>
          <w:p>
            <w:pPr>
              <w:spacing w:after="0"/>
              <w:rPr>
                <w:sz w:val="18"/>
                <w:szCs w:val="18"/>
                <w:color w:val="auto"/>
              </w:rPr>
            </w:pPr>
          </w:p>
        </w:tc>
        <w:tc>
          <w:tcPr>
            <w:tcW w:w="220" w:type="dxa"/>
            <w:vAlign w:val="bottom"/>
            <w:tcBorders>
              <w:bottom w:val="single" w:sz="8" w:color="E8E8E8"/>
            </w:tcBorders>
            <w:shd w:val="clear" w:color="auto" w:fill="E8E8E8"/>
          </w:tcPr>
          <w:p>
            <w:pPr>
              <w:spacing w:after="0"/>
              <w:rPr>
                <w:sz w:val="18"/>
                <w:szCs w:val="18"/>
                <w:color w:val="auto"/>
              </w:rPr>
            </w:pPr>
          </w:p>
        </w:tc>
        <w:tc>
          <w:tcPr>
            <w:tcW w:w="100" w:type="dxa"/>
            <w:vAlign w:val="bottom"/>
            <w:tcBorders>
              <w:bottom w:val="single" w:sz="8" w:color="E8E8E8"/>
            </w:tcBorders>
            <w:shd w:val="clear" w:color="auto" w:fill="E8E8E8"/>
          </w:tcPr>
          <w:p>
            <w:pPr>
              <w:spacing w:after="0"/>
              <w:rPr>
                <w:sz w:val="18"/>
                <w:szCs w:val="18"/>
                <w:color w:val="auto"/>
              </w:rPr>
            </w:pPr>
          </w:p>
        </w:tc>
        <w:tc>
          <w:tcPr>
            <w:tcW w:w="460" w:type="dxa"/>
            <w:vAlign w:val="bottom"/>
            <w:tcBorders>
              <w:bottom w:val="single" w:sz="8" w:color="E8E8E8"/>
            </w:tcBorders>
            <w:shd w:val="clear" w:color="auto" w:fill="E8E8E8"/>
          </w:tcPr>
          <w:p>
            <w:pPr>
              <w:jc w:val="right"/>
              <w:ind w:right="38"/>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E8E8E8"/>
            </w:tcBorders>
            <w:shd w:val="clear" w:color="auto" w:fill="E8E8E8"/>
          </w:tcPr>
          <w:p>
            <w:pPr>
              <w:spacing w:after="0"/>
              <w:rPr>
                <w:sz w:val="18"/>
                <w:szCs w:val="18"/>
                <w:color w:val="auto"/>
              </w:rPr>
            </w:pPr>
          </w:p>
        </w:tc>
        <w:tc>
          <w:tcPr>
            <w:tcW w:w="160" w:type="dxa"/>
            <w:vAlign w:val="bottom"/>
            <w:tcBorders>
              <w:bottom w:val="single" w:sz="8" w:color="E8E8E8"/>
            </w:tcBorders>
            <w:shd w:val="clear" w:color="auto" w:fill="E8E8E8"/>
          </w:tcPr>
          <w:p>
            <w:pPr>
              <w:ind w:left="8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E8E8E8"/>
            </w:tcBorders>
            <w:shd w:val="clear" w:color="auto" w:fill="E8E8E8"/>
          </w:tcPr>
          <w:p>
            <w:pPr>
              <w:jc w:val="right"/>
              <w:ind w:right="98"/>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E8E8E8"/>
            </w:tcBorders>
            <w:shd w:val="clear" w:color="auto" w:fill="E8E8E8"/>
          </w:tcPr>
          <w:p>
            <w:pPr>
              <w:jc w:val="right"/>
              <w:ind w:right="38"/>
              <w:spacing w:after="0"/>
              <w:rPr>
                <w:sz w:val="20"/>
                <w:szCs w:val="20"/>
                <w:color w:val="auto"/>
              </w:rPr>
            </w:pPr>
            <w:r>
              <w:rPr>
                <w:rFonts w:ascii="Arial" w:cs="Arial" w:eastAsia="Arial" w:hAnsi="Arial"/>
                <w:sz w:val="12"/>
                <w:szCs w:val="12"/>
                <w:color w:val="auto"/>
              </w:rPr>
              <w:t>12,776</w:t>
            </w:r>
          </w:p>
        </w:tc>
        <w:tc>
          <w:tcPr>
            <w:tcW w:w="320" w:type="dxa"/>
            <w:vAlign w:val="bottom"/>
            <w:tcBorders>
              <w:bottom w:val="single" w:sz="8" w:color="E8E8E8"/>
            </w:tcBorders>
            <w:shd w:val="clear" w:color="auto" w:fill="E8E8E8"/>
          </w:tcPr>
          <w:p>
            <w:pPr>
              <w:jc w:val="right"/>
              <w:ind w:right="38"/>
              <w:spacing w:after="0"/>
              <w:rPr>
                <w:sz w:val="20"/>
                <w:szCs w:val="20"/>
                <w:color w:val="auto"/>
              </w:rPr>
            </w:pPr>
            <w:r>
              <w:rPr>
                <w:rFonts w:ascii="Arial" w:cs="Arial" w:eastAsia="Arial" w:hAnsi="Arial"/>
                <w:sz w:val="12"/>
                <w:szCs w:val="12"/>
                <w:color w:val="auto"/>
                <w:w w:val="93"/>
              </w:rPr>
              <w:t>(11)</w:t>
            </w:r>
          </w:p>
        </w:tc>
        <w:tc>
          <w:tcPr>
            <w:tcW w:w="160" w:type="dxa"/>
            <w:vAlign w:val="bottom"/>
            <w:tcBorders>
              <w:bottom w:val="single" w:sz="8" w:color="E8E8E8"/>
            </w:tcBorders>
            <w:shd w:val="clear" w:color="auto" w:fill="E8E8E8"/>
          </w:tcPr>
          <w:p>
            <w:pPr>
              <w:ind w:left="80"/>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E8E8E8"/>
            </w:tcBorders>
            <w:gridSpan w:val="2"/>
            <w:shd w:val="clear" w:color="auto" w:fill="E8E8E8"/>
          </w:tcPr>
          <w:p>
            <w:pPr>
              <w:jc w:val="right"/>
              <w:ind w:right="100"/>
              <w:spacing w:after="0"/>
              <w:rPr>
                <w:sz w:val="20"/>
                <w:szCs w:val="20"/>
                <w:color w:val="auto"/>
              </w:rPr>
            </w:pPr>
            <w:r>
              <w:rPr>
                <w:rFonts w:ascii="Arial" w:cs="Arial" w:eastAsia="Arial" w:hAnsi="Arial"/>
                <w:sz w:val="12"/>
                <w:szCs w:val="12"/>
                <w:color w:val="auto"/>
              </w:rPr>
              <w:t>2,045,310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shd w:val="clear" w:color="auto" w:fill="050A54"/>
          </w:tcPr>
          <w:p>
            <w:pPr>
              <w:spacing w:after="0" w:line="20" w:lineRule="exact"/>
              <w:rPr>
                <w:sz w:val="1"/>
                <w:szCs w:val="1"/>
                <w:color w:val="auto"/>
              </w:rPr>
            </w:pPr>
          </w:p>
        </w:tc>
        <w:tc>
          <w:tcPr>
            <w:tcW w:w="1120" w:type="dxa"/>
            <w:vAlign w:val="bottom"/>
            <w:shd w:val="clear" w:color="auto" w:fill="050A54"/>
          </w:tcPr>
          <w:p>
            <w:pPr>
              <w:spacing w:after="0" w:line="20" w:lineRule="exact"/>
              <w:rPr>
                <w:sz w:val="1"/>
                <w:szCs w:val="1"/>
                <w:color w:val="auto"/>
              </w:rPr>
            </w:pPr>
          </w:p>
        </w:tc>
        <w:tc>
          <w:tcPr>
            <w:tcW w:w="840" w:type="dxa"/>
            <w:vAlign w:val="bottom"/>
            <w:shd w:val="clear" w:color="auto" w:fill="050A54"/>
          </w:tcPr>
          <w:p>
            <w:pPr>
              <w:spacing w:after="0" w:line="20" w:lineRule="exact"/>
              <w:rPr>
                <w:sz w:val="1"/>
                <w:szCs w:val="1"/>
                <w:color w:val="auto"/>
              </w:rPr>
            </w:pPr>
          </w:p>
        </w:tc>
        <w:tc>
          <w:tcPr>
            <w:tcW w:w="140" w:type="dxa"/>
            <w:vAlign w:val="bottom"/>
            <w:shd w:val="clear" w:color="auto" w:fill="050A54"/>
          </w:tcPr>
          <w:p>
            <w:pPr>
              <w:spacing w:after="0" w:line="20" w:lineRule="exact"/>
              <w:rPr>
                <w:sz w:val="1"/>
                <w:szCs w:val="1"/>
                <w:color w:val="auto"/>
              </w:rPr>
            </w:pPr>
          </w:p>
        </w:tc>
        <w:tc>
          <w:tcPr>
            <w:tcW w:w="520" w:type="dxa"/>
            <w:vAlign w:val="bottom"/>
            <w:shd w:val="clear" w:color="auto" w:fill="050A54"/>
          </w:tcPr>
          <w:p>
            <w:pPr>
              <w:spacing w:after="0" w:line="20" w:lineRule="exact"/>
              <w:rPr>
                <w:sz w:val="1"/>
                <w:szCs w:val="1"/>
                <w:color w:val="auto"/>
              </w:rPr>
            </w:pPr>
          </w:p>
        </w:tc>
        <w:tc>
          <w:tcPr>
            <w:tcW w:w="360" w:type="dxa"/>
            <w:vAlign w:val="bottom"/>
            <w:shd w:val="clear" w:color="auto" w:fill="050A54"/>
          </w:tcPr>
          <w:p>
            <w:pPr>
              <w:spacing w:after="0" w:line="20" w:lineRule="exact"/>
              <w:rPr>
                <w:sz w:val="1"/>
                <w:szCs w:val="1"/>
                <w:color w:val="auto"/>
              </w:rPr>
            </w:pPr>
          </w:p>
        </w:tc>
        <w:tc>
          <w:tcPr>
            <w:tcW w:w="180" w:type="dxa"/>
            <w:vAlign w:val="bottom"/>
            <w:shd w:val="clear" w:color="auto" w:fill="050A54"/>
          </w:tcPr>
          <w:p>
            <w:pPr>
              <w:spacing w:after="0" w:line="20" w:lineRule="exact"/>
              <w:rPr>
                <w:sz w:val="1"/>
                <w:szCs w:val="1"/>
                <w:color w:val="auto"/>
              </w:rPr>
            </w:pPr>
          </w:p>
        </w:tc>
        <w:tc>
          <w:tcPr>
            <w:tcW w:w="500" w:type="dxa"/>
            <w:vAlign w:val="bottom"/>
            <w:shd w:val="clear" w:color="auto" w:fill="050A54"/>
          </w:tcPr>
          <w:p>
            <w:pPr>
              <w:spacing w:after="0" w:line="20" w:lineRule="exact"/>
              <w:rPr>
                <w:sz w:val="1"/>
                <w:szCs w:val="1"/>
                <w:color w:val="auto"/>
              </w:rPr>
            </w:pPr>
          </w:p>
        </w:tc>
        <w:tc>
          <w:tcPr>
            <w:tcW w:w="680" w:type="dxa"/>
            <w:vAlign w:val="bottom"/>
            <w:shd w:val="clear" w:color="auto" w:fill="050A54"/>
          </w:tcPr>
          <w:p>
            <w:pPr>
              <w:spacing w:after="0" w:line="20" w:lineRule="exact"/>
              <w:rPr>
                <w:sz w:val="1"/>
                <w:szCs w:val="1"/>
                <w:color w:val="auto"/>
              </w:rPr>
            </w:pPr>
          </w:p>
        </w:tc>
        <w:tc>
          <w:tcPr>
            <w:tcW w:w="100" w:type="dxa"/>
            <w:vAlign w:val="bottom"/>
            <w:shd w:val="clear" w:color="auto" w:fill="050A54"/>
          </w:tcPr>
          <w:p>
            <w:pPr>
              <w:spacing w:after="0" w:line="20" w:lineRule="exact"/>
              <w:rPr>
                <w:sz w:val="1"/>
                <w:szCs w:val="1"/>
                <w:color w:val="auto"/>
              </w:rPr>
            </w:pPr>
          </w:p>
        </w:tc>
        <w:tc>
          <w:tcPr>
            <w:tcW w:w="220" w:type="dxa"/>
            <w:vAlign w:val="bottom"/>
            <w:shd w:val="clear" w:color="auto" w:fill="050A54"/>
          </w:tcPr>
          <w:p>
            <w:pPr>
              <w:spacing w:after="0" w:line="20" w:lineRule="exact"/>
              <w:rPr>
                <w:sz w:val="1"/>
                <w:szCs w:val="1"/>
                <w:color w:val="auto"/>
              </w:rPr>
            </w:pPr>
          </w:p>
        </w:tc>
        <w:tc>
          <w:tcPr>
            <w:tcW w:w="100" w:type="dxa"/>
            <w:vAlign w:val="bottom"/>
            <w:shd w:val="clear" w:color="auto" w:fill="050A54"/>
          </w:tcPr>
          <w:p>
            <w:pPr>
              <w:spacing w:after="0" w:line="20" w:lineRule="exact"/>
              <w:rPr>
                <w:sz w:val="1"/>
                <w:szCs w:val="1"/>
                <w:color w:val="auto"/>
              </w:rPr>
            </w:pPr>
          </w:p>
        </w:tc>
        <w:tc>
          <w:tcPr>
            <w:tcW w:w="460" w:type="dxa"/>
            <w:vAlign w:val="bottom"/>
            <w:shd w:val="clear" w:color="auto" w:fill="050A54"/>
          </w:tcPr>
          <w:p>
            <w:pPr>
              <w:spacing w:after="0" w:line="20" w:lineRule="exact"/>
              <w:rPr>
                <w:sz w:val="1"/>
                <w:szCs w:val="1"/>
                <w:color w:val="auto"/>
              </w:rPr>
            </w:pPr>
          </w:p>
        </w:tc>
        <w:tc>
          <w:tcPr>
            <w:tcW w:w="340" w:type="dxa"/>
            <w:vAlign w:val="bottom"/>
            <w:shd w:val="clear" w:color="auto" w:fill="050A54"/>
          </w:tcPr>
          <w:p>
            <w:pPr>
              <w:spacing w:after="0" w:line="20" w:lineRule="exact"/>
              <w:rPr>
                <w:sz w:val="1"/>
                <w:szCs w:val="1"/>
                <w:color w:val="auto"/>
              </w:rPr>
            </w:pPr>
          </w:p>
        </w:tc>
        <w:tc>
          <w:tcPr>
            <w:tcW w:w="160" w:type="dxa"/>
            <w:vAlign w:val="bottom"/>
            <w:shd w:val="clear" w:color="auto" w:fill="050A54"/>
          </w:tcPr>
          <w:p>
            <w:pPr>
              <w:spacing w:after="0" w:line="20" w:lineRule="exact"/>
              <w:rPr>
                <w:sz w:val="1"/>
                <w:szCs w:val="1"/>
                <w:color w:val="auto"/>
              </w:rPr>
            </w:pPr>
          </w:p>
        </w:tc>
        <w:tc>
          <w:tcPr>
            <w:tcW w:w="860" w:type="dxa"/>
            <w:vAlign w:val="bottom"/>
            <w:shd w:val="clear" w:color="auto" w:fill="050A54"/>
          </w:tcPr>
          <w:p>
            <w:pPr>
              <w:spacing w:after="0" w:line="20" w:lineRule="exact"/>
              <w:rPr>
                <w:sz w:val="1"/>
                <w:szCs w:val="1"/>
                <w:color w:val="auto"/>
              </w:rPr>
            </w:pPr>
          </w:p>
        </w:tc>
        <w:tc>
          <w:tcPr>
            <w:tcW w:w="660" w:type="dxa"/>
            <w:vAlign w:val="bottom"/>
            <w:shd w:val="clear" w:color="auto" w:fill="050A54"/>
          </w:tcPr>
          <w:p>
            <w:pPr>
              <w:spacing w:after="0" w:line="20" w:lineRule="exact"/>
              <w:rPr>
                <w:sz w:val="1"/>
                <w:szCs w:val="1"/>
                <w:color w:val="auto"/>
              </w:rPr>
            </w:pPr>
          </w:p>
        </w:tc>
        <w:tc>
          <w:tcPr>
            <w:tcW w:w="320" w:type="dxa"/>
            <w:vAlign w:val="bottom"/>
            <w:shd w:val="clear" w:color="auto" w:fill="050A54"/>
          </w:tcPr>
          <w:p>
            <w:pPr>
              <w:spacing w:after="0" w:line="20" w:lineRule="exact"/>
              <w:rPr>
                <w:sz w:val="1"/>
                <w:szCs w:val="1"/>
                <w:color w:val="auto"/>
              </w:rPr>
            </w:pPr>
          </w:p>
        </w:tc>
        <w:tc>
          <w:tcPr>
            <w:tcW w:w="160" w:type="dxa"/>
            <w:vAlign w:val="bottom"/>
            <w:shd w:val="clear" w:color="auto" w:fill="050A54"/>
          </w:tcPr>
          <w:p>
            <w:pPr>
              <w:spacing w:after="0" w:line="20" w:lineRule="exact"/>
              <w:rPr>
                <w:sz w:val="1"/>
                <w:szCs w:val="1"/>
                <w:color w:val="auto"/>
              </w:rPr>
            </w:pPr>
          </w:p>
        </w:tc>
        <w:tc>
          <w:tcPr>
            <w:tcW w:w="660" w:type="dxa"/>
            <w:vAlign w:val="bottom"/>
            <w:shd w:val="clear" w:color="auto" w:fill="050A54"/>
          </w:tcPr>
          <w:p>
            <w:pPr>
              <w:spacing w:after="0" w:line="20" w:lineRule="exact"/>
              <w:rPr>
                <w:sz w:val="1"/>
                <w:szCs w:val="1"/>
                <w:color w:val="auto"/>
              </w:rPr>
            </w:pPr>
          </w:p>
        </w:tc>
        <w:tc>
          <w:tcPr>
            <w:tcW w:w="100" w:type="dxa"/>
            <w:vAlign w:val="bottom"/>
            <w:shd w:val="clear" w:color="auto" w:fill="050A5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600" w:hanging="433"/>
        <w:spacing w:after="0" w:line="279" w:lineRule="auto"/>
        <w:tabs>
          <w:tab w:leader="none" w:pos="6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Amounts were determined by multiplying the number of RSUs or PSUs, as applicable, by a price per share of our Common Stock of $160.09, the closing price per share of our Common Stock on December 31, 2021, the last business day of 2021.</w:t>
      </w:r>
    </w:p>
    <w:p>
      <w:pPr>
        <w:spacing w:after="0" w:line="13" w:lineRule="exact"/>
        <w:rPr>
          <w:rFonts w:ascii="Arial" w:cs="Arial" w:eastAsia="Arial" w:hAnsi="Arial"/>
          <w:sz w:val="16"/>
          <w:szCs w:val="16"/>
          <w:color w:val="auto"/>
        </w:rPr>
      </w:pPr>
    </w:p>
    <w:p>
      <w:pPr>
        <w:ind w:left="600" w:hanging="433"/>
        <w:spacing w:after="0" w:line="279" w:lineRule="auto"/>
        <w:tabs>
          <w:tab w:leader="none" w:pos="6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Amounts were determined by multiplying the number of PSUs that would be earned at maximum performance levels by a price per share of our Common Stock of $160.09, the closing price per share of our Common Stock on December 31, 2021, the last business day of 2021.</w:t>
      </w:r>
    </w:p>
    <w:p>
      <w:pPr>
        <w:spacing w:after="0" w:line="13" w:lineRule="exact"/>
        <w:rPr>
          <w:rFonts w:ascii="Arial" w:cs="Arial" w:eastAsia="Arial" w:hAnsi="Arial"/>
          <w:sz w:val="16"/>
          <w:szCs w:val="16"/>
          <w:color w:val="auto"/>
        </w:rPr>
      </w:pPr>
    </w:p>
    <w:p>
      <w:pPr>
        <w:ind w:left="600" w:hanging="433"/>
        <w:spacing w:after="0"/>
        <w:tabs>
          <w:tab w:leader="none" w:pos="6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These awards vested over a three-year period in equal tranches and became fully vested on February 25, 2019.</w:t>
      </w:r>
    </w:p>
    <w:p>
      <w:pPr>
        <w:spacing w:after="0" w:line="70" w:lineRule="exact"/>
        <w:rPr>
          <w:rFonts w:ascii="Arial" w:cs="Arial" w:eastAsia="Arial" w:hAnsi="Arial"/>
          <w:sz w:val="16"/>
          <w:szCs w:val="16"/>
          <w:color w:val="auto"/>
        </w:rPr>
      </w:pPr>
    </w:p>
    <w:p>
      <w:pPr>
        <w:ind w:left="600" w:hanging="433"/>
        <w:spacing w:after="0"/>
        <w:tabs>
          <w:tab w:leader="none" w:pos="6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These awards vested over a three-year period in equal tranches and became fully vested on March 13, 2020.</w:t>
      </w:r>
    </w:p>
    <w:p>
      <w:pPr>
        <w:spacing w:after="0" w:line="70" w:lineRule="exact"/>
        <w:rPr>
          <w:rFonts w:ascii="Arial" w:cs="Arial" w:eastAsia="Arial" w:hAnsi="Arial"/>
          <w:sz w:val="16"/>
          <w:szCs w:val="16"/>
          <w:color w:val="auto"/>
        </w:rPr>
      </w:pPr>
    </w:p>
    <w:p>
      <w:pPr>
        <w:ind w:left="600" w:hanging="433"/>
        <w:spacing w:after="0"/>
        <w:tabs>
          <w:tab w:leader="none" w:pos="6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These awards vested over a three-year period in equal tranches and became fully vested on February 23, 2021.</w:t>
      </w:r>
    </w:p>
    <w:p>
      <w:pPr>
        <w:spacing w:after="0" w:line="70" w:lineRule="exact"/>
        <w:rPr>
          <w:rFonts w:ascii="Arial" w:cs="Arial" w:eastAsia="Arial" w:hAnsi="Arial"/>
          <w:sz w:val="16"/>
          <w:szCs w:val="16"/>
          <w:color w:val="auto"/>
        </w:rPr>
      </w:pPr>
    </w:p>
    <w:p>
      <w:pPr>
        <w:jc w:val="both"/>
        <w:ind w:left="600" w:hanging="433"/>
        <w:spacing w:after="0" w:line="262" w:lineRule="auto"/>
        <w:tabs>
          <w:tab w:leader="none" w:pos="6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These awards vest over a three-year period in equal tranches, with the first tranche having vested on the first anniversary of the grant date, the second tranche having vested on the second anniversary of the grant date and the third tranche is scheduled to vest on the third anniversary of the grant date.</w:t>
      </w:r>
    </w:p>
    <w:p>
      <w:pPr>
        <w:spacing w:after="0" w:line="26" w:lineRule="exact"/>
        <w:rPr>
          <w:rFonts w:ascii="Arial" w:cs="Arial" w:eastAsia="Arial" w:hAnsi="Arial"/>
          <w:sz w:val="16"/>
          <w:szCs w:val="16"/>
          <w:color w:val="auto"/>
        </w:rPr>
      </w:pPr>
    </w:p>
    <w:p>
      <w:pPr>
        <w:jc w:val="both"/>
        <w:ind w:left="600" w:hanging="433"/>
        <w:spacing w:after="0" w:line="262" w:lineRule="auto"/>
        <w:tabs>
          <w:tab w:leader="none" w:pos="6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These awards vest over a five-year period in three equal tranches beginning the third anniversary of the grant date. One tranche of the award vested on the third anniversary of the grant date, the second tranche vested on the fourth anniversary of the grant date and the third tranche is scheduled to vest on the fifth anniversary of the grant date.</w:t>
      </w:r>
    </w:p>
    <w:p>
      <w:pPr>
        <w:spacing w:after="0" w:line="26" w:lineRule="exact"/>
        <w:rPr>
          <w:rFonts w:ascii="Arial" w:cs="Arial" w:eastAsia="Arial" w:hAnsi="Arial"/>
          <w:sz w:val="16"/>
          <w:szCs w:val="16"/>
          <w:color w:val="auto"/>
        </w:rPr>
      </w:pPr>
    </w:p>
    <w:p>
      <w:pPr>
        <w:ind w:left="600" w:hanging="433"/>
        <w:spacing w:after="0" w:line="279" w:lineRule="auto"/>
        <w:tabs>
          <w:tab w:leader="none" w:pos="6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These awards vest over a three-year period in equal tranches, with the first tranche having vested on the first anniversary of the grant date, and the second and third tranches scheduled to vest on the second and third anniversaries of the grant date, respectively.</w:t>
      </w:r>
    </w:p>
    <w:p>
      <w:pPr>
        <w:spacing w:after="0" w:line="13" w:lineRule="exact"/>
        <w:rPr>
          <w:rFonts w:ascii="Arial" w:cs="Arial" w:eastAsia="Arial" w:hAnsi="Arial"/>
          <w:sz w:val="16"/>
          <w:szCs w:val="16"/>
          <w:color w:val="auto"/>
        </w:rPr>
      </w:pPr>
    </w:p>
    <w:p>
      <w:pPr>
        <w:ind w:left="600" w:hanging="433"/>
        <w:spacing w:after="0" w:line="279" w:lineRule="auto"/>
        <w:tabs>
          <w:tab w:leader="none" w:pos="6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These awards vest over a three-year period in equal tranches, with the first tranche scheduled to vest on the first anniversary of the grant date and each subsequent tranche is scheduled to vest on each subsequent anniversary of the grant date.</w:t>
      </w:r>
    </w:p>
    <w:p>
      <w:pPr>
        <w:spacing w:after="0" w:line="13" w:lineRule="exact"/>
        <w:rPr>
          <w:rFonts w:ascii="Arial" w:cs="Arial" w:eastAsia="Arial" w:hAnsi="Arial"/>
          <w:sz w:val="16"/>
          <w:szCs w:val="16"/>
          <w:color w:val="auto"/>
        </w:rPr>
      </w:pPr>
    </w:p>
    <w:p>
      <w:pPr>
        <w:jc w:val="both"/>
        <w:ind w:left="600" w:right="20" w:hanging="433"/>
        <w:spacing w:after="0" w:line="262" w:lineRule="auto"/>
        <w:tabs>
          <w:tab w:leader="none" w:pos="6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Amounts represent PSUs that were earned with respect to the Performance Period ended on December 31, 2021 and that vested on February 25, 2022, the third anniversary of the grant date. The number of earned PSUs was 200% of the target award, as discussed under </w:t>
      </w:r>
      <w:r>
        <w:rPr>
          <w:rFonts w:ascii="Arial" w:cs="Arial" w:eastAsia="Arial" w:hAnsi="Arial"/>
          <w:sz w:val="16"/>
          <w:szCs w:val="16"/>
          <w:i w:val="1"/>
          <w:iCs w:val="1"/>
          <w:color w:val="auto"/>
        </w:rPr>
        <w:t>“Compensation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 — Long-Term Equity Incentive Awards — Payout of 2019 PSUs.”</w:t>
      </w:r>
    </w:p>
    <w:p>
      <w:pPr>
        <w:spacing w:after="0" w:line="26" w:lineRule="exact"/>
        <w:rPr>
          <w:rFonts w:ascii="Arial" w:cs="Arial" w:eastAsia="Arial" w:hAnsi="Arial"/>
          <w:sz w:val="16"/>
          <w:szCs w:val="16"/>
          <w:color w:val="auto"/>
        </w:rPr>
      </w:pPr>
    </w:p>
    <w:p>
      <w:pPr>
        <w:jc w:val="both"/>
        <w:ind w:left="600" w:hanging="433"/>
        <w:spacing w:after="0" w:line="248" w:lineRule="auto"/>
        <w:tabs>
          <w:tab w:leader="none" w:pos="6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Amounts represent PSUs and assume achievement of performance at maximum levels. PSUs are eligible to become earned PSUs based on the Company’s TSR relative to the TSR of a pre-established comparator group over the Performance Period. The number of PSUs that is earned is determined based on the Company’s relative ranking between the 25th and 80th percentiles of the comparator group’s TSR results, and can range from 50% of the target award (if the Company’s TSR is at or above the 25th percentile of the comparator group’s TSR results) to a maximum of 200% of the target award (if the Company’s TSR is at or greater than the 80th percentile of the comparator group’s TSR results). The number of PSUs earned between threshold and maximum performance levels is interpolated on a straight-line basis. The number of earned PSUs is capped at 100% of the target award if the Company’s TSR is negative during the Performance Period. Earned PSUs become vested on the later of the third anniversary of the grant date and the date on which the Compensation Committee determines the level of achievement of the performance criteria associated with the award and the number of PSUs that have become earned under the award agreement.</w:t>
      </w:r>
    </w:p>
    <w:p>
      <w:pPr>
        <w:spacing w:after="0" w:line="40" w:lineRule="exact"/>
        <w:rPr>
          <w:rFonts w:ascii="Arial" w:cs="Arial" w:eastAsia="Arial" w:hAnsi="Arial"/>
          <w:sz w:val="16"/>
          <w:szCs w:val="16"/>
          <w:color w:val="auto"/>
        </w:rPr>
      </w:pPr>
    </w:p>
    <w:p>
      <w:pPr>
        <w:jc w:val="both"/>
        <w:ind w:left="600" w:right="20" w:hanging="433"/>
        <w:spacing w:after="0" w:line="256" w:lineRule="auto"/>
        <w:tabs>
          <w:tab w:leader="none" w:pos="6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These awards vest over a two-year period in eight tranches, with 14.40% of the total number of shares having vested on each of May 25, 2021, August 25, 2021 and November 25, 2021; 7.95% of the total number of shares having vested on February 25, 2022; 7.95% of the total number of shares scheduled to vest on each of May 25, 2022, August 25, 2022 and November 25, 2022; and 25.00% of the total number of shares scheduled to vest on February 25, 2023.</w:t>
      </w:r>
    </w:p>
    <w:p>
      <w:pPr>
        <w:spacing w:after="0" w:line="106" w:lineRule="exact"/>
        <w:rPr>
          <w:sz w:val="20"/>
          <w:szCs w:val="20"/>
          <w:color w:val="auto"/>
        </w:rPr>
      </w:pPr>
    </w:p>
    <w:p>
      <w:pPr>
        <w:ind w:left="1000" w:hanging="690"/>
        <w:spacing w:after="0"/>
        <w:tabs>
          <w:tab w:leader="none" w:pos="1000" w:val="left"/>
        </w:tabs>
        <w:numPr>
          <w:ilvl w:val="0"/>
          <w:numId w:val="83"/>
        </w:numPr>
        <w:rPr>
          <w:rFonts w:ascii="Arial" w:cs="Arial" w:eastAsia="Arial" w:hAnsi="Arial"/>
          <w:sz w:val="18"/>
          <w:szCs w:val="18"/>
          <w:color w:val="050A54"/>
        </w:rPr>
      </w:pPr>
      <w:r>
        <w:rPr>
          <w:rFonts w:ascii="Arial" w:cs="Arial" w:eastAsia="Arial" w:hAnsi="Arial"/>
          <w:sz w:val="18"/>
          <w:szCs w:val="18"/>
          <w:b w:val="1"/>
          <w:bCs w:val="1"/>
          <w:color w:val="050A54"/>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-118745</wp:posOffset>
            </wp:positionV>
            <wp:extent cx="8255" cy="135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780"/>
        <w:spacing w:after="0"/>
        <w:rPr>
          <w:sz w:val="20"/>
          <w:szCs w:val="20"/>
          <w:color w:val="auto"/>
        </w:rPr>
      </w:pPr>
      <w:r>
        <w:rPr>
          <w:rFonts w:ascii="Arial" w:cs="Arial" w:eastAsia="Arial" w:hAnsi="Arial"/>
          <w:sz w:val="20"/>
          <w:szCs w:val="20"/>
          <w:b w:val="1"/>
          <w:bCs w:val="1"/>
          <w:color w:val="050A54"/>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8" w:lineRule="exact"/>
        <w:rPr>
          <w:sz w:val="20"/>
          <w:szCs w:val="20"/>
          <w:color w:val="auto"/>
        </w:rPr>
      </w:pPr>
    </w:p>
    <w:p>
      <w:pPr>
        <w:jc w:val="both"/>
        <w:ind w:left="600" w:hanging="433"/>
        <w:spacing w:after="0" w:line="262" w:lineRule="auto"/>
        <w:tabs>
          <w:tab w:leader="none" w:pos="6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These awards vest over a four-year period in equal tranches. One tranche of the award vested on the first anniversary of the grant date, one tranche of the award vested on the second anniversary of the grant date, one tranche of the award vested on the third anniversary of the grant date and the fourth tranche is scheduled to vest on the fourth anniversary of the grant date.</w:t>
      </w:r>
    </w:p>
    <w:p>
      <w:pPr>
        <w:spacing w:after="0" w:line="16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2021 Option Exercises and Stock Vested</w:t>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sets forth the options exercised and stock vested during the year ended December 31, 2021:</w:t>
      </w:r>
    </w:p>
    <w:p>
      <w:pPr>
        <w:spacing w:after="0" w:line="244"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5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4"/>
          </w:tcPr>
          <w:p>
            <w:pPr>
              <w:ind w:left="620"/>
              <w:spacing w:after="0"/>
              <w:rPr>
                <w:sz w:val="20"/>
                <w:szCs w:val="20"/>
                <w:color w:val="auto"/>
              </w:rPr>
            </w:pPr>
            <w:r>
              <w:rPr>
                <w:rFonts w:ascii="Arial" w:cs="Arial" w:eastAsia="Arial" w:hAnsi="Arial"/>
                <w:sz w:val="14"/>
                <w:szCs w:val="14"/>
                <w:b w:val="1"/>
                <w:bCs w:val="1"/>
                <w:color w:val="050A54"/>
              </w:rPr>
              <w:t>Option Awards</w:t>
            </w:r>
          </w:p>
        </w:tc>
        <w:tc>
          <w:tcPr>
            <w:tcW w:w="380" w:type="dxa"/>
            <w:vAlign w:val="bottom"/>
          </w:tcPr>
          <w:p>
            <w:pPr>
              <w:spacing w:after="0"/>
              <w:rPr>
                <w:sz w:val="14"/>
                <w:szCs w:val="14"/>
                <w:color w:val="auto"/>
              </w:rPr>
            </w:pPr>
          </w:p>
        </w:tc>
        <w:tc>
          <w:tcPr>
            <w:tcW w:w="2240" w:type="dxa"/>
            <w:vAlign w:val="bottom"/>
            <w:gridSpan w:val="3"/>
          </w:tcPr>
          <w:p>
            <w:pPr>
              <w:jc w:val="right"/>
              <w:ind w:right="382"/>
              <w:spacing w:after="0"/>
              <w:rPr>
                <w:sz w:val="20"/>
                <w:szCs w:val="20"/>
                <w:color w:val="auto"/>
              </w:rPr>
            </w:pPr>
            <w:r>
              <w:rPr>
                <w:rFonts w:ascii="Arial" w:cs="Arial" w:eastAsia="Arial" w:hAnsi="Arial"/>
                <w:sz w:val="14"/>
                <w:szCs w:val="14"/>
                <w:b w:val="1"/>
                <w:bCs w:val="1"/>
                <w:color w:val="050A54"/>
              </w:rPr>
              <w:t>Stock Awards</w:t>
            </w:r>
          </w:p>
        </w:tc>
        <w:tc>
          <w:tcPr>
            <w:tcW w:w="380" w:type="dxa"/>
            <w:vAlign w:val="bottom"/>
          </w:tcPr>
          <w:p>
            <w:pPr>
              <w:spacing w:after="0"/>
              <w:rPr>
                <w:sz w:val="14"/>
                <w:szCs w:val="14"/>
                <w:color w:val="auto"/>
              </w:rPr>
            </w:pPr>
          </w:p>
        </w:tc>
      </w:tr>
      <w:tr>
        <w:trPr>
          <w:trHeight w:val="145"/>
        </w:trPr>
        <w:tc>
          <w:tcPr>
            <w:tcW w:w="5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Borders>
              <w:top w:val="single" w:sz="8" w:color="050A54"/>
            </w:tcBorders>
          </w:tcPr>
          <w:p>
            <w:pPr>
              <w:jc w:val="center"/>
              <w:ind w:right="42"/>
              <w:spacing w:after="0" w:line="145" w:lineRule="exact"/>
              <w:rPr>
                <w:sz w:val="20"/>
                <w:szCs w:val="20"/>
                <w:color w:val="auto"/>
              </w:rPr>
            </w:pPr>
            <w:r>
              <w:rPr>
                <w:rFonts w:ascii="Arial" w:cs="Arial" w:eastAsia="Arial" w:hAnsi="Arial"/>
                <w:sz w:val="14"/>
                <w:szCs w:val="14"/>
                <w:b w:val="1"/>
                <w:bCs w:val="1"/>
                <w:color w:val="050A54"/>
              </w:rPr>
              <w:t>Number of</w:t>
            </w:r>
          </w:p>
        </w:tc>
        <w:tc>
          <w:tcPr>
            <w:tcW w:w="220" w:type="dxa"/>
            <w:vAlign w:val="bottom"/>
            <w:tcBorders>
              <w:top w:val="single" w:sz="8" w:color="050A54"/>
            </w:tcBorders>
          </w:tcPr>
          <w:p>
            <w:pPr>
              <w:spacing w:after="0"/>
              <w:rPr>
                <w:sz w:val="12"/>
                <w:szCs w:val="12"/>
                <w:color w:val="auto"/>
              </w:rPr>
            </w:pPr>
          </w:p>
        </w:tc>
        <w:tc>
          <w:tcPr>
            <w:tcW w:w="800" w:type="dxa"/>
            <w:vAlign w:val="bottom"/>
            <w:tcBorders>
              <w:top w:val="single" w:sz="8" w:color="050A54"/>
            </w:tcBorders>
          </w:tcPr>
          <w:p>
            <w:pPr>
              <w:jc w:val="center"/>
              <w:ind w:right="41"/>
              <w:spacing w:after="0" w:line="145" w:lineRule="exact"/>
              <w:rPr>
                <w:sz w:val="20"/>
                <w:szCs w:val="20"/>
                <w:color w:val="auto"/>
              </w:rPr>
            </w:pPr>
            <w:r>
              <w:rPr>
                <w:rFonts w:ascii="Arial" w:cs="Arial" w:eastAsia="Arial" w:hAnsi="Arial"/>
                <w:sz w:val="14"/>
                <w:szCs w:val="14"/>
                <w:b w:val="1"/>
                <w:bCs w:val="1"/>
                <w:color w:val="050A54"/>
                <w:w w:val="96"/>
              </w:rPr>
              <w:t>Value</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Borders>
              <w:top w:val="single" w:sz="8" w:color="050A54"/>
            </w:tcBorders>
          </w:tcPr>
          <w:p>
            <w:pPr>
              <w:jc w:val="center"/>
              <w:ind w:right="22"/>
              <w:spacing w:after="0" w:line="145" w:lineRule="exact"/>
              <w:rPr>
                <w:sz w:val="20"/>
                <w:szCs w:val="20"/>
                <w:color w:val="auto"/>
              </w:rPr>
            </w:pPr>
            <w:r>
              <w:rPr>
                <w:rFonts w:ascii="Arial" w:cs="Arial" w:eastAsia="Arial" w:hAnsi="Arial"/>
                <w:sz w:val="14"/>
                <w:szCs w:val="14"/>
                <w:b w:val="1"/>
                <w:bCs w:val="1"/>
                <w:color w:val="050A54"/>
                <w:w w:val="99"/>
              </w:rPr>
              <w:t>Number of</w:t>
            </w:r>
          </w:p>
        </w:tc>
        <w:tc>
          <w:tcPr>
            <w:tcW w:w="220" w:type="dxa"/>
            <w:vAlign w:val="bottom"/>
            <w:tcBorders>
              <w:top w:val="single" w:sz="8" w:color="050A54"/>
            </w:tcBorders>
          </w:tcPr>
          <w:p>
            <w:pPr>
              <w:spacing w:after="0"/>
              <w:rPr>
                <w:sz w:val="12"/>
                <w:szCs w:val="12"/>
                <w:color w:val="auto"/>
              </w:rPr>
            </w:pPr>
          </w:p>
        </w:tc>
        <w:tc>
          <w:tcPr>
            <w:tcW w:w="780" w:type="dxa"/>
            <w:vAlign w:val="bottom"/>
            <w:tcBorders>
              <w:top w:val="single" w:sz="8" w:color="050A54"/>
            </w:tcBorders>
          </w:tcPr>
          <w:p>
            <w:pPr>
              <w:jc w:val="center"/>
              <w:ind w:right="102"/>
              <w:spacing w:after="0" w:line="145" w:lineRule="exact"/>
              <w:rPr>
                <w:sz w:val="20"/>
                <w:szCs w:val="20"/>
                <w:color w:val="auto"/>
              </w:rPr>
            </w:pPr>
            <w:r>
              <w:rPr>
                <w:rFonts w:ascii="Arial" w:cs="Arial" w:eastAsia="Arial" w:hAnsi="Arial"/>
                <w:sz w:val="14"/>
                <w:szCs w:val="14"/>
                <w:b w:val="1"/>
                <w:bCs w:val="1"/>
                <w:color w:val="050A54"/>
                <w:w w:val="96"/>
              </w:rPr>
              <w:t>Value</w:t>
            </w:r>
          </w:p>
        </w:tc>
        <w:tc>
          <w:tcPr>
            <w:tcW w:w="380" w:type="dxa"/>
            <w:vAlign w:val="bottom"/>
            <w:tcBorders>
              <w:top w:val="single" w:sz="8" w:color="050A54"/>
            </w:tcBorders>
          </w:tcPr>
          <w:p>
            <w:pPr>
              <w:spacing w:after="0"/>
              <w:rPr>
                <w:sz w:val="12"/>
                <w:szCs w:val="12"/>
                <w:color w:val="auto"/>
              </w:rPr>
            </w:pPr>
          </w:p>
        </w:tc>
      </w:tr>
      <w:tr>
        <w:trPr>
          <w:trHeight w:val="160"/>
        </w:trPr>
        <w:tc>
          <w:tcPr>
            <w:tcW w:w="5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center"/>
              <w:ind w:right="42"/>
              <w:spacing w:after="0"/>
              <w:rPr>
                <w:sz w:val="20"/>
                <w:szCs w:val="20"/>
                <w:color w:val="auto"/>
              </w:rPr>
            </w:pPr>
            <w:r>
              <w:rPr>
                <w:rFonts w:ascii="Arial" w:cs="Arial" w:eastAsia="Arial" w:hAnsi="Arial"/>
                <w:sz w:val="14"/>
                <w:szCs w:val="14"/>
                <w:b w:val="1"/>
                <w:bCs w:val="1"/>
                <w:color w:val="050A54"/>
              </w:rPr>
              <w:t>Shares Acquired</w:t>
            </w:r>
          </w:p>
        </w:tc>
        <w:tc>
          <w:tcPr>
            <w:tcW w:w="2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050A54"/>
              </w:rPr>
              <w:t>Realized</w:t>
            </w:r>
          </w:p>
        </w:tc>
        <w:tc>
          <w:tcPr>
            <w:tcW w:w="380" w:type="dxa"/>
            <w:vAlign w:val="bottom"/>
          </w:tcPr>
          <w:p>
            <w:pPr>
              <w:spacing w:after="0"/>
              <w:rPr>
                <w:sz w:val="13"/>
                <w:szCs w:val="13"/>
                <w:color w:val="auto"/>
              </w:rPr>
            </w:pPr>
          </w:p>
        </w:tc>
        <w:tc>
          <w:tcPr>
            <w:tcW w:w="1240" w:type="dxa"/>
            <w:vAlign w:val="bottom"/>
          </w:tcPr>
          <w:p>
            <w:pPr>
              <w:jc w:val="center"/>
              <w:ind w:right="22"/>
              <w:spacing w:after="0"/>
              <w:rPr>
                <w:sz w:val="20"/>
                <w:szCs w:val="20"/>
                <w:color w:val="auto"/>
              </w:rPr>
            </w:pPr>
            <w:r>
              <w:rPr>
                <w:rFonts w:ascii="Arial" w:cs="Arial" w:eastAsia="Arial" w:hAnsi="Arial"/>
                <w:sz w:val="14"/>
                <w:szCs w:val="14"/>
                <w:b w:val="1"/>
                <w:bCs w:val="1"/>
                <w:color w:val="050A54"/>
              </w:rPr>
              <w:t>Shares Acquired</w:t>
            </w:r>
          </w:p>
        </w:tc>
        <w:tc>
          <w:tcPr>
            <w:tcW w:w="220" w:type="dxa"/>
            <w:vAlign w:val="bottom"/>
          </w:tcPr>
          <w:p>
            <w:pPr>
              <w:spacing w:after="0"/>
              <w:rPr>
                <w:sz w:val="13"/>
                <w:szCs w:val="13"/>
                <w:color w:val="auto"/>
              </w:rPr>
            </w:pPr>
          </w:p>
        </w:tc>
        <w:tc>
          <w:tcPr>
            <w:tcW w:w="780" w:type="dxa"/>
            <w:vAlign w:val="bottom"/>
          </w:tcPr>
          <w:p>
            <w:pPr>
              <w:jc w:val="center"/>
              <w:ind w:right="122"/>
              <w:spacing w:after="0"/>
              <w:rPr>
                <w:sz w:val="20"/>
                <w:szCs w:val="20"/>
                <w:color w:val="auto"/>
              </w:rPr>
            </w:pPr>
            <w:r>
              <w:rPr>
                <w:rFonts w:ascii="Arial" w:cs="Arial" w:eastAsia="Arial" w:hAnsi="Arial"/>
                <w:sz w:val="14"/>
                <w:szCs w:val="14"/>
                <w:b w:val="1"/>
                <w:bCs w:val="1"/>
                <w:color w:val="050A54"/>
              </w:rPr>
              <w:t>Realized</w:t>
            </w:r>
          </w:p>
        </w:tc>
        <w:tc>
          <w:tcPr>
            <w:tcW w:w="380" w:type="dxa"/>
            <w:vAlign w:val="bottom"/>
          </w:tcPr>
          <w:p>
            <w:pPr>
              <w:spacing w:after="0"/>
              <w:rPr>
                <w:sz w:val="13"/>
                <w:szCs w:val="13"/>
                <w:color w:val="auto"/>
              </w:rPr>
            </w:pPr>
          </w:p>
        </w:tc>
      </w:tr>
      <w:tr>
        <w:trPr>
          <w:trHeight w:val="160"/>
        </w:trPr>
        <w:tc>
          <w:tcPr>
            <w:tcW w:w="5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center"/>
              <w:ind w:right="42"/>
              <w:spacing w:after="0"/>
              <w:rPr>
                <w:sz w:val="20"/>
                <w:szCs w:val="20"/>
                <w:color w:val="auto"/>
              </w:rPr>
            </w:pPr>
            <w:r>
              <w:rPr>
                <w:rFonts w:ascii="Arial" w:cs="Arial" w:eastAsia="Arial" w:hAnsi="Arial"/>
                <w:sz w:val="14"/>
                <w:szCs w:val="14"/>
                <w:b w:val="1"/>
                <w:bCs w:val="1"/>
                <w:color w:val="050A54"/>
              </w:rPr>
              <w:t>on Exercise</w:t>
            </w: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050A54"/>
              </w:rPr>
              <w:t>on Exercise</w:t>
            </w:r>
          </w:p>
        </w:tc>
        <w:tc>
          <w:tcPr>
            <w:tcW w:w="380" w:type="dxa"/>
            <w:vAlign w:val="bottom"/>
          </w:tcPr>
          <w:p>
            <w:pPr>
              <w:spacing w:after="0"/>
              <w:rPr>
                <w:sz w:val="13"/>
                <w:szCs w:val="13"/>
                <w:color w:val="auto"/>
              </w:rPr>
            </w:pPr>
          </w:p>
        </w:tc>
        <w:tc>
          <w:tcPr>
            <w:tcW w:w="1240" w:type="dxa"/>
            <w:vAlign w:val="bottom"/>
          </w:tcPr>
          <w:p>
            <w:pPr>
              <w:jc w:val="center"/>
              <w:ind w:right="42"/>
              <w:spacing w:after="0"/>
              <w:rPr>
                <w:sz w:val="20"/>
                <w:szCs w:val="20"/>
                <w:color w:val="auto"/>
              </w:rPr>
            </w:pPr>
            <w:r>
              <w:rPr>
                <w:rFonts w:ascii="Arial" w:cs="Arial" w:eastAsia="Arial" w:hAnsi="Arial"/>
                <w:sz w:val="14"/>
                <w:szCs w:val="14"/>
                <w:b w:val="1"/>
                <w:bCs w:val="1"/>
                <w:color w:val="050A54"/>
              </w:rPr>
              <w:t>on Vesting</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050A54"/>
              </w:rPr>
              <w:t>on Vesting</w:t>
            </w:r>
          </w:p>
        </w:tc>
        <w:tc>
          <w:tcPr>
            <w:tcW w:w="380" w:type="dxa"/>
            <w:vAlign w:val="bottom"/>
          </w:tcPr>
          <w:p>
            <w:pPr>
              <w:spacing w:after="0"/>
              <w:rPr>
                <w:sz w:val="13"/>
                <w:szCs w:val="13"/>
                <w:color w:val="auto"/>
              </w:rPr>
            </w:pPr>
          </w:p>
        </w:tc>
      </w:tr>
      <w:tr>
        <w:trPr>
          <w:trHeight w:val="183"/>
        </w:trPr>
        <w:tc>
          <w:tcPr>
            <w:tcW w:w="5460" w:type="dxa"/>
            <w:vAlign w:val="bottom"/>
            <w:tcBorders>
              <w:bottom w:val="single" w:sz="8" w:color="050A54"/>
            </w:tcBorders>
          </w:tcPr>
          <w:p>
            <w:pPr>
              <w:ind w:left="2580"/>
              <w:spacing w:after="0"/>
              <w:rPr>
                <w:sz w:val="20"/>
                <w:szCs w:val="20"/>
                <w:color w:val="auto"/>
              </w:rPr>
            </w:pPr>
            <w:r>
              <w:rPr>
                <w:rFonts w:ascii="Arial" w:cs="Arial" w:eastAsia="Arial" w:hAnsi="Arial"/>
                <w:sz w:val="14"/>
                <w:szCs w:val="14"/>
                <w:b w:val="1"/>
                <w:bCs w:val="1"/>
                <w:color w:val="050A54"/>
              </w:rPr>
              <w:t>Name</w:t>
            </w:r>
          </w:p>
        </w:tc>
        <w:tc>
          <w:tcPr>
            <w:tcW w:w="1360" w:type="dxa"/>
            <w:vAlign w:val="bottom"/>
            <w:tcBorders>
              <w:bottom w:val="single" w:sz="8" w:color="050A54"/>
            </w:tcBorders>
            <w:gridSpan w:val="2"/>
          </w:tcPr>
          <w:p>
            <w:pPr>
              <w:jc w:val="center"/>
              <w:spacing w:after="0"/>
              <w:rPr>
                <w:sz w:val="20"/>
                <w:szCs w:val="20"/>
                <w:color w:val="auto"/>
              </w:rPr>
            </w:pPr>
            <w:r>
              <w:rPr>
                <w:rFonts w:ascii="Arial" w:cs="Arial" w:eastAsia="Arial" w:hAnsi="Arial"/>
                <w:sz w:val="14"/>
                <w:szCs w:val="14"/>
                <w:b w:val="1"/>
                <w:bCs w:val="1"/>
                <w:color w:val="050A54"/>
                <w:w w:val="93"/>
              </w:rPr>
              <w:t>(#)</w:t>
            </w:r>
          </w:p>
        </w:tc>
        <w:tc>
          <w:tcPr>
            <w:tcW w:w="220" w:type="dxa"/>
            <w:vAlign w:val="bottom"/>
            <w:tcBorders>
              <w:bottom w:val="single" w:sz="8" w:color="050A54"/>
            </w:tcBorders>
          </w:tcPr>
          <w:p>
            <w:pPr>
              <w:spacing w:after="0"/>
              <w:rPr>
                <w:sz w:val="15"/>
                <w:szCs w:val="15"/>
                <w:color w:val="auto"/>
              </w:rPr>
            </w:pPr>
          </w:p>
        </w:tc>
        <w:tc>
          <w:tcPr>
            <w:tcW w:w="800" w:type="dxa"/>
            <w:vAlign w:val="bottom"/>
            <w:tcBorders>
              <w:bottom w:val="single" w:sz="8" w:color="050A54"/>
            </w:tcBorders>
          </w:tcPr>
          <w:p>
            <w:pPr>
              <w:jc w:val="center"/>
              <w:ind w:right="41"/>
              <w:spacing w:after="0"/>
              <w:rPr>
                <w:sz w:val="20"/>
                <w:szCs w:val="20"/>
                <w:color w:val="auto"/>
              </w:rPr>
            </w:pPr>
            <w:r>
              <w:rPr>
                <w:rFonts w:ascii="Arial" w:cs="Arial" w:eastAsia="Arial" w:hAnsi="Arial"/>
                <w:sz w:val="14"/>
                <w:szCs w:val="14"/>
                <w:b w:val="1"/>
                <w:bCs w:val="1"/>
                <w:color w:val="050A54"/>
              </w:rPr>
              <w:t>($)(1)</w:t>
            </w:r>
          </w:p>
        </w:tc>
        <w:tc>
          <w:tcPr>
            <w:tcW w:w="80" w:type="dxa"/>
            <w:vAlign w:val="bottom"/>
            <w:tcBorders>
              <w:bottom w:val="single" w:sz="8" w:color="050A54"/>
            </w:tcBorders>
          </w:tcPr>
          <w:p>
            <w:pPr>
              <w:spacing w:after="0"/>
              <w:rPr>
                <w:sz w:val="15"/>
                <w:szCs w:val="15"/>
                <w:color w:val="auto"/>
              </w:rPr>
            </w:pPr>
          </w:p>
        </w:tc>
        <w:tc>
          <w:tcPr>
            <w:tcW w:w="380" w:type="dxa"/>
            <w:vAlign w:val="bottom"/>
            <w:tcBorders>
              <w:bottom w:val="single" w:sz="8" w:color="050A54"/>
            </w:tcBorders>
          </w:tcPr>
          <w:p>
            <w:pPr>
              <w:spacing w:after="0"/>
              <w:rPr>
                <w:sz w:val="15"/>
                <w:szCs w:val="15"/>
                <w:color w:val="auto"/>
              </w:rPr>
            </w:pPr>
          </w:p>
        </w:tc>
        <w:tc>
          <w:tcPr>
            <w:tcW w:w="1240" w:type="dxa"/>
            <w:vAlign w:val="bottom"/>
            <w:tcBorders>
              <w:bottom w:val="single" w:sz="8" w:color="050A54"/>
            </w:tcBorders>
          </w:tcPr>
          <w:p>
            <w:pPr>
              <w:jc w:val="center"/>
              <w:ind w:right="22"/>
              <w:spacing w:after="0"/>
              <w:rPr>
                <w:sz w:val="20"/>
                <w:szCs w:val="20"/>
                <w:color w:val="auto"/>
              </w:rPr>
            </w:pPr>
            <w:r>
              <w:rPr>
                <w:rFonts w:ascii="Arial" w:cs="Arial" w:eastAsia="Arial" w:hAnsi="Arial"/>
                <w:sz w:val="14"/>
                <w:szCs w:val="14"/>
                <w:b w:val="1"/>
                <w:bCs w:val="1"/>
                <w:color w:val="050A54"/>
              </w:rPr>
              <w:t>(#)</w:t>
            </w:r>
          </w:p>
        </w:tc>
        <w:tc>
          <w:tcPr>
            <w:tcW w:w="220" w:type="dxa"/>
            <w:vAlign w:val="bottom"/>
            <w:tcBorders>
              <w:bottom w:val="single" w:sz="8" w:color="050A54"/>
            </w:tcBorders>
          </w:tcPr>
          <w:p>
            <w:pPr>
              <w:spacing w:after="0"/>
              <w:rPr>
                <w:sz w:val="15"/>
                <w:szCs w:val="15"/>
                <w:color w:val="auto"/>
              </w:rPr>
            </w:pPr>
          </w:p>
        </w:tc>
        <w:tc>
          <w:tcPr>
            <w:tcW w:w="780" w:type="dxa"/>
            <w:vAlign w:val="bottom"/>
            <w:tcBorders>
              <w:bottom w:val="single" w:sz="8" w:color="050A54"/>
            </w:tcBorders>
          </w:tcPr>
          <w:p>
            <w:pPr>
              <w:jc w:val="center"/>
              <w:ind w:right="102"/>
              <w:spacing w:after="0"/>
              <w:rPr>
                <w:sz w:val="20"/>
                <w:szCs w:val="20"/>
                <w:color w:val="auto"/>
              </w:rPr>
            </w:pPr>
            <w:r>
              <w:rPr>
                <w:rFonts w:ascii="Arial" w:cs="Arial" w:eastAsia="Arial" w:hAnsi="Arial"/>
                <w:sz w:val="14"/>
                <w:szCs w:val="14"/>
                <w:b w:val="1"/>
                <w:bCs w:val="1"/>
                <w:color w:val="050A54"/>
              </w:rPr>
              <w:t>($)(2)</w:t>
            </w:r>
          </w:p>
        </w:tc>
        <w:tc>
          <w:tcPr>
            <w:tcW w:w="380" w:type="dxa"/>
            <w:vAlign w:val="bottom"/>
            <w:tcBorders>
              <w:bottom w:val="single" w:sz="8" w:color="050A54"/>
            </w:tcBorders>
          </w:tcPr>
          <w:p>
            <w:pPr>
              <w:spacing w:after="0"/>
              <w:rPr>
                <w:sz w:val="15"/>
                <w:szCs w:val="15"/>
                <w:color w:val="auto"/>
              </w:rPr>
            </w:pPr>
          </w:p>
        </w:tc>
      </w:tr>
      <w:tr>
        <w:trPr>
          <w:trHeight w:val="181"/>
        </w:trPr>
        <w:tc>
          <w:tcPr>
            <w:tcW w:w="5460" w:type="dxa"/>
            <w:vAlign w:val="bottom"/>
            <w:shd w:val="clear" w:color="auto" w:fill="E8E8E8"/>
          </w:tcPr>
          <w:p>
            <w:pPr>
              <w:ind w:left="80"/>
              <w:spacing w:after="0" w:line="181" w:lineRule="exact"/>
              <w:rPr>
                <w:sz w:val="20"/>
                <w:szCs w:val="20"/>
                <w:color w:val="auto"/>
              </w:rPr>
            </w:pPr>
            <w:r>
              <w:rPr>
                <w:rFonts w:ascii="Arial" w:cs="Arial" w:eastAsia="Arial" w:hAnsi="Arial"/>
                <w:sz w:val="16"/>
                <w:szCs w:val="16"/>
                <w:color w:val="auto"/>
              </w:rPr>
              <w:t>Dan H. Arnold</w:t>
            </w:r>
          </w:p>
        </w:tc>
        <w:tc>
          <w:tcPr>
            <w:tcW w:w="1360" w:type="dxa"/>
            <w:vAlign w:val="bottom"/>
            <w:gridSpan w:val="2"/>
            <w:shd w:val="clear" w:color="auto" w:fill="E8E8E8"/>
          </w:tcPr>
          <w:p>
            <w:pPr>
              <w:jc w:val="right"/>
              <w:ind w:right="42"/>
              <w:spacing w:after="0" w:line="181" w:lineRule="exact"/>
              <w:rPr>
                <w:sz w:val="20"/>
                <w:szCs w:val="20"/>
                <w:color w:val="auto"/>
              </w:rPr>
            </w:pPr>
            <w:r>
              <w:rPr>
                <w:rFonts w:ascii="Arial" w:cs="Arial" w:eastAsia="Arial" w:hAnsi="Arial"/>
                <w:sz w:val="16"/>
                <w:szCs w:val="16"/>
                <w:color w:val="auto"/>
              </w:rPr>
              <w:t>15,594</w:t>
            </w:r>
          </w:p>
        </w:tc>
        <w:tc>
          <w:tcPr>
            <w:tcW w:w="220" w:type="dxa"/>
            <w:vAlign w:val="bottom"/>
            <w:shd w:val="clear" w:color="auto" w:fill="E8E8E8"/>
          </w:tcPr>
          <w:p>
            <w:pPr>
              <w:jc w:val="right"/>
              <w:spacing w:after="0" w:line="181" w:lineRule="exact"/>
              <w:rPr>
                <w:sz w:val="20"/>
                <w:szCs w:val="20"/>
                <w:color w:val="auto"/>
              </w:rPr>
            </w:pPr>
            <w:r>
              <w:rPr>
                <w:rFonts w:ascii="Arial" w:cs="Arial" w:eastAsia="Arial" w:hAnsi="Arial"/>
                <w:sz w:val="16"/>
                <w:szCs w:val="16"/>
                <w:color w:val="auto"/>
              </w:rPr>
              <w:t>$</w:t>
            </w:r>
          </w:p>
        </w:tc>
        <w:tc>
          <w:tcPr>
            <w:tcW w:w="880" w:type="dxa"/>
            <w:vAlign w:val="bottom"/>
            <w:gridSpan w:val="2"/>
            <w:shd w:val="clear" w:color="auto" w:fill="E8E8E8"/>
          </w:tcPr>
          <w:p>
            <w:pPr>
              <w:jc w:val="right"/>
              <w:ind w:right="80"/>
              <w:spacing w:after="0" w:line="181" w:lineRule="exact"/>
              <w:rPr>
                <w:sz w:val="20"/>
                <w:szCs w:val="20"/>
                <w:color w:val="auto"/>
              </w:rPr>
            </w:pPr>
            <w:r>
              <w:rPr>
                <w:rFonts w:ascii="Arial" w:cs="Arial" w:eastAsia="Arial" w:hAnsi="Arial"/>
                <w:sz w:val="16"/>
                <w:szCs w:val="16"/>
                <w:color w:val="auto"/>
              </w:rPr>
              <w:t>1,553,130</w:t>
            </w:r>
          </w:p>
        </w:tc>
        <w:tc>
          <w:tcPr>
            <w:tcW w:w="380" w:type="dxa"/>
            <w:vAlign w:val="bottom"/>
            <w:shd w:val="clear" w:color="auto" w:fill="E8E8E8"/>
          </w:tcPr>
          <w:p>
            <w:pPr>
              <w:jc w:val="right"/>
              <w:ind w:right="40"/>
              <w:spacing w:after="0" w:line="181" w:lineRule="exact"/>
              <w:rPr>
                <w:sz w:val="20"/>
                <w:szCs w:val="20"/>
                <w:color w:val="auto"/>
              </w:rPr>
            </w:pPr>
            <w:r>
              <w:rPr>
                <w:rFonts w:ascii="Arial" w:cs="Arial" w:eastAsia="Arial" w:hAnsi="Arial"/>
                <w:sz w:val="16"/>
                <w:szCs w:val="16"/>
                <w:color w:val="auto"/>
              </w:rPr>
              <w:t>(3)</w:t>
            </w:r>
          </w:p>
        </w:tc>
        <w:tc>
          <w:tcPr>
            <w:tcW w:w="1240" w:type="dxa"/>
            <w:vAlign w:val="bottom"/>
            <w:shd w:val="clear" w:color="auto" w:fill="E8E8E8"/>
          </w:tcPr>
          <w:p>
            <w:pPr>
              <w:jc w:val="right"/>
              <w:ind w:right="22"/>
              <w:spacing w:after="0" w:line="181" w:lineRule="exact"/>
              <w:rPr>
                <w:sz w:val="20"/>
                <w:szCs w:val="20"/>
                <w:color w:val="auto"/>
              </w:rPr>
            </w:pPr>
            <w:r>
              <w:rPr>
                <w:rFonts w:ascii="Arial" w:cs="Arial" w:eastAsia="Arial" w:hAnsi="Arial"/>
                <w:sz w:val="16"/>
                <w:szCs w:val="16"/>
                <w:color w:val="auto"/>
              </w:rPr>
              <w:t>12,936</w:t>
            </w:r>
          </w:p>
        </w:tc>
        <w:tc>
          <w:tcPr>
            <w:tcW w:w="1000" w:type="dxa"/>
            <w:vAlign w:val="bottom"/>
            <w:gridSpan w:val="2"/>
            <w:shd w:val="clear" w:color="auto" w:fill="E8E8E8"/>
          </w:tcPr>
          <w:p>
            <w:pPr>
              <w:jc w:val="right"/>
              <w:ind w:right="2"/>
              <w:spacing w:after="0" w:line="181" w:lineRule="exact"/>
              <w:rPr>
                <w:sz w:val="20"/>
                <w:szCs w:val="20"/>
                <w:color w:val="auto"/>
              </w:rPr>
            </w:pPr>
            <w:r>
              <w:rPr>
                <w:rFonts w:ascii="Arial" w:cs="Arial" w:eastAsia="Arial" w:hAnsi="Arial"/>
                <w:sz w:val="16"/>
                <w:szCs w:val="16"/>
                <w:color w:val="auto"/>
              </w:rPr>
              <w:t>$1,684,785</w:t>
            </w:r>
          </w:p>
        </w:tc>
        <w:tc>
          <w:tcPr>
            <w:tcW w:w="380" w:type="dxa"/>
            <w:vAlign w:val="bottom"/>
            <w:shd w:val="clear" w:color="auto" w:fill="E8E8E8"/>
          </w:tcPr>
          <w:p>
            <w:pPr>
              <w:ind w:left="80"/>
              <w:spacing w:after="0" w:line="181" w:lineRule="exact"/>
              <w:rPr>
                <w:sz w:val="20"/>
                <w:szCs w:val="20"/>
                <w:color w:val="auto"/>
              </w:rPr>
            </w:pPr>
            <w:r>
              <w:rPr>
                <w:rFonts w:ascii="Arial" w:cs="Arial" w:eastAsia="Arial" w:hAnsi="Arial"/>
                <w:sz w:val="16"/>
                <w:szCs w:val="16"/>
                <w:color w:val="auto"/>
              </w:rPr>
              <w:t>(6)</w:t>
            </w:r>
          </w:p>
        </w:tc>
      </w:tr>
      <w:tr>
        <w:trPr>
          <w:trHeight w:val="241"/>
        </w:trPr>
        <w:tc>
          <w:tcPr>
            <w:tcW w:w="5460" w:type="dxa"/>
            <w:vAlign w:val="bottom"/>
            <w:shd w:val="clear" w:color="auto" w:fill="E8E8E8"/>
          </w:tcPr>
          <w:p>
            <w:pPr>
              <w:spacing w:after="0"/>
              <w:rPr>
                <w:sz w:val="20"/>
                <w:szCs w:val="20"/>
                <w:color w:val="auto"/>
              </w:rPr>
            </w:pPr>
          </w:p>
        </w:tc>
        <w:tc>
          <w:tcPr>
            <w:tcW w:w="120" w:type="dxa"/>
            <w:vAlign w:val="bottom"/>
            <w:shd w:val="clear" w:color="auto" w:fill="E8E8E8"/>
          </w:tcPr>
          <w:p>
            <w:pPr>
              <w:spacing w:after="0"/>
              <w:rPr>
                <w:sz w:val="20"/>
                <w:szCs w:val="20"/>
                <w:color w:val="auto"/>
              </w:rPr>
            </w:pPr>
          </w:p>
        </w:tc>
        <w:tc>
          <w:tcPr>
            <w:tcW w:w="1240" w:type="dxa"/>
            <w:vAlign w:val="bottom"/>
            <w:shd w:val="clear" w:color="auto" w:fill="E8E8E8"/>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E8E8E8"/>
          </w:tcPr>
          <w:p>
            <w:pPr>
              <w:jc w:val="right"/>
              <w:ind w:right="80"/>
              <w:spacing w:after="0"/>
              <w:rPr>
                <w:sz w:val="20"/>
                <w:szCs w:val="20"/>
                <w:color w:val="auto"/>
              </w:rPr>
            </w:pPr>
            <w:r>
              <w:rPr>
                <w:rFonts w:ascii="Arial" w:cs="Arial" w:eastAsia="Arial" w:hAnsi="Arial"/>
                <w:sz w:val="16"/>
                <w:szCs w:val="16"/>
                <w:color w:val="auto"/>
              </w:rPr>
              <w:t>—</w:t>
            </w:r>
          </w:p>
        </w:tc>
        <w:tc>
          <w:tcPr>
            <w:tcW w:w="380" w:type="dxa"/>
            <w:vAlign w:val="bottom"/>
            <w:shd w:val="clear" w:color="auto" w:fill="E8E8E8"/>
          </w:tcPr>
          <w:p>
            <w:pPr>
              <w:spacing w:after="0"/>
              <w:rPr>
                <w:sz w:val="20"/>
                <w:szCs w:val="20"/>
                <w:color w:val="auto"/>
              </w:rPr>
            </w:pPr>
          </w:p>
        </w:tc>
        <w:tc>
          <w:tcPr>
            <w:tcW w:w="1240" w:type="dxa"/>
            <w:vAlign w:val="bottom"/>
            <w:shd w:val="clear" w:color="auto" w:fill="E8E8E8"/>
          </w:tcPr>
          <w:p>
            <w:pPr>
              <w:jc w:val="right"/>
              <w:ind w:right="22"/>
              <w:spacing w:after="0"/>
              <w:rPr>
                <w:sz w:val="20"/>
                <w:szCs w:val="20"/>
                <w:color w:val="auto"/>
              </w:rPr>
            </w:pPr>
            <w:r>
              <w:rPr>
                <w:rFonts w:ascii="Arial" w:cs="Arial" w:eastAsia="Arial" w:hAnsi="Arial"/>
                <w:sz w:val="16"/>
                <w:szCs w:val="16"/>
                <w:color w:val="auto"/>
              </w:rPr>
              <w:t>4,849</w:t>
            </w:r>
          </w:p>
        </w:tc>
        <w:tc>
          <w:tcPr>
            <w:tcW w:w="220" w:type="dxa"/>
            <w:vAlign w:val="bottom"/>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E8E8E8"/>
          </w:tcPr>
          <w:p>
            <w:pPr>
              <w:jc w:val="right"/>
              <w:ind w:right="2"/>
              <w:spacing w:after="0"/>
              <w:rPr>
                <w:sz w:val="20"/>
                <w:szCs w:val="20"/>
                <w:color w:val="auto"/>
              </w:rPr>
            </w:pPr>
            <w:r>
              <w:rPr>
                <w:rFonts w:ascii="Arial" w:cs="Arial" w:eastAsia="Arial" w:hAnsi="Arial"/>
                <w:sz w:val="16"/>
                <w:szCs w:val="16"/>
                <w:color w:val="auto"/>
              </w:rPr>
              <w:t>640,553</w:t>
            </w:r>
          </w:p>
        </w:tc>
        <w:tc>
          <w:tcPr>
            <w:tcW w:w="380" w:type="dxa"/>
            <w:vAlign w:val="bottom"/>
            <w:shd w:val="clear" w:color="auto" w:fill="E8E8E8"/>
          </w:tcPr>
          <w:p>
            <w:pPr>
              <w:ind w:left="80"/>
              <w:spacing w:after="0"/>
              <w:rPr>
                <w:sz w:val="20"/>
                <w:szCs w:val="20"/>
                <w:color w:val="auto"/>
              </w:rPr>
            </w:pPr>
            <w:r>
              <w:rPr>
                <w:rFonts w:ascii="Arial" w:cs="Arial" w:eastAsia="Arial" w:hAnsi="Arial"/>
                <w:sz w:val="16"/>
                <w:szCs w:val="16"/>
                <w:color w:val="auto"/>
              </w:rPr>
              <w:t>(7)</w:t>
            </w:r>
          </w:p>
        </w:tc>
      </w:tr>
      <w:tr>
        <w:trPr>
          <w:trHeight w:val="241"/>
        </w:trPr>
        <w:tc>
          <w:tcPr>
            <w:tcW w:w="5460" w:type="dxa"/>
            <w:vAlign w:val="bottom"/>
            <w:shd w:val="clear" w:color="auto" w:fill="E8E8E8"/>
          </w:tcPr>
          <w:p>
            <w:pPr>
              <w:spacing w:after="0"/>
              <w:rPr>
                <w:sz w:val="20"/>
                <w:szCs w:val="20"/>
                <w:color w:val="auto"/>
              </w:rPr>
            </w:pPr>
          </w:p>
        </w:tc>
        <w:tc>
          <w:tcPr>
            <w:tcW w:w="120" w:type="dxa"/>
            <w:vAlign w:val="bottom"/>
            <w:shd w:val="clear" w:color="auto" w:fill="E8E8E8"/>
          </w:tcPr>
          <w:p>
            <w:pPr>
              <w:spacing w:after="0"/>
              <w:rPr>
                <w:sz w:val="20"/>
                <w:szCs w:val="20"/>
                <w:color w:val="auto"/>
              </w:rPr>
            </w:pPr>
          </w:p>
        </w:tc>
        <w:tc>
          <w:tcPr>
            <w:tcW w:w="1240" w:type="dxa"/>
            <w:vAlign w:val="bottom"/>
            <w:shd w:val="clear" w:color="auto" w:fill="E8E8E8"/>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E8E8E8"/>
          </w:tcPr>
          <w:p>
            <w:pPr>
              <w:jc w:val="right"/>
              <w:ind w:right="80"/>
              <w:spacing w:after="0"/>
              <w:rPr>
                <w:sz w:val="20"/>
                <w:szCs w:val="20"/>
                <w:color w:val="auto"/>
              </w:rPr>
            </w:pPr>
            <w:r>
              <w:rPr>
                <w:rFonts w:ascii="Arial" w:cs="Arial" w:eastAsia="Arial" w:hAnsi="Arial"/>
                <w:sz w:val="16"/>
                <w:szCs w:val="16"/>
                <w:color w:val="auto"/>
              </w:rPr>
              <w:t>—</w:t>
            </w:r>
          </w:p>
        </w:tc>
        <w:tc>
          <w:tcPr>
            <w:tcW w:w="380" w:type="dxa"/>
            <w:vAlign w:val="bottom"/>
            <w:shd w:val="clear" w:color="auto" w:fill="E8E8E8"/>
          </w:tcPr>
          <w:p>
            <w:pPr>
              <w:spacing w:after="0"/>
              <w:rPr>
                <w:sz w:val="20"/>
                <w:szCs w:val="20"/>
                <w:color w:val="auto"/>
              </w:rPr>
            </w:pPr>
          </w:p>
        </w:tc>
        <w:tc>
          <w:tcPr>
            <w:tcW w:w="1240" w:type="dxa"/>
            <w:vAlign w:val="bottom"/>
            <w:shd w:val="clear" w:color="auto" w:fill="E8E8E8"/>
          </w:tcPr>
          <w:p>
            <w:pPr>
              <w:jc w:val="right"/>
              <w:ind w:right="22"/>
              <w:spacing w:after="0"/>
              <w:rPr>
                <w:sz w:val="20"/>
                <w:szCs w:val="20"/>
                <w:color w:val="auto"/>
              </w:rPr>
            </w:pPr>
            <w:r>
              <w:rPr>
                <w:rFonts w:ascii="Arial" w:cs="Arial" w:eastAsia="Arial" w:hAnsi="Arial"/>
                <w:sz w:val="16"/>
                <w:szCs w:val="16"/>
                <w:color w:val="auto"/>
              </w:rPr>
              <w:t>50,170</w:t>
            </w:r>
          </w:p>
        </w:tc>
        <w:tc>
          <w:tcPr>
            <w:tcW w:w="1000" w:type="dxa"/>
            <w:vAlign w:val="bottom"/>
            <w:gridSpan w:val="2"/>
            <w:shd w:val="clear" w:color="auto" w:fill="E8E8E8"/>
          </w:tcPr>
          <w:p>
            <w:pPr>
              <w:jc w:val="right"/>
              <w:ind w:right="2"/>
              <w:spacing w:after="0"/>
              <w:rPr>
                <w:sz w:val="20"/>
                <w:szCs w:val="20"/>
                <w:color w:val="auto"/>
              </w:rPr>
            </w:pPr>
            <w:r>
              <w:rPr>
                <w:rFonts w:ascii="Arial" w:cs="Arial" w:eastAsia="Arial" w:hAnsi="Arial"/>
                <w:sz w:val="16"/>
                <w:szCs w:val="16"/>
                <w:color w:val="auto"/>
              </w:rPr>
              <w:t>$6,793,520</w:t>
            </w:r>
          </w:p>
        </w:tc>
        <w:tc>
          <w:tcPr>
            <w:tcW w:w="380" w:type="dxa"/>
            <w:vAlign w:val="bottom"/>
            <w:shd w:val="clear" w:color="auto" w:fill="E8E8E8"/>
          </w:tcPr>
          <w:p>
            <w:pPr>
              <w:ind w:left="80"/>
              <w:spacing w:after="0"/>
              <w:rPr>
                <w:sz w:val="20"/>
                <w:szCs w:val="20"/>
                <w:color w:val="auto"/>
              </w:rPr>
            </w:pPr>
            <w:r>
              <w:rPr>
                <w:rFonts w:ascii="Arial" w:cs="Arial" w:eastAsia="Arial" w:hAnsi="Arial"/>
                <w:sz w:val="16"/>
                <w:szCs w:val="16"/>
                <w:color w:val="auto"/>
              </w:rPr>
              <w:t>(8)</w:t>
            </w:r>
          </w:p>
        </w:tc>
      </w:tr>
      <w:tr>
        <w:trPr>
          <w:trHeight w:val="211"/>
        </w:trPr>
        <w:tc>
          <w:tcPr>
            <w:tcW w:w="5460" w:type="dxa"/>
            <w:vAlign w:val="bottom"/>
          </w:tcPr>
          <w:p>
            <w:pPr>
              <w:ind w:left="80"/>
              <w:spacing w:after="0"/>
              <w:rPr>
                <w:sz w:val="20"/>
                <w:szCs w:val="20"/>
                <w:color w:val="auto"/>
              </w:rPr>
            </w:pPr>
            <w:r>
              <w:rPr>
                <w:rFonts w:ascii="Arial" w:cs="Arial" w:eastAsia="Arial" w:hAnsi="Arial"/>
                <w:sz w:val="16"/>
                <w:szCs w:val="16"/>
                <w:color w:val="auto"/>
              </w:rPr>
              <w:t>Matthew J. Audette</w:t>
            </w:r>
          </w:p>
        </w:tc>
        <w:tc>
          <w:tcPr>
            <w:tcW w:w="1360" w:type="dxa"/>
            <w:vAlign w:val="bottom"/>
            <w:gridSpan w:val="2"/>
          </w:tcPr>
          <w:p>
            <w:pPr>
              <w:jc w:val="right"/>
              <w:ind w:right="42"/>
              <w:spacing w:after="0"/>
              <w:rPr>
                <w:sz w:val="20"/>
                <w:szCs w:val="20"/>
                <w:color w:val="auto"/>
              </w:rPr>
            </w:pPr>
            <w:r>
              <w:rPr>
                <w:rFonts w:ascii="Arial" w:cs="Arial" w:eastAsia="Arial" w:hAnsi="Arial"/>
                <w:sz w:val="16"/>
                <w:szCs w:val="16"/>
                <w:color w:val="auto"/>
              </w:rPr>
              <w:t>17,605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1,968,255</w:t>
            </w: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13,682</w:t>
            </w:r>
          </w:p>
        </w:tc>
        <w:tc>
          <w:tcPr>
            <w:tcW w:w="1000" w:type="dxa"/>
            <w:vAlign w:val="bottom"/>
            <w:gridSpan w:val="2"/>
          </w:tcPr>
          <w:p>
            <w:pPr>
              <w:jc w:val="right"/>
              <w:ind w:right="2"/>
              <w:spacing w:after="0"/>
              <w:rPr>
                <w:sz w:val="20"/>
                <w:szCs w:val="20"/>
                <w:color w:val="auto"/>
              </w:rPr>
            </w:pPr>
            <w:r>
              <w:rPr>
                <w:rFonts w:ascii="Arial" w:cs="Arial" w:eastAsia="Arial" w:hAnsi="Arial"/>
                <w:sz w:val="16"/>
                <w:szCs w:val="16"/>
                <w:color w:val="auto"/>
              </w:rPr>
              <w:t>$1,852,680</w:t>
            </w:r>
          </w:p>
        </w:tc>
        <w:tc>
          <w:tcPr>
            <w:tcW w:w="380" w:type="dxa"/>
            <w:vAlign w:val="bottom"/>
          </w:tcPr>
          <w:p>
            <w:pPr>
              <w:ind w:left="80"/>
              <w:spacing w:after="0"/>
              <w:rPr>
                <w:sz w:val="20"/>
                <w:szCs w:val="20"/>
                <w:color w:val="auto"/>
              </w:rPr>
            </w:pPr>
            <w:r>
              <w:rPr>
                <w:rFonts w:ascii="Arial" w:cs="Arial" w:eastAsia="Arial" w:hAnsi="Arial"/>
                <w:sz w:val="16"/>
                <w:szCs w:val="16"/>
                <w:color w:val="auto"/>
              </w:rPr>
              <w:t>(8)</w:t>
            </w:r>
          </w:p>
        </w:tc>
      </w:tr>
      <w:tr>
        <w:trPr>
          <w:trHeight w:val="227"/>
        </w:trPr>
        <w:tc>
          <w:tcPr>
            <w:tcW w:w="5460" w:type="dxa"/>
            <w:vAlign w:val="bottom"/>
          </w:tcPr>
          <w:p>
            <w:pPr>
              <w:spacing w:after="0"/>
              <w:rPr>
                <w:sz w:val="19"/>
                <w:szCs w:val="19"/>
                <w:color w:val="auto"/>
              </w:rPr>
            </w:pPr>
          </w:p>
        </w:tc>
        <w:tc>
          <w:tcPr>
            <w:tcW w:w="1360" w:type="dxa"/>
            <w:vAlign w:val="bottom"/>
            <w:gridSpan w:val="2"/>
          </w:tcPr>
          <w:p>
            <w:pPr>
              <w:jc w:val="right"/>
              <w:ind w:right="42"/>
              <w:spacing w:after="0"/>
              <w:rPr>
                <w:sz w:val="20"/>
                <w:szCs w:val="20"/>
                <w:color w:val="auto"/>
              </w:rPr>
            </w:pPr>
            <w:r>
              <w:rPr>
                <w:rFonts w:ascii="Arial" w:cs="Arial" w:eastAsia="Arial" w:hAnsi="Arial"/>
                <w:sz w:val="16"/>
                <w:szCs w:val="16"/>
                <w:color w:val="auto"/>
              </w:rPr>
              <w:t>33,300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4,480,115</w:t>
            </w: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1,709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231,416</w:t>
            </w:r>
          </w:p>
        </w:tc>
        <w:tc>
          <w:tcPr>
            <w:tcW w:w="380" w:type="dxa"/>
            <w:vAlign w:val="bottom"/>
          </w:tcPr>
          <w:p>
            <w:pPr>
              <w:ind w:left="80"/>
              <w:spacing w:after="0"/>
              <w:rPr>
                <w:sz w:val="20"/>
                <w:szCs w:val="20"/>
                <w:color w:val="auto"/>
              </w:rPr>
            </w:pPr>
            <w:r>
              <w:rPr>
                <w:rFonts w:ascii="Arial" w:cs="Arial" w:eastAsia="Arial" w:hAnsi="Arial"/>
                <w:sz w:val="16"/>
                <w:szCs w:val="16"/>
                <w:color w:val="auto"/>
              </w:rPr>
              <w:t>(9)</w:t>
            </w:r>
          </w:p>
        </w:tc>
      </w:tr>
      <w:tr>
        <w:trPr>
          <w:trHeight w:val="241"/>
        </w:trPr>
        <w:tc>
          <w:tcPr>
            <w:tcW w:w="5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1,433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189,299</w:t>
            </w:r>
          </w:p>
        </w:tc>
        <w:tc>
          <w:tcPr>
            <w:tcW w:w="380" w:type="dxa"/>
            <w:vAlign w:val="bottom"/>
          </w:tcPr>
          <w:p>
            <w:pPr>
              <w:ind w:left="80"/>
              <w:spacing w:after="0"/>
              <w:rPr>
                <w:sz w:val="20"/>
                <w:szCs w:val="20"/>
                <w:color w:val="auto"/>
              </w:rPr>
            </w:pPr>
            <w:r>
              <w:rPr>
                <w:rFonts w:ascii="Arial" w:cs="Arial" w:eastAsia="Arial" w:hAnsi="Arial"/>
                <w:sz w:val="16"/>
                <w:szCs w:val="16"/>
                <w:color w:val="auto"/>
              </w:rPr>
              <w:t>(7)</w:t>
            </w:r>
          </w:p>
        </w:tc>
      </w:tr>
      <w:tr>
        <w:trPr>
          <w:trHeight w:val="241"/>
        </w:trPr>
        <w:tc>
          <w:tcPr>
            <w:tcW w:w="5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1,567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207,001</w:t>
            </w:r>
          </w:p>
        </w:tc>
        <w:tc>
          <w:tcPr>
            <w:tcW w:w="380" w:type="dxa"/>
            <w:vAlign w:val="bottom"/>
          </w:tcPr>
          <w:p>
            <w:pPr>
              <w:ind w:left="80"/>
              <w:spacing w:after="0"/>
              <w:rPr>
                <w:sz w:val="20"/>
                <w:szCs w:val="20"/>
                <w:color w:val="auto"/>
              </w:rPr>
            </w:pPr>
            <w:r>
              <w:rPr>
                <w:rFonts w:ascii="Arial" w:cs="Arial" w:eastAsia="Arial" w:hAnsi="Arial"/>
                <w:sz w:val="16"/>
                <w:szCs w:val="16"/>
                <w:color w:val="auto"/>
              </w:rPr>
              <w:t>(7)</w:t>
            </w:r>
          </w:p>
        </w:tc>
      </w:tr>
      <w:tr>
        <w:trPr>
          <w:trHeight w:val="44"/>
        </w:trPr>
        <w:tc>
          <w:tcPr>
            <w:tcW w:w="5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380" w:type="dxa"/>
            <w:vAlign w:val="bottom"/>
          </w:tcPr>
          <w:p>
            <w:pPr>
              <w:spacing w:after="0"/>
              <w:rPr>
                <w:sz w:val="3"/>
                <w:szCs w:val="3"/>
                <w:color w:val="auto"/>
              </w:rPr>
            </w:pPr>
          </w:p>
        </w:tc>
      </w:tr>
      <w:tr>
        <w:trPr>
          <w:trHeight w:val="187"/>
        </w:trPr>
        <w:tc>
          <w:tcPr>
            <w:tcW w:w="5460" w:type="dxa"/>
            <w:vAlign w:val="bottom"/>
            <w:shd w:val="clear" w:color="auto" w:fill="E8E8E8"/>
          </w:tcPr>
          <w:p>
            <w:pPr>
              <w:ind w:left="80"/>
              <w:spacing w:after="0"/>
              <w:rPr>
                <w:sz w:val="20"/>
                <w:szCs w:val="20"/>
                <w:color w:val="auto"/>
              </w:rPr>
            </w:pPr>
            <w:r>
              <w:rPr>
                <w:rFonts w:ascii="Arial" w:cs="Arial" w:eastAsia="Arial" w:hAnsi="Arial"/>
                <w:sz w:val="16"/>
                <w:szCs w:val="16"/>
                <w:color w:val="auto"/>
              </w:rPr>
              <w:t>Edward Fandrey</w:t>
            </w:r>
          </w:p>
        </w:tc>
        <w:tc>
          <w:tcPr>
            <w:tcW w:w="120" w:type="dxa"/>
            <w:vAlign w:val="bottom"/>
            <w:shd w:val="clear" w:color="auto" w:fill="E8E8E8"/>
          </w:tcPr>
          <w:p>
            <w:pPr>
              <w:spacing w:after="0"/>
              <w:rPr>
                <w:sz w:val="16"/>
                <w:szCs w:val="16"/>
                <w:color w:val="auto"/>
              </w:rPr>
            </w:pPr>
          </w:p>
        </w:tc>
        <w:tc>
          <w:tcPr>
            <w:tcW w:w="1240" w:type="dxa"/>
            <w:vAlign w:val="bottom"/>
            <w:shd w:val="clear" w:color="auto" w:fill="E8E8E8"/>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E8E8E8"/>
          </w:tcPr>
          <w:p>
            <w:pPr>
              <w:jc w:val="right"/>
              <w:ind w:right="80"/>
              <w:spacing w:after="0"/>
              <w:rPr>
                <w:sz w:val="20"/>
                <w:szCs w:val="20"/>
                <w:color w:val="auto"/>
              </w:rPr>
            </w:pPr>
            <w:r>
              <w:rPr>
                <w:rFonts w:ascii="Arial" w:cs="Arial" w:eastAsia="Arial" w:hAnsi="Arial"/>
                <w:sz w:val="16"/>
                <w:szCs w:val="16"/>
                <w:color w:val="auto"/>
              </w:rPr>
              <w:t>—</w:t>
            </w:r>
          </w:p>
        </w:tc>
        <w:tc>
          <w:tcPr>
            <w:tcW w:w="380" w:type="dxa"/>
            <w:vAlign w:val="bottom"/>
            <w:shd w:val="clear" w:color="auto" w:fill="E8E8E8"/>
          </w:tcPr>
          <w:p>
            <w:pPr>
              <w:spacing w:after="0"/>
              <w:rPr>
                <w:sz w:val="16"/>
                <w:szCs w:val="16"/>
                <w:color w:val="auto"/>
              </w:rPr>
            </w:pPr>
          </w:p>
        </w:tc>
        <w:tc>
          <w:tcPr>
            <w:tcW w:w="1240" w:type="dxa"/>
            <w:vAlign w:val="bottom"/>
            <w:shd w:val="clear" w:color="auto" w:fill="E8E8E8"/>
          </w:tcPr>
          <w:p>
            <w:pPr>
              <w:jc w:val="right"/>
              <w:ind w:right="22"/>
              <w:spacing w:after="0"/>
              <w:rPr>
                <w:sz w:val="20"/>
                <w:szCs w:val="20"/>
                <w:color w:val="auto"/>
              </w:rPr>
            </w:pPr>
            <w:r>
              <w:rPr>
                <w:rFonts w:ascii="Arial" w:cs="Arial" w:eastAsia="Arial" w:hAnsi="Arial"/>
                <w:sz w:val="16"/>
                <w:szCs w:val="16"/>
                <w:color w:val="auto"/>
              </w:rPr>
              <w:t>3,539</w:t>
            </w:r>
          </w:p>
        </w:tc>
        <w:tc>
          <w:tcPr>
            <w:tcW w:w="220" w:type="dxa"/>
            <w:vAlign w:val="bottom"/>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E8E8E8"/>
          </w:tcPr>
          <w:p>
            <w:pPr>
              <w:jc w:val="right"/>
              <w:ind w:right="2"/>
              <w:spacing w:after="0"/>
              <w:rPr>
                <w:sz w:val="20"/>
                <w:szCs w:val="20"/>
                <w:color w:val="auto"/>
              </w:rPr>
            </w:pPr>
            <w:r>
              <w:rPr>
                <w:rFonts w:ascii="Arial" w:cs="Arial" w:eastAsia="Arial" w:hAnsi="Arial"/>
                <w:sz w:val="16"/>
                <w:szCs w:val="16"/>
                <w:color w:val="auto"/>
              </w:rPr>
              <w:t>519,738</w:t>
            </w:r>
          </w:p>
        </w:tc>
        <w:tc>
          <w:tcPr>
            <w:tcW w:w="380" w:type="dxa"/>
            <w:vAlign w:val="bottom"/>
            <w:shd w:val="clear" w:color="auto" w:fill="E8E8E8"/>
          </w:tcPr>
          <w:p>
            <w:pPr>
              <w:ind w:left="80"/>
              <w:spacing w:after="0"/>
              <w:rPr>
                <w:sz w:val="20"/>
                <w:szCs w:val="20"/>
                <w:color w:val="auto"/>
              </w:rPr>
            </w:pPr>
            <w:r>
              <w:rPr>
                <w:rFonts w:ascii="Arial" w:cs="Arial" w:eastAsia="Arial" w:hAnsi="Arial"/>
                <w:sz w:val="16"/>
                <w:szCs w:val="16"/>
                <w:color w:val="auto"/>
                <w:w w:val="98"/>
              </w:rPr>
              <w:t>(10)</w:t>
            </w:r>
          </w:p>
        </w:tc>
      </w:tr>
      <w:tr>
        <w:trPr>
          <w:trHeight w:val="187"/>
        </w:trPr>
        <w:tc>
          <w:tcPr>
            <w:tcW w:w="5460" w:type="dxa"/>
            <w:vAlign w:val="bottom"/>
            <w:shd w:val="clear" w:color="auto" w:fill="E8E8E8"/>
          </w:tcPr>
          <w:p>
            <w:pPr>
              <w:spacing w:after="0"/>
              <w:rPr>
                <w:sz w:val="16"/>
                <w:szCs w:val="16"/>
                <w:color w:val="auto"/>
              </w:rPr>
            </w:pPr>
          </w:p>
        </w:tc>
        <w:tc>
          <w:tcPr>
            <w:tcW w:w="120" w:type="dxa"/>
            <w:vAlign w:val="bottom"/>
            <w:shd w:val="clear" w:color="auto" w:fill="E8E8E8"/>
          </w:tcPr>
          <w:p>
            <w:pPr>
              <w:spacing w:after="0"/>
              <w:rPr>
                <w:sz w:val="16"/>
                <w:szCs w:val="16"/>
                <w:color w:val="auto"/>
              </w:rPr>
            </w:pPr>
          </w:p>
        </w:tc>
        <w:tc>
          <w:tcPr>
            <w:tcW w:w="1240" w:type="dxa"/>
            <w:vAlign w:val="bottom"/>
            <w:shd w:val="clear" w:color="auto" w:fill="E8E8E8"/>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E8E8E8"/>
          </w:tcPr>
          <w:p>
            <w:pPr>
              <w:jc w:val="right"/>
              <w:ind w:right="80"/>
              <w:spacing w:after="0"/>
              <w:rPr>
                <w:sz w:val="20"/>
                <w:szCs w:val="20"/>
                <w:color w:val="auto"/>
              </w:rPr>
            </w:pPr>
            <w:r>
              <w:rPr>
                <w:rFonts w:ascii="Arial" w:cs="Arial" w:eastAsia="Arial" w:hAnsi="Arial"/>
                <w:sz w:val="16"/>
                <w:szCs w:val="16"/>
                <w:color w:val="auto"/>
              </w:rPr>
              <w:t>—</w:t>
            </w:r>
          </w:p>
        </w:tc>
        <w:tc>
          <w:tcPr>
            <w:tcW w:w="380" w:type="dxa"/>
            <w:vAlign w:val="bottom"/>
            <w:shd w:val="clear" w:color="auto" w:fill="E8E8E8"/>
          </w:tcPr>
          <w:p>
            <w:pPr>
              <w:spacing w:after="0"/>
              <w:rPr>
                <w:sz w:val="16"/>
                <w:szCs w:val="16"/>
                <w:color w:val="auto"/>
              </w:rPr>
            </w:pPr>
          </w:p>
        </w:tc>
        <w:tc>
          <w:tcPr>
            <w:tcW w:w="1240" w:type="dxa"/>
            <w:vAlign w:val="bottom"/>
            <w:shd w:val="clear" w:color="auto" w:fill="E8E8E8"/>
          </w:tcPr>
          <w:p>
            <w:pPr>
              <w:jc w:val="right"/>
              <w:ind w:right="22"/>
              <w:spacing w:after="0"/>
              <w:rPr>
                <w:sz w:val="20"/>
                <w:szCs w:val="20"/>
                <w:color w:val="auto"/>
              </w:rPr>
            </w:pPr>
            <w:r>
              <w:rPr>
                <w:rFonts w:ascii="Arial" w:cs="Arial" w:eastAsia="Arial" w:hAnsi="Arial"/>
                <w:sz w:val="16"/>
                <w:szCs w:val="16"/>
                <w:color w:val="auto"/>
              </w:rPr>
              <w:t>3,539</w:t>
            </w:r>
          </w:p>
        </w:tc>
        <w:tc>
          <w:tcPr>
            <w:tcW w:w="220" w:type="dxa"/>
            <w:vAlign w:val="bottom"/>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E8E8E8"/>
          </w:tcPr>
          <w:p>
            <w:pPr>
              <w:jc w:val="right"/>
              <w:ind w:right="2"/>
              <w:spacing w:after="0"/>
              <w:rPr>
                <w:sz w:val="20"/>
                <w:szCs w:val="20"/>
                <w:color w:val="auto"/>
              </w:rPr>
            </w:pPr>
            <w:r>
              <w:rPr>
                <w:rFonts w:ascii="Arial" w:cs="Arial" w:eastAsia="Arial" w:hAnsi="Arial"/>
                <w:sz w:val="16"/>
                <w:szCs w:val="16"/>
                <w:color w:val="auto"/>
              </w:rPr>
              <w:t>525,081</w:t>
            </w:r>
          </w:p>
        </w:tc>
        <w:tc>
          <w:tcPr>
            <w:tcW w:w="380" w:type="dxa"/>
            <w:vAlign w:val="bottom"/>
            <w:shd w:val="clear" w:color="auto" w:fill="E8E8E8"/>
          </w:tcPr>
          <w:p>
            <w:pPr>
              <w:ind w:left="80"/>
              <w:spacing w:after="0"/>
              <w:rPr>
                <w:sz w:val="20"/>
                <w:szCs w:val="20"/>
                <w:color w:val="auto"/>
              </w:rPr>
            </w:pPr>
            <w:r>
              <w:rPr>
                <w:rFonts w:ascii="Arial" w:cs="Arial" w:eastAsia="Arial" w:hAnsi="Arial"/>
                <w:sz w:val="16"/>
                <w:szCs w:val="16"/>
                <w:color w:val="auto"/>
                <w:w w:val="98"/>
              </w:rPr>
              <w:t>(11)</w:t>
            </w:r>
          </w:p>
        </w:tc>
      </w:tr>
      <w:tr>
        <w:trPr>
          <w:trHeight w:val="241"/>
        </w:trPr>
        <w:tc>
          <w:tcPr>
            <w:tcW w:w="5460" w:type="dxa"/>
            <w:vAlign w:val="bottom"/>
            <w:shd w:val="clear" w:color="auto" w:fill="E8E8E8"/>
          </w:tcPr>
          <w:p>
            <w:pPr>
              <w:spacing w:after="0"/>
              <w:rPr>
                <w:sz w:val="20"/>
                <w:szCs w:val="20"/>
                <w:color w:val="auto"/>
              </w:rPr>
            </w:pPr>
          </w:p>
        </w:tc>
        <w:tc>
          <w:tcPr>
            <w:tcW w:w="120" w:type="dxa"/>
            <w:vAlign w:val="bottom"/>
            <w:shd w:val="clear" w:color="auto" w:fill="E8E8E8"/>
          </w:tcPr>
          <w:p>
            <w:pPr>
              <w:spacing w:after="0"/>
              <w:rPr>
                <w:sz w:val="20"/>
                <w:szCs w:val="20"/>
                <w:color w:val="auto"/>
              </w:rPr>
            </w:pPr>
          </w:p>
        </w:tc>
        <w:tc>
          <w:tcPr>
            <w:tcW w:w="1240" w:type="dxa"/>
            <w:vAlign w:val="bottom"/>
            <w:shd w:val="clear" w:color="auto" w:fill="E8E8E8"/>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E8E8E8"/>
          </w:tcPr>
          <w:p>
            <w:pPr>
              <w:jc w:val="right"/>
              <w:ind w:right="80"/>
              <w:spacing w:after="0"/>
              <w:rPr>
                <w:sz w:val="20"/>
                <w:szCs w:val="20"/>
                <w:color w:val="auto"/>
              </w:rPr>
            </w:pPr>
            <w:r>
              <w:rPr>
                <w:rFonts w:ascii="Arial" w:cs="Arial" w:eastAsia="Arial" w:hAnsi="Arial"/>
                <w:sz w:val="16"/>
                <w:szCs w:val="16"/>
                <w:color w:val="auto"/>
              </w:rPr>
              <w:t>—</w:t>
            </w:r>
          </w:p>
        </w:tc>
        <w:tc>
          <w:tcPr>
            <w:tcW w:w="380" w:type="dxa"/>
            <w:vAlign w:val="bottom"/>
            <w:shd w:val="clear" w:color="auto" w:fill="E8E8E8"/>
          </w:tcPr>
          <w:p>
            <w:pPr>
              <w:spacing w:after="0"/>
              <w:rPr>
                <w:sz w:val="20"/>
                <w:szCs w:val="20"/>
                <w:color w:val="auto"/>
              </w:rPr>
            </w:pPr>
          </w:p>
        </w:tc>
        <w:tc>
          <w:tcPr>
            <w:tcW w:w="1240" w:type="dxa"/>
            <w:vAlign w:val="bottom"/>
            <w:shd w:val="clear" w:color="auto" w:fill="E8E8E8"/>
          </w:tcPr>
          <w:p>
            <w:pPr>
              <w:jc w:val="right"/>
              <w:ind w:right="22"/>
              <w:spacing w:after="0"/>
              <w:rPr>
                <w:sz w:val="20"/>
                <w:szCs w:val="20"/>
                <w:color w:val="auto"/>
              </w:rPr>
            </w:pPr>
            <w:r>
              <w:rPr>
                <w:rFonts w:ascii="Arial" w:cs="Arial" w:eastAsia="Arial" w:hAnsi="Arial"/>
                <w:sz w:val="16"/>
                <w:szCs w:val="16"/>
                <w:color w:val="auto"/>
              </w:rPr>
              <w:t>3,539</w:t>
            </w:r>
          </w:p>
        </w:tc>
        <w:tc>
          <w:tcPr>
            <w:tcW w:w="220" w:type="dxa"/>
            <w:vAlign w:val="bottom"/>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E8E8E8"/>
          </w:tcPr>
          <w:p>
            <w:pPr>
              <w:jc w:val="right"/>
              <w:ind w:right="2"/>
              <w:spacing w:after="0"/>
              <w:rPr>
                <w:sz w:val="20"/>
                <w:szCs w:val="20"/>
                <w:color w:val="auto"/>
              </w:rPr>
            </w:pPr>
            <w:r>
              <w:rPr>
                <w:rFonts w:ascii="Arial" w:cs="Arial" w:eastAsia="Arial" w:hAnsi="Arial"/>
                <w:sz w:val="16"/>
                <w:szCs w:val="16"/>
                <w:color w:val="auto"/>
              </w:rPr>
              <w:t>608,673</w:t>
            </w:r>
          </w:p>
        </w:tc>
        <w:tc>
          <w:tcPr>
            <w:tcW w:w="380" w:type="dxa"/>
            <w:vAlign w:val="bottom"/>
            <w:shd w:val="clear" w:color="auto" w:fill="E8E8E8"/>
          </w:tcPr>
          <w:p>
            <w:pPr>
              <w:ind w:left="80"/>
              <w:spacing w:after="0"/>
              <w:rPr>
                <w:sz w:val="20"/>
                <w:szCs w:val="20"/>
                <w:color w:val="auto"/>
              </w:rPr>
            </w:pPr>
            <w:r>
              <w:rPr>
                <w:rFonts w:ascii="Arial" w:cs="Arial" w:eastAsia="Arial" w:hAnsi="Arial"/>
                <w:sz w:val="16"/>
                <w:szCs w:val="16"/>
                <w:color w:val="auto"/>
                <w:w w:val="98"/>
              </w:rPr>
              <w:t>(12)</w:t>
            </w:r>
          </w:p>
        </w:tc>
      </w:tr>
      <w:tr>
        <w:trPr>
          <w:trHeight w:val="211"/>
        </w:trPr>
        <w:tc>
          <w:tcPr>
            <w:tcW w:w="5460" w:type="dxa"/>
            <w:vAlign w:val="bottom"/>
          </w:tcPr>
          <w:p>
            <w:pPr>
              <w:ind w:left="80"/>
              <w:spacing w:after="0"/>
              <w:rPr>
                <w:sz w:val="20"/>
                <w:szCs w:val="20"/>
                <w:color w:val="auto"/>
              </w:rPr>
            </w:pPr>
            <w:r>
              <w:rPr>
                <w:rFonts w:ascii="Arial" w:cs="Arial" w:eastAsia="Arial" w:hAnsi="Arial"/>
                <w:sz w:val="16"/>
                <w:szCs w:val="16"/>
                <w:color w:val="auto"/>
              </w:rPr>
              <w:t>Dayton Semerjian</w:t>
            </w:r>
          </w:p>
        </w:tc>
        <w:tc>
          <w:tcPr>
            <w:tcW w:w="120" w:type="dxa"/>
            <w:vAlign w:val="bottom"/>
          </w:tcPr>
          <w:p>
            <w:pPr>
              <w:spacing w:after="0"/>
              <w:rPr>
                <w:sz w:val="18"/>
                <w:szCs w:val="18"/>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1,229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162,351</w:t>
            </w:r>
          </w:p>
        </w:tc>
        <w:tc>
          <w:tcPr>
            <w:tcW w:w="380" w:type="dxa"/>
            <w:vAlign w:val="bottom"/>
          </w:tcPr>
          <w:p>
            <w:pPr>
              <w:ind w:left="80"/>
              <w:spacing w:after="0"/>
              <w:rPr>
                <w:sz w:val="20"/>
                <w:szCs w:val="20"/>
                <w:color w:val="auto"/>
              </w:rPr>
            </w:pPr>
            <w:r>
              <w:rPr>
                <w:rFonts w:ascii="Arial" w:cs="Arial" w:eastAsia="Arial" w:hAnsi="Arial"/>
                <w:sz w:val="16"/>
                <w:szCs w:val="16"/>
                <w:color w:val="auto"/>
              </w:rPr>
              <w:t>(7)</w:t>
            </w:r>
          </w:p>
        </w:tc>
      </w:tr>
      <w:tr>
        <w:trPr>
          <w:trHeight w:val="227"/>
        </w:trPr>
        <w:tc>
          <w:tcPr>
            <w:tcW w:w="5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5,386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708,474</w:t>
            </w:r>
          </w:p>
        </w:tc>
        <w:tc>
          <w:tcPr>
            <w:tcW w:w="380" w:type="dxa"/>
            <w:vAlign w:val="bottom"/>
          </w:tcPr>
          <w:p>
            <w:pPr>
              <w:ind w:left="80"/>
              <w:spacing w:after="0"/>
              <w:rPr>
                <w:sz w:val="20"/>
                <w:szCs w:val="20"/>
                <w:color w:val="auto"/>
              </w:rPr>
            </w:pPr>
            <w:r>
              <w:rPr>
                <w:rFonts w:ascii="Arial" w:cs="Arial" w:eastAsia="Arial" w:hAnsi="Arial"/>
                <w:sz w:val="16"/>
                <w:szCs w:val="16"/>
                <w:color w:val="auto"/>
                <w:w w:val="98"/>
              </w:rPr>
              <w:t>(13)</w:t>
            </w:r>
          </w:p>
        </w:tc>
      </w:tr>
      <w:tr>
        <w:trPr>
          <w:trHeight w:val="44"/>
        </w:trPr>
        <w:tc>
          <w:tcPr>
            <w:tcW w:w="5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380" w:type="dxa"/>
            <w:vAlign w:val="bottom"/>
          </w:tcPr>
          <w:p>
            <w:pPr>
              <w:spacing w:after="0"/>
              <w:rPr>
                <w:sz w:val="3"/>
                <w:szCs w:val="3"/>
                <w:color w:val="auto"/>
              </w:rPr>
            </w:pPr>
          </w:p>
        </w:tc>
      </w:tr>
      <w:tr>
        <w:trPr>
          <w:trHeight w:val="187"/>
        </w:trPr>
        <w:tc>
          <w:tcPr>
            <w:tcW w:w="5460" w:type="dxa"/>
            <w:vAlign w:val="bottom"/>
            <w:shd w:val="clear" w:color="auto" w:fill="E8E8E8"/>
          </w:tcPr>
          <w:p>
            <w:pPr>
              <w:ind w:left="80"/>
              <w:spacing w:after="0"/>
              <w:rPr>
                <w:sz w:val="20"/>
                <w:szCs w:val="20"/>
                <w:color w:val="auto"/>
              </w:rPr>
            </w:pPr>
            <w:r>
              <w:rPr>
                <w:rFonts w:ascii="Arial" w:cs="Arial" w:eastAsia="Arial" w:hAnsi="Arial"/>
                <w:sz w:val="16"/>
                <w:szCs w:val="16"/>
                <w:color w:val="auto"/>
              </w:rPr>
              <w:t>Richard Steinmeier</w:t>
            </w:r>
          </w:p>
        </w:tc>
        <w:tc>
          <w:tcPr>
            <w:tcW w:w="120" w:type="dxa"/>
            <w:vAlign w:val="bottom"/>
            <w:shd w:val="clear" w:color="auto" w:fill="E8E8E8"/>
          </w:tcPr>
          <w:p>
            <w:pPr>
              <w:spacing w:after="0"/>
              <w:rPr>
                <w:sz w:val="16"/>
                <w:szCs w:val="16"/>
                <w:color w:val="auto"/>
              </w:rPr>
            </w:pPr>
          </w:p>
        </w:tc>
        <w:tc>
          <w:tcPr>
            <w:tcW w:w="1240" w:type="dxa"/>
            <w:vAlign w:val="bottom"/>
            <w:shd w:val="clear" w:color="auto" w:fill="E8E8E8"/>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E8E8E8"/>
          </w:tcPr>
          <w:p>
            <w:pPr>
              <w:jc w:val="right"/>
              <w:ind w:right="80"/>
              <w:spacing w:after="0"/>
              <w:rPr>
                <w:sz w:val="20"/>
                <w:szCs w:val="20"/>
                <w:color w:val="auto"/>
              </w:rPr>
            </w:pPr>
            <w:r>
              <w:rPr>
                <w:rFonts w:ascii="Arial" w:cs="Arial" w:eastAsia="Arial" w:hAnsi="Arial"/>
                <w:sz w:val="16"/>
                <w:szCs w:val="16"/>
                <w:color w:val="auto"/>
              </w:rPr>
              <w:t>—</w:t>
            </w:r>
          </w:p>
        </w:tc>
        <w:tc>
          <w:tcPr>
            <w:tcW w:w="380" w:type="dxa"/>
            <w:vAlign w:val="bottom"/>
            <w:shd w:val="clear" w:color="auto" w:fill="E8E8E8"/>
          </w:tcPr>
          <w:p>
            <w:pPr>
              <w:spacing w:after="0"/>
              <w:rPr>
                <w:sz w:val="16"/>
                <w:szCs w:val="16"/>
                <w:color w:val="auto"/>
              </w:rPr>
            </w:pPr>
          </w:p>
        </w:tc>
        <w:tc>
          <w:tcPr>
            <w:tcW w:w="1240" w:type="dxa"/>
            <w:vAlign w:val="bottom"/>
            <w:shd w:val="clear" w:color="auto" w:fill="E8E8E8"/>
          </w:tcPr>
          <w:p>
            <w:pPr>
              <w:jc w:val="right"/>
              <w:ind w:right="22"/>
              <w:spacing w:after="0"/>
              <w:rPr>
                <w:sz w:val="20"/>
                <w:szCs w:val="20"/>
                <w:color w:val="auto"/>
              </w:rPr>
            </w:pPr>
            <w:r>
              <w:rPr>
                <w:rFonts w:ascii="Arial" w:cs="Arial" w:eastAsia="Arial" w:hAnsi="Arial"/>
                <w:sz w:val="16"/>
                <w:szCs w:val="16"/>
                <w:color w:val="auto"/>
              </w:rPr>
              <w:t>817</w:t>
            </w:r>
          </w:p>
        </w:tc>
        <w:tc>
          <w:tcPr>
            <w:tcW w:w="220" w:type="dxa"/>
            <w:vAlign w:val="bottom"/>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E8E8E8"/>
          </w:tcPr>
          <w:p>
            <w:pPr>
              <w:jc w:val="right"/>
              <w:ind w:right="2"/>
              <w:spacing w:after="0"/>
              <w:rPr>
                <w:sz w:val="20"/>
                <w:szCs w:val="20"/>
                <w:color w:val="auto"/>
              </w:rPr>
            </w:pPr>
            <w:r>
              <w:rPr>
                <w:rFonts w:ascii="Arial" w:cs="Arial" w:eastAsia="Arial" w:hAnsi="Arial"/>
                <w:sz w:val="16"/>
                <w:szCs w:val="16"/>
                <w:color w:val="auto"/>
              </w:rPr>
              <w:t>107,926</w:t>
            </w:r>
          </w:p>
        </w:tc>
        <w:tc>
          <w:tcPr>
            <w:tcW w:w="380" w:type="dxa"/>
            <w:vAlign w:val="bottom"/>
            <w:shd w:val="clear" w:color="auto" w:fill="E8E8E8"/>
          </w:tcPr>
          <w:p>
            <w:pPr>
              <w:ind w:left="80"/>
              <w:spacing w:after="0"/>
              <w:rPr>
                <w:sz w:val="20"/>
                <w:szCs w:val="20"/>
                <w:color w:val="auto"/>
              </w:rPr>
            </w:pPr>
            <w:r>
              <w:rPr>
                <w:rFonts w:ascii="Arial" w:cs="Arial" w:eastAsia="Arial" w:hAnsi="Arial"/>
                <w:sz w:val="16"/>
                <w:szCs w:val="16"/>
                <w:color w:val="auto"/>
              </w:rPr>
              <w:t>(7)</w:t>
            </w:r>
          </w:p>
        </w:tc>
      </w:tr>
      <w:tr>
        <w:trPr>
          <w:trHeight w:val="187"/>
        </w:trPr>
        <w:tc>
          <w:tcPr>
            <w:tcW w:w="5460" w:type="dxa"/>
            <w:vAlign w:val="bottom"/>
            <w:shd w:val="clear" w:color="auto" w:fill="E8E8E8"/>
          </w:tcPr>
          <w:p>
            <w:pPr>
              <w:spacing w:after="0"/>
              <w:rPr>
                <w:sz w:val="16"/>
                <w:szCs w:val="16"/>
                <w:color w:val="auto"/>
              </w:rPr>
            </w:pPr>
          </w:p>
        </w:tc>
        <w:tc>
          <w:tcPr>
            <w:tcW w:w="120" w:type="dxa"/>
            <w:vAlign w:val="bottom"/>
            <w:shd w:val="clear" w:color="auto" w:fill="E8E8E8"/>
          </w:tcPr>
          <w:p>
            <w:pPr>
              <w:spacing w:after="0"/>
              <w:rPr>
                <w:sz w:val="16"/>
                <w:szCs w:val="16"/>
                <w:color w:val="auto"/>
              </w:rPr>
            </w:pPr>
          </w:p>
        </w:tc>
        <w:tc>
          <w:tcPr>
            <w:tcW w:w="1240" w:type="dxa"/>
            <w:vAlign w:val="bottom"/>
            <w:shd w:val="clear" w:color="auto" w:fill="E8E8E8"/>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E8E8E8"/>
          </w:tcPr>
          <w:p>
            <w:pPr>
              <w:jc w:val="right"/>
              <w:ind w:right="80"/>
              <w:spacing w:after="0"/>
              <w:rPr>
                <w:sz w:val="20"/>
                <w:szCs w:val="20"/>
                <w:color w:val="auto"/>
              </w:rPr>
            </w:pPr>
            <w:r>
              <w:rPr>
                <w:rFonts w:ascii="Arial" w:cs="Arial" w:eastAsia="Arial" w:hAnsi="Arial"/>
                <w:sz w:val="16"/>
                <w:szCs w:val="16"/>
                <w:color w:val="auto"/>
              </w:rPr>
              <w:t>—</w:t>
            </w:r>
          </w:p>
        </w:tc>
        <w:tc>
          <w:tcPr>
            <w:tcW w:w="380" w:type="dxa"/>
            <w:vAlign w:val="bottom"/>
            <w:shd w:val="clear" w:color="auto" w:fill="E8E8E8"/>
          </w:tcPr>
          <w:p>
            <w:pPr>
              <w:spacing w:after="0"/>
              <w:rPr>
                <w:sz w:val="16"/>
                <w:szCs w:val="16"/>
                <w:color w:val="auto"/>
              </w:rPr>
            </w:pPr>
          </w:p>
        </w:tc>
        <w:tc>
          <w:tcPr>
            <w:tcW w:w="1240" w:type="dxa"/>
            <w:vAlign w:val="bottom"/>
            <w:shd w:val="clear" w:color="auto" w:fill="E8E8E8"/>
          </w:tcPr>
          <w:p>
            <w:pPr>
              <w:jc w:val="right"/>
              <w:ind w:right="22"/>
              <w:spacing w:after="0"/>
              <w:rPr>
                <w:sz w:val="20"/>
                <w:szCs w:val="20"/>
                <w:color w:val="auto"/>
              </w:rPr>
            </w:pPr>
            <w:r>
              <w:rPr>
                <w:rFonts w:ascii="Arial" w:cs="Arial" w:eastAsia="Arial" w:hAnsi="Arial"/>
                <w:sz w:val="16"/>
                <w:szCs w:val="16"/>
                <w:color w:val="auto"/>
              </w:rPr>
              <w:t>1,377</w:t>
            </w:r>
          </w:p>
        </w:tc>
        <w:tc>
          <w:tcPr>
            <w:tcW w:w="220" w:type="dxa"/>
            <w:vAlign w:val="bottom"/>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E8E8E8"/>
          </w:tcPr>
          <w:p>
            <w:pPr>
              <w:jc w:val="right"/>
              <w:ind w:right="2"/>
              <w:spacing w:after="0"/>
              <w:rPr>
                <w:sz w:val="20"/>
                <w:szCs w:val="20"/>
                <w:color w:val="auto"/>
              </w:rPr>
            </w:pPr>
            <w:r>
              <w:rPr>
                <w:rFonts w:ascii="Arial" w:cs="Arial" w:eastAsia="Arial" w:hAnsi="Arial"/>
                <w:sz w:val="16"/>
                <w:szCs w:val="16"/>
                <w:color w:val="auto"/>
              </w:rPr>
              <w:t>181,902</w:t>
            </w:r>
          </w:p>
        </w:tc>
        <w:tc>
          <w:tcPr>
            <w:tcW w:w="380" w:type="dxa"/>
            <w:vAlign w:val="bottom"/>
            <w:shd w:val="clear" w:color="auto" w:fill="E8E8E8"/>
          </w:tcPr>
          <w:p>
            <w:pPr>
              <w:ind w:left="80"/>
              <w:spacing w:after="0"/>
              <w:rPr>
                <w:sz w:val="20"/>
                <w:szCs w:val="20"/>
                <w:color w:val="auto"/>
              </w:rPr>
            </w:pPr>
            <w:r>
              <w:rPr>
                <w:rFonts w:ascii="Arial" w:cs="Arial" w:eastAsia="Arial" w:hAnsi="Arial"/>
                <w:sz w:val="16"/>
                <w:szCs w:val="16"/>
                <w:color w:val="auto"/>
              </w:rPr>
              <w:t>(7)</w:t>
            </w:r>
          </w:p>
        </w:tc>
      </w:tr>
      <w:tr>
        <w:trPr>
          <w:trHeight w:val="187"/>
        </w:trPr>
        <w:tc>
          <w:tcPr>
            <w:tcW w:w="5460" w:type="dxa"/>
            <w:vAlign w:val="bottom"/>
            <w:tcBorders>
              <w:bottom w:val="single" w:sz="8" w:color="050A54"/>
            </w:tcBorders>
            <w:shd w:val="clear" w:color="auto" w:fill="E8E8E8"/>
          </w:tcPr>
          <w:p>
            <w:pPr>
              <w:spacing w:after="0"/>
              <w:rPr>
                <w:sz w:val="16"/>
                <w:szCs w:val="16"/>
                <w:color w:val="auto"/>
              </w:rPr>
            </w:pPr>
          </w:p>
        </w:tc>
        <w:tc>
          <w:tcPr>
            <w:tcW w:w="120" w:type="dxa"/>
            <w:vAlign w:val="bottom"/>
            <w:tcBorders>
              <w:bottom w:val="single" w:sz="8" w:color="050A54"/>
            </w:tcBorders>
            <w:shd w:val="clear" w:color="auto" w:fill="E8E8E8"/>
          </w:tcPr>
          <w:p>
            <w:pPr>
              <w:spacing w:after="0"/>
              <w:rPr>
                <w:sz w:val="16"/>
                <w:szCs w:val="16"/>
                <w:color w:val="auto"/>
              </w:rPr>
            </w:pPr>
          </w:p>
        </w:tc>
        <w:tc>
          <w:tcPr>
            <w:tcW w:w="1240" w:type="dxa"/>
            <w:vAlign w:val="bottom"/>
            <w:tcBorders>
              <w:bottom w:val="single" w:sz="8" w:color="050A54"/>
            </w:tcBorders>
            <w:shd w:val="clear" w:color="auto" w:fill="E8E8E8"/>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050A54"/>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050A54"/>
            </w:tcBorders>
            <w:gridSpan w:val="2"/>
            <w:shd w:val="clear" w:color="auto" w:fill="E8E8E8"/>
          </w:tcPr>
          <w:p>
            <w:pPr>
              <w:jc w:val="right"/>
              <w:ind w:right="8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050A54"/>
            </w:tcBorders>
            <w:shd w:val="clear" w:color="auto" w:fill="E8E8E8"/>
          </w:tcPr>
          <w:p>
            <w:pPr>
              <w:spacing w:after="0"/>
              <w:rPr>
                <w:sz w:val="16"/>
                <w:szCs w:val="16"/>
                <w:color w:val="auto"/>
              </w:rPr>
            </w:pPr>
          </w:p>
        </w:tc>
        <w:tc>
          <w:tcPr>
            <w:tcW w:w="1240" w:type="dxa"/>
            <w:vAlign w:val="bottom"/>
            <w:tcBorders>
              <w:bottom w:val="single" w:sz="8" w:color="050A54"/>
            </w:tcBorders>
            <w:shd w:val="clear" w:color="auto" w:fill="E8E8E8"/>
          </w:tcPr>
          <w:p>
            <w:pPr>
              <w:jc w:val="right"/>
              <w:ind w:right="22"/>
              <w:spacing w:after="0"/>
              <w:rPr>
                <w:sz w:val="20"/>
                <w:szCs w:val="20"/>
                <w:color w:val="auto"/>
              </w:rPr>
            </w:pPr>
            <w:r>
              <w:rPr>
                <w:rFonts w:ascii="Arial" w:cs="Arial" w:eastAsia="Arial" w:hAnsi="Arial"/>
                <w:sz w:val="16"/>
                <w:szCs w:val="16"/>
                <w:color w:val="auto"/>
              </w:rPr>
              <w:t>7,535</w:t>
            </w:r>
          </w:p>
        </w:tc>
        <w:tc>
          <w:tcPr>
            <w:tcW w:w="1000" w:type="dxa"/>
            <w:vAlign w:val="bottom"/>
            <w:tcBorders>
              <w:bottom w:val="single" w:sz="8" w:color="050A54"/>
            </w:tcBorders>
            <w:gridSpan w:val="2"/>
            <w:shd w:val="clear" w:color="auto" w:fill="E8E8E8"/>
          </w:tcPr>
          <w:p>
            <w:pPr>
              <w:jc w:val="right"/>
              <w:ind w:right="2"/>
              <w:spacing w:after="0"/>
              <w:rPr>
                <w:sz w:val="20"/>
                <w:szCs w:val="20"/>
                <w:color w:val="auto"/>
              </w:rPr>
            </w:pPr>
            <w:r>
              <w:rPr>
                <w:rFonts w:ascii="Arial" w:cs="Arial" w:eastAsia="Arial" w:hAnsi="Arial"/>
                <w:sz w:val="16"/>
                <w:szCs w:val="16"/>
                <w:color w:val="auto"/>
              </w:rPr>
              <w:t>$ 1,112,844</w:t>
            </w:r>
          </w:p>
        </w:tc>
        <w:tc>
          <w:tcPr>
            <w:tcW w:w="380" w:type="dxa"/>
            <w:vAlign w:val="bottom"/>
            <w:tcBorders>
              <w:bottom w:val="single" w:sz="8" w:color="050A54"/>
            </w:tcBorders>
            <w:shd w:val="clear" w:color="auto" w:fill="E8E8E8"/>
          </w:tcPr>
          <w:p>
            <w:pPr>
              <w:ind w:left="80"/>
              <w:spacing w:after="0"/>
              <w:rPr>
                <w:sz w:val="20"/>
                <w:szCs w:val="20"/>
                <w:color w:val="auto"/>
              </w:rPr>
            </w:pPr>
            <w:r>
              <w:rPr>
                <w:rFonts w:ascii="Arial" w:cs="Arial" w:eastAsia="Arial" w:hAnsi="Arial"/>
                <w:sz w:val="16"/>
                <w:szCs w:val="16"/>
                <w:color w:val="auto"/>
                <w:w w:val="98"/>
              </w:rPr>
              <w:t>(14)</w:t>
            </w:r>
          </w:p>
        </w:tc>
      </w:tr>
    </w:tbl>
    <w:p>
      <w:pPr>
        <w:spacing w:after="0" w:line="53" w:lineRule="exact"/>
        <w:rPr>
          <w:sz w:val="20"/>
          <w:szCs w:val="20"/>
          <w:color w:val="auto"/>
        </w:rPr>
      </w:pPr>
    </w:p>
    <w:p>
      <w:pPr>
        <w:ind w:left="600" w:hanging="433"/>
        <w:spacing w:after="0" w:line="279" w:lineRule="auto"/>
        <w:tabs>
          <w:tab w:leader="none" w:pos="6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For purposes of calculating the value realized on the exercise of option awards, we use the market price of our Common Stock at the time the option was exercised.</w:t>
      </w:r>
    </w:p>
    <w:p>
      <w:pPr>
        <w:spacing w:after="0" w:line="13" w:lineRule="exact"/>
        <w:rPr>
          <w:rFonts w:ascii="Arial" w:cs="Arial" w:eastAsia="Arial" w:hAnsi="Arial"/>
          <w:sz w:val="16"/>
          <w:szCs w:val="16"/>
          <w:color w:val="auto"/>
        </w:rPr>
      </w:pPr>
    </w:p>
    <w:p>
      <w:pPr>
        <w:ind w:left="600" w:hanging="433"/>
        <w:spacing w:after="0"/>
        <w:tabs>
          <w:tab w:leader="none" w:pos="6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For purposes of calculating the value realized on the vesting of stock awards, we use the closing price of our Common Stock on the vesting date.</w:t>
      </w:r>
    </w:p>
    <w:p>
      <w:pPr>
        <w:spacing w:after="0" w:line="70" w:lineRule="exact"/>
        <w:rPr>
          <w:rFonts w:ascii="Arial" w:cs="Arial" w:eastAsia="Arial" w:hAnsi="Arial"/>
          <w:sz w:val="16"/>
          <w:szCs w:val="16"/>
          <w:color w:val="auto"/>
        </w:rPr>
      </w:pPr>
    </w:p>
    <w:p>
      <w:pPr>
        <w:ind w:left="600" w:hanging="433"/>
        <w:spacing w:after="0" w:line="279" w:lineRule="auto"/>
        <w:tabs>
          <w:tab w:leader="none" w:pos="6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These options were granted on February 24, 2014 with an exercise price of $54.81 per share and were exercised on May 10, 2021, on which date our Common Stock was trading at $154.41 per share.</w:t>
      </w:r>
    </w:p>
    <w:p>
      <w:pPr>
        <w:spacing w:after="0" w:line="13" w:lineRule="exact"/>
        <w:rPr>
          <w:rFonts w:ascii="Arial" w:cs="Arial" w:eastAsia="Arial" w:hAnsi="Arial"/>
          <w:sz w:val="16"/>
          <w:szCs w:val="16"/>
          <w:color w:val="auto"/>
        </w:rPr>
      </w:pPr>
    </w:p>
    <w:p>
      <w:pPr>
        <w:ind w:left="600" w:hanging="433"/>
        <w:spacing w:after="0" w:line="279" w:lineRule="auto"/>
        <w:tabs>
          <w:tab w:leader="none" w:pos="6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These options were granted October 30, 2015 with an exercise price of $42.60 per share and were exercised on May 10, 2021, on which date our Common Stock was trading at $154.40 per share.</w:t>
      </w:r>
    </w:p>
    <w:p>
      <w:pPr>
        <w:spacing w:after="0" w:line="13" w:lineRule="exact"/>
        <w:rPr>
          <w:rFonts w:ascii="Arial" w:cs="Arial" w:eastAsia="Arial" w:hAnsi="Arial"/>
          <w:sz w:val="16"/>
          <w:szCs w:val="16"/>
          <w:color w:val="auto"/>
        </w:rPr>
      </w:pPr>
    </w:p>
    <w:p>
      <w:pPr>
        <w:ind w:left="600" w:hanging="433"/>
        <w:spacing w:after="0" w:line="279" w:lineRule="auto"/>
        <w:tabs>
          <w:tab w:leader="none" w:pos="6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These options were granted on February 25, 2016 with an exercise price of $19.85 per share and were exercised on May 10, 2021, on which date our Common Stock was trading at $154.39 per share.</w:t>
      </w:r>
    </w:p>
    <w:p>
      <w:pPr>
        <w:spacing w:after="0" w:line="13" w:lineRule="exact"/>
        <w:rPr>
          <w:rFonts w:ascii="Arial" w:cs="Arial" w:eastAsia="Arial" w:hAnsi="Arial"/>
          <w:sz w:val="16"/>
          <w:szCs w:val="16"/>
          <w:color w:val="auto"/>
        </w:rPr>
      </w:pPr>
    </w:p>
    <w:p>
      <w:pPr>
        <w:ind w:left="600" w:right="20" w:hanging="433"/>
        <w:spacing w:after="0" w:line="279" w:lineRule="auto"/>
        <w:tabs>
          <w:tab w:leader="none" w:pos="6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These RSUs vested on February 13, 2021, on which date the most recent closing price of our Common Stock, as of February 12, 2021, was $130.24 per share.</w:t>
      </w:r>
    </w:p>
    <w:p>
      <w:pPr>
        <w:spacing w:after="0" w:line="13" w:lineRule="exact"/>
        <w:rPr>
          <w:rFonts w:ascii="Arial" w:cs="Arial" w:eastAsia="Arial" w:hAnsi="Arial"/>
          <w:sz w:val="16"/>
          <w:szCs w:val="16"/>
          <w:color w:val="auto"/>
        </w:rPr>
      </w:pPr>
    </w:p>
    <w:p>
      <w:pPr>
        <w:ind w:left="600" w:hanging="433"/>
        <w:spacing w:after="0"/>
        <w:tabs>
          <w:tab w:leader="none" w:pos="6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These RSUs vested on February 25, 2021, on which date the closing price of our Common Stock was $132.10 per share.</w:t>
      </w:r>
    </w:p>
    <w:p>
      <w:pPr>
        <w:spacing w:after="0" w:line="70" w:lineRule="exact"/>
        <w:rPr>
          <w:rFonts w:ascii="Arial" w:cs="Arial" w:eastAsia="Arial" w:hAnsi="Arial"/>
          <w:sz w:val="16"/>
          <w:szCs w:val="16"/>
          <w:color w:val="auto"/>
        </w:rPr>
      </w:pPr>
    </w:p>
    <w:p>
      <w:pPr>
        <w:ind w:left="600" w:hanging="433"/>
        <w:spacing w:after="0"/>
        <w:tabs>
          <w:tab w:leader="none" w:pos="6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These PSUs vested on February 23, 2021, on which date the closing price of our Common Stock was $135.41 per share.</w:t>
      </w:r>
    </w:p>
    <w:p>
      <w:pPr>
        <w:spacing w:after="0" w:line="70" w:lineRule="exact"/>
        <w:rPr>
          <w:rFonts w:ascii="Arial" w:cs="Arial" w:eastAsia="Arial" w:hAnsi="Arial"/>
          <w:sz w:val="16"/>
          <w:szCs w:val="16"/>
          <w:color w:val="auto"/>
        </w:rPr>
      </w:pPr>
    </w:p>
    <w:p>
      <w:pPr>
        <w:ind w:left="600" w:hanging="433"/>
        <w:spacing w:after="0"/>
        <w:tabs>
          <w:tab w:leader="none" w:pos="6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These RSUs vested on February 23, 2021, on which date the closing price of our Common Stock was $135.41 per share.</w:t>
      </w:r>
    </w:p>
    <w:p>
      <w:pPr>
        <w:spacing w:after="0" w:line="70" w:lineRule="exact"/>
        <w:rPr>
          <w:rFonts w:ascii="Arial" w:cs="Arial" w:eastAsia="Arial" w:hAnsi="Arial"/>
          <w:sz w:val="16"/>
          <w:szCs w:val="16"/>
          <w:color w:val="auto"/>
        </w:rPr>
      </w:pPr>
    </w:p>
    <w:p>
      <w:pPr>
        <w:ind w:left="600" w:hanging="433"/>
        <w:spacing w:after="0"/>
        <w:tabs>
          <w:tab w:leader="none" w:pos="6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These RSUs vested on May 25, 2021, on which date the closing price of our Common Stock was $146.86 per share.</w:t>
      </w:r>
    </w:p>
    <w:p>
      <w:pPr>
        <w:spacing w:after="0" w:line="70" w:lineRule="exact"/>
        <w:rPr>
          <w:rFonts w:ascii="Arial" w:cs="Arial" w:eastAsia="Arial" w:hAnsi="Arial"/>
          <w:sz w:val="16"/>
          <w:szCs w:val="16"/>
          <w:color w:val="auto"/>
        </w:rPr>
      </w:pPr>
    </w:p>
    <w:p>
      <w:pPr>
        <w:ind w:left="600" w:hanging="433"/>
        <w:spacing w:after="0"/>
        <w:tabs>
          <w:tab w:leader="none" w:pos="6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These RSUs vested on August 25, 2021 on which date the closing price of our Common Stock was $148.37 per share.</w:t>
      </w:r>
    </w:p>
    <w:p>
      <w:pPr>
        <w:spacing w:after="0" w:line="70" w:lineRule="exact"/>
        <w:rPr>
          <w:rFonts w:ascii="Arial" w:cs="Arial" w:eastAsia="Arial" w:hAnsi="Arial"/>
          <w:sz w:val="16"/>
          <w:szCs w:val="16"/>
          <w:color w:val="auto"/>
        </w:rPr>
      </w:pPr>
    </w:p>
    <w:p>
      <w:pPr>
        <w:ind w:left="600" w:hanging="433"/>
        <w:spacing w:after="0" w:line="279" w:lineRule="auto"/>
        <w:tabs>
          <w:tab w:leader="none" w:pos="6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These RSUs vested on November 25, 2021, on which date the most recent closing price of our Common Stock, as of November 24, 2021, was $171.99 per share.</w:t>
      </w:r>
    </w:p>
    <w:p>
      <w:pPr>
        <w:spacing w:after="0" w:line="13" w:lineRule="exact"/>
        <w:rPr>
          <w:rFonts w:ascii="Arial" w:cs="Arial" w:eastAsia="Arial" w:hAnsi="Arial"/>
          <w:sz w:val="16"/>
          <w:szCs w:val="16"/>
          <w:color w:val="auto"/>
        </w:rPr>
      </w:pPr>
    </w:p>
    <w:p>
      <w:pPr>
        <w:ind w:left="600" w:right="20" w:hanging="433"/>
        <w:spacing w:after="0" w:line="279" w:lineRule="auto"/>
        <w:tabs>
          <w:tab w:leader="none" w:pos="6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These RSUs vested on February 28, 2021, on which date the most recent closing price of our Common Stock, as of February 26, 2021, was $131.54 per share.</w:t>
      </w:r>
    </w:p>
    <w:p>
      <w:pPr>
        <w:spacing w:after="0" w:line="13" w:lineRule="exact"/>
        <w:rPr>
          <w:rFonts w:ascii="Arial" w:cs="Arial" w:eastAsia="Arial" w:hAnsi="Arial"/>
          <w:sz w:val="16"/>
          <w:szCs w:val="16"/>
          <w:color w:val="auto"/>
        </w:rPr>
      </w:pPr>
    </w:p>
    <w:p>
      <w:pPr>
        <w:ind w:left="600" w:hanging="433"/>
        <w:spacing w:after="0"/>
        <w:tabs>
          <w:tab w:leader="none" w:pos="6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These RSUs vested on September 7, 2021, on which date the closing price of our Common Stock was $147.69 per share.</w:t>
      </w:r>
    </w:p>
    <w:p>
      <w:pPr>
        <w:spacing w:after="0" w:line="146" w:lineRule="exact"/>
        <w:rPr>
          <w:sz w:val="20"/>
          <w:szCs w:val="20"/>
          <w:color w:val="auto"/>
        </w:rPr>
      </w:pPr>
    </w:p>
    <w:tbl>
      <w:tblPr>
        <w:tblLayout w:type="fixed"/>
        <w:tblInd w:w="8500" w:type="dxa"/>
        <w:tblCellMar>
          <w:top w:w="0" w:type="dxa"/>
          <w:left w:w="0" w:type="dxa"/>
          <w:bottom w:w="0" w:type="dxa"/>
          <w:right w:w="0" w:type="dxa"/>
        </w:tblCellMar>
      </w:tblPr>
      <w:tr>
        <w:trPr>
          <w:trHeight w:val="233"/>
        </w:trPr>
        <w:tc>
          <w:tcPr>
            <w:tcW w:w="2060" w:type="dxa"/>
            <w:vAlign w:val="bottom"/>
            <w:tcBorders>
              <w:right w:val="single" w:sz="8" w:color="050A54"/>
            </w:tcBorders>
          </w:tcPr>
          <w:p>
            <w:pPr>
              <w:spacing w:after="0"/>
              <w:rPr>
                <w:sz w:val="20"/>
                <w:szCs w:val="20"/>
                <w:color w:val="auto"/>
              </w:rPr>
            </w:pPr>
            <w:r>
              <w:rPr>
                <w:rFonts w:ascii="Arial" w:cs="Arial" w:eastAsia="Arial" w:hAnsi="Arial"/>
                <w:sz w:val="18"/>
                <w:szCs w:val="18"/>
                <w:b w:val="1"/>
                <w:bCs w:val="1"/>
                <w:color w:val="050A54"/>
              </w:rPr>
              <w:t>2022 Proxy Statement</w:t>
            </w:r>
          </w:p>
        </w:tc>
        <w:tc>
          <w:tcPr>
            <w:tcW w:w="520" w:type="dxa"/>
            <w:vAlign w:val="bottom"/>
          </w:tcPr>
          <w:p>
            <w:pPr>
              <w:jc w:val="right"/>
              <w:spacing w:after="0"/>
              <w:rPr>
                <w:sz w:val="20"/>
                <w:szCs w:val="20"/>
                <w:color w:val="auto"/>
              </w:rPr>
            </w:pPr>
            <w:r>
              <w:rPr>
                <w:rFonts w:ascii="Arial" w:cs="Arial" w:eastAsia="Arial" w:hAnsi="Arial"/>
                <w:sz w:val="18"/>
                <w:szCs w:val="18"/>
                <w:color w:val="050A54"/>
              </w:rPr>
              <w:t>55</w:t>
            </w:r>
          </w:p>
        </w:tc>
      </w:tr>
    </w:tbl>
    <w:p>
      <w:pPr>
        <w:sectPr>
          <w:pgSz w:w="11900" w:h="16838" w:orient="portrait"/>
          <w:cols w:equalWidth="0" w:num="1">
            <w:col w:w="11080"/>
          </w:cols>
          <w:pgMar w:left="320" w:top="454" w:right="49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780"/>
        <w:spacing w:after="0"/>
        <w:rPr>
          <w:sz w:val="20"/>
          <w:szCs w:val="20"/>
          <w:color w:val="auto"/>
        </w:rPr>
      </w:pPr>
      <w:r>
        <w:rPr>
          <w:rFonts w:ascii="Arial" w:cs="Arial" w:eastAsia="Arial" w:hAnsi="Arial"/>
          <w:sz w:val="20"/>
          <w:szCs w:val="20"/>
          <w:b w:val="1"/>
          <w:bCs w:val="1"/>
          <w:color w:val="050A54"/>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Nonqualified Deferred Compensation for the Year Ended December 31, 2021</w:t>
      </w:r>
    </w:p>
    <w:p>
      <w:pPr>
        <w:spacing w:after="0" w:line="96"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The Deferred Compensation Plan allows a select group of highly compensated or management employees to defer up to 100% of their current compensation, which includes for this purpose base salary, service bonus, performance-based compensation, and commissions. Distributions of deferred amounts may be made only upon a qualifying distribution event (consistent with Section 409A of the Internal Revenue Code), which, depending on the individual’s election, may be a separation from service, death, or a specified date, or may be the earliest of one or more of these events. At the time an election is made to defer compensation under the Deferred Compensation Plan, participants may choose, with respect to each potential qualifying distribution event, to receive amounts in either a lump sum or in equal annual installments over a number of years (but not to exceed five years for specified date elections and not to exceed ten years for separation from service elections). Deferred amounts are credited with an investment return determined as if the amounts were invested in one or more investment funds made available under the Deferred Compensation Plan and selected by a participant.</w:t>
      </w:r>
    </w:p>
    <w:p>
      <w:pPr>
        <w:spacing w:after="0" w:line="180"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The following table sets forth information relating to nonqualified deferred compensation for each NEO for the year ended December 31, 2021:</w:t>
      </w:r>
    </w:p>
    <w:p>
      <w:pPr>
        <w:spacing w:after="0" w:line="194"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2160" w:type="dxa"/>
            <w:vAlign w:val="bottom"/>
          </w:tcPr>
          <w:p>
            <w:pPr>
              <w:jc w:val="center"/>
              <w:ind w:left="824"/>
              <w:spacing w:after="0"/>
              <w:rPr>
                <w:sz w:val="20"/>
                <w:szCs w:val="20"/>
                <w:color w:val="auto"/>
              </w:rPr>
            </w:pPr>
            <w:r>
              <w:rPr>
                <w:rFonts w:ascii="Arial" w:cs="Arial" w:eastAsia="Arial" w:hAnsi="Arial"/>
                <w:sz w:val="14"/>
                <w:szCs w:val="14"/>
                <w:b w:val="1"/>
                <w:bCs w:val="1"/>
                <w:color w:val="050A54"/>
              </w:rPr>
              <w:t>Executive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050A54"/>
              </w:rPr>
              <w:t>Registrant</w:t>
            </w:r>
          </w:p>
        </w:tc>
        <w:tc>
          <w:tcPr>
            <w:tcW w:w="1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050A54"/>
              </w:rPr>
              <w:t>Aggregate</w:t>
            </w:r>
          </w:p>
        </w:tc>
        <w:tc>
          <w:tcPr>
            <w:tcW w:w="440" w:type="dxa"/>
            <w:vAlign w:val="bottom"/>
          </w:tcPr>
          <w:p>
            <w:pPr>
              <w:spacing w:after="0"/>
              <w:rPr>
                <w:sz w:val="14"/>
                <w:szCs w:val="14"/>
                <w:color w:val="auto"/>
              </w:rPr>
            </w:pPr>
          </w:p>
        </w:tc>
      </w:tr>
      <w:tr>
        <w:trPr>
          <w:trHeight w:val="160"/>
        </w:trPr>
        <w:tc>
          <w:tcPr>
            <w:tcW w:w="3320" w:type="dxa"/>
            <w:vAlign w:val="bottom"/>
          </w:tcPr>
          <w:p>
            <w:pPr>
              <w:spacing w:after="0"/>
              <w:rPr>
                <w:sz w:val="13"/>
                <w:szCs w:val="13"/>
                <w:color w:val="auto"/>
              </w:rPr>
            </w:pPr>
          </w:p>
        </w:tc>
        <w:tc>
          <w:tcPr>
            <w:tcW w:w="2160" w:type="dxa"/>
            <w:vAlign w:val="bottom"/>
          </w:tcPr>
          <w:p>
            <w:pPr>
              <w:jc w:val="center"/>
              <w:ind w:left="824"/>
              <w:spacing w:after="0"/>
              <w:rPr>
                <w:sz w:val="20"/>
                <w:szCs w:val="20"/>
                <w:color w:val="auto"/>
              </w:rPr>
            </w:pPr>
            <w:r>
              <w:rPr>
                <w:rFonts w:ascii="Arial" w:cs="Arial" w:eastAsia="Arial" w:hAnsi="Arial"/>
                <w:sz w:val="14"/>
                <w:szCs w:val="14"/>
                <w:b w:val="1"/>
                <w:bCs w:val="1"/>
                <w:color w:val="050A54"/>
              </w:rPr>
              <w:t>Contributions</w:t>
            </w:r>
          </w:p>
        </w:tc>
        <w:tc>
          <w:tcPr>
            <w:tcW w:w="1260" w:type="dxa"/>
            <w:vAlign w:val="bottom"/>
          </w:tcPr>
          <w:p>
            <w:pPr>
              <w:jc w:val="right"/>
              <w:ind w:right="84"/>
              <w:spacing w:after="0"/>
              <w:rPr>
                <w:sz w:val="20"/>
                <w:szCs w:val="20"/>
                <w:color w:val="auto"/>
              </w:rPr>
            </w:pPr>
            <w:r>
              <w:rPr>
                <w:rFonts w:ascii="Arial" w:cs="Arial" w:eastAsia="Arial" w:hAnsi="Arial"/>
                <w:sz w:val="14"/>
                <w:szCs w:val="14"/>
                <w:b w:val="1"/>
                <w:bCs w:val="1"/>
                <w:color w:val="050A54"/>
              </w:rPr>
              <w:t>Contributions</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050A54"/>
              </w:rPr>
              <w:t>Aggregate</w:t>
            </w:r>
          </w:p>
        </w:tc>
        <w:tc>
          <w:tcPr>
            <w:tcW w:w="1220" w:type="dxa"/>
            <w:vAlign w:val="bottom"/>
          </w:tcPr>
          <w:p>
            <w:pPr>
              <w:jc w:val="right"/>
              <w:ind w:right="184"/>
              <w:spacing w:after="0"/>
              <w:rPr>
                <w:sz w:val="20"/>
                <w:szCs w:val="20"/>
                <w:color w:val="auto"/>
              </w:rPr>
            </w:pPr>
            <w:r>
              <w:rPr>
                <w:rFonts w:ascii="Arial" w:cs="Arial" w:eastAsia="Arial" w:hAnsi="Arial"/>
                <w:sz w:val="14"/>
                <w:szCs w:val="14"/>
                <w:b w:val="1"/>
                <w:bCs w:val="1"/>
                <w:color w:val="050A54"/>
              </w:rPr>
              <w:t>Aggregate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050A54"/>
              </w:rPr>
              <w:t>Balance at</w:t>
            </w:r>
          </w:p>
        </w:tc>
        <w:tc>
          <w:tcPr>
            <w:tcW w:w="440" w:type="dxa"/>
            <w:vAlign w:val="bottom"/>
          </w:tcPr>
          <w:p>
            <w:pPr>
              <w:spacing w:after="0"/>
              <w:rPr>
                <w:sz w:val="13"/>
                <w:szCs w:val="13"/>
                <w:color w:val="auto"/>
              </w:rPr>
            </w:pPr>
          </w:p>
        </w:tc>
      </w:tr>
      <w:tr>
        <w:trPr>
          <w:trHeight w:val="160"/>
        </w:trPr>
        <w:tc>
          <w:tcPr>
            <w:tcW w:w="3320" w:type="dxa"/>
            <w:vAlign w:val="bottom"/>
          </w:tcPr>
          <w:p>
            <w:pPr>
              <w:spacing w:after="0"/>
              <w:rPr>
                <w:sz w:val="13"/>
                <w:szCs w:val="13"/>
                <w:color w:val="auto"/>
              </w:rPr>
            </w:pPr>
          </w:p>
        </w:tc>
        <w:tc>
          <w:tcPr>
            <w:tcW w:w="2160" w:type="dxa"/>
            <w:vAlign w:val="bottom"/>
          </w:tcPr>
          <w:p>
            <w:pPr>
              <w:jc w:val="center"/>
              <w:ind w:left="824"/>
              <w:spacing w:after="0"/>
              <w:rPr>
                <w:sz w:val="20"/>
                <w:szCs w:val="20"/>
                <w:color w:val="auto"/>
              </w:rPr>
            </w:pPr>
            <w:r>
              <w:rPr>
                <w:rFonts w:ascii="Arial" w:cs="Arial" w:eastAsia="Arial" w:hAnsi="Arial"/>
                <w:sz w:val="14"/>
                <w:szCs w:val="14"/>
                <w:b w:val="1"/>
                <w:bCs w:val="1"/>
                <w:color w:val="050A54"/>
              </w:rPr>
              <w:t>in Last</w:t>
            </w:r>
          </w:p>
        </w:tc>
        <w:tc>
          <w:tcPr>
            <w:tcW w:w="1260" w:type="dxa"/>
            <w:vAlign w:val="bottom"/>
          </w:tcPr>
          <w:p>
            <w:pPr>
              <w:jc w:val="right"/>
              <w:ind w:right="104"/>
              <w:spacing w:after="0"/>
              <w:rPr>
                <w:sz w:val="20"/>
                <w:szCs w:val="20"/>
                <w:color w:val="auto"/>
              </w:rPr>
            </w:pPr>
            <w:r>
              <w:rPr>
                <w:rFonts w:ascii="Arial" w:cs="Arial" w:eastAsia="Arial" w:hAnsi="Arial"/>
                <w:sz w:val="14"/>
                <w:szCs w:val="14"/>
                <w:b w:val="1"/>
                <w:bCs w:val="1"/>
                <w:color w:val="050A54"/>
              </w:rPr>
              <w:t>in Last Fiscal</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050A54"/>
              </w:rPr>
              <w:t>Earnings in Last</w:t>
            </w:r>
          </w:p>
        </w:tc>
        <w:tc>
          <w:tcPr>
            <w:tcW w:w="1220" w:type="dxa"/>
            <w:vAlign w:val="bottom"/>
          </w:tcPr>
          <w:p>
            <w:pPr>
              <w:jc w:val="right"/>
              <w:ind w:right="104"/>
              <w:spacing w:after="0"/>
              <w:rPr>
                <w:sz w:val="20"/>
                <w:szCs w:val="20"/>
                <w:color w:val="auto"/>
              </w:rPr>
            </w:pPr>
            <w:r>
              <w:rPr>
                <w:rFonts w:ascii="Arial" w:cs="Arial" w:eastAsia="Arial" w:hAnsi="Arial"/>
                <w:sz w:val="14"/>
                <w:szCs w:val="14"/>
                <w:b w:val="1"/>
                <w:bCs w:val="1"/>
                <w:color w:val="050A54"/>
              </w:rPr>
              <w:t>Withdrawals/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050A54"/>
              </w:rPr>
              <w:t>Last Fiscal</w:t>
            </w:r>
          </w:p>
        </w:tc>
        <w:tc>
          <w:tcPr>
            <w:tcW w:w="440" w:type="dxa"/>
            <w:vAlign w:val="bottom"/>
          </w:tcPr>
          <w:p>
            <w:pPr>
              <w:spacing w:after="0"/>
              <w:rPr>
                <w:sz w:val="13"/>
                <w:szCs w:val="13"/>
                <w:color w:val="auto"/>
              </w:rPr>
            </w:pPr>
          </w:p>
        </w:tc>
      </w:tr>
      <w:tr>
        <w:trPr>
          <w:trHeight w:val="160"/>
        </w:trPr>
        <w:tc>
          <w:tcPr>
            <w:tcW w:w="3320" w:type="dxa"/>
            <w:vAlign w:val="bottom"/>
          </w:tcPr>
          <w:p>
            <w:pPr>
              <w:spacing w:after="0"/>
              <w:rPr>
                <w:sz w:val="13"/>
                <w:szCs w:val="13"/>
                <w:color w:val="auto"/>
              </w:rPr>
            </w:pPr>
          </w:p>
        </w:tc>
        <w:tc>
          <w:tcPr>
            <w:tcW w:w="2160" w:type="dxa"/>
            <w:vAlign w:val="bottom"/>
          </w:tcPr>
          <w:p>
            <w:pPr>
              <w:jc w:val="center"/>
              <w:ind w:left="824"/>
              <w:spacing w:after="0"/>
              <w:rPr>
                <w:sz w:val="20"/>
                <w:szCs w:val="20"/>
                <w:color w:val="auto"/>
              </w:rPr>
            </w:pPr>
            <w:r>
              <w:rPr>
                <w:rFonts w:ascii="Arial" w:cs="Arial" w:eastAsia="Arial" w:hAnsi="Arial"/>
                <w:sz w:val="14"/>
                <w:szCs w:val="14"/>
                <w:b w:val="1"/>
                <w:bCs w:val="1"/>
                <w:color w:val="050A54"/>
              </w:rPr>
              <w:t>Fiscal Year</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050A54"/>
                <w:w w:val="98"/>
              </w:rPr>
              <w:t>Year</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050A54"/>
              </w:rPr>
              <w:t>Fiscal Year</w:t>
            </w:r>
          </w:p>
        </w:tc>
        <w:tc>
          <w:tcPr>
            <w:tcW w:w="1220" w:type="dxa"/>
            <w:vAlign w:val="bottom"/>
          </w:tcPr>
          <w:p>
            <w:pPr>
              <w:jc w:val="right"/>
              <w:ind w:right="104"/>
              <w:spacing w:after="0"/>
              <w:rPr>
                <w:sz w:val="20"/>
                <w:szCs w:val="20"/>
                <w:color w:val="auto"/>
              </w:rPr>
            </w:pPr>
            <w:r>
              <w:rPr>
                <w:rFonts w:ascii="Arial" w:cs="Arial" w:eastAsia="Arial" w:hAnsi="Arial"/>
                <w:sz w:val="14"/>
                <w:szCs w:val="14"/>
                <w:b w:val="1"/>
                <w:bCs w:val="1"/>
                <w:color w:val="050A54"/>
              </w:rPr>
              <w:t>Distributions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050A54"/>
                <w:w w:val="98"/>
              </w:rPr>
              <w:t>Year End</w:t>
            </w:r>
          </w:p>
        </w:tc>
        <w:tc>
          <w:tcPr>
            <w:tcW w:w="440" w:type="dxa"/>
            <w:vAlign w:val="bottom"/>
          </w:tcPr>
          <w:p>
            <w:pPr>
              <w:spacing w:after="0"/>
              <w:rPr>
                <w:sz w:val="13"/>
                <w:szCs w:val="13"/>
                <w:color w:val="auto"/>
              </w:rPr>
            </w:pPr>
          </w:p>
        </w:tc>
      </w:tr>
      <w:tr>
        <w:trPr>
          <w:trHeight w:val="183"/>
        </w:trPr>
        <w:tc>
          <w:tcPr>
            <w:tcW w:w="3320" w:type="dxa"/>
            <w:vAlign w:val="bottom"/>
            <w:tcBorders>
              <w:bottom w:val="single" w:sz="8" w:color="050A54"/>
            </w:tcBorders>
          </w:tcPr>
          <w:p>
            <w:pPr>
              <w:ind w:left="1860"/>
              <w:spacing w:after="0"/>
              <w:rPr>
                <w:sz w:val="20"/>
                <w:szCs w:val="20"/>
                <w:color w:val="auto"/>
              </w:rPr>
            </w:pPr>
            <w:r>
              <w:rPr>
                <w:rFonts w:ascii="Arial" w:cs="Arial" w:eastAsia="Arial" w:hAnsi="Arial"/>
                <w:sz w:val="14"/>
                <w:szCs w:val="14"/>
                <w:b w:val="1"/>
                <w:bCs w:val="1"/>
                <w:color w:val="050A54"/>
              </w:rPr>
              <w:t>Name</w:t>
            </w:r>
          </w:p>
        </w:tc>
        <w:tc>
          <w:tcPr>
            <w:tcW w:w="2160" w:type="dxa"/>
            <w:vAlign w:val="bottom"/>
            <w:tcBorders>
              <w:bottom w:val="single" w:sz="8" w:color="050A54"/>
            </w:tcBorders>
          </w:tcPr>
          <w:p>
            <w:pPr>
              <w:jc w:val="center"/>
              <w:ind w:left="824"/>
              <w:spacing w:after="0"/>
              <w:rPr>
                <w:sz w:val="20"/>
                <w:szCs w:val="20"/>
                <w:color w:val="auto"/>
              </w:rPr>
            </w:pPr>
            <w:r>
              <w:rPr>
                <w:rFonts w:ascii="Arial" w:cs="Arial" w:eastAsia="Arial" w:hAnsi="Arial"/>
                <w:sz w:val="14"/>
                <w:szCs w:val="14"/>
                <w:b w:val="1"/>
                <w:bCs w:val="1"/>
                <w:color w:val="050A54"/>
                <w:w w:val="99"/>
              </w:rPr>
              <w:t>($)(1)</w:t>
            </w:r>
          </w:p>
        </w:tc>
        <w:tc>
          <w:tcPr>
            <w:tcW w:w="1260" w:type="dxa"/>
            <w:vAlign w:val="bottom"/>
            <w:tcBorders>
              <w:bottom w:val="single" w:sz="8" w:color="050A54"/>
            </w:tcBorders>
          </w:tcPr>
          <w:p>
            <w:pPr>
              <w:jc w:val="center"/>
              <w:spacing w:after="0"/>
              <w:rPr>
                <w:sz w:val="20"/>
                <w:szCs w:val="20"/>
                <w:color w:val="auto"/>
              </w:rPr>
            </w:pPr>
            <w:r>
              <w:rPr>
                <w:rFonts w:ascii="Arial" w:cs="Arial" w:eastAsia="Arial" w:hAnsi="Arial"/>
                <w:sz w:val="14"/>
                <w:szCs w:val="14"/>
                <w:b w:val="1"/>
                <w:bCs w:val="1"/>
                <w:color w:val="050A54"/>
              </w:rPr>
              <w:t>($)</w:t>
            </w:r>
          </w:p>
        </w:tc>
        <w:tc>
          <w:tcPr>
            <w:tcW w:w="1420" w:type="dxa"/>
            <w:vAlign w:val="bottom"/>
            <w:tcBorders>
              <w:bottom w:val="single" w:sz="8" w:color="050A54"/>
            </w:tcBorders>
          </w:tcPr>
          <w:p>
            <w:pPr>
              <w:jc w:val="center"/>
              <w:spacing w:after="0"/>
              <w:rPr>
                <w:sz w:val="20"/>
                <w:szCs w:val="20"/>
                <w:color w:val="auto"/>
              </w:rPr>
            </w:pPr>
            <w:r>
              <w:rPr>
                <w:rFonts w:ascii="Arial" w:cs="Arial" w:eastAsia="Arial" w:hAnsi="Arial"/>
                <w:sz w:val="14"/>
                <w:szCs w:val="14"/>
                <w:b w:val="1"/>
                <w:bCs w:val="1"/>
                <w:color w:val="050A54"/>
                <w:w w:val="99"/>
              </w:rPr>
              <w:t>($)(2)</w:t>
            </w:r>
          </w:p>
        </w:tc>
        <w:tc>
          <w:tcPr>
            <w:tcW w:w="1220" w:type="dxa"/>
            <w:vAlign w:val="bottom"/>
            <w:tcBorders>
              <w:bottom w:val="single" w:sz="8" w:color="050A54"/>
            </w:tcBorders>
          </w:tcPr>
          <w:p>
            <w:pPr>
              <w:jc w:val="right"/>
              <w:ind w:right="444"/>
              <w:spacing w:after="0"/>
              <w:rPr>
                <w:sz w:val="20"/>
                <w:szCs w:val="20"/>
                <w:color w:val="auto"/>
              </w:rPr>
            </w:pPr>
            <w:r>
              <w:rPr>
                <w:rFonts w:ascii="Arial" w:cs="Arial" w:eastAsia="Arial" w:hAnsi="Arial"/>
                <w:sz w:val="14"/>
                <w:szCs w:val="14"/>
                <w:b w:val="1"/>
                <w:bCs w:val="1"/>
                <w:color w:val="050A54"/>
              </w:rPr>
              <w:t>($)</w:t>
            </w:r>
          </w:p>
        </w:tc>
        <w:tc>
          <w:tcPr>
            <w:tcW w:w="1100" w:type="dxa"/>
            <w:vAlign w:val="bottom"/>
            <w:tcBorders>
              <w:bottom w:val="single" w:sz="8" w:color="050A54"/>
            </w:tcBorders>
          </w:tcPr>
          <w:p>
            <w:pPr>
              <w:jc w:val="center"/>
              <w:spacing w:after="0"/>
              <w:rPr>
                <w:sz w:val="20"/>
                <w:szCs w:val="20"/>
                <w:color w:val="auto"/>
              </w:rPr>
            </w:pPr>
            <w:r>
              <w:rPr>
                <w:rFonts w:ascii="Arial" w:cs="Arial" w:eastAsia="Arial" w:hAnsi="Arial"/>
                <w:sz w:val="14"/>
                <w:szCs w:val="14"/>
                <w:b w:val="1"/>
                <w:bCs w:val="1"/>
                <w:color w:val="050A54"/>
                <w:w w:val="93"/>
              </w:rPr>
              <w:t>($)</w:t>
            </w:r>
          </w:p>
        </w:tc>
        <w:tc>
          <w:tcPr>
            <w:tcW w:w="440" w:type="dxa"/>
            <w:vAlign w:val="bottom"/>
            <w:tcBorders>
              <w:bottom w:val="single" w:sz="8" w:color="050A54"/>
            </w:tcBorders>
          </w:tcPr>
          <w:p>
            <w:pPr>
              <w:spacing w:after="0"/>
              <w:rPr>
                <w:sz w:val="15"/>
                <w:szCs w:val="15"/>
                <w:color w:val="auto"/>
              </w:rPr>
            </w:pPr>
          </w:p>
        </w:tc>
      </w:tr>
      <w:tr>
        <w:trPr>
          <w:trHeight w:val="214"/>
        </w:trPr>
        <w:tc>
          <w:tcPr>
            <w:tcW w:w="3320" w:type="dxa"/>
            <w:vAlign w:val="bottom"/>
            <w:tcBorders>
              <w:bottom w:val="single" w:sz="8" w:color="E8E8E8"/>
            </w:tcBorders>
            <w:shd w:val="clear" w:color="auto" w:fill="E8E8E8"/>
          </w:tcPr>
          <w:p>
            <w:pPr>
              <w:ind w:left="80"/>
              <w:spacing w:after="0"/>
              <w:rPr>
                <w:sz w:val="20"/>
                <w:szCs w:val="20"/>
                <w:color w:val="auto"/>
              </w:rPr>
            </w:pPr>
            <w:r>
              <w:rPr>
                <w:rFonts w:ascii="Arial" w:cs="Arial" w:eastAsia="Arial" w:hAnsi="Arial"/>
                <w:sz w:val="16"/>
                <w:szCs w:val="16"/>
                <w:color w:val="auto"/>
              </w:rPr>
              <w:t>Dan H. Arnold (4)</w:t>
            </w:r>
          </w:p>
        </w:tc>
        <w:tc>
          <w:tcPr>
            <w:tcW w:w="2160" w:type="dxa"/>
            <w:vAlign w:val="bottom"/>
            <w:tcBorders>
              <w:bottom w:val="single" w:sz="8" w:color="E8E8E8"/>
            </w:tcBorders>
            <w:shd w:val="clear" w:color="auto" w:fill="E8E8E8"/>
          </w:tcPr>
          <w:p>
            <w:pPr>
              <w:jc w:val="right"/>
              <w:ind w:right="84"/>
              <w:spacing w:after="0"/>
              <w:rPr>
                <w:sz w:val="20"/>
                <w:szCs w:val="20"/>
                <w:color w:val="auto"/>
              </w:rPr>
            </w:pPr>
            <w:r>
              <w:rPr>
                <w:rFonts w:ascii="Arial" w:cs="Arial" w:eastAsia="Arial" w:hAnsi="Arial"/>
                <w:sz w:val="16"/>
                <w:szCs w:val="16"/>
                <w:color w:val="auto"/>
              </w:rPr>
              <w:t>2,000</w:t>
            </w:r>
          </w:p>
        </w:tc>
        <w:tc>
          <w:tcPr>
            <w:tcW w:w="1260" w:type="dxa"/>
            <w:vAlign w:val="bottom"/>
            <w:tcBorders>
              <w:bottom w:val="single" w:sz="8" w:color="E8E8E8"/>
            </w:tcBorders>
            <w:shd w:val="clear" w:color="auto" w:fill="E8E8E8"/>
          </w:tcPr>
          <w:p>
            <w:pPr>
              <w:jc w:val="right"/>
              <w:ind w:right="84"/>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E8E8E8"/>
            </w:tcBorders>
            <w:shd w:val="clear" w:color="auto" w:fill="E8E8E8"/>
          </w:tcPr>
          <w:p>
            <w:pPr>
              <w:jc w:val="right"/>
              <w:ind w:right="84"/>
              <w:spacing w:after="0"/>
              <w:rPr>
                <w:sz w:val="20"/>
                <w:szCs w:val="20"/>
                <w:color w:val="auto"/>
              </w:rPr>
            </w:pPr>
            <w:r>
              <w:rPr>
                <w:rFonts w:ascii="Arial" w:cs="Arial" w:eastAsia="Arial" w:hAnsi="Arial"/>
                <w:sz w:val="16"/>
                <w:szCs w:val="16"/>
                <w:color w:val="auto"/>
              </w:rPr>
              <w:t>1,164,018</w:t>
            </w:r>
          </w:p>
        </w:tc>
        <w:tc>
          <w:tcPr>
            <w:tcW w:w="1220" w:type="dxa"/>
            <w:vAlign w:val="bottom"/>
            <w:tcBorders>
              <w:bottom w:val="single" w:sz="8" w:color="E8E8E8"/>
            </w:tcBorders>
            <w:shd w:val="clear" w:color="auto" w:fill="E8E8E8"/>
          </w:tcPr>
          <w:p>
            <w:pPr>
              <w:jc w:val="right"/>
              <w:ind w:right="104"/>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8E8E8"/>
            </w:tcBorders>
            <w:shd w:val="clear" w:color="auto" w:fill="E8E8E8"/>
          </w:tcPr>
          <w:p>
            <w:pPr>
              <w:jc w:val="right"/>
              <w:ind w:right="104"/>
              <w:spacing w:after="0"/>
              <w:rPr>
                <w:sz w:val="20"/>
                <w:szCs w:val="20"/>
                <w:color w:val="auto"/>
              </w:rPr>
            </w:pPr>
            <w:r>
              <w:rPr>
                <w:rFonts w:ascii="Arial" w:cs="Arial" w:eastAsia="Arial" w:hAnsi="Arial"/>
                <w:sz w:val="16"/>
                <w:szCs w:val="16"/>
                <w:color w:val="auto"/>
              </w:rPr>
              <w:t>6,733,026</w:t>
            </w:r>
          </w:p>
        </w:tc>
        <w:tc>
          <w:tcPr>
            <w:tcW w:w="44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(3)</w:t>
            </w:r>
          </w:p>
        </w:tc>
      </w:tr>
      <w:tr>
        <w:trPr>
          <w:trHeight w:val="211"/>
        </w:trPr>
        <w:tc>
          <w:tcPr>
            <w:tcW w:w="3320" w:type="dxa"/>
            <w:vAlign w:val="bottom"/>
          </w:tcPr>
          <w:p>
            <w:pPr>
              <w:ind w:left="80"/>
              <w:spacing w:after="0"/>
              <w:rPr>
                <w:sz w:val="20"/>
                <w:szCs w:val="20"/>
                <w:color w:val="auto"/>
              </w:rPr>
            </w:pPr>
            <w:r>
              <w:rPr>
                <w:rFonts w:ascii="Arial" w:cs="Arial" w:eastAsia="Arial" w:hAnsi="Arial"/>
                <w:sz w:val="16"/>
                <w:szCs w:val="16"/>
                <w:color w:val="auto"/>
              </w:rPr>
              <w:t>Matthew J. Audette (4)</w:t>
            </w:r>
          </w:p>
        </w:tc>
        <w:tc>
          <w:tcPr>
            <w:tcW w:w="2160" w:type="dxa"/>
            <w:vAlign w:val="bottom"/>
          </w:tcPr>
          <w:p>
            <w:pPr>
              <w:jc w:val="right"/>
              <w:ind w:right="84"/>
              <w:spacing w:after="0"/>
              <w:rPr>
                <w:sz w:val="20"/>
                <w:szCs w:val="20"/>
                <w:color w:val="auto"/>
              </w:rPr>
            </w:pPr>
            <w:r>
              <w:rPr>
                <w:rFonts w:ascii="Arial" w:cs="Arial" w:eastAsia="Arial" w:hAnsi="Arial"/>
                <w:sz w:val="16"/>
                <w:szCs w:val="16"/>
                <w:color w:val="auto"/>
              </w:rPr>
              <w:t>100,000</w:t>
            </w:r>
          </w:p>
        </w:tc>
        <w:tc>
          <w:tcPr>
            <w:tcW w:w="126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84"/>
              <w:spacing w:after="0"/>
              <w:rPr>
                <w:sz w:val="20"/>
                <w:szCs w:val="20"/>
                <w:color w:val="auto"/>
              </w:rPr>
            </w:pPr>
            <w:r>
              <w:rPr>
                <w:rFonts w:ascii="Arial" w:cs="Arial" w:eastAsia="Arial" w:hAnsi="Arial"/>
                <w:sz w:val="16"/>
                <w:szCs w:val="16"/>
                <w:color w:val="auto"/>
              </w:rPr>
              <w:t>27,959</w:t>
            </w:r>
          </w:p>
        </w:tc>
        <w:tc>
          <w:tcPr>
            <w:tcW w:w="1220" w:type="dxa"/>
            <w:vAlign w:val="bottom"/>
          </w:tcPr>
          <w:p>
            <w:pPr>
              <w:jc w:val="right"/>
              <w:ind w:right="104"/>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04"/>
              <w:spacing w:after="0"/>
              <w:rPr>
                <w:sz w:val="20"/>
                <w:szCs w:val="20"/>
                <w:color w:val="auto"/>
              </w:rPr>
            </w:pPr>
            <w:r>
              <w:rPr>
                <w:rFonts w:ascii="Arial" w:cs="Arial" w:eastAsia="Arial" w:hAnsi="Arial"/>
                <w:sz w:val="16"/>
                <w:szCs w:val="16"/>
                <w:color w:val="auto"/>
              </w:rPr>
              <w:t>264,582</w:t>
            </w:r>
          </w:p>
        </w:tc>
        <w:tc>
          <w:tcPr>
            <w:tcW w:w="440" w:type="dxa"/>
            <w:vAlign w:val="bottom"/>
          </w:tcPr>
          <w:p>
            <w:pPr>
              <w:spacing w:after="0"/>
              <w:rPr>
                <w:sz w:val="18"/>
                <w:szCs w:val="18"/>
                <w:color w:val="auto"/>
              </w:rPr>
            </w:pPr>
          </w:p>
        </w:tc>
      </w:tr>
      <w:tr>
        <w:trPr>
          <w:trHeight w:val="29"/>
        </w:trPr>
        <w:tc>
          <w:tcPr>
            <w:tcW w:w="3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21"/>
        </w:trPr>
        <w:tc>
          <w:tcPr>
            <w:tcW w:w="3320" w:type="dxa"/>
            <w:vAlign w:val="bottom"/>
            <w:tcBorders>
              <w:bottom w:val="single" w:sz="8" w:color="E8E8E8"/>
            </w:tcBorders>
            <w:shd w:val="clear" w:color="auto" w:fill="E8E8E8"/>
          </w:tcPr>
          <w:p>
            <w:pPr>
              <w:ind w:left="80"/>
              <w:spacing w:after="0"/>
              <w:rPr>
                <w:sz w:val="20"/>
                <w:szCs w:val="20"/>
                <w:color w:val="auto"/>
              </w:rPr>
            </w:pPr>
            <w:r>
              <w:rPr>
                <w:rFonts w:ascii="Arial" w:cs="Arial" w:eastAsia="Arial" w:hAnsi="Arial"/>
                <w:sz w:val="16"/>
                <w:szCs w:val="16"/>
                <w:color w:val="auto"/>
              </w:rPr>
              <w:t>Edward Fandrey</w:t>
            </w:r>
          </w:p>
        </w:tc>
        <w:tc>
          <w:tcPr>
            <w:tcW w:w="2160" w:type="dxa"/>
            <w:vAlign w:val="bottom"/>
            <w:tcBorders>
              <w:bottom w:val="single" w:sz="8" w:color="E8E8E8"/>
            </w:tcBorders>
            <w:shd w:val="clear" w:color="auto" w:fill="E8E8E8"/>
          </w:tcPr>
          <w:p>
            <w:pPr>
              <w:jc w:val="right"/>
              <w:ind w:right="84"/>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E8E8E8"/>
            </w:tcBorders>
            <w:shd w:val="clear" w:color="auto" w:fill="E8E8E8"/>
          </w:tcPr>
          <w:p>
            <w:pPr>
              <w:jc w:val="right"/>
              <w:ind w:right="84"/>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E8E8E8"/>
            </w:tcBorders>
            <w:shd w:val="clear" w:color="auto" w:fill="E8E8E8"/>
          </w:tcPr>
          <w:p>
            <w:pPr>
              <w:jc w:val="right"/>
              <w:ind w:right="84"/>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E8E8E8"/>
            </w:tcBorders>
            <w:shd w:val="clear" w:color="auto" w:fill="E8E8E8"/>
          </w:tcPr>
          <w:p>
            <w:pPr>
              <w:jc w:val="right"/>
              <w:ind w:right="104"/>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8E8E8"/>
            </w:tcBorders>
            <w:shd w:val="clear" w:color="auto" w:fill="E8E8E8"/>
          </w:tcPr>
          <w:p>
            <w:pPr>
              <w:jc w:val="right"/>
              <w:ind w:right="104"/>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E8E8E8"/>
            </w:tcBorders>
            <w:shd w:val="clear" w:color="auto" w:fill="E8E8E8"/>
          </w:tcPr>
          <w:p>
            <w:pPr>
              <w:spacing w:after="0"/>
              <w:rPr>
                <w:sz w:val="19"/>
                <w:szCs w:val="19"/>
                <w:color w:val="auto"/>
              </w:rPr>
            </w:pPr>
          </w:p>
        </w:tc>
      </w:tr>
      <w:tr>
        <w:trPr>
          <w:trHeight w:val="211"/>
        </w:trPr>
        <w:tc>
          <w:tcPr>
            <w:tcW w:w="3320" w:type="dxa"/>
            <w:vAlign w:val="bottom"/>
          </w:tcPr>
          <w:p>
            <w:pPr>
              <w:ind w:left="80"/>
              <w:spacing w:after="0"/>
              <w:rPr>
                <w:sz w:val="20"/>
                <w:szCs w:val="20"/>
                <w:color w:val="auto"/>
              </w:rPr>
            </w:pPr>
            <w:r>
              <w:rPr>
                <w:rFonts w:ascii="Arial" w:cs="Arial" w:eastAsia="Arial" w:hAnsi="Arial"/>
                <w:sz w:val="16"/>
                <w:szCs w:val="16"/>
                <w:color w:val="auto"/>
              </w:rPr>
              <w:t>Dayton Semerjian</w:t>
            </w:r>
          </w:p>
        </w:tc>
        <w:tc>
          <w:tcPr>
            <w:tcW w:w="216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04"/>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04"/>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r>
      <w:tr>
        <w:trPr>
          <w:trHeight w:val="29"/>
        </w:trPr>
        <w:tc>
          <w:tcPr>
            <w:tcW w:w="3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21"/>
        </w:trPr>
        <w:tc>
          <w:tcPr>
            <w:tcW w:w="3320" w:type="dxa"/>
            <w:vAlign w:val="bottom"/>
            <w:tcBorders>
              <w:bottom w:val="single" w:sz="8" w:color="E8E8E8"/>
            </w:tcBorders>
            <w:shd w:val="clear" w:color="auto" w:fill="E8E8E8"/>
          </w:tcPr>
          <w:p>
            <w:pPr>
              <w:ind w:left="80"/>
              <w:spacing w:after="0"/>
              <w:rPr>
                <w:sz w:val="20"/>
                <w:szCs w:val="20"/>
                <w:color w:val="auto"/>
              </w:rPr>
            </w:pPr>
            <w:r>
              <w:rPr>
                <w:rFonts w:ascii="Arial" w:cs="Arial" w:eastAsia="Arial" w:hAnsi="Arial"/>
                <w:sz w:val="16"/>
                <w:szCs w:val="16"/>
                <w:color w:val="auto"/>
              </w:rPr>
              <w:t>Richard Steinmeier</w:t>
            </w:r>
          </w:p>
        </w:tc>
        <w:tc>
          <w:tcPr>
            <w:tcW w:w="2160" w:type="dxa"/>
            <w:vAlign w:val="bottom"/>
            <w:tcBorders>
              <w:bottom w:val="single" w:sz="8" w:color="E8E8E8"/>
            </w:tcBorders>
            <w:shd w:val="clear" w:color="auto" w:fill="E8E8E8"/>
          </w:tcPr>
          <w:p>
            <w:pPr>
              <w:jc w:val="right"/>
              <w:ind w:right="84"/>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E8E8E8"/>
            </w:tcBorders>
            <w:shd w:val="clear" w:color="auto" w:fill="E8E8E8"/>
          </w:tcPr>
          <w:p>
            <w:pPr>
              <w:jc w:val="right"/>
              <w:ind w:right="84"/>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E8E8E8"/>
            </w:tcBorders>
            <w:shd w:val="clear" w:color="auto" w:fill="E8E8E8"/>
          </w:tcPr>
          <w:p>
            <w:pPr>
              <w:jc w:val="right"/>
              <w:ind w:right="84"/>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E8E8E8"/>
            </w:tcBorders>
            <w:shd w:val="clear" w:color="auto" w:fill="E8E8E8"/>
          </w:tcPr>
          <w:p>
            <w:pPr>
              <w:jc w:val="right"/>
              <w:ind w:right="104"/>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8E8E8"/>
            </w:tcBorders>
            <w:shd w:val="clear" w:color="auto" w:fill="E8E8E8"/>
          </w:tcPr>
          <w:p>
            <w:pPr>
              <w:jc w:val="right"/>
              <w:ind w:right="104"/>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E8E8E8"/>
            </w:tcBorders>
            <w:shd w:val="clear" w:color="auto" w:fill="E8E8E8"/>
          </w:tcPr>
          <w:p>
            <w:pPr>
              <w:spacing w:after="0"/>
              <w:rPr>
                <w:sz w:val="19"/>
                <w:szCs w:val="19"/>
                <w:color w:val="auto"/>
              </w:rPr>
            </w:pPr>
          </w:p>
        </w:tc>
      </w:tr>
      <w:tr>
        <w:trPr>
          <w:trHeight w:val="20"/>
        </w:trPr>
        <w:tc>
          <w:tcPr>
            <w:tcW w:w="3320" w:type="dxa"/>
            <w:vAlign w:val="bottom"/>
            <w:shd w:val="clear" w:color="auto" w:fill="050A54"/>
          </w:tcPr>
          <w:p>
            <w:pPr>
              <w:spacing w:after="0" w:line="20" w:lineRule="exact"/>
              <w:rPr>
                <w:sz w:val="1"/>
                <w:szCs w:val="1"/>
                <w:color w:val="auto"/>
              </w:rPr>
            </w:pPr>
          </w:p>
        </w:tc>
        <w:tc>
          <w:tcPr>
            <w:tcW w:w="2160" w:type="dxa"/>
            <w:vAlign w:val="bottom"/>
            <w:shd w:val="clear" w:color="auto" w:fill="050A54"/>
          </w:tcPr>
          <w:p>
            <w:pPr>
              <w:spacing w:after="0" w:line="20" w:lineRule="exact"/>
              <w:rPr>
                <w:sz w:val="1"/>
                <w:szCs w:val="1"/>
                <w:color w:val="auto"/>
              </w:rPr>
            </w:pPr>
          </w:p>
        </w:tc>
        <w:tc>
          <w:tcPr>
            <w:tcW w:w="1260" w:type="dxa"/>
            <w:vAlign w:val="bottom"/>
            <w:shd w:val="clear" w:color="auto" w:fill="050A54"/>
          </w:tcPr>
          <w:p>
            <w:pPr>
              <w:spacing w:after="0" w:line="20" w:lineRule="exact"/>
              <w:rPr>
                <w:sz w:val="1"/>
                <w:szCs w:val="1"/>
                <w:color w:val="auto"/>
              </w:rPr>
            </w:pPr>
          </w:p>
        </w:tc>
        <w:tc>
          <w:tcPr>
            <w:tcW w:w="1420" w:type="dxa"/>
            <w:vAlign w:val="bottom"/>
            <w:shd w:val="clear" w:color="auto" w:fill="050A54"/>
          </w:tcPr>
          <w:p>
            <w:pPr>
              <w:spacing w:after="0" w:line="20" w:lineRule="exact"/>
              <w:rPr>
                <w:sz w:val="1"/>
                <w:szCs w:val="1"/>
                <w:color w:val="auto"/>
              </w:rPr>
            </w:pPr>
          </w:p>
        </w:tc>
        <w:tc>
          <w:tcPr>
            <w:tcW w:w="1220" w:type="dxa"/>
            <w:vAlign w:val="bottom"/>
            <w:shd w:val="clear" w:color="auto" w:fill="050A54"/>
          </w:tcPr>
          <w:p>
            <w:pPr>
              <w:spacing w:after="0" w:line="20" w:lineRule="exact"/>
              <w:rPr>
                <w:sz w:val="1"/>
                <w:szCs w:val="1"/>
                <w:color w:val="auto"/>
              </w:rPr>
            </w:pPr>
          </w:p>
        </w:tc>
        <w:tc>
          <w:tcPr>
            <w:tcW w:w="1100" w:type="dxa"/>
            <w:vAlign w:val="bottom"/>
            <w:shd w:val="clear" w:color="auto" w:fill="050A54"/>
          </w:tcPr>
          <w:p>
            <w:pPr>
              <w:spacing w:after="0" w:line="20" w:lineRule="exact"/>
              <w:rPr>
                <w:sz w:val="1"/>
                <w:szCs w:val="1"/>
                <w:color w:val="auto"/>
              </w:rPr>
            </w:pPr>
          </w:p>
        </w:tc>
        <w:tc>
          <w:tcPr>
            <w:tcW w:w="440" w:type="dxa"/>
            <w:vAlign w:val="bottom"/>
            <w:shd w:val="clear" w:color="auto" w:fill="050A54"/>
          </w:tcPr>
          <w:p>
            <w:pPr>
              <w:spacing w:after="0" w:line="20" w:lineRule="exact"/>
              <w:rPr>
                <w:sz w:val="1"/>
                <w:szCs w:val="1"/>
                <w:color w:val="auto"/>
              </w:rPr>
            </w:pPr>
          </w:p>
        </w:tc>
      </w:tr>
    </w:tbl>
    <w:p>
      <w:pPr>
        <w:spacing w:after="0" w:line="53" w:lineRule="exact"/>
        <w:rPr>
          <w:sz w:val="20"/>
          <w:szCs w:val="20"/>
          <w:color w:val="auto"/>
        </w:rPr>
      </w:pPr>
    </w:p>
    <w:p>
      <w:pPr>
        <w:ind w:left="600" w:hanging="433"/>
        <w:spacing w:after="0" w:line="279" w:lineRule="auto"/>
        <w:tabs>
          <w:tab w:leader="none" w:pos="6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Amounts in this column are also reported in the </w:t>
      </w:r>
      <w:r>
        <w:rPr>
          <w:rFonts w:ascii="Arial" w:cs="Arial" w:eastAsia="Arial" w:hAnsi="Arial"/>
          <w:sz w:val="16"/>
          <w:szCs w:val="16"/>
          <w:i w:val="1"/>
          <w:iCs w:val="1"/>
          <w:color w:val="auto"/>
        </w:rPr>
        <w:t>“Summary Compensation Table”</w:t>
      </w:r>
      <w:r>
        <w:rPr>
          <w:rFonts w:ascii="Arial" w:cs="Arial" w:eastAsia="Arial" w:hAnsi="Arial"/>
          <w:sz w:val="16"/>
          <w:szCs w:val="16"/>
          <w:color w:val="auto"/>
        </w:rPr>
        <w:t xml:space="preserve"> above for 2021 under “Salary” for Mr. Arnold and for 2020 under “Non-Equity Incentive Plan Compensation” for Mr. Audette.</w:t>
      </w:r>
    </w:p>
    <w:p>
      <w:pPr>
        <w:spacing w:after="0" w:line="13" w:lineRule="exact"/>
        <w:rPr>
          <w:rFonts w:ascii="Arial" w:cs="Arial" w:eastAsia="Arial" w:hAnsi="Arial"/>
          <w:sz w:val="16"/>
          <w:szCs w:val="16"/>
          <w:color w:val="auto"/>
        </w:rPr>
      </w:pPr>
    </w:p>
    <w:p>
      <w:pPr>
        <w:ind w:left="600" w:hanging="433"/>
        <w:spacing w:after="0" w:line="279" w:lineRule="auto"/>
        <w:tabs>
          <w:tab w:leader="none" w:pos="6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Amounts in this column do not constitute above-market or preferential earnings and therefore are not reported as compensation in the “</w:t>
      </w:r>
      <w:r>
        <w:rPr>
          <w:rFonts w:ascii="Arial" w:cs="Arial" w:eastAsia="Arial" w:hAnsi="Arial"/>
          <w:sz w:val="16"/>
          <w:szCs w:val="16"/>
          <w:i w:val="1"/>
          <w:iCs w:val="1"/>
          <w:color w:val="auto"/>
        </w:rPr>
        <w:t>Summary</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Table</w:t>
      </w:r>
      <w:r>
        <w:rPr>
          <w:rFonts w:ascii="Arial" w:cs="Arial" w:eastAsia="Arial" w:hAnsi="Arial"/>
          <w:sz w:val="16"/>
          <w:szCs w:val="16"/>
          <w:color w:val="auto"/>
        </w:rPr>
        <w:t>” above.</w:t>
      </w:r>
    </w:p>
    <w:p>
      <w:pPr>
        <w:spacing w:after="0" w:line="13" w:lineRule="exact"/>
        <w:rPr>
          <w:rFonts w:ascii="Arial" w:cs="Arial" w:eastAsia="Arial" w:hAnsi="Arial"/>
          <w:sz w:val="16"/>
          <w:szCs w:val="16"/>
          <w:color w:val="auto"/>
        </w:rPr>
      </w:pPr>
    </w:p>
    <w:p>
      <w:pPr>
        <w:ind w:left="600" w:hanging="433"/>
        <w:spacing w:after="0" w:line="279" w:lineRule="auto"/>
        <w:tabs>
          <w:tab w:leader="none" w:pos="6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Amount includes contributions that were made prior to Mr. Arnold becoming an NEO, and that therefore were not recorded in prior summary compensation tables.</w:t>
      </w:r>
    </w:p>
    <w:p>
      <w:pPr>
        <w:spacing w:after="0" w:line="13" w:lineRule="exact"/>
        <w:rPr>
          <w:rFonts w:ascii="Arial" w:cs="Arial" w:eastAsia="Arial" w:hAnsi="Arial"/>
          <w:sz w:val="16"/>
          <w:szCs w:val="16"/>
          <w:color w:val="auto"/>
        </w:rPr>
      </w:pPr>
    </w:p>
    <w:p>
      <w:pPr>
        <w:ind w:left="600" w:hanging="433"/>
        <w:spacing w:after="0"/>
        <w:tabs>
          <w:tab w:leader="none" w:pos="6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Amounts included herein relate to Messrs. Arnold and Audette’s participation in the Deferred Compensation Plan.</w:t>
      </w:r>
    </w:p>
    <w:p>
      <w:pPr>
        <w:spacing w:after="0" w:line="146" w:lineRule="exact"/>
        <w:rPr>
          <w:sz w:val="20"/>
          <w:szCs w:val="20"/>
          <w:color w:val="auto"/>
        </w:rPr>
      </w:pPr>
    </w:p>
    <w:p>
      <w:pPr>
        <w:ind w:left="1000" w:hanging="690"/>
        <w:spacing w:after="0"/>
        <w:tabs>
          <w:tab w:leader="none" w:pos="1000" w:val="left"/>
        </w:tabs>
        <w:numPr>
          <w:ilvl w:val="0"/>
          <w:numId w:val="87"/>
        </w:numPr>
        <w:rPr>
          <w:rFonts w:ascii="Arial" w:cs="Arial" w:eastAsia="Arial" w:hAnsi="Arial"/>
          <w:sz w:val="18"/>
          <w:szCs w:val="18"/>
          <w:color w:val="050A54"/>
        </w:rPr>
      </w:pPr>
      <w:r>
        <w:rPr>
          <w:rFonts w:ascii="Arial" w:cs="Arial" w:eastAsia="Arial" w:hAnsi="Arial"/>
          <w:sz w:val="18"/>
          <w:szCs w:val="18"/>
          <w:b w:val="1"/>
          <w:bCs w:val="1"/>
          <w:color w:val="050A54"/>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-118745</wp:posOffset>
            </wp:positionV>
            <wp:extent cx="8255" cy="135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780"/>
        <w:spacing w:after="0"/>
        <w:rPr>
          <w:sz w:val="20"/>
          <w:szCs w:val="20"/>
          <w:color w:val="auto"/>
        </w:rPr>
      </w:pPr>
      <w:r>
        <w:rPr>
          <w:rFonts w:ascii="Arial" w:cs="Arial" w:eastAsia="Arial" w:hAnsi="Arial"/>
          <w:sz w:val="20"/>
          <w:szCs w:val="20"/>
          <w:b w:val="1"/>
          <w:bCs w:val="1"/>
          <w:color w:val="050A54"/>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Potential Payments upon Termination or Change-in-Control for the Year Ended December 31, 2021</w:t>
      </w:r>
    </w:p>
    <w:p>
      <w:pPr>
        <w:spacing w:after="0" w:line="203"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Set forth below the table is a description of certain post-employment arrangements with our NEOs, including the severance benefits and change-in-control benefits to which they would have been entitled under the Executive Severance Plan as of December 31, 2021, if a termination of employment and/or a change-in-control had occurred on such date. Amounts reported for the accelerated vesting of stock options, RSUs and PSUs are based on a price per share of our Common Stock of $160.09, the closing price per share of our Common Stock on December 31, 2021, the last business day of 2021.</w:t>
      </w:r>
    </w:p>
    <w:p>
      <w:pPr>
        <w:spacing w:after="0" w:line="21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5"/>
          </w:tcPr>
          <w:p>
            <w:pPr>
              <w:jc w:val="center"/>
              <w:ind w:right="159"/>
              <w:spacing w:after="0"/>
              <w:rPr>
                <w:sz w:val="20"/>
                <w:szCs w:val="20"/>
                <w:color w:val="auto"/>
              </w:rPr>
            </w:pPr>
            <w:r>
              <w:rPr>
                <w:rFonts w:ascii="Arial" w:cs="Arial" w:eastAsia="Arial" w:hAnsi="Arial"/>
                <w:sz w:val="14"/>
                <w:szCs w:val="14"/>
                <w:b w:val="1"/>
                <w:bCs w:val="1"/>
                <w:color w:val="050A54"/>
              </w:rPr>
              <w:t>Double-Trigger</w:t>
            </w:r>
          </w:p>
        </w:tc>
        <w:tc>
          <w:tcPr>
            <w:tcW w:w="0" w:type="dxa"/>
            <w:vAlign w:val="bottom"/>
          </w:tcPr>
          <w:p>
            <w:pPr>
              <w:spacing w:after="0"/>
              <w:rPr>
                <w:sz w:val="1"/>
                <w:szCs w:val="1"/>
                <w:color w:val="auto"/>
              </w:rPr>
            </w:pPr>
          </w:p>
        </w:tc>
      </w:tr>
      <w:tr>
        <w:trPr>
          <w:trHeight w:val="160"/>
        </w:trPr>
        <w:tc>
          <w:tcPr>
            <w:tcW w:w="1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050A54"/>
              </w:rPr>
              <w:t>Without Cause or</w:t>
            </w:r>
          </w:p>
        </w:tc>
        <w:tc>
          <w:tcPr>
            <w:tcW w:w="220" w:type="dxa"/>
            <w:vAlign w:val="bottom"/>
          </w:tcPr>
          <w:p>
            <w:pPr>
              <w:spacing w:after="0"/>
              <w:rPr>
                <w:sz w:val="13"/>
                <w:szCs w:val="13"/>
                <w:color w:val="auto"/>
              </w:rPr>
            </w:pPr>
          </w:p>
        </w:tc>
        <w:tc>
          <w:tcPr>
            <w:tcW w:w="1000" w:type="dxa"/>
            <w:vAlign w:val="bottom"/>
            <w:gridSpan w:val="2"/>
          </w:tcPr>
          <w:p>
            <w:pPr>
              <w:jc w:val="center"/>
              <w:ind w:left="140"/>
              <w:spacing w:after="0"/>
              <w:rPr>
                <w:sz w:val="20"/>
                <w:szCs w:val="20"/>
                <w:color w:val="auto"/>
              </w:rPr>
            </w:pPr>
            <w:r>
              <w:rPr>
                <w:rFonts w:ascii="Arial" w:cs="Arial" w:eastAsia="Arial" w:hAnsi="Arial"/>
                <w:sz w:val="14"/>
                <w:szCs w:val="14"/>
                <w:b w:val="1"/>
                <w:bCs w:val="1"/>
                <w:color w:val="050A54"/>
                <w:w w:val="99"/>
              </w:rPr>
              <w:t>Disability,</w:t>
            </w: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jc w:val="center"/>
              <w:ind w:left="101"/>
              <w:spacing w:after="0"/>
              <w:rPr>
                <w:sz w:val="20"/>
                <w:szCs w:val="20"/>
                <w:color w:val="auto"/>
              </w:rPr>
            </w:pPr>
            <w:r>
              <w:rPr>
                <w:rFonts w:ascii="Arial" w:cs="Arial" w:eastAsia="Arial" w:hAnsi="Arial"/>
                <w:sz w:val="14"/>
                <w:szCs w:val="14"/>
                <w:b w:val="1"/>
                <w:bCs w:val="1"/>
                <w:color w:val="050A54"/>
              </w:rPr>
              <w:t>Change-in-</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620" w:type="dxa"/>
            <w:vAlign w:val="bottom"/>
          </w:tcPr>
          <w:p>
            <w:pPr>
              <w:ind w:left="580"/>
              <w:spacing w:after="0"/>
              <w:rPr>
                <w:sz w:val="20"/>
                <w:szCs w:val="20"/>
                <w:color w:val="auto"/>
              </w:rPr>
            </w:pPr>
            <w:r>
              <w:rPr>
                <w:rFonts w:ascii="Arial" w:cs="Arial" w:eastAsia="Arial" w:hAnsi="Arial"/>
                <w:sz w:val="14"/>
                <w:szCs w:val="14"/>
                <w:b w:val="1"/>
                <w:bCs w:val="1"/>
                <w:color w:val="050A54"/>
              </w:rPr>
              <w:t>Named</w:t>
            </w:r>
          </w:p>
        </w:tc>
        <w:tc>
          <w:tcPr>
            <w:tcW w:w="2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050A54"/>
              </w:rPr>
              <w:t>For Good Reason</w:t>
            </w:r>
          </w:p>
        </w:tc>
        <w:tc>
          <w:tcPr>
            <w:tcW w:w="220" w:type="dxa"/>
            <w:vAlign w:val="bottom"/>
          </w:tcPr>
          <w:p>
            <w:pPr>
              <w:spacing w:after="0"/>
              <w:rPr>
                <w:sz w:val="13"/>
                <w:szCs w:val="13"/>
                <w:color w:val="auto"/>
              </w:rPr>
            </w:pPr>
          </w:p>
        </w:tc>
        <w:tc>
          <w:tcPr>
            <w:tcW w:w="14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050A54"/>
              </w:rPr>
              <w:t>Death, Retirement</w:t>
            </w:r>
          </w:p>
        </w:tc>
        <w:tc>
          <w:tcPr>
            <w:tcW w:w="240" w:type="dxa"/>
            <w:vAlign w:val="bottom"/>
          </w:tcPr>
          <w:p>
            <w:pPr>
              <w:spacing w:after="0"/>
              <w:rPr>
                <w:sz w:val="13"/>
                <w:szCs w:val="13"/>
                <w:color w:val="auto"/>
              </w:rPr>
            </w:pPr>
          </w:p>
        </w:tc>
        <w:tc>
          <w:tcPr>
            <w:tcW w:w="1000" w:type="dxa"/>
            <w:vAlign w:val="bottom"/>
            <w:gridSpan w:val="4"/>
          </w:tcPr>
          <w:p>
            <w:pPr>
              <w:jc w:val="center"/>
              <w:ind w:left="101"/>
              <w:spacing w:after="0"/>
              <w:rPr>
                <w:sz w:val="20"/>
                <w:szCs w:val="20"/>
                <w:color w:val="auto"/>
              </w:rPr>
            </w:pPr>
            <w:r>
              <w:rPr>
                <w:rFonts w:ascii="Arial" w:cs="Arial" w:eastAsia="Arial" w:hAnsi="Arial"/>
                <w:sz w:val="14"/>
                <w:szCs w:val="14"/>
                <w:b w:val="1"/>
                <w:bCs w:val="1"/>
                <w:color w:val="050A54"/>
              </w:rPr>
              <w:t>Control</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620" w:type="dxa"/>
            <w:vAlign w:val="bottom"/>
            <w:tcBorders>
              <w:bottom w:val="single" w:sz="8" w:color="050A54"/>
            </w:tcBorders>
          </w:tcPr>
          <w:p>
            <w:pPr>
              <w:ind w:left="240"/>
              <w:spacing w:after="0"/>
              <w:rPr>
                <w:sz w:val="20"/>
                <w:szCs w:val="20"/>
                <w:color w:val="auto"/>
              </w:rPr>
            </w:pPr>
            <w:r>
              <w:rPr>
                <w:rFonts w:ascii="Arial" w:cs="Arial" w:eastAsia="Arial" w:hAnsi="Arial"/>
                <w:sz w:val="14"/>
                <w:szCs w:val="14"/>
                <w:b w:val="1"/>
                <w:bCs w:val="1"/>
                <w:color w:val="050A54"/>
              </w:rPr>
              <w:t>Executive Officer</w:t>
            </w:r>
          </w:p>
        </w:tc>
        <w:tc>
          <w:tcPr>
            <w:tcW w:w="220" w:type="dxa"/>
            <w:vAlign w:val="bottom"/>
            <w:tcBorders>
              <w:bottom w:val="single" w:sz="8" w:color="050A54"/>
            </w:tcBorders>
          </w:tcPr>
          <w:p>
            <w:pPr>
              <w:spacing w:after="0"/>
              <w:rPr>
                <w:sz w:val="15"/>
                <w:szCs w:val="15"/>
                <w:color w:val="auto"/>
              </w:rPr>
            </w:pPr>
          </w:p>
        </w:tc>
        <w:tc>
          <w:tcPr>
            <w:tcW w:w="4120" w:type="dxa"/>
            <w:vAlign w:val="bottom"/>
            <w:tcBorders>
              <w:bottom w:val="single" w:sz="8" w:color="050A54"/>
            </w:tcBorders>
          </w:tcPr>
          <w:p>
            <w:pPr>
              <w:ind w:left="1820"/>
              <w:spacing w:after="0"/>
              <w:rPr>
                <w:sz w:val="20"/>
                <w:szCs w:val="20"/>
                <w:color w:val="auto"/>
              </w:rPr>
            </w:pPr>
            <w:r>
              <w:rPr>
                <w:rFonts w:ascii="Arial" w:cs="Arial" w:eastAsia="Arial" w:hAnsi="Arial"/>
                <w:sz w:val="14"/>
                <w:szCs w:val="14"/>
                <w:b w:val="1"/>
                <w:bCs w:val="1"/>
                <w:color w:val="050A54"/>
              </w:rPr>
              <w:t>Benefit</w:t>
            </w:r>
          </w:p>
        </w:tc>
        <w:tc>
          <w:tcPr>
            <w:tcW w:w="200" w:type="dxa"/>
            <w:vAlign w:val="bottom"/>
            <w:tcBorders>
              <w:bottom w:val="single" w:sz="8" w:color="050A54"/>
            </w:tcBorders>
          </w:tcPr>
          <w:p>
            <w:pPr>
              <w:spacing w:after="0"/>
              <w:rPr>
                <w:sz w:val="15"/>
                <w:szCs w:val="15"/>
                <w:color w:val="auto"/>
              </w:rPr>
            </w:pPr>
          </w:p>
        </w:tc>
        <w:tc>
          <w:tcPr>
            <w:tcW w:w="940" w:type="dxa"/>
            <w:vAlign w:val="bottom"/>
            <w:tcBorders>
              <w:bottom w:val="single" w:sz="8" w:color="050A54"/>
            </w:tcBorders>
          </w:tcPr>
          <w:p>
            <w:pPr>
              <w:jc w:val="center"/>
              <w:ind w:left="220"/>
              <w:spacing w:after="0"/>
              <w:rPr>
                <w:sz w:val="20"/>
                <w:szCs w:val="20"/>
                <w:color w:val="auto"/>
              </w:rPr>
            </w:pPr>
            <w:r>
              <w:rPr>
                <w:rFonts w:ascii="Arial" w:cs="Arial" w:eastAsia="Arial" w:hAnsi="Arial"/>
                <w:sz w:val="14"/>
                <w:szCs w:val="14"/>
                <w:b w:val="1"/>
                <w:bCs w:val="1"/>
                <w:color w:val="050A54"/>
                <w:w w:val="93"/>
              </w:rPr>
              <w:t>($)</w:t>
            </w:r>
          </w:p>
        </w:tc>
        <w:tc>
          <w:tcPr>
            <w:tcW w:w="500" w:type="dxa"/>
            <w:vAlign w:val="bottom"/>
            <w:tcBorders>
              <w:bottom w:val="single" w:sz="8" w:color="050A54"/>
            </w:tcBorders>
          </w:tcPr>
          <w:p>
            <w:pPr>
              <w:spacing w:after="0"/>
              <w:rPr>
                <w:sz w:val="15"/>
                <w:szCs w:val="15"/>
                <w:color w:val="auto"/>
              </w:rPr>
            </w:pPr>
          </w:p>
        </w:tc>
        <w:tc>
          <w:tcPr>
            <w:tcW w:w="220" w:type="dxa"/>
            <w:vAlign w:val="bottom"/>
            <w:tcBorders>
              <w:bottom w:val="single" w:sz="8" w:color="050A54"/>
            </w:tcBorders>
          </w:tcPr>
          <w:p>
            <w:pPr>
              <w:spacing w:after="0"/>
              <w:rPr>
                <w:sz w:val="15"/>
                <w:szCs w:val="15"/>
                <w:color w:val="auto"/>
              </w:rPr>
            </w:pPr>
          </w:p>
        </w:tc>
        <w:tc>
          <w:tcPr>
            <w:tcW w:w="940" w:type="dxa"/>
            <w:vAlign w:val="bottom"/>
            <w:tcBorders>
              <w:bottom w:val="single" w:sz="8" w:color="050A54"/>
            </w:tcBorders>
          </w:tcPr>
          <w:p>
            <w:pPr>
              <w:jc w:val="center"/>
              <w:ind w:left="200"/>
              <w:spacing w:after="0"/>
              <w:rPr>
                <w:sz w:val="20"/>
                <w:szCs w:val="20"/>
                <w:color w:val="auto"/>
              </w:rPr>
            </w:pPr>
            <w:r>
              <w:rPr>
                <w:rFonts w:ascii="Arial" w:cs="Arial" w:eastAsia="Arial" w:hAnsi="Arial"/>
                <w:sz w:val="14"/>
                <w:szCs w:val="14"/>
                <w:b w:val="1"/>
                <w:bCs w:val="1"/>
                <w:color w:val="050A54"/>
              </w:rPr>
              <w:t>($)</w:t>
            </w:r>
          </w:p>
        </w:tc>
        <w:tc>
          <w:tcPr>
            <w:tcW w:w="60" w:type="dxa"/>
            <w:vAlign w:val="bottom"/>
            <w:tcBorders>
              <w:bottom w:val="single" w:sz="8" w:color="050A54"/>
            </w:tcBorders>
          </w:tcPr>
          <w:p>
            <w:pPr>
              <w:spacing w:after="0"/>
              <w:rPr>
                <w:sz w:val="15"/>
                <w:szCs w:val="15"/>
                <w:color w:val="auto"/>
              </w:rPr>
            </w:pPr>
          </w:p>
        </w:tc>
        <w:tc>
          <w:tcPr>
            <w:tcW w:w="440" w:type="dxa"/>
            <w:vAlign w:val="bottom"/>
            <w:tcBorders>
              <w:bottom w:val="single" w:sz="8" w:color="050A54"/>
            </w:tcBorders>
          </w:tcPr>
          <w:p>
            <w:pPr>
              <w:spacing w:after="0"/>
              <w:rPr>
                <w:sz w:val="15"/>
                <w:szCs w:val="15"/>
                <w:color w:val="auto"/>
              </w:rPr>
            </w:pPr>
          </w:p>
        </w:tc>
        <w:tc>
          <w:tcPr>
            <w:tcW w:w="240" w:type="dxa"/>
            <w:vAlign w:val="bottom"/>
            <w:tcBorders>
              <w:bottom w:val="single" w:sz="8" w:color="050A54"/>
            </w:tcBorders>
          </w:tcPr>
          <w:p>
            <w:pPr>
              <w:spacing w:after="0"/>
              <w:rPr>
                <w:sz w:val="15"/>
                <w:szCs w:val="15"/>
                <w:color w:val="auto"/>
              </w:rPr>
            </w:pPr>
          </w:p>
        </w:tc>
        <w:tc>
          <w:tcPr>
            <w:tcW w:w="880" w:type="dxa"/>
            <w:vAlign w:val="bottom"/>
            <w:tcBorders>
              <w:bottom w:val="single" w:sz="8" w:color="050A54"/>
            </w:tcBorders>
          </w:tcPr>
          <w:p>
            <w:pPr>
              <w:jc w:val="center"/>
              <w:ind w:left="221"/>
              <w:spacing w:after="0"/>
              <w:rPr>
                <w:sz w:val="20"/>
                <w:szCs w:val="20"/>
                <w:color w:val="auto"/>
              </w:rPr>
            </w:pPr>
            <w:r>
              <w:rPr>
                <w:rFonts w:ascii="Arial" w:cs="Arial" w:eastAsia="Arial" w:hAnsi="Arial"/>
                <w:sz w:val="14"/>
                <w:szCs w:val="14"/>
                <w:b w:val="1"/>
                <w:bCs w:val="1"/>
                <w:color w:val="050A54"/>
                <w:w w:val="99"/>
              </w:rPr>
              <w:t>($)(1)</w:t>
            </w:r>
          </w:p>
        </w:tc>
        <w:tc>
          <w:tcPr>
            <w:tcW w:w="20" w:type="dxa"/>
            <w:vAlign w:val="bottom"/>
            <w:tcBorders>
              <w:bottom w:val="single" w:sz="8" w:color="050A54"/>
            </w:tcBorders>
          </w:tcPr>
          <w:p>
            <w:pPr>
              <w:spacing w:after="0"/>
              <w:rPr>
                <w:sz w:val="15"/>
                <w:szCs w:val="15"/>
                <w:color w:val="auto"/>
              </w:rPr>
            </w:pPr>
          </w:p>
        </w:tc>
        <w:tc>
          <w:tcPr>
            <w:tcW w:w="20" w:type="dxa"/>
            <w:vAlign w:val="bottom"/>
            <w:tcBorders>
              <w:bottom w:val="single" w:sz="8" w:color="050A54"/>
            </w:tcBorders>
          </w:tcPr>
          <w:p>
            <w:pPr>
              <w:spacing w:after="0"/>
              <w:rPr>
                <w:sz w:val="15"/>
                <w:szCs w:val="15"/>
                <w:color w:val="auto"/>
              </w:rPr>
            </w:pPr>
          </w:p>
        </w:tc>
        <w:tc>
          <w:tcPr>
            <w:tcW w:w="80" w:type="dxa"/>
            <w:vAlign w:val="bottom"/>
            <w:tcBorders>
              <w:bottom w:val="single" w:sz="8" w:color="050A54"/>
            </w:tcBorders>
          </w:tcPr>
          <w:p>
            <w:pPr>
              <w:spacing w:after="0"/>
              <w:rPr>
                <w:sz w:val="15"/>
                <w:szCs w:val="15"/>
                <w:color w:val="auto"/>
              </w:rPr>
            </w:pPr>
          </w:p>
        </w:tc>
        <w:tc>
          <w:tcPr>
            <w:tcW w:w="420" w:type="dxa"/>
            <w:vAlign w:val="bottom"/>
            <w:tcBorders>
              <w:bottom w:val="single" w:sz="8" w:color="050A54"/>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620" w:type="dxa"/>
            <w:vAlign w:val="bottom"/>
            <w:shd w:val="clear" w:color="auto" w:fill="E8E8E8"/>
          </w:tcPr>
          <w:p>
            <w:pPr>
              <w:ind w:left="80"/>
              <w:spacing w:after="0"/>
              <w:rPr>
                <w:sz w:val="20"/>
                <w:szCs w:val="20"/>
                <w:color w:val="auto"/>
              </w:rPr>
            </w:pPr>
            <w:r>
              <w:rPr>
                <w:rFonts w:ascii="Arial" w:cs="Arial" w:eastAsia="Arial" w:hAnsi="Arial"/>
                <w:sz w:val="16"/>
                <w:szCs w:val="16"/>
                <w:color w:val="auto"/>
              </w:rPr>
              <w:t>Dan H. Arnold</w:t>
            </w:r>
          </w:p>
        </w:tc>
        <w:tc>
          <w:tcPr>
            <w:tcW w:w="4340" w:type="dxa"/>
            <w:vAlign w:val="bottom"/>
            <w:gridSpan w:val="2"/>
            <w:shd w:val="clear" w:color="auto" w:fill="E8E8E8"/>
          </w:tcPr>
          <w:p>
            <w:pPr>
              <w:ind w:left="220"/>
              <w:spacing w:after="0"/>
              <w:rPr>
                <w:sz w:val="20"/>
                <w:szCs w:val="20"/>
                <w:color w:val="auto"/>
              </w:rPr>
            </w:pPr>
            <w:r>
              <w:rPr>
                <w:rFonts w:ascii="Arial" w:cs="Arial" w:eastAsia="Arial" w:hAnsi="Arial"/>
                <w:sz w:val="16"/>
                <w:szCs w:val="16"/>
                <w:color w:val="auto"/>
              </w:rPr>
              <w:t>Severance</w:t>
            </w:r>
          </w:p>
        </w:tc>
        <w:tc>
          <w:tcPr>
            <w:tcW w:w="200" w:type="dxa"/>
            <w:vAlign w:val="bottom"/>
            <w:shd w:val="clear" w:color="auto" w:fill="E8E8E8"/>
          </w:tcPr>
          <w:p>
            <w:pPr>
              <w:spacing w:after="0"/>
              <w:rPr>
                <w:sz w:val="17"/>
                <w:szCs w:val="17"/>
                <w:color w:val="auto"/>
              </w:rPr>
            </w:pPr>
          </w:p>
        </w:tc>
        <w:tc>
          <w:tcPr>
            <w:tcW w:w="940" w:type="dxa"/>
            <w:vAlign w:val="bottom"/>
            <w:shd w:val="clear" w:color="auto" w:fill="E8E8E8"/>
          </w:tcPr>
          <w:p>
            <w:pPr>
              <w:jc w:val="right"/>
              <w:spacing w:after="0"/>
              <w:rPr>
                <w:sz w:val="20"/>
                <w:szCs w:val="20"/>
                <w:color w:val="auto"/>
              </w:rPr>
            </w:pPr>
            <w:r>
              <w:rPr>
                <w:rFonts w:ascii="Arial" w:cs="Arial" w:eastAsia="Arial" w:hAnsi="Arial"/>
                <w:sz w:val="16"/>
                <w:szCs w:val="16"/>
                <w:color w:val="auto"/>
              </w:rPr>
              <w:t>900,000</w:t>
            </w:r>
          </w:p>
        </w:tc>
        <w:tc>
          <w:tcPr>
            <w:tcW w:w="500" w:type="dxa"/>
            <w:vAlign w:val="bottom"/>
            <w:shd w:val="clear" w:color="auto" w:fill="E8E8E8"/>
          </w:tcPr>
          <w:p>
            <w:pPr>
              <w:ind w:left="100"/>
              <w:spacing w:after="0"/>
              <w:rPr>
                <w:sz w:val="20"/>
                <w:szCs w:val="20"/>
                <w:color w:val="auto"/>
              </w:rPr>
            </w:pPr>
            <w:r>
              <w:rPr>
                <w:rFonts w:ascii="Arial" w:cs="Arial" w:eastAsia="Arial" w:hAnsi="Arial"/>
                <w:sz w:val="16"/>
                <w:szCs w:val="16"/>
                <w:color w:val="auto"/>
              </w:rPr>
              <w:t>(2)</w:t>
            </w:r>
          </w:p>
        </w:tc>
        <w:tc>
          <w:tcPr>
            <w:tcW w:w="220" w:type="dxa"/>
            <w:vAlign w:val="bottom"/>
            <w:shd w:val="clear" w:color="auto" w:fill="E8E8E8"/>
          </w:tcPr>
          <w:p>
            <w:pPr>
              <w:spacing w:after="0"/>
              <w:rPr>
                <w:sz w:val="17"/>
                <w:szCs w:val="17"/>
                <w:color w:val="auto"/>
              </w:rPr>
            </w:pPr>
          </w:p>
        </w:tc>
        <w:tc>
          <w:tcPr>
            <w:tcW w:w="1000" w:type="dxa"/>
            <w:vAlign w:val="bottom"/>
            <w:gridSpan w:val="2"/>
            <w:shd w:val="clear" w:color="auto" w:fill="E8E8E8"/>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shd w:val="clear" w:color="auto" w:fill="E8E8E8"/>
          </w:tcPr>
          <w:p>
            <w:pPr>
              <w:spacing w:after="0"/>
              <w:rPr>
                <w:sz w:val="17"/>
                <w:szCs w:val="17"/>
                <w:color w:val="auto"/>
              </w:rPr>
            </w:pPr>
          </w:p>
        </w:tc>
        <w:tc>
          <w:tcPr>
            <w:tcW w:w="240" w:type="dxa"/>
            <w:vAlign w:val="bottom"/>
            <w:shd w:val="clear" w:color="auto" w:fill="E8E8E8"/>
          </w:tcPr>
          <w:p>
            <w:pPr>
              <w:spacing w:after="0"/>
              <w:rPr>
                <w:sz w:val="17"/>
                <w:szCs w:val="17"/>
                <w:color w:val="auto"/>
              </w:rPr>
            </w:pPr>
          </w:p>
        </w:tc>
        <w:tc>
          <w:tcPr>
            <w:tcW w:w="880" w:type="dxa"/>
            <w:vAlign w:val="bottom"/>
            <w:shd w:val="clear" w:color="auto" w:fill="E8E8E8"/>
          </w:tcPr>
          <w:p>
            <w:pPr>
              <w:jc w:val="right"/>
              <w:spacing w:after="0"/>
              <w:rPr>
                <w:sz w:val="20"/>
                <w:szCs w:val="20"/>
                <w:color w:val="auto"/>
              </w:rPr>
            </w:pPr>
            <w:r>
              <w:rPr>
                <w:rFonts w:ascii="Arial" w:cs="Arial" w:eastAsia="Arial" w:hAnsi="Arial"/>
                <w:sz w:val="16"/>
                <w:szCs w:val="16"/>
                <w:color w:val="auto"/>
              </w:rPr>
              <w:t>1,350,000</w:t>
            </w:r>
          </w:p>
        </w:tc>
        <w:tc>
          <w:tcPr>
            <w:tcW w:w="20" w:type="dxa"/>
            <w:vAlign w:val="bottom"/>
            <w:shd w:val="clear" w:color="auto" w:fill="E8E8E8"/>
          </w:tcPr>
          <w:p>
            <w:pPr>
              <w:spacing w:after="0"/>
              <w:rPr>
                <w:sz w:val="17"/>
                <w:szCs w:val="17"/>
                <w:color w:val="auto"/>
              </w:rPr>
            </w:pPr>
          </w:p>
        </w:tc>
        <w:tc>
          <w:tcPr>
            <w:tcW w:w="20" w:type="dxa"/>
            <w:vAlign w:val="bottom"/>
            <w:shd w:val="clear" w:color="auto" w:fill="E8E8E8"/>
          </w:tcPr>
          <w:p>
            <w:pPr>
              <w:spacing w:after="0"/>
              <w:rPr>
                <w:sz w:val="17"/>
                <w:szCs w:val="17"/>
                <w:color w:val="auto"/>
              </w:rPr>
            </w:pPr>
          </w:p>
        </w:tc>
        <w:tc>
          <w:tcPr>
            <w:tcW w:w="80" w:type="dxa"/>
            <w:vAlign w:val="bottom"/>
            <w:shd w:val="clear" w:color="auto" w:fill="E8E8E8"/>
          </w:tcPr>
          <w:p>
            <w:pPr>
              <w:spacing w:after="0"/>
              <w:rPr>
                <w:sz w:val="17"/>
                <w:szCs w:val="17"/>
                <w:color w:val="auto"/>
              </w:rPr>
            </w:pPr>
          </w:p>
        </w:tc>
        <w:tc>
          <w:tcPr>
            <w:tcW w:w="420" w:type="dxa"/>
            <w:vAlign w:val="bottom"/>
            <w:shd w:val="clear" w:color="auto" w:fill="E8E8E8"/>
          </w:tcPr>
          <w:p>
            <w:pPr>
              <w:ind w:lef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7"/>
        </w:trPr>
        <w:tc>
          <w:tcPr>
            <w:tcW w:w="1620" w:type="dxa"/>
            <w:vAlign w:val="bottom"/>
            <w:shd w:val="clear" w:color="auto" w:fill="E8E8E8"/>
          </w:tcPr>
          <w:p>
            <w:pPr>
              <w:spacing w:after="0"/>
              <w:rPr>
                <w:sz w:val="19"/>
                <w:szCs w:val="19"/>
                <w:color w:val="auto"/>
              </w:rPr>
            </w:pPr>
          </w:p>
        </w:tc>
        <w:tc>
          <w:tcPr>
            <w:tcW w:w="220" w:type="dxa"/>
            <w:vAlign w:val="bottom"/>
            <w:shd w:val="clear" w:color="auto" w:fill="E8E8E8"/>
          </w:tcPr>
          <w:p>
            <w:pPr>
              <w:spacing w:after="0"/>
              <w:rPr>
                <w:sz w:val="19"/>
                <w:szCs w:val="19"/>
                <w:color w:val="auto"/>
              </w:rPr>
            </w:pPr>
          </w:p>
        </w:tc>
        <w:tc>
          <w:tcPr>
            <w:tcW w:w="4120" w:type="dxa"/>
            <w:vAlign w:val="bottom"/>
            <w:shd w:val="clear" w:color="auto" w:fill="E8E8E8"/>
          </w:tcPr>
          <w:p>
            <w:pPr>
              <w:spacing w:after="0"/>
              <w:rPr>
                <w:sz w:val="20"/>
                <w:szCs w:val="20"/>
                <w:color w:val="auto"/>
              </w:rPr>
            </w:pPr>
            <w:r>
              <w:rPr>
                <w:rFonts w:ascii="Arial" w:cs="Arial" w:eastAsia="Arial" w:hAnsi="Arial"/>
                <w:sz w:val="16"/>
                <w:szCs w:val="16"/>
                <w:color w:val="auto"/>
              </w:rPr>
              <w:t>Bonus</w:t>
            </w:r>
          </w:p>
        </w:tc>
        <w:tc>
          <w:tcPr>
            <w:tcW w:w="200" w:type="dxa"/>
            <w:vAlign w:val="bottom"/>
            <w:shd w:val="clear" w:color="auto" w:fill="E8E8E8"/>
          </w:tcPr>
          <w:p>
            <w:pPr>
              <w:spacing w:after="0"/>
              <w:rPr>
                <w:sz w:val="19"/>
                <w:szCs w:val="19"/>
                <w:color w:val="auto"/>
              </w:rPr>
            </w:pPr>
          </w:p>
        </w:tc>
        <w:tc>
          <w:tcPr>
            <w:tcW w:w="940" w:type="dxa"/>
            <w:vAlign w:val="bottom"/>
            <w:shd w:val="clear" w:color="auto" w:fill="E8E8E8"/>
          </w:tcPr>
          <w:p>
            <w:pPr>
              <w:jc w:val="right"/>
              <w:spacing w:after="0"/>
              <w:rPr>
                <w:sz w:val="20"/>
                <w:szCs w:val="20"/>
                <w:color w:val="auto"/>
              </w:rPr>
            </w:pPr>
            <w:r>
              <w:rPr>
                <w:rFonts w:ascii="Arial" w:cs="Arial" w:eastAsia="Arial" w:hAnsi="Arial"/>
                <w:sz w:val="16"/>
                <w:szCs w:val="16"/>
                <w:color w:val="auto"/>
              </w:rPr>
              <w:t>3,375,000</w:t>
            </w:r>
          </w:p>
        </w:tc>
        <w:tc>
          <w:tcPr>
            <w:tcW w:w="500" w:type="dxa"/>
            <w:vAlign w:val="bottom"/>
            <w:shd w:val="clear" w:color="auto" w:fill="E8E8E8"/>
          </w:tcPr>
          <w:p>
            <w:pPr>
              <w:ind w:left="100"/>
              <w:spacing w:after="0"/>
              <w:rPr>
                <w:sz w:val="20"/>
                <w:szCs w:val="20"/>
                <w:color w:val="auto"/>
              </w:rPr>
            </w:pPr>
            <w:r>
              <w:rPr>
                <w:rFonts w:ascii="Arial" w:cs="Arial" w:eastAsia="Arial" w:hAnsi="Arial"/>
                <w:sz w:val="16"/>
                <w:szCs w:val="16"/>
                <w:color w:val="auto"/>
              </w:rPr>
              <w:t>(4)</w:t>
            </w:r>
          </w:p>
        </w:tc>
        <w:tc>
          <w:tcPr>
            <w:tcW w:w="220" w:type="dxa"/>
            <w:vAlign w:val="bottom"/>
            <w:shd w:val="clear" w:color="auto" w:fill="E8E8E8"/>
          </w:tcPr>
          <w:p>
            <w:pPr>
              <w:spacing w:after="0"/>
              <w:rPr>
                <w:sz w:val="19"/>
                <w:szCs w:val="19"/>
                <w:color w:val="auto"/>
              </w:rPr>
            </w:pPr>
          </w:p>
        </w:tc>
        <w:tc>
          <w:tcPr>
            <w:tcW w:w="1000" w:type="dxa"/>
            <w:vAlign w:val="bottom"/>
            <w:gridSpan w:val="2"/>
            <w:shd w:val="clear" w:color="auto" w:fill="E8E8E8"/>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shd w:val="clear" w:color="auto" w:fill="E8E8E8"/>
          </w:tcPr>
          <w:p>
            <w:pPr>
              <w:spacing w:after="0"/>
              <w:rPr>
                <w:sz w:val="19"/>
                <w:szCs w:val="19"/>
                <w:color w:val="auto"/>
              </w:rPr>
            </w:pPr>
          </w:p>
        </w:tc>
        <w:tc>
          <w:tcPr>
            <w:tcW w:w="240" w:type="dxa"/>
            <w:vAlign w:val="bottom"/>
            <w:shd w:val="clear" w:color="auto" w:fill="E8E8E8"/>
          </w:tcPr>
          <w:p>
            <w:pPr>
              <w:spacing w:after="0"/>
              <w:rPr>
                <w:sz w:val="19"/>
                <w:szCs w:val="19"/>
                <w:color w:val="auto"/>
              </w:rPr>
            </w:pPr>
          </w:p>
        </w:tc>
        <w:tc>
          <w:tcPr>
            <w:tcW w:w="880" w:type="dxa"/>
            <w:vAlign w:val="bottom"/>
            <w:shd w:val="clear" w:color="auto" w:fill="E8E8E8"/>
          </w:tcPr>
          <w:p>
            <w:pPr>
              <w:jc w:val="right"/>
              <w:spacing w:after="0"/>
              <w:rPr>
                <w:sz w:val="20"/>
                <w:szCs w:val="20"/>
                <w:color w:val="auto"/>
              </w:rPr>
            </w:pPr>
            <w:r>
              <w:rPr>
                <w:rFonts w:ascii="Arial" w:cs="Arial" w:eastAsia="Arial" w:hAnsi="Arial"/>
                <w:sz w:val="16"/>
                <w:szCs w:val="16"/>
                <w:color w:val="auto"/>
              </w:rPr>
              <w:t>3,375,000</w:t>
            </w:r>
          </w:p>
        </w:tc>
        <w:tc>
          <w:tcPr>
            <w:tcW w:w="20" w:type="dxa"/>
            <w:vAlign w:val="bottom"/>
            <w:shd w:val="clear" w:color="auto" w:fill="E8E8E8"/>
          </w:tcPr>
          <w:p>
            <w:pPr>
              <w:spacing w:after="0"/>
              <w:rPr>
                <w:sz w:val="19"/>
                <w:szCs w:val="19"/>
                <w:color w:val="auto"/>
              </w:rPr>
            </w:pPr>
          </w:p>
        </w:tc>
        <w:tc>
          <w:tcPr>
            <w:tcW w:w="20" w:type="dxa"/>
            <w:vAlign w:val="bottom"/>
            <w:shd w:val="clear" w:color="auto" w:fill="E8E8E8"/>
          </w:tcPr>
          <w:p>
            <w:pPr>
              <w:spacing w:after="0"/>
              <w:rPr>
                <w:sz w:val="19"/>
                <w:szCs w:val="19"/>
                <w:color w:val="auto"/>
              </w:rPr>
            </w:pPr>
          </w:p>
        </w:tc>
        <w:tc>
          <w:tcPr>
            <w:tcW w:w="80" w:type="dxa"/>
            <w:vAlign w:val="bottom"/>
            <w:shd w:val="clear" w:color="auto" w:fill="E8E8E8"/>
          </w:tcPr>
          <w:p>
            <w:pPr>
              <w:spacing w:after="0"/>
              <w:rPr>
                <w:sz w:val="19"/>
                <w:szCs w:val="19"/>
                <w:color w:val="auto"/>
              </w:rPr>
            </w:pPr>
          </w:p>
        </w:tc>
        <w:tc>
          <w:tcPr>
            <w:tcW w:w="420" w:type="dxa"/>
            <w:vAlign w:val="bottom"/>
            <w:shd w:val="clear" w:color="auto" w:fill="E8E8E8"/>
          </w:tcPr>
          <w:p>
            <w:pPr>
              <w:ind w:lef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41"/>
        </w:trPr>
        <w:tc>
          <w:tcPr>
            <w:tcW w:w="1620" w:type="dxa"/>
            <w:vAlign w:val="bottom"/>
            <w:shd w:val="clear" w:color="auto" w:fill="E8E8E8"/>
          </w:tcPr>
          <w:p>
            <w:pPr>
              <w:spacing w:after="0"/>
              <w:rPr>
                <w:sz w:val="20"/>
                <w:szCs w:val="20"/>
                <w:color w:val="auto"/>
              </w:rPr>
            </w:pPr>
          </w:p>
        </w:tc>
        <w:tc>
          <w:tcPr>
            <w:tcW w:w="220" w:type="dxa"/>
            <w:vAlign w:val="bottom"/>
            <w:shd w:val="clear" w:color="auto" w:fill="E8E8E8"/>
          </w:tcPr>
          <w:p>
            <w:pPr>
              <w:spacing w:after="0"/>
              <w:rPr>
                <w:sz w:val="20"/>
                <w:szCs w:val="20"/>
                <w:color w:val="auto"/>
              </w:rPr>
            </w:pPr>
          </w:p>
        </w:tc>
        <w:tc>
          <w:tcPr>
            <w:tcW w:w="4120" w:type="dxa"/>
            <w:vAlign w:val="bottom"/>
            <w:shd w:val="clear" w:color="auto" w:fill="E8E8E8"/>
          </w:tcPr>
          <w:p>
            <w:pPr>
              <w:spacing w:after="0"/>
              <w:rPr>
                <w:sz w:val="20"/>
                <w:szCs w:val="20"/>
                <w:color w:val="auto"/>
              </w:rPr>
            </w:pPr>
            <w:r>
              <w:rPr>
                <w:rFonts w:ascii="Arial" w:cs="Arial" w:eastAsia="Arial" w:hAnsi="Arial"/>
                <w:sz w:val="16"/>
                <w:szCs w:val="16"/>
                <w:color w:val="auto"/>
              </w:rPr>
              <w:t>Accelerated Vesting of Stock Options</w:t>
            </w:r>
          </w:p>
        </w:tc>
        <w:tc>
          <w:tcPr>
            <w:tcW w:w="200" w:type="dxa"/>
            <w:vAlign w:val="bottom"/>
            <w:shd w:val="clear" w:color="auto" w:fill="E8E8E8"/>
          </w:tcPr>
          <w:p>
            <w:pPr>
              <w:spacing w:after="0"/>
              <w:rPr>
                <w:sz w:val="20"/>
                <w:szCs w:val="20"/>
                <w:color w:val="auto"/>
              </w:rPr>
            </w:pPr>
          </w:p>
        </w:tc>
        <w:tc>
          <w:tcPr>
            <w:tcW w:w="940" w:type="dxa"/>
            <w:vAlign w:val="bottom"/>
            <w:shd w:val="clear" w:color="auto" w:fill="E8E8E8"/>
          </w:tcPr>
          <w:p>
            <w:pPr>
              <w:jc w:val="right"/>
              <w:spacing w:after="0"/>
              <w:rPr>
                <w:sz w:val="20"/>
                <w:szCs w:val="20"/>
                <w:color w:val="auto"/>
              </w:rPr>
            </w:pPr>
            <w:r>
              <w:rPr>
                <w:rFonts w:ascii="Arial" w:cs="Arial" w:eastAsia="Arial" w:hAnsi="Arial"/>
                <w:sz w:val="16"/>
                <w:szCs w:val="16"/>
                <w:color w:val="auto"/>
              </w:rPr>
              <w:t>1,893,926</w:t>
            </w:r>
          </w:p>
        </w:tc>
        <w:tc>
          <w:tcPr>
            <w:tcW w:w="500" w:type="dxa"/>
            <w:vAlign w:val="bottom"/>
            <w:shd w:val="clear" w:color="auto" w:fill="E8E8E8"/>
          </w:tcPr>
          <w:p>
            <w:pPr>
              <w:ind w:left="100"/>
              <w:spacing w:after="0"/>
              <w:rPr>
                <w:sz w:val="20"/>
                <w:szCs w:val="20"/>
                <w:color w:val="auto"/>
              </w:rPr>
            </w:pPr>
            <w:r>
              <w:rPr>
                <w:rFonts w:ascii="Arial" w:cs="Arial" w:eastAsia="Arial" w:hAnsi="Arial"/>
                <w:sz w:val="16"/>
                <w:szCs w:val="16"/>
                <w:color w:val="auto"/>
              </w:rPr>
              <w:t>(6)</w:t>
            </w:r>
          </w:p>
        </w:tc>
        <w:tc>
          <w:tcPr>
            <w:tcW w:w="220" w:type="dxa"/>
            <w:vAlign w:val="bottom"/>
            <w:shd w:val="clear" w:color="auto" w:fill="E8E8E8"/>
          </w:tcPr>
          <w:p>
            <w:pPr>
              <w:spacing w:after="0"/>
              <w:rPr>
                <w:sz w:val="20"/>
                <w:szCs w:val="20"/>
                <w:color w:val="auto"/>
              </w:rPr>
            </w:pPr>
          </w:p>
        </w:tc>
        <w:tc>
          <w:tcPr>
            <w:tcW w:w="940" w:type="dxa"/>
            <w:vAlign w:val="bottom"/>
            <w:shd w:val="clear" w:color="auto" w:fill="E8E8E8"/>
          </w:tcPr>
          <w:p>
            <w:pPr>
              <w:jc w:val="right"/>
              <w:spacing w:after="0"/>
              <w:rPr>
                <w:sz w:val="20"/>
                <w:szCs w:val="20"/>
                <w:color w:val="auto"/>
              </w:rPr>
            </w:pPr>
            <w:r>
              <w:rPr>
                <w:rFonts w:ascii="Arial" w:cs="Arial" w:eastAsia="Arial" w:hAnsi="Arial"/>
                <w:sz w:val="16"/>
                <w:szCs w:val="16"/>
                <w:color w:val="auto"/>
              </w:rPr>
              <w:t>1,893,926</w:t>
            </w:r>
          </w:p>
        </w:tc>
        <w:tc>
          <w:tcPr>
            <w:tcW w:w="60" w:type="dxa"/>
            <w:vAlign w:val="bottom"/>
            <w:shd w:val="clear" w:color="auto" w:fill="E8E8E8"/>
          </w:tcPr>
          <w:p>
            <w:pPr>
              <w:spacing w:after="0"/>
              <w:rPr>
                <w:sz w:val="20"/>
                <w:szCs w:val="20"/>
                <w:color w:val="auto"/>
              </w:rPr>
            </w:pPr>
          </w:p>
        </w:tc>
        <w:tc>
          <w:tcPr>
            <w:tcW w:w="440" w:type="dxa"/>
            <w:vAlign w:val="bottom"/>
            <w:shd w:val="clear" w:color="auto" w:fill="E8E8E8"/>
          </w:tcPr>
          <w:p>
            <w:pPr>
              <w:ind w:left="40"/>
              <w:spacing w:after="0"/>
              <w:rPr>
                <w:sz w:val="20"/>
                <w:szCs w:val="20"/>
                <w:color w:val="auto"/>
              </w:rPr>
            </w:pPr>
            <w:r>
              <w:rPr>
                <w:rFonts w:ascii="Arial" w:cs="Arial" w:eastAsia="Arial" w:hAnsi="Arial"/>
                <w:sz w:val="16"/>
                <w:szCs w:val="16"/>
                <w:color w:val="auto"/>
              </w:rPr>
              <w:t>(7)</w:t>
            </w:r>
          </w:p>
        </w:tc>
        <w:tc>
          <w:tcPr>
            <w:tcW w:w="240" w:type="dxa"/>
            <w:vAlign w:val="bottom"/>
            <w:shd w:val="clear" w:color="auto" w:fill="E8E8E8"/>
          </w:tcPr>
          <w:p>
            <w:pPr>
              <w:spacing w:after="0"/>
              <w:rPr>
                <w:sz w:val="20"/>
                <w:szCs w:val="20"/>
                <w:color w:val="auto"/>
              </w:rPr>
            </w:pPr>
          </w:p>
        </w:tc>
        <w:tc>
          <w:tcPr>
            <w:tcW w:w="880" w:type="dxa"/>
            <w:vAlign w:val="bottom"/>
            <w:shd w:val="clear" w:color="auto" w:fill="E8E8E8"/>
          </w:tcPr>
          <w:p>
            <w:pPr>
              <w:jc w:val="right"/>
              <w:spacing w:after="0"/>
              <w:rPr>
                <w:sz w:val="20"/>
                <w:szCs w:val="20"/>
                <w:color w:val="auto"/>
              </w:rPr>
            </w:pPr>
            <w:r>
              <w:rPr>
                <w:rFonts w:ascii="Arial" w:cs="Arial" w:eastAsia="Arial" w:hAnsi="Arial"/>
                <w:sz w:val="16"/>
                <w:szCs w:val="16"/>
                <w:color w:val="auto"/>
              </w:rPr>
              <w:t>1,893,926</w:t>
            </w:r>
          </w:p>
        </w:tc>
        <w:tc>
          <w:tcPr>
            <w:tcW w:w="20" w:type="dxa"/>
            <w:vAlign w:val="bottom"/>
            <w:shd w:val="clear" w:color="auto" w:fill="E8E8E8"/>
          </w:tcPr>
          <w:p>
            <w:pPr>
              <w:spacing w:after="0"/>
              <w:rPr>
                <w:sz w:val="20"/>
                <w:szCs w:val="20"/>
                <w:color w:val="auto"/>
              </w:rPr>
            </w:pPr>
          </w:p>
        </w:tc>
        <w:tc>
          <w:tcPr>
            <w:tcW w:w="20" w:type="dxa"/>
            <w:vAlign w:val="bottom"/>
            <w:shd w:val="clear" w:color="auto" w:fill="E8E8E8"/>
          </w:tcPr>
          <w:p>
            <w:pPr>
              <w:spacing w:after="0"/>
              <w:rPr>
                <w:sz w:val="20"/>
                <w:szCs w:val="20"/>
                <w:color w:val="auto"/>
              </w:rPr>
            </w:pPr>
          </w:p>
        </w:tc>
        <w:tc>
          <w:tcPr>
            <w:tcW w:w="80" w:type="dxa"/>
            <w:vAlign w:val="bottom"/>
            <w:shd w:val="clear" w:color="auto" w:fill="E8E8E8"/>
          </w:tcPr>
          <w:p>
            <w:pPr>
              <w:spacing w:after="0"/>
              <w:rPr>
                <w:sz w:val="20"/>
                <w:szCs w:val="20"/>
                <w:color w:val="auto"/>
              </w:rPr>
            </w:pPr>
          </w:p>
        </w:tc>
        <w:tc>
          <w:tcPr>
            <w:tcW w:w="420" w:type="dxa"/>
            <w:vAlign w:val="bottom"/>
            <w:shd w:val="clear" w:color="auto" w:fill="E8E8E8"/>
          </w:tcPr>
          <w:p>
            <w:pPr>
              <w:ind w:lef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41"/>
        </w:trPr>
        <w:tc>
          <w:tcPr>
            <w:tcW w:w="1620" w:type="dxa"/>
            <w:vAlign w:val="bottom"/>
            <w:shd w:val="clear" w:color="auto" w:fill="E8E8E8"/>
          </w:tcPr>
          <w:p>
            <w:pPr>
              <w:spacing w:after="0"/>
              <w:rPr>
                <w:sz w:val="20"/>
                <w:szCs w:val="20"/>
                <w:color w:val="auto"/>
              </w:rPr>
            </w:pPr>
          </w:p>
        </w:tc>
        <w:tc>
          <w:tcPr>
            <w:tcW w:w="220" w:type="dxa"/>
            <w:vAlign w:val="bottom"/>
            <w:shd w:val="clear" w:color="auto" w:fill="E8E8E8"/>
          </w:tcPr>
          <w:p>
            <w:pPr>
              <w:spacing w:after="0"/>
              <w:rPr>
                <w:sz w:val="20"/>
                <w:szCs w:val="20"/>
                <w:color w:val="auto"/>
              </w:rPr>
            </w:pPr>
          </w:p>
        </w:tc>
        <w:tc>
          <w:tcPr>
            <w:tcW w:w="4120" w:type="dxa"/>
            <w:vAlign w:val="bottom"/>
            <w:shd w:val="clear" w:color="auto" w:fill="E8E8E8"/>
          </w:tcPr>
          <w:p>
            <w:pPr>
              <w:spacing w:after="0"/>
              <w:rPr>
                <w:sz w:val="20"/>
                <w:szCs w:val="20"/>
                <w:color w:val="auto"/>
              </w:rPr>
            </w:pPr>
            <w:r>
              <w:rPr>
                <w:rFonts w:ascii="Arial" w:cs="Arial" w:eastAsia="Arial" w:hAnsi="Arial"/>
                <w:sz w:val="16"/>
                <w:szCs w:val="16"/>
                <w:color w:val="auto"/>
              </w:rPr>
              <w:t>Accelerated Vesting of RSUs</w:t>
            </w:r>
          </w:p>
        </w:tc>
        <w:tc>
          <w:tcPr>
            <w:tcW w:w="200" w:type="dxa"/>
            <w:vAlign w:val="bottom"/>
            <w:shd w:val="clear" w:color="auto" w:fill="E8E8E8"/>
          </w:tcPr>
          <w:p>
            <w:pPr>
              <w:spacing w:after="0"/>
              <w:rPr>
                <w:sz w:val="20"/>
                <w:szCs w:val="20"/>
                <w:color w:val="auto"/>
              </w:rPr>
            </w:pPr>
          </w:p>
        </w:tc>
        <w:tc>
          <w:tcPr>
            <w:tcW w:w="940" w:type="dxa"/>
            <w:vAlign w:val="bottom"/>
            <w:shd w:val="clear" w:color="auto" w:fill="E8E8E8"/>
          </w:tcPr>
          <w:p>
            <w:pPr>
              <w:jc w:val="right"/>
              <w:spacing w:after="0"/>
              <w:rPr>
                <w:sz w:val="20"/>
                <w:szCs w:val="20"/>
                <w:color w:val="auto"/>
              </w:rPr>
            </w:pPr>
            <w:r>
              <w:rPr>
                <w:rFonts w:ascii="Arial" w:cs="Arial" w:eastAsia="Arial" w:hAnsi="Arial"/>
                <w:sz w:val="16"/>
                <w:szCs w:val="16"/>
                <w:color w:val="auto"/>
              </w:rPr>
              <w:t>5,983,844</w:t>
            </w:r>
          </w:p>
        </w:tc>
        <w:tc>
          <w:tcPr>
            <w:tcW w:w="500" w:type="dxa"/>
            <w:vAlign w:val="bottom"/>
            <w:shd w:val="clear" w:color="auto" w:fill="E8E8E8"/>
          </w:tcPr>
          <w:p>
            <w:pPr>
              <w:ind w:left="100"/>
              <w:spacing w:after="0"/>
              <w:rPr>
                <w:sz w:val="20"/>
                <w:szCs w:val="20"/>
                <w:color w:val="auto"/>
              </w:rPr>
            </w:pPr>
            <w:r>
              <w:rPr>
                <w:rFonts w:ascii="Arial" w:cs="Arial" w:eastAsia="Arial" w:hAnsi="Arial"/>
                <w:sz w:val="16"/>
                <w:szCs w:val="16"/>
                <w:color w:val="auto"/>
              </w:rPr>
              <w:t>(9)</w:t>
            </w:r>
          </w:p>
        </w:tc>
        <w:tc>
          <w:tcPr>
            <w:tcW w:w="220" w:type="dxa"/>
            <w:vAlign w:val="bottom"/>
            <w:shd w:val="clear" w:color="auto" w:fill="E8E8E8"/>
          </w:tcPr>
          <w:p>
            <w:pPr>
              <w:spacing w:after="0"/>
              <w:rPr>
                <w:sz w:val="20"/>
                <w:szCs w:val="20"/>
                <w:color w:val="auto"/>
              </w:rPr>
            </w:pPr>
          </w:p>
        </w:tc>
        <w:tc>
          <w:tcPr>
            <w:tcW w:w="940" w:type="dxa"/>
            <w:vAlign w:val="bottom"/>
            <w:shd w:val="clear" w:color="auto" w:fill="E8E8E8"/>
          </w:tcPr>
          <w:p>
            <w:pPr>
              <w:jc w:val="right"/>
              <w:spacing w:after="0"/>
              <w:rPr>
                <w:sz w:val="20"/>
                <w:szCs w:val="20"/>
                <w:color w:val="auto"/>
              </w:rPr>
            </w:pPr>
            <w:r>
              <w:rPr>
                <w:rFonts w:ascii="Arial" w:cs="Arial" w:eastAsia="Arial" w:hAnsi="Arial"/>
                <w:sz w:val="16"/>
                <w:szCs w:val="16"/>
                <w:color w:val="auto"/>
              </w:rPr>
              <w:t>5,983,844</w:t>
            </w:r>
          </w:p>
        </w:tc>
        <w:tc>
          <w:tcPr>
            <w:tcW w:w="60" w:type="dxa"/>
            <w:vAlign w:val="bottom"/>
            <w:shd w:val="clear" w:color="auto" w:fill="E8E8E8"/>
          </w:tcPr>
          <w:p>
            <w:pPr>
              <w:spacing w:after="0"/>
              <w:rPr>
                <w:sz w:val="20"/>
                <w:szCs w:val="20"/>
                <w:color w:val="auto"/>
              </w:rPr>
            </w:pPr>
          </w:p>
        </w:tc>
        <w:tc>
          <w:tcPr>
            <w:tcW w:w="440" w:type="dxa"/>
            <w:vAlign w:val="bottom"/>
            <w:shd w:val="clear" w:color="auto" w:fill="E8E8E8"/>
          </w:tcPr>
          <w:p>
            <w:pPr>
              <w:ind w:left="40"/>
              <w:spacing w:after="0"/>
              <w:rPr>
                <w:sz w:val="20"/>
                <w:szCs w:val="20"/>
                <w:color w:val="auto"/>
              </w:rPr>
            </w:pPr>
            <w:r>
              <w:rPr>
                <w:rFonts w:ascii="Arial" w:cs="Arial" w:eastAsia="Arial" w:hAnsi="Arial"/>
                <w:sz w:val="16"/>
                <w:szCs w:val="16"/>
                <w:color w:val="auto"/>
              </w:rPr>
              <w:t>(10)</w:t>
            </w:r>
          </w:p>
        </w:tc>
        <w:tc>
          <w:tcPr>
            <w:tcW w:w="240" w:type="dxa"/>
            <w:vAlign w:val="bottom"/>
            <w:shd w:val="clear" w:color="auto" w:fill="E8E8E8"/>
          </w:tcPr>
          <w:p>
            <w:pPr>
              <w:spacing w:after="0"/>
              <w:rPr>
                <w:sz w:val="20"/>
                <w:szCs w:val="20"/>
                <w:color w:val="auto"/>
              </w:rPr>
            </w:pPr>
          </w:p>
        </w:tc>
        <w:tc>
          <w:tcPr>
            <w:tcW w:w="880" w:type="dxa"/>
            <w:vAlign w:val="bottom"/>
            <w:shd w:val="clear" w:color="auto" w:fill="E8E8E8"/>
          </w:tcPr>
          <w:p>
            <w:pPr>
              <w:jc w:val="right"/>
              <w:spacing w:after="0"/>
              <w:rPr>
                <w:sz w:val="20"/>
                <w:szCs w:val="20"/>
                <w:color w:val="auto"/>
              </w:rPr>
            </w:pPr>
            <w:r>
              <w:rPr>
                <w:rFonts w:ascii="Arial" w:cs="Arial" w:eastAsia="Arial" w:hAnsi="Arial"/>
                <w:sz w:val="16"/>
                <w:szCs w:val="16"/>
                <w:color w:val="auto"/>
              </w:rPr>
              <w:t>5,983,844</w:t>
            </w:r>
          </w:p>
        </w:tc>
        <w:tc>
          <w:tcPr>
            <w:tcW w:w="20" w:type="dxa"/>
            <w:vAlign w:val="bottom"/>
            <w:shd w:val="clear" w:color="auto" w:fill="E8E8E8"/>
          </w:tcPr>
          <w:p>
            <w:pPr>
              <w:spacing w:after="0"/>
              <w:rPr>
                <w:sz w:val="20"/>
                <w:szCs w:val="20"/>
                <w:color w:val="auto"/>
              </w:rPr>
            </w:pPr>
          </w:p>
        </w:tc>
        <w:tc>
          <w:tcPr>
            <w:tcW w:w="20" w:type="dxa"/>
            <w:vAlign w:val="bottom"/>
            <w:shd w:val="clear" w:color="auto" w:fill="E8E8E8"/>
          </w:tcPr>
          <w:p>
            <w:pPr>
              <w:spacing w:after="0"/>
              <w:rPr>
                <w:sz w:val="20"/>
                <w:szCs w:val="20"/>
                <w:color w:val="auto"/>
              </w:rPr>
            </w:pPr>
          </w:p>
        </w:tc>
        <w:tc>
          <w:tcPr>
            <w:tcW w:w="80" w:type="dxa"/>
            <w:vAlign w:val="bottom"/>
            <w:shd w:val="clear" w:color="auto" w:fill="E8E8E8"/>
          </w:tcPr>
          <w:p>
            <w:pPr>
              <w:spacing w:after="0"/>
              <w:rPr>
                <w:sz w:val="20"/>
                <w:szCs w:val="20"/>
                <w:color w:val="auto"/>
              </w:rPr>
            </w:pPr>
          </w:p>
        </w:tc>
        <w:tc>
          <w:tcPr>
            <w:tcW w:w="420" w:type="dxa"/>
            <w:vAlign w:val="bottom"/>
            <w:shd w:val="clear" w:color="auto" w:fill="E8E8E8"/>
          </w:tcPr>
          <w:p>
            <w:pPr>
              <w:ind w:lef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41"/>
        </w:trPr>
        <w:tc>
          <w:tcPr>
            <w:tcW w:w="1620" w:type="dxa"/>
            <w:vAlign w:val="bottom"/>
            <w:shd w:val="clear" w:color="auto" w:fill="E8E8E8"/>
          </w:tcPr>
          <w:p>
            <w:pPr>
              <w:spacing w:after="0"/>
              <w:rPr>
                <w:sz w:val="20"/>
                <w:szCs w:val="20"/>
                <w:color w:val="auto"/>
              </w:rPr>
            </w:pPr>
          </w:p>
        </w:tc>
        <w:tc>
          <w:tcPr>
            <w:tcW w:w="220" w:type="dxa"/>
            <w:vAlign w:val="bottom"/>
            <w:shd w:val="clear" w:color="auto" w:fill="E8E8E8"/>
          </w:tcPr>
          <w:p>
            <w:pPr>
              <w:spacing w:after="0"/>
              <w:rPr>
                <w:sz w:val="20"/>
                <w:szCs w:val="20"/>
                <w:color w:val="auto"/>
              </w:rPr>
            </w:pPr>
          </w:p>
        </w:tc>
        <w:tc>
          <w:tcPr>
            <w:tcW w:w="4120" w:type="dxa"/>
            <w:vAlign w:val="bottom"/>
            <w:shd w:val="clear" w:color="auto" w:fill="E8E8E8"/>
          </w:tcPr>
          <w:p>
            <w:pPr>
              <w:spacing w:after="0"/>
              <w:rPr>
                <w:sz w:val="20"/>
                <w:szCs w:val="20"/>
                <w:color w:val="auto"/>
              </w:rPr>
            </w:pPr>
            <w:r>
              <w:rPr>
                <w:rFonts w:ascii="Arial" w:cs="Arial" w:eastAsia="Arial" w:hAnsi="Arial"/>
                <w:sz w:val="16"/>
                <w:szCs w:val="16"/>
                <w:color w:val="auto"/>
              </w:rPr>
              <w:t>Accelerated Vesting of PSUs</w:t>
            </w:r>
          </w:p>
        </w:tc>
        <w:tc>
          <w:tcPr>
            <w:tcW w:w="200" w:type="dxa"/>
            <w:vAlign w:val="bottom"/>
            <w:shd w:val="clear" w:color="auto" w:fill="E8E8E8"/>
          </w:tcPr>
          <w:p>
            <w:pPr>
              <w:spacing w:after="0"/>
              <w:rPr>
                <w:sz w:val="20"/>
                <w:szCs w:val="20"/>
                <w:color w:val="auto"/>
              </w:rPr>
            </w:pPr>
          </w:p>
        </w:tc>
        <w:tc>
          <w:tcPr>
            <w:tcW w:w="940" w:type="dxa"/>
            <w:vAlign w:val="bottom"/>
            <w:shd w:val="clear" w:color="auto" w:fill="E8E8E8"/>
          </w:tcPr>
          <w:p>
            <w:pPr>
              <w:jc w:val="right"/>
              <w:spacing w:after="0"/>
              <w:rPr>
                <w:sz w:val="20"/>
                <w:szCs w:val="20"/>
                <w:color w:val="auto"/>
              </w:rPr>
            </w:pPr>
            <w:r>
              <w:rPr>
                <w:rFonts w:ascii="Arial" w:cs="Arial" w:eastAsia="Arial" w:hAnsi="Arial"/>
                <w:sz w:val="16"/>
                <w:szCs w:val="16"/>
                <w:color w:val="auto"/>
              </w:rPr>
              <w:t>9,130,413</w:t>
            </w:r>
          </w:p>
        </w:tc>
        <w:tc>
          <w:tcPr>
            <w:tcW w:w="500" w:type="dxa"/>
            <w:vAlign w:val="bottom"/>
            <w:shd w:val="clear" w:color="auto" w:fill="E8E8E8"/>
          </w:tcPr>
          <w:p>
            <w:pPr>
              <w:ind w:left="100"/>
              <w:spacing w:after="0"/>
              <w:rPr>
                <w:sz w:val="20"/>
                <w:szCs w:val="20"/>
                <w:color w:val="auto"/>
              </w:rPr>
            </w:pPr>
            <w:r>
              <w:rPr>
                <w:rFonts w:ascii="Arial" w:cs="Arial" w:eastAsia="Arial" w:hAnsi="Arial"/>
                <w:sz w:val="16"/>
                <w:szCs w:val="16"/>
                <w:color w:val="auto"/>
              </w:rPr>
              <w:t>(12)</w:t>
            </w:r>
          </w:p>
        </w:tc>
        <w:tc>
          <w:tcPr>
            <w:tcW w:w="220" w:type="dxa"/>
            <w:vAlign w:val="bottom"/>
            <w:shd w:val="clear" w:color="auto" w:fill="E8E8E8"/>
          </w:tcPr>
          <w:p>
            <w:pPr>
              <w:spacing w:after="0"/>
              <w:rPr>
                <w:sz w:val="20"/>
                <w:szCs w:val="20"/>
                <w:color w:val="auto"/>
              </w:rPr>
            </w:pPr>
          </w:p>
        </w:tc>
        <w:tc>
          <w:tcPr>
            <w:tcW w:w="940" w:type="dxa"/>
            <w:vAlign w:val="bottom"/>
            <w:shd w:val="clear" w:color="auto" w:fill="E8E8E8"/>
          </w:tcPr>
          <w:p>
            <w:pPr>
              <w:jc w:val="right"/>
              <w:spacing w:after="0"/>
              <w:rPr>
                <w:sz w:val="20"/>
                <w:szCs w:val="20"/>
                <w:color w:val="auto"/>
              </w:rPr>
            </w:pPr>
            <w:r>
              <w:rPr>
                <w:rFonts w:ascii="Arial" w:cs="Arial" w:eastAsia="Arial" w:hAnsi="Arial"/>
                <w:sz w:val="16"/>
                <w:szCs w:val="16"/>
                <w:color w:val="auto"/>
              </w:rPr>
              <w:t>9,130,413</w:t>
            </w:r>
          </w:p>
        </w:tc>
        <w:tc>
          <w:tcPr>
            <w:tcW w:w="60" w:type="dxa"/>
            <w:vAlign w:val="bottom"/>
            <w:shd w:val="clear" w:color="auto" w:fill="E8E8E8"/>
          </w:tcPr>
          <w:p>
            <w:pPr>
              <w:spacing w:after="0"/>
              <w:rPr>
                <w:sz w:val="20"/>
                <w:szCs w:val="20"/>
                <w:color w:val="auto"/>
              </w:rPr>
            </w:pPr>
          </w:p>
        </w:tc>
        <w:tc>
          <w:tcPr>
            <w:tcW w:w="440" w:type="dxa"/>
            <w:vAlign w:val="bottom"/>
            <w:shd w:val="clear" w:color="auto" w:fill="E8E8E8"/>
          </w:tcPr>
          <w:p>
            <w:pPr>
              <w:ind w:left="40"/>
              <w:spacing w:after="0"/>
              <w:rPr>
                <w:sz w:val="20"/>
                <w:szCs w:val="20"/>
                <w:color w:val="auto"/>
              </w:rPr>
            </w:pPr>
            <w:r>
              <w:rPr>
                <w:rFonts w:ascii="Arial" w:cs="Arial" w:eastAsia="Arial" w:hAnsi="Arial"/>
                <w:sz w:val="16"/>
                <w:szCs w:val="16"/>
                <w:color w:val="auto"/>
              </w:rPr>
              <w:t>(13)</w:t>
            </w:r>
          </w:p>
        </w:tc>
        <w:tc>
          <w:tcPr>
            <w:tcW w:w="240" w:type="dxa"/>
            <w:vAlign w:val="bottom"/>
            <w:shd w:val="clear" w:color="auto" w:fill="E8E8E8"/>
          </w:tcPr>
          <w:p>
            <w:pPr>
              <w:spacing w:after="0"/>
              <w:rPr>
                <w:sz w:val="20"/>
                <w:szCs w:val="20"/>
                <w:color w:val="auto"/>
              </w:rPr>
            </w:pPr>
          </w:p>
        </w:tc>
        <w:tc>
          <w:tcPr>
            <w:tcW w:w="880" w:type="dxa"/>
            <w:vAlign w:val="bottom"/>
            <w:shd w:val="clear" w:color="auto" w:fill="E8E8E8"/>
          </w:tcPr>
          <w:p>
            <w:pPr>
              <w:jc w:val="right"/>
              <w:spacing w:after="0"/>
              <w:rPr>
                <w:sz w:val="20"/>
                <w:szCs w:val="20"/>
                <w:color w:val="auto"/>
              </w:rPr>
            </w:pPr>
            <w:r>
              <w:rPr>
                <w:rFonts w:ascii="Arial" w:cs="Arial" w:eastAsia="Arial" w:hAnsi="Arial"/>
                <w:sz w:val="16"/>
                <w:szCs w:val="16"/>
                <w:color w:val="auto"/>
              </w:rPr>
              <w:t>9,130,413</w:t>
            </w:r>
          </w:p>
        </w:tc>
        <w:tc>
          <w:tcPr>
            <w:tcW w:w="20" w:type="dxa"/>
            <w:vAlign w:val="bottom"/>
            <w:shd w:val="clear" w:color="auto" w:fill="E8E8E8"/>
          </w:tcPr>
          <w:p>
            <w:pPr>
              <w:spacing w:after="0"/>
              <w:rPr>
                <w:sz w:val="20"/>
                <w:szCs w:val="20"/>
                <w:color w:val="auto"/>
              </w:rPr>
            </w:pPr>
          </w:p>
        </w:tc>
        <w:tc>
          <w:tcPr>
            <w:tcW w:w="20" w:type="dxa"/>
            <w:vAlign w:val="bottom"/>
            <w:shd w:val="clear" w:color="auto" w:fill="E8E8E8"/>
          </w:tcPr>
          <w:p>
            <w:pPr>
              <w:spacing w:after="0"/>
              <w:rPr>
                <w:sz w:val="20"/>
                <w:szCs w:val="20"/>
                <w:color w:val="auto"/>
              </w:rPr>
            </w:pPr>
          </w:p>
        </w:tc>
        <w:tc>
          <w:tcPr>
            <w:tcW w:w="80" w:type="dxa"/>
            <w:vAlign w:val="bottom"/>
            <w:shd w:val="clear" w:color="auto" w:fill="E8E8E8"/>
          </w:tcPr>
          <w:p>
            <w:pPr>
              <w:spacing w:after="0"/>
              <w:rPr>
                <w:sz w:val="20"/>
                <w:szCs w:val="20"/>
                <w:color w:val="auto"/>
              </w:rPr>
            </w:pPr>
          </w:p>
        </w:tc>
        <w:tc>
          <w:tcPr>
            <w:tcW w:w="420" w:type="dxa"/>
            <w:vAlign w:val="bottom"/>
            <w:shd w:val="clear" w:color="auto" w:fill="E8E8E8"/>
          </w:tcPr>
          <w:p>
            <w:pPr>
              <w:ind w:lef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03"/>
        </w:trPr>
        <w:tc>
          <w:tcPr>
            <w:tcW w:w="1620" w:type="dxa"/>
            <w:vAlign w:val="bottom"/>
            <w:tcBorders>
              <w:bottom w:val="single" w:sz="8" w:color="E8E8E8"/>
            </w:tcBorders>
            <w:shd w:val="clear" w:color="auto" w:fill="E8E8E8"/>
          </w:tcPr>
          <w:p>
            <w:pPr>
              <w:spacing w:after="0"/>
              <w:rPr>
                <w:sz w:val="24"/>
                <w:szCs w:val="24"/>
                <w:color w:val="auto"/>
              </w:rPr>
            </w:pPr>
          </w:p>
        </w:tc>
        <w:tc>
          <w:tcPr>
            <w:tcW w:w="220" w:type="dxa"/>
            <w:vAlign w:val="bottom"/>
            <w:tcBorders>
              <w:bottom w:val="single" w:sz="8" w:color="E8E8E8"/>
            </w:tcBorders>
            <w:shd w:val="clear" w:color="auto" w:fill="E8E8E8"/>
          </w:tcPr>
          <w:p>
            <w:pPr>
              <w:spacing w:after="0"/>
              <w:rPr>
                <w:sz w:val="24"/>
                <w:szCs w:val="24"/>
                <w:color w:val="auto"/>
              </w:rPr>
            </w:pPr>
          </w:p>
        </w:tc>
        <w:tc>
          <w:tcPr>
            <w:tcW w:w="4120" w:type="dxa"/>
            <w:vAlign w:val="bottom"/>
            <w:tcBorders>
              <w:bottom w:val="single" w:sz="8" w:color="E8E8E8"/>
            </w:tcBorders>
            <w:shd w:val="clear" w:color="auto" w:fill="E8E8E8"/>
          </w:tcPr>
          <w:p>
            <w:pPr>
              <w:spacing w:after="0"/>
              <w:rPr>
                <w:sz w:val="20"/>
                <w:szCs w:val="20"/>
                <w:color w:val="auto"/>
              </w:rPr>
            </w:pPr>
            <w:r>
              <w:rPr>
                <w:rFonts w:ascii="Arial" w:cs="Arial" w:eastAsia="Arial" w:hAnsi="Arial"/>
                <w:sz w:val="16"/>
                <w:szCs w:val="16"/>
                <w:color w:val="auto"/>
              </w:rPr>
              <w:t>Group Benefit Continuation</w:t>
            </w:r>
          </w:p>
        </w:tc>
        <w:tc>
          <w:tcPr>
            <w:tcW w:w="200" w:type="dxa"/>
            <w:vAlign w:val="bottom"/>
            <w:tcBorders>
              <w:bottom w:val="single" w:sz="8" w:color="E8E8E8"/>
            </w:tcBorders>
            <w:shd w:val="clear" w:color="auto" w:fill="E8E8E8"/>
          </w:tcPr>
          <w:p>
            <w:pPr>
              <w:spacing w:after="0"/>
              <w:rPr>
                <w:sz w:val="24"/>
                <w:szCs w:val="24"/>
                <w:color w:val="auto"/>
              </w:rPr>
            </w:pPr>
          </w:p>
        </w:tc>
        <w:tc>
          <w:tcPr>
            <w:tcW w:w="94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27,965</w:t>
            </w:r>
          </w:p>
        </w:tc>
        <w:tc>
          <w:tcPr>
            <w:tcW w:w="500" w:type="dxa"/>
            <w:vAlign w:val="bottom"/>
            <w:tcBorders>
              <w:bottom w:val="single" w:sz="8" w:color="E8E8E8"/>
            </w:tcBorders>
            <w:shd w:val="clear" w:color="auto" w:fill="E8E8E8"/>
          </w:tcPr>
          <w:p>
            <w:pPr>
              <w:ind w:left="100"/>
              <w:spacing w:after="0"/>
              <w:rPr>
                <w:sz w:val="20"/>
                <w:szCs w:val="20"/>
                <w:color w:val="auto"/>
              </w:rPr>
            </w:pPr>
            <w:r>
              <w:rPr>
                <w:rFonts w:ascii="Arial" w:cs="Arial" w:eastAsia="Arial" w:hAnsi="Arial"/>
                <w:sz w:val="16"/>
                <w:szCs w:val="16"/>
                <w:color w:val="auto"/>
              </w:rPr>
              <w:t>(15)</w:t>
            </w:r>
          </w:p>
        </w:tc>
        <w:tc>
          <w:tcPr>
            <w:tcW w:w="220" w:type="dxa"/>
            <w:vAlign w:val="bottom"/>
            <w:tcBorders>
              <w:bottom w:val="single" w:sz="8" w:color="E8E8E8"/>
            </w:tcBorders>
            <w:shd w:val="clear" w:color="auto" w:fill="E8E8E8"/>
          </w:tcPr>
          <w:p>
            <w:pPr>
              <w:spacing w:after="0"/>
              <w:rPr>
                <w:sz w:val="24"/>
                <w:szCs w:val="24"/>
                <w:color w:val="auto"/>
              </w:rPr>
            </w:pPr>
          </w:p>
        </w:tc>
        <w:tc>
          <w:tcPr>
            <w:tcW w:w="1000" w:type="dxa"/>
            <w:vAlign w:val="bottom"/>
            <w:tcBorders>
              <w:bottom w:val="single" w:sz="8" w:color="E8E8E8"/>
            </w:tcBorders>
            <w:gridSpan w:val="2"/>
            <w:shd w:val="clear" w:color="auto" w:fill="E8E8E8"/>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E8E8E8"/>
            </w:tcBorders>
            <w:shd w:val="clear" w:color="auto" w:fill="E8E8E8"/>
          </w:tcPr>
          <w:p>
            <w:pPr>
              <w:spacing w:after="0"/>
              <w:rPr>
                <w:sz w:val="24"/>
                <w:szCs w:val="24"/>
                <w:color w:val="auto"/>
              </w:rPr>
            </w:pPr>
          </w:p>
        </w:tc>
        <w:tc>
          <w:tcPr>
            <w:tcW w:w="240" w:type="dxa"/>
            <w:vAlign w:val="bottom"/>
            <w:tcBorders>
              <w:bottom w:val="single" w:sz="8" w:color="E8E8E8"/>
            </w:tcBorders>
            <w:shd w:val="clear" w:color="auto" w:fill="E8E8E8"/>
          </w:tcPr>
          <w:p>
            <w:pPr>
              <w:spacing w:after="0"/>
              <w:rPr>
                <w:sz w:val="24"/>
                <w:szCs w:val="24"/>
                <w:color w:val="auto"/>
              </w:rPr>
            </w:pPr>
          </w:p>
        </w:tc>
        <w:tc>
          <w:tcPr>
            <w:tcW w:w="88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41,948</w:t>
            </w:r>
          </w:p>
        </w:tc>
        <w:tc>
          <w:tcPr>
            <w:tcW w:w="20" w:type="dxa"/>
            <w:vAlign w:val="bottom"/>
            <w:tcBorders>
              <w:bottom w:val="single" w:sz="8" w:color="E8E8E8"/>
            </w:tcBorders>
            <w:shd w:val="clear" w:color="auto" w:fill="E8E8E8"/>
          </w:tcPr>
          <w:p>
            <w:pPr>
              <w:spacing w:after="0"/>
              <w:rPr>
                <w:sz w:val="24"/>
                <w:szCs w:val="24"/>
                <w:color w:val="auto"/>
              </w:rPr>
            </w:pPr>
          </w:p>
        </w:tc>
        <w:tc>
          <w:tcPr>
            <w:tcW w:w="20" w:type="dxa"/>
            <w:vAlign w:val="bottom"/>
            <w:tcBorders>
              <w:bottom w:val="single" w:sz="8" w:color="E8E8E8"/>
            </w:tcBorders>
            <w:shd w:val="clear" w:color="auto" w:fill="E8E8E8"/>
          </w:tcPr>
          <w:p>
            <w:pPr>
              <w:spacing w:after="0"/>
              <w:rPr>
                <w:sz w:val="24"/>
                <w:szCs w:val="24"/>
                <w:color w:val="auto"/>
              </w:rPr>
            </w:pPr>
          </w:p>
        </w:tc>
        <w:tc>
          <w:tcPr>
            <w:tcW w:w="80" w:type="dxa"/>
            <w:vAlign w:val="bottom"/>
            <w:tcBorders>
              <w:bottom w:val="single" w:sz="8" w:color="E8E8E8"/>
            </w:tcBorders>
            <w:shd w:val="clear" w:color="auto" w:fill="E8E8E8"/>
          </w:tcPr>
          <w:p>
            <w:pPr>
              <w:spacing w:after="0"/>
              <w:rPr>
                <w:sz w:val="24"/>
                <w:szCs w:val="24"/>
                <w:color w:val="auto"/>
              </w:rPr>
            </w:pPr>
          </w:p>
        </w:tc>
        <w:tc>
          <w:tcPr>
            <w:tcW w:w="420" w:type="dxa"/>
            <w:vAlign w:val="bottom"/>
            <w:tcBorders>
              <w:bottom w:val="single" w:sz="8" w:color="E8E8E8"/>
            </w:tcBorders>
            <w:shd w:val="clear" w:color="auto" w:fill="E8E8E8"/>
          </w:tcPr>
          <w:p>
            <w:pPr>
              <w:ind w:lef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4"/>
        </w:trPr>
        <w:tc>
          <w:tcPr>
            <w:tcW w:w="1620" w:type="dxa"/>
            <w:vAlign w:val="bottom"/>
            <w:tcBorders>
              <w:top w:val="single" w:sz="8" w:color="E8E8E8"/>
              <w:bottom w:val="single" w:sz="8" w:color="E8E8E8"/>
            </w:tcBorders>
            <w:shd w:val="clear" w:color="auto" w:fill="E8E8E8"/>
          </w:tcPr>
          <w:p>
            <w:pPr>
              <w:spacing w:after="0"/>
              <w:rPr>
                <w:sz w:val="18"/>
                <w:szCs w:val="18"/>
                <w:color w:val="auto"/>
              </w:rPr>
            </w:pPr>
          </w:p>
        </w:tc>
        <w:tc>
          <w:tcPr>
            <w:tcW w:w="220" w:type="dxa"/>
            <w:vAlign w:val="bottom"/>
            <w:tcBorders>
              <w:top w:val="single" w:sz="8" w:color="E8E8E8"/>
              <w:bottom w:val="single" w:sz="8" w:color="E8E8E8"/>
            </w:tcBorders>
            <w:shd w:val="clear" w:color="auto" w:fill="E8E8E8"/>
          </w:tcPr>
          <w:p>
            <w:pPr>
              <w:spacing w:after="0"/>
              <w:rPr>
                <w:sz w:val="18"/>
                <w:szCs w:val="18"/>
                <w:color w:val="auto"/>
              </w:rPr>
            </w:pPr>
          </w:p>
        </w:tc>
        <w:tc>
          <w:tcPr>
            <w:tcW w:w="4120" w:type="dxa"/>
            <w:vAlign w:val="bottom"/>
            <w:tcBorders>
              <w:top w:val="single" w:sz="8" w:color="E8E8E8"/>
              <w:bottom w:val="single" w:sz="8" w:color="E8E8E8"/>
            </w:tcBorders>
            <w:shd w:val="clear" w:color="auto" w:fill="E8E8E8"/>
          </w:tcPr>
          <w:p>
            <w:pPr>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21,311,148</w:t>
            </w:r>
          </w:p>
        </w:tc>
        <w:tc>
          <w:tcPr>
            <w:tcW w:w="500" w:type="dxa"/>
            <w:vAlign w:val="bottom"/>
            <w:tcBorders>
              <w:top w:val="single" w:sz="8" w:color="E8E8E8"/>
              <w:bottom w:val="single" w:sz="8" w:color="E8E8E8"/>
            </w:tcBorders>
            <w:shd w:val="clear" w:color="auto" w:fill="E8E8E8"/>
          </w:tcPr>
          <w:p>
            <w:pPr>
              <w:spacing w:after="0"/>
              <w:rPr>
                <w:sz w:val="18"/>
                <w:szCs w:val="18"/>
                <w:color w:val="auto"/>
              </w:rPr>
            </w:pPr>
          </w:p>
        </w:tc>
        <w:tc>
          <w:tcPr>
            <w:tcW w:w="220" w:type="dxa"/>
            <w:vAlign w:val="bottom"/>
            <w:tcBorders>
              <w:top w:val="single" w:sz="8" w:color="auto"/>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17,008,183</w:t>
            </w:r>
          </w:p>
        </w:tc>
        <w:tc>
          <w:tcPr>
            <w:tcW w:w="60" w:type="dxa"/>
            <w:vAlign w:val="bottom"/>
            <w:tcBorders>
              <w:top w:val="single" w:sz="8" w:color="E8E8E8"/>
              <w:bottom w:val="single" w:sz="8" w:color="E8E8E8"/>
            </w:tcBorders>
            <w:shd w:val="clear" w:color="auto" w:fill="E8E8E8"/>
          </w:tcPr>
          <w:p>
            <w:pPr>
              <w:spacing w:after="0"/>
              <w:rPr>
                <w:sz w:val="18"/>
                <w:szCs w:val="18"/>
                <w:color w:val="auto"/>
              </w:rPr>
            </w:pPr>
          </w:p>
        </w:tc>
        <w:tc>
          <w:tcPr>
            <w:tcW w:w="440" w:type="dxa"/>
            <w:vAlign w:val="bottom"/>
            <w:tcBorders>
              <w:top w:val="single" w:sz="8" w:color="E8E8E8"/>
              <w:bottom w:val="single" w:sz="8" w:color="E8E8E8"/>
            </w:tcBorders>
            <w:shd w:val="clear" w:color="auto" w:fill="E8E8E8"/>
          </w:tcPr>
          <w:p>
            <w:pPr>
              <w:spacing w:after="0"/>
              <w:rPr>
                <w:sz w:val="18"/>
                <w:szCs w:val="18"/>
                <w:color w:val="auto"/>
              </w:rPr>
            </w:pPr>
          </w:p>
        </w:tc>
        <w:tc>
          <w:tcPr>
            <w:tcW w:w="240" w:type="dxa"/>
            <w:vAlign w:val="bottom"/>
            <w:tcBorders>
              <w:top w:val="single" w:sz="8" w:color="auto"/>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21,775,131</w:t>
            </w:r>
          </w:p>
        </w:tc>
        <w:tc>
          <w:tcPr>
            <w:tcW w:w="20" w:type="dxa"/>
            <w:vAlign w:val="bottom"/>
            <w:tcBorders>
              <w:top w:val="single" w:sz="8" w:color="auto"/>
              <w:bottom w:val="single" w:sz="8" w:color="E8E8E8"/>
            </w:tcBorders>
            <w:shd w:val="clear" w:color="auto" w:fill="E8E8E8"/>
          </w:tcPr>
          <w:p>
            <w:pPr>
              <w:spacing w:after="0"/>
              <w:rPr>
                <w:sz w:val="18"/>
                <w:szCs w:val="18"/>
                <w:color w:val="auto"/>
              </w:rPr>
            </w:pPr>
          </w:p>
        </w:tc>
        <w:tc>
          <w:tcPr>
            <w:tcW w:w="20" w:type="dxa"/>
            <w:vAlign w:val="bottom"/>
            <w:tcBorders>
              <w:top w:val="single" w:sz="8" w:color="auto"/>
              <w:bottom w:val="single" w:sz="8" w:color="E8E8E8"/>
            </w:tcBorders>
            <w:shd w:val="clear" w:color="auto" w:fill="E8E8E8"/>
          </w:tcPr>
          <w:p>
            <w:pPr>
              <w:spacing w:after="0"/>
              <w:rPr>
                <w:sz w:val="18"/>
                <w:szCs w:val="18"/>
                <w:color w:val="auto"/>
              </w:rPr>
            </w:pPr>
          </w:p>
        </w:tc>
        <w:tc>
          <w:tcPr>
            <w:tcW w:w="80" w:type="dxa"/>
            <w:vAlign w:val="bottom"/>
            <w:tcBorders>
              <w:top w:val="single" w:sz="8" w:color="E8E8E8"/>
              <w:bottom w:val="single" w:sz="8" w:color="E8E8E8"/>
            </w:tcBorders>
            <w:shd w:val="clear" w:color="auto" w:fill="E8E8E8"/>
          </w:tcPr>
          <w:p>
            <w:pPr>
              <w:spacing w:after="0"/>
              <w:rPr>
                <w:sz w:val="18"/>
                <w:szCs w:val="18"/>
                <w:color w:val="auto"/>
              </w:rPr>
            </w:pPr>
          </w:p>
        </w:tc>
        <w:tc>
          <w:tcPr>
            <w:tcW w:w="420" w:type="dxa"/>
            <w:vAlign w:val="bottom"/>
            <w:tcBorders>
              <w:top w:val="single" w:sz="8" w:color="E8E8E8"/>
              <w:bottom w:val="single" w:sz="8" w:color="E8E8E8"/>
            </w:tcBorders>
            <w:shd w:val="clear" w:color="auto" w:fill="E8E8E8"/>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620" w:type="dxa"/>
            <w:vAlign w:val="bottom"/>
          </w:tcPr>
          <w:p>
            <w:pPr>
              <w:ind w:left="80"/>
              <w:spacing w:after="0"/>
              <w:rPr>
                <w:sz w:val="20"/>
                <w:szCs w:val="20"/>
                <w:color w:val="auto"/>
              </w:rPr>
            </w:pPr>
            <w:r>
              <w:rPr>
                <w:rFonts w:ascii="Arial" w:cs="Arial" w:eastAsia="Arial" w:hAnsi="Arial"/>
                <w:sz w:val="16"/>
                <w:szCs w:val="16"/>
                <w:color w:val="auto"/>
              </w:rPr>
              <w:t>Matthew J. Audette</w:t>
            </w:r>
          </w:p>
        </w:tc>
        <w:tc>
          <w:tcPr>
            <w:tcW w:w="2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Arial" w:cs="Arial" w:eastAsia="Arial" w:hAnsi="Arial"/>
                <w:sz w:val="16"/>
                <w:szCs w:val="16"/>
                <w:color w:val="auto"/>
              </w:rPr>
              <w:t>Severance</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600,000</w:t>
            </w:r>
          </w:p>
        </w:tc>
        <w:tc>
          <w:tcPr>
            <w:tcW w:w="500" w:type="dxa"/>
            <w:vAlign w:val="bottom"/>
          </w:tcPr>
          <w:p>
            <w:pPr>
              <w:ind w:left="100"/>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900,000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1"/>
        </w:trPr>
        <w:tc>
          <w:tcPr>
            <w:tcW w:w="1620" w:type="dxa"/>
            <w:vAlign w:val="bottom"/>
          </w:tcPr>
          <w:p>
            <w:pPr>
              <w:spacing w:after="0"/>
              <w:rPr>
                <w:sz w:val="18"/>
                <w:szCs w:val="18"/>
                <w:color w:val="auto"/>
              </w:rPr>
            </w:pPr>
          </w:p>
        </w:tc>
        <w:tc>
          <w:tcPr>
            <w:tcW w:w="4340" w:type="dxa"/>
            <w:vAlign w:val="bottom"/>
            <w:gridSpan w:val="2"/>
          </w:tcPr>
          <w:p>
            <w:pPr>
              <w:ind w:left="220"/>
              <w:spacing w:after="0"/>
              <w:rPr>
                <w:sz w:val="20"/>
                <w:szCs w:val="20"/>
                <w:color w:val="auto"/>
              </w:rPr>
            </w:pPr>
            <w:r>
              <w:rPr>
                <w:rFonts w:ascii="Arial" w:cs="Arial" w:eastAsia="Arial" w:hAnsi="Arial"/>
                <w:sz w:val="16"/>
                <w:szCs w:val="16"/>
                <w:color w:val="auto"/>
              </w:rPr>
              <w:t>Bonus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1,365,000</w:t>
            </w:r>
          </w:p>
        </w:tc>
        <w:tc>
          <w:tcPr>
            <w:tcW w:w="500" w:type="dxa"/>
            <w:vAlign w:val="bottom"/>
          </w:tcPr>
          <w:p>
            <w:pPr>
              <w:ind w:left="100"/>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1,575,000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4"/>
        </w:trPr>
        <w:tc>
          <w:tcPr>
            <w:tcW w:w="1620" w:type="dxa"/>
            <w:vAlign w:val="bottom"/>
          </w:tcPr>
          <w:p>
            <w:pPr>
              <w:spacing w:after="0"/>
              <w:rPr>
                <w:sz w:val="18"/>
                <w:szCs w:val="18"/>
                <w:color w:val="auto"/>
              </w:rPr>
            </w:pPr>
          </w:p>
        </w:tc>
        <w:tc>
          <w:tcPr>
            <w:tcW w:w="4340" w:type="dxa"/>
            <w:vAlign w:val="bottom"/>
            <w:gridSpan w:val="2"/>
          </w:tcPr>
          <w:p>
            <w:pPr>
              <w:ind w:left="220"/>
              <w:spacing w:after="0"/>
              <w:rPr>
                <w:sz w:val="20"/>
                <w:szCs w:val="20"/>
                <w:color w:val="auto"/>
              </w:rPr>
            </w:pPr>
            <w:r>
              <w:rPr>
                <w:rFonts w:ascii="Arial" w:cs="Arial" w:eastAsia="Arial" w:hAnsi="Arial"/>
                <w:sz w:val="16"/>
                <w:szCs w:val="16"/>
                <w:color w:val="auto"/>
              </w:rPr>
              <w:t>Accelerated Vesting of Stock Options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355,091</w:t>
            </w:r>
          </w:p>
        </w:tc>
        <w:tc>
          <w:tcPr>
            <w:tcW w:w="500" w:type="dxa"/>
            <w:vAlign w:val="bottom"/>
          </w:tcPr>
          <w:p>
            <w:pPr>
              <w:ind w:left="100"/>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355,091</w:t>
            </w:r>
          </w:p>
        </w:tc>
        <w:tc>
          <w:tcPr>
            <w:tcW w:w="6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355,091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4"/>
        </w:trPr>
        <w:tc>
          <w:tcPr>
            <w:tcW w:w="1620" w:type="dxa"/>
            <w:vAlign w:val="bottom"/>
          </w:tcPr>
          <w:p>
            <w:pPr>
              <w:spacing w:after="0"/>
              <w:rPr>
                <w:sz w:val="18"/>
                <w:szCs w:val="18"/>
                <w:color w:val="auto"/>
              </w:rPr>
            </w:pPr>
          </w:p>
        </w:tc>
        <w:tc>
          <w:tcPr>
            <w:tcW w:w="4340" w:type="dxa"/>
            <w:vAlign w:val="bottom"/>
            <w:gridSpan w:val="2"/>
          </w:tcPr>
          <w:p>
            <w:pPr>
              <w:ind w:left="220"/>
              <w:spacing w:after="0"/>
              <w:rPr>
                <w:sz w:val="20"/>
                <w:szCs w:val="20"/>
                <w:color w:val="auto"/>
              </w:rPr>
            </w:pPr>
            <w:r>
              <w:rPr>
                <w:rFonts w:ascii="Arial" w:cs="Arial" w:eastAsia="Arial" w:hAnsi="Arial"/>
                <w:sz w:val="16"/>
                <w:szCs w:val="16"/>
                <w:color w:val="auto"/>
              </w:rPr>
              <w:t>Accelerated Vesting of RSUs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681,183</w:t>
            </w:r>
          </w:p>
        </w:tc>
        <w:tc>
          <w:tcPr>
            <w:tcW w:w="500" w:type="dxa"/>
            <w:vAlign w:val="bottom"/>
          </w:tcPr>
          <w:p>
            <w:pPr>
              <w:ind w:left="100"/>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1,334,190</w:t>
            </w:r>
          </w:p>
        </w:tc>
        <w:tc>
          <w:tcPr>
            <w:tcW w:w="6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1,334,190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4"/>
        </w:trPr>
        <w:tc>
          <w:tcPr>
            <w:tcW w:w="1620" w:type="dxa"/>
            <w:vAlign w:val="bottom"/>
          </w:tcPr>
          <w:p>
            <w:pPr>
              <w:spacing w:after="0"/>
              <w:rPr>
                <w:sz w:val="18"/>
                <w:szCs w:val="18"/>
                <w:color w:val="auto"/>
              </w:rPr>
            </w:pPr>
          </w:p>
        </w:tc>
        <w:tc>
          <w:tcPr>
            <w:tcW w:w="4340" w:type="dxa"/>
            <w:vAlign w:val="bottom"/>
            <w:gridSpan w:val="2"/>
          </w:tcPr>
          <w:p>
            <w:pPr>
              <w:ind w:left="220"/>
              <w:spacing w:after="0"/>
              <w:rPr>
                <w:sz w:val="20"/>
                <w:szCs w:val="20"/>
                <w:color w:val="auto"/>
              </w:rPr>
            </w:pPr>
            <w:r>
              <w:rPr>
                <w:rFonts w:ascii="Arial" w:cs="Arial" w:eastAsia="Arial" w:hAnsi="Arial"/>
                <w:sz w:val="16"/>
                <w:szCs w:val="16"/>
                <w:color w:val="auto"/>
              </w:rPr>
              <w:t>Accelerated Vesting of PSUs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1,971,989</w:t>
            </w:r>
          </w:p>
        </w:tc>
        <w:tc>
          <w:tcPr>
            <w:tcW w:w="500" w:type="dxa"/>
            <w:vAlign w:val="bottom"/>
          </w:tcPr>
          <w:p>
            <w:pPr>
              <w:ind w:left="100"/>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1,971,989</w:t>
            </w:r>
          </w:p>
        </w:tc>
        <w:tc>
          <w:tcPr>
            <w:tcW w:w="6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6"/>
                <w:szCs w:val="16"/>
                <w:color w:val="auto"/>
              </w:rPr>
              <w:t>(13)</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1,971,989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4"/>
        </w:trPr>
        <w:tc>
          <w:tcPr>
            <w:tcW w:w="1620" w:type="dxa"/>
            <w:vAlign w:val="bottom"/>
          </w:tcPr>
          <w:p>
            <w:pPr>
              <w:spacing w:after="0"/>
              <w:rPr>
                <w:sz w:val="18"/>
                <w:szCs w:val="18"/>
                <w:color w:val="auto"/>
              </w:rPr>
            </w:pPr>
          </w:p>
        </w:tc>
        <w:tc>
          <w:tcPr>
            <w:tcW w:w="4340" w:type="dxa"/>
            <w:vAlign w:val="bottom"/>
            <w:gridSpan w:val="2"/>
          </w:tcPr>
          <w:p>
            <w:pPr>
              <w:ind w:left="220"/>
              <w:spacing w:after="0"/>
              <w:rPr>
                <w:sz w:val="20"/>
                <w:szCs w:val="20"/>
                <w:color w:val="auto"/>
              </w:rPr>
            </w:pPr>
            <w:r>
              <w:rPr>
                <w:rFonts w:ascii="Arial" w:cs="Arial" w:eastAsia="Arial" w:hAnsi="Arial"/>
                <w:sz w:val="16"/>
                <w:szCs w:val="16"/>
                <w:color w:val="auto"/>
              </w:rPr>
              <w:t>Group Benefit Continuation</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27,965</w:t>
            </w:r>
          </w:p>
        </w:tc>
        <w:tc>
          <w:tcPr>
            <w:tcW w:w="500" w:type="dxa"/>
            <w:vAlign w:val="bottom"/>
          </w:tcPr>
          <w:p>
            <w:pPr>
              <w:ind w:left="100"/>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41,948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8"/>
        </w:trPr>
        <w:tc>
          <w:tcPr>
            <w:tcW w:w="1620" w:type="dxa"/>
            <w:vAlign w:val="bottom"/>
          </w:tcPr>
          <w:p>
            <w:pPr>
              <w:spacing w:after="0"/>
              <w:rPr>
                <w:sz w:val="18"/>
                <w:szCs w:val="18"/>
                <w:color w:val="auto"/>
              </w:rPr>
            </w:pPr>
          </w:p>
        </w:tc>
        <w:tc>
          <w:tcPr>
            <w:tcW w:w="4340" w:type="dxa"/>
            <w:vAlign w:val="bottom"/>
            <w:gridSpan w:val="2"/>
          </w:tcPr>
          <w:p>
            <w:pPr>
              <w:ind w:left="22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5,001,228</w:t>
            </w:r>
          </w:p>
        </w:tc>
        <w:tc>
          <w:tcPr>
            <w:tcW w:w="500" w:type="dxa"/>
            <w:vAlign w:val="bottom"/>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3,661,270</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6,178,218</w:t>
            </w: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620" w:type="dxa"/>
            <w:vAlign w:val="bottom"/>
          </w:tcPr>
          <w:p>
            <w:pPr>
              <w:spacing w:after="0"/>
              <w:rPr>
                <w:sz w:val="2"/>
                <w:szCs w:val="2"/>
                <w:color w:val="auto"/>
              </w:rPr>
            </w:pPr>
          </w:p>
        </w:tc>
        <w:tc>
          <w:tcPr>
            <w:tcW w:w="4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1620" w:type="dxa"/>
            <w:vAlign w:val="bottom"/>
            <w:shd w:val="clear" w:color="auto" w:fill="E8E8E8"/>
          </w:tcPr>
          <w:p>
            <w:pPr>
              <w:ind w:left="80"/>
              <w:spacing w:after="0"/>
              <w:rPr>
                <w:sz w:val="20"/>
                <w:szCs w:val="20"/>
                <w:color w:val="auto"/>
              </w:rPr>
            </w:pPr>
            <w:r>
              <w:rPr>
                <w:rFonts w:ascii="Arial" w:cs="Arial" w:eastAsia="Arial" w:hAnsi="Arial"/>
                <w:sz w:val="16"/>
                <w:szCs w:val="16"/>
                <w:color w:val="auto"/>
              </w:rPr>
              <w:t>Edward Fandrey</w:t>
            </w:r>
          </w:p>
        </w:tc>
        <w:tc>
          <w:tcPr>
            <w:tcW w:w="4340" w:type="dxa"/>
            <w:vAlign w:val="bottom"/>
            <w:gridSpan w:val="2"/>
            <w:shd w:val="clear" w:color="auto" w:fill="E8E8E8"/>
          </w:tcPr>
          <w:p>
            <w:pPr>
              <w:ind w:left="220"/>
              <w:spacing w:after="0"/>
              <w:rPr>
                <w:sz w:val="20"/>
                <w:szCs w:val="20"/>
                <w:color w:val="auto"/>
              </w:rPr>
            </w:pPr>
            <w:r>
              <w:rPr>
                <w:rFonts w:ascii="Arial" w:cs="Arial" w:eastAsia="Arial" w:hAnsi="Arial"/>
                <w:sz w:val="16"/>
                <w:szCs w:val="16"/>
                <w:color w:val="auto"/>
              </w:rPr>
              <w:t>Severance</w:t>
            </w:r>
          </w:p>
        </w:tc>
        <w:tc>
          <w:tcPr>
            <w:tcW w:w="200" w:type="dxa"/>
            <w:vAlign w:val="bottom"/>
            <w:shd w:val="clear" w:color="auto" w:fill="E8E8E8"/>
          </w:tcPr>
          <w:p>
            <w:pPr>
              <w:spacing w:after="0"/>
              <w:rPr>
                <w:sz w:val="18"/>
                <w:szCs w:val="18"/>
                <w:color w:val="auto"/>
              </w:rPr>
            </w:pPr>
          </w:p>
        </w:tc>
        <w:tc>
          <w:tcPr>
            <w:tcW w:w="940" w:type="dxa"/>
            <w:vAlign w:val="bottom"/>
            <w:shd w:val="clear" w:color="auto" w:fill="E8E8E8"/>
          </w:tcPr>
          <w:p>
            <w:pPr>
              <w:jc w:val="right"/>
              <w:spacing w:after="0"/>
              <w:rPr>
                <w:sz w:val="20"/>
                <w:szCs w:val="20"/>
                <w:color w:val="auto"/>
              </w:rPr>
            </w:pPr>
            <w:r>
              <w:rPr>
                <w:rFonts w:ascii="Arial" w:cs="Arial" w:eastAsia="Arial" w:hAnsi="Arial"/>
                <w:sz w:val="16"/>
                <w:szCs w:val="16"/>
                <w:color w:val="auto"/>
              </w:rPr>
              <w:t>500,000</w:t>
            </w:r>
          </w:p>
        </w:tc>
        <w:tc>
          <w:tcPr>
            <w:tcW w:w="500" w:type="dxa"/>
            <w:vAlign w:val="bottom"/>
            <w:shd w:val="clear" w:color="auto" w:fill="E8E8E8"/>
          </w:tcPr>
          <w:p>
            <w:pPr>
              <w:ind w:left="100"/>
              <w:spacing w:after="0"/>
              <w:rPr>
                <w:sz w:val="20"/>
                <w:szCs w:val="20"/>
                <w:color w:val="auto"/>
              </w:rPr>
            </w:pPr>
            <w:r>
              <w:rPr>
                <w:rFonts w:ascii="Arial" w:cs="Arial" w:eastAsia="Arial" w:hAnsi="Arial"/>
                <w:sz w:val="16"/>
                <w:szCs w:val="16"/>
                <w:color w:val="auto"/>
              </w:rPr>
              <w:t>(2)</w:t>
            </w:r>
          </w:p>
        </w:tc>
        <w:tc>
          <w:tcPr>
            <w:tcW w:w="220" w:type="dxa"/>
            <w:vAlign w:val="bottom"/>
            <w:shd w:val="clear" w:color="auto" w:fill="E8E8E8"/>
          </w:tcPr>
          <w:p>
            <w:pPr>
              <w:spacing w:after="0"/>
              <w:rPr>
                <w:sz w:val="18"/>
                <w:szCs w:val="18"/>
                <w:color w:val="auto"/>
              </w:rPr>
            </w:pPr>
          </w:p>
        </w:tc>
        <w:tc>
          <w:tcPr>
            <w:tcW w:w="1000" w:type="dxa"/>
            <w:vAlign w:val="bottom"/>
            <w:gridSpan w:val="2"/>
            <w:shd w:val="clear" w:color="auto" w:fill="E8E8E8"/>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shd w:val="clear" w:color="auto" w:fill="E8E8E8"/>
          </w:tcPr>
          <w:p>
            <w:pPr>
              <w:spacing w:after="0"/>
              <w:rPr>
                <w:sz w:val="18"/>
                <w:szCs w:val="18"/>
                <w:color w:val="auto"/>
              </w:rPr>
            </w:pPr>
          </w:p>
        </w:tc>
        <w:tc>
          <w:tcPr>
            <w:tcW w:w="240" w:type="dxa"/>
            <w:vAlign w:val="bottom"/>
            <w:shd w:val="clear" w:color="auto" w:fill="E8E8E8"/>
          </w:tcPr>
          <w:p>
            <w:pPr>
              <w:spacing w:after="0"/>
              <w:rPr>
                <w:sz w:val="18"/>
                <w:szCs w:val="18"/>
                <w:color w:val="auto"/>
              </w:rPr>
            </w:pPr>
          </w:p>
        </w:tc>
        <w:tc>
          <w:tcPr>
            <w:tcW w:w="880" w:type="dxa"/>
            <w:vAlign w:val="bottom"/>
            <w:shd w:val="clear" w:color="auto" w:fill="E8E8E8"/>
          </w:tcPr>
          <w:p>
            <w:pPr>
              <w:jc w:val="right"/>
              <w:spacing w:after="0"/>
              <w:rPr>
                <w:sz w:val="20"/>
                <w:szCs w:val="20"/>
                <w:color w:val="auto"/>
              </w:rPr>
            </w:pPr>
            <w:r>
              <w:rPr>
                <w:rFonts w:ascii="Arial" w:cs="Arial" w:eastAsia="Arial" w:hAnsi="Arial"/>
                <w:sz w:val="16"/>
                <w:szCs w:val="16"/>
                <w:color w:val="auto"/>
              </w:rPr>
              <w:t>750,000</w:t>
            </w:r>
          </w:p>
        </w:tc>
        <w:tc>
          <w:tcPr>
            <w:tcW w:w="20" w:type="dxa"/>
            <w:vAlign w:val="bottom"/>
            <w:shd w:val="clear" w:color="auto" w:fill="E8E8E8"/>
          </w:tcPr>
          <w:p>
            <w:pPr>
              <w:spacing w:after="0"/>
              <w:rPr>
                <w:sz w:val="18"/>
                <w:szCs w:val="18"/>
                <w:color w:val="auto"/>
              </w:rPr>
            </w:pPr>
          </w:p>
        </w:tc>
        <w:tc>
          <w:tcPr>
            <w:tcW w:w="20" w:type="dxa"/>
            <w:vAlign w:val="bottom"/>
            <w:shd w:val="clear" w:color="auto" w:fill="E8E8E8"/>
          </w:tcPr>
          <w:p>
            <w:pPr>
              <w:spacing w:after="0"/>
              <w:rPr>
                <w:sz w:val="18"/>
                <w:szCs w:val="18"/>
                <w:color w:val="auto"/>
              </w:rPr>
            </w:pPr>
          </w:p>
        </w:tc>
        <w:tc>
          <w:tcPr>
            <w:tcW w:w="80" w:type="dxa"/>
            <w:vAlign w:val="bottom"/>
            <w:shd w:val="clear" w:color="auto" w:fill="E8E8E8"/>
          </w:tcPr>
          <w:p>
            <w:pPr>
              <w:spacing w:after="0"/>
              <w:rPr>
                <w:sz w:val="18"/>
                <w:szCs w:val="18"/>
                <w:color w:val="auto"/>
              </w:rPr>
            </w:pPr>
          </w:p>
        </w:tc>
        <w:tc>
          <w:tcPr>
            <w:tcW w:w="420" w:type="dxa"/>
            <w:vAlign w:val="bottom"/>
            <w:shd w:val="clear" w:color="auto" w:fill="E8E8E8"/>
          </w:tcPr>
          <w:p>
            <w:pPr>
              <w:ind w:lef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7"/>
        </w:trPr>
        <w:tc>
          <w:tcPr>
            <w:tcW w:w="1620" w:type="dxa"/>
            <w:vAlign w:val="bottom"/>
            <w:shd w:val="clear" w:color="auto" w:fill="E8E8E8"/>
          </w:tcPr>
          <w:p>
            <w:pPr>
              <w:spacing w:after="0"/>
              <w:rPr>
                <w:sz w:val="19"/>
                <w:szCs w:val="19"/>
                <w:color w:val="auto"/>
              </w:rPr>
            </w:pPr>
          </w:p>
        </w:tc>
        <w:tc>
          <w:tcPr>
            <w:tcW w:w="220" w:type="dxa"/>
            <w:vAlign w:val="bottom"/>
            <w:shd w:val="clear" w:color="auto" w:fill="E8E8E8"/>
          </w:tcPr>
          <w:p>
            <w:pPr>
              <w:spacing w:after="0"/>
              <w:rPr>
                <w:sz w:val="19"/>
                <w:szCs w:val="19"/>
                <w:color w:val="auto"/>
              </w:rPr>
            </w:pPr>
          </w:p>
        </w:tc>
        <w:tc>
          <w:tcPr>
            <w:tcW w:w="4120" w:type="dxa"/>
            <w:vAlign w:val="bottom"/>
            <w:shd w:val="clear" w:color="auto" w:fill="E8E8E8"/>
          </w:tcPr>
          <w:p>
            <w:pPr>
              <w:spacing w:after="0"/>
              <w:rPr>
                <w:sz w:val="20"/>
                <w:szCs w:val="20"/>
                <w:color w:val="auto"/>
              </w:rPr>
            </w:pPr>
            <w:r>
              <w:rPr>
                <w:rFonts w:ascii="Arial" w:cs="Arial" w:eastAsia="Arial" w:hAnsi="Arial"/>
                <w:sz w:val="16"/>
                <w:szCs w:val="16"/>
                <w:color w:val="auto"/>
              </w:rPr>
              <w:t>Bonus</w:t>
            </w:r>
          </w:p>
        </w:tc>
        <w:tc>
          <w:tcPr>
            <w:tcW w:w="200" w:type="dxa"/>
            <w:vAlign w:val="bottom"/>
            <w:shd w:val="clear" w:color="auto" w:fill="E8E8E8"/>
          </w:tcPr>
          <w:p>
            <w:pPr>
              <w:spacing w:after="0"/>
              <w:rPr>
                <w:sz w:val="19"/>
                <w:szCs w:val="19"/>
                <w:color w:val="auto"/>
              </w:rPr>
            </w:pPr>
          </w:p>
        </w:tc>
        <w:tc>
          <w:tcPr>
            <w:tcW w:w="940" w:type="dxa"/>
            <w:vAlign w:val="bottom"/>
            <w:shd w:val="clear" w:color="auto" w:fill="E8E8E8"/>
          </w:tcPr>
          <w:p>
            <w:pPr>
              <w:jc w:val="right"/>
              <w:spacing w:after="0"/>
              <w:rPr>
                <w:sz w:val="20"/>
                <w:szCs w:val="20"/>
                <w:color w:val="auto"/>
              </w:rPr>
            </w:pPr>
            <w:r>
              <w:rPr>
                <w:rFonts w:ascii="Arial" w:cs="Arial" w:eastAsia="Arial" w:hAnsi="Arial"/>
                <w:sz w:val="16"/>
                <w:szCs w:val="16"/>
                <w:color w:val="auto"/>
              </w:rPr>
              <w:t>640,000</w:t>
            </w:r>
          </w:p>
        </w:tc>
        <w:tc>
          <w:tcPr>
            <w:tcW w:w="500" w:type="dxa"/>
            <w:vAlign w:val="bottom"/>
            <w:shd w:val="clear" w:color="auto" w:fill="E8E8E8"/>
          </w:tcPr>
          <w:p>
            <w:pPr>
              <w:ind w:left="100"/>
              <w:spacing w:after="0"/>
              <w:rPr>
                <w:sz w:val="20"/>
                <w:szCs w:val="20"/>
                <w:color w:val="auto"/>
              </w:rPr>
            </w:pPr>
            <w:r>
              <w:rPr>
                <w:rFonts w:ascii="Arial" w:cs="Arial" w:eastAsia="Arial" w:hAnsi="Arial"/>
                <w:sz w:val="16"/>
                <w:szCs w:val="16"/>
                <w:color w:val="auto"/>
              </w:rPr>
              <w:t>(4)</w:t>
            </w:r>
          </w:p>
        </w:tc>
        <w:tc>
          <w:tcPr>
            <w:tcW w:w="220" w:type="dxa"/>
            <w:vAlign w:val="bottom"/>
            <w:shd w:val="clear" w:color="auto" w:fill="E8E8E8"/>
          </w:tcPr>
          <w:p>
            <w:pPr>
              <w:spacing w:after="0"/>
              <w:rPr>
                <w:sz w:val="19"/>
                <w:szCs w:val="19"/>
                <w:color w:val="auto"/>
              </w:rPr>
            </w:pPr>
          </w:p>
        </w:tc>
        <w:tc>
          <w:tcPr>
            <w:tcW w:w="1000" w:type="dxa"/>
            <w:vAlign w:val="bottom"/>
            <w:gridSpan w:val="2"/>
            <w:shd w:val="clear" w:color="auto" w:fill="E8E8E8"/>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shd w:val="clear" w:color="auto" w:fill="E8E8E8"/>
          </w:tcPr>
          <w:p>
            <w:pPr>
              <w:spacing w:after="0"/>
              <w:rPr>
                <w:sz w:val="19"/>
                <w:szCs w:val="19"/>
                <w:color w:val="auto"/>
              </w:rPr>
            </w:pPr>
          </w:p>
        </w:tc>
        <w:tc>
          <w:tcPr>
            <w:tcW w:w="240" w:type="dxa"/>
            <w:vAlign w:val="bottom"/>
            <w:shd w:val="clear" w:color="auto" w:fill="E8E8E8"/>
          </w:tcPr>
          <w:p>
            <w:pPr>
              <w:spacing w:after="0"/>
              <w:rPr>
                <w:sz w:val="19"/>
                <w:szCs w:val="19"/>
                <w:color w:val="auto"/>
              </w:rPr>
            </w:pPr>
          </w:p>
        </w:tc>
        <w:tc>
          <w:tcPr>
            <w:tcW w:w="880" w:type="dxa"/>
            <w:vAlign w:val="bottom"/>
            <w:shd w:val="clear" w:color="auto" w:fill="E8E8E8"/>
          </w:tcPr>
          <w:p>
            <w:pPr>
              <w:jc w:val="right"/>
              <w:spacing w:after="0"/>
              <w:rPr>
                <w:sz w:val="20"/>
                <w:szCs w:val="20"/>
                <w:color w:val="auto"/>
              </w:rPr>
            </w:pPr>
            <w:r>
              <w:rPr>
                <w:rFonts w:ascii="Arial" w:cs="Arial" w:eastAsia="Arial" w:hAnsi="Arial"/>
                <w:sz w:val="16"/>
                <w:szCs w:val="16"/>
                <w:color w:val="auto"/>
              </w:rPr>
              <w:t>1,200,000</w:t>
            </w:r>
          </w:p>
        </w:tc>
        <w:tc>
          <w:tcPr>
            <w:tcW w:w="20" w:type="dxa"/>
            <w:vAlign w:val="bottom"/>
            <w:shd w:val="clear" w:color="auto" w:fill="E8E8E8"/>
          </w:tcPr>
          <w:p>
            <w:pPr>
              <w:spacing w:after="0"/>
              <w:rPr>
                <w:sz w:val="19"/>
                <w:szCs w:val="19"/>
                <w:color w:val="auto"/>
              </w:rPr>
            </w:pPr>
          </w:p>
        </w:tc>
        <w:tc>
          <w:tcPr>
            <w:tcW w:w="20" w:type="dxa"/>
            <w:vAlign w:val="bottom"/>
            <w:shd w:val="clear" w:color="auto" w:fill="E8E8E8"/>
          </w:tcPr>
          <w:p>
            <w:pPr>
              <w:spacing w:after="0"/>
              <w:rPr>
                <w:sz w:val="19"/>
                <w:szCs w:val="19"/>
                <w:color w:val="auto"/>
              </w:rPr>
            </w:pPr>
          </w:p>
        </w:tc>
        <w:tc>
          <w:tcPr>
            <w:tcW w:w="80" w:type="dxa"/>
            <w:vAlign w:val="bottom"/>
            <w:shd w:val="clear" w:color="auto" w:fill="E8E8E8"/>
          </w:tcPr>
          <w:p>
            <w:pPr>
              <w:spacing w:after="0"/>
              <w:rPr>
                <w:sz w:val="19"/>
                <w:szCs w:val="19"/>
                <w:color w:val="auto"/>
              </w:rPr>
            </w:pPr>
          </w:p>
        </w:tc>
        <w:tc>
          <w:tcPr>
            <w:tcW w:w="420" w:type="dxa"/>
            <w:vAlign w:val="bottom"/>
            <w:shd w:val="clear" w:color="auto" w:fill="E8E8E8"/>
          </w:tcPr>
          <w:p>
            <w:pPr>
              <w:ind w:lef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41"/>
        </w:trPr>
        <w:tc>
          <w:tcPr>
            <w:tcW w:w="1620" w:type="dxa"/>
            <w:vAlign w:val="bottom"/>
            <w:shd w:val="clear" w:color="auto" w:fill="E8E8E8"/>
          </w:tcPr>
          <w:p>
            <w:pPr>
              <w:spacing w:after="0"/>
              <w:rPr>
                <w:sz w:val="20"/>
                <w:szCs w:val="20"/>
                <w:color w:val="auto"/>
              </w:rPr>
            </w:pPr>
          </w:p>
        </w:tc>
        <w:tc>
          <w:tcPr>
            <w:tcW w:w="220" w:type="dxa"/>
            <w:vAlign w:val="bottom"/>
            <w:shd w:val="clear" w:color="auto" w:fill="E8E8E8"/>
          </w:tcPr>
          <w:p>
            <w:pPr>
              <w:spacing w:after="0"/>
              <w:rPr>
                <w:sz w:val="20"/>
                <w:szCs w:val="20"/>
                <w:color w:val="auto"/>
              </w:rPr>
            </w:pPr>
          </w:p>
        </w:tc>
        <w:tc>
          <w:tcPr>
            <w:tcW w:w="4120" w:type="dxa"/>
            <w:vAlign w:val="bottom"/>
            <w:shd w:val="clear" w:color="auto" w:fill="E8E8E8"/>
          </w:tcPr>
          <w:p>
            <w:pPr>
              <w:spacing w:after="0"/>
              <w:rPr>
                <w:sz w:val="20"/>
                <w:szCs w:val="20"/>
                <w:color w:val="auto"/>
              </w:rPr>
            </w:pPr>
            <w:r>
              <w:rPr>
                <w:rFonts w:ascii="Arial" w:cs="Arial" w:eastAsia="Arial" w:hAnsi="Arial"/>
                <w:sz w:val="16"/>
                <w:szCs w:val="16"/>
                <w:color w:val="auto"/>
              </w:rPr>
              <w:t>Accelerated Vesting of Stock Options</w:t>
            </w:r>
          </w:p>
        </w:tc>
        <w:tc>
          <w:tcPr>
            <w:tcW w:w="200" w:type="dxa"/>
            <w:vAlign w:val="bottom"/>
            <w:shd w:val="clear" w:color="auto" w:fill="E8E8E8"/>
          </w:tcPr>
          <w:p>
            <w:pPr>
              <w:spacing w:after="0"/>
              <w:rPr>
                <w:sz w:val="20"/>
                <w:szCs w:val="20"/>
                <w:color w:val="auto"/>
              </w:rPr>
            </w:pPr>
          </w:p>
        </w:tc>
        <w:tc>
          <w:tcPr>
            <w:tcW w:w="940" w:type="dxa"/>
            <w:vAlign w:val="bottom"/>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E8E8E8"/>
          </w:tcPr>
          <w:p>
            <w:pPr>
              <w:spacing w:after="0"/>
              <w:rPr>
                <w:sz w:val="20"/>
                <w:szCs w:val="20"/>
                <w:color w:val="auto"/>
              </w:rPr>
            </w:pPr>
          </w:p>
        </w:tc>
        <w:tc>
          <w:tcPr>
            <w:tcW w:w="220" w:type="dxa"/>
            <w:vAlign w:val="bottom"/>
            <w:shd w:val="clear" w:color="auto" w:fill="E8E8E8"/>
          </w:tcPr>
          <w:p>
            <w:pPr>
              <w:spacing w:after="0"/>
              <w:rPr>
                <w:sz w:val="20"/>
                <w:szCs w:val="20"/>
                <w:color w:val="auto"/>
              </w:rPr>
            </w:pPr>
          </w:p>
        </w:tc>
        <w:tc>
          <w:tcPr>
            <w:tcW w:w="1000" w:type="dxa"/>
            <w:vAlign w:val="bottom"/>
            <w:gridSpan w:val="2"/>
            <w:shd w:val="clear" w:color="auto" w:fill="E8E8E8"/>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shd w:val="clear" w:color="auto" w:fill="E8E8E8"/>
          </w:tcPr>
          <w:p>
            <w:pPr>
              <w:spacing w:after="0"/>
              <w:rPr>
                <w:sz w:val="20"/>
                <w:szCs w:val="20"/>
                <w:color w:val="auto"/>
              </w:rPr>
            </w:pPr>
          </w:p>
        </w:tc>
        <w:tc>
          <w:tcPr>
            <w:tcW w:w="240" w:type="dxa"/>
            <w:vAlign w:val="bottom"/>
            <w:shd w:val="clear" w:color="auto" w:fill="E8E8E8"/>
          </w:tcPr>
          <w:p>
            <w:pPr>
              <w:spacing w:after="0"/>
              <w:rPr>
                <w:sz w:val="20"/>
                <w:szCs w:val="20"/>
                <w:color w:val="auto"/>
              </w:rPr>
            </w:pPr>
          </w:p>
        </w:tc>
        <w:tc>
          <w:tcPr>
            <w:tcW w:w="1000" w:type="dxa"/>
            <w:vAlign w:val="bottom"/>
            <w:gridSpan w:val="4"/>
            <w:shd w:val="clear" w:color="auto" w:fill="E8E8E8"/>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shd w:val="clear" w:color="auto" w:fill="E8E8E8"/>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620" w:type="dxa"/>
            <w:vAlign w:val="bottom"/>
            <w:shd w:val="clear" w:color="auto" w:fill="E8E8E8"/>
          </w:tcPr>
          <w:p>
            <w:pPr>
              <w:spacing w:after="0"/>
              <w:rPr>
                <w:sz w:val="20"/>
                <w:szCs w:val="20"/>
                <w:color w:val="auto"/>
              </w:rPr>
            </w:pPr>
          </w:p>
        </w:tc>
        <w:tc>
          <w:tcPr>
            <w:tcW w:w="220" w:type="dxa"/>
            <w:vAlign w:val="bottom"/>
            <w:shd w:val="clear" w:color="auto" w:fill="E8E8E8"/>
          </w:tcPr>
          <w:p>
            <w:pPr>
              <w:spacing w:after="0"/>
              <w:rPr>
                <w:sz w:val="20"/>
                <w:szCs w:val="20"/>
                <w:color w:val="auto"/>
              </w:rPr>
            </w:pPr>
          </w:p>
        </w:tc>
        <w:tc>
          <w:tcPr>
            <w:tcW w:w="4120" w:type="dxa"/>
            <w:vAlign w:val="bottom"/>
            <w:shd w:val="clear" w:color="auto" w:fill="E8E8E8"/>
          </w:tcPr>
          <w:p>
            <w:pPr>
              <w:spacing w:after="0"/>
              <w:rPr>
                <w:sz w:val="20"/>
                <w:szCs w:val="20"/>
                <w:color w:val="auto"/>
              </w:rPr>
            </w:pPr>
            <w:r>
              <w:rPr>
                <w:rFonts w:ascii="Arial" w:cs="Arial" w:eastAsia="Arial" w:hAnsi="Arial"/>
                <w:sz w:val="16"/>
                <w:szCs w:val="16"/>
                <w:color w:val="auto"/>
              </w:rPr>
              <w:t>Accelerated Vesting of RSUs</w:t>
            </w:r>
          </w:p>
        </w:tc>
        <w:tc>
          <w:tcPr>
            <w:tcW w:w="200" w:type="dxa"/>
            <w:vAlign w:val="bottom"/>
            <w:shd w:val="clear" w:color="auto" w:fill="E8E8E8"/>
          </w:tcPr>
          <w:p>
            <w:pPr>
              <w:spacing w:after="0"/>
              <w:rPr>
                <w:sz w:val="20"/>
                <w:szCs w:val="20"/>
                <w:color w:val="auto"/>
              </w:rPr>
            </w:pPr>
          </w:p>
        </w:tc>
        <w:tc>
          <w:tcPr>
            <w:tcW w:w="940" w:type="dxa"/>
            <w:vAlign w:val="bottom"/>
            <w:shd w:val="clear" w:color="auto" w:fill="E8E8E8"/>
          </w:tcPr>
          <w:p>
            <w:pPr>
              <w:jc w:val="right"/>
              <w:spacing w:after="0"/>
              <w:rPr>
                <w:sz w:val="20"/>
                <w:szCs w:val="20"/>
                <w:color w:val="auto"/>
              </w:rPr>
            </w:pPr>
            <w:r>
              <w:rPr>
                <w:rFonts w:ascii="Arial" w:cs="Arial" w:eastAsia="Arial" w:hAnsi="Arial"/>
                <w:sz w:val="16"/>
                <w:szCs w:val="16"/>
                <w:color w:val="auto"/>
              </w:rPr>
              <w:t>1,442,891</w:t>
            </w:r>
          </w:p>
        </w:tc>
        <w:tc>
          <w:tcPr>
            <w:tcW w:w="500" w:type="dxa"/>
            <w:vAlign w:val="bottom"/>
            <w:shd w:val="clear" w:color="auto" w:fill="E8E8E8"/>
          </w:tcPr>
          <w:p>
            <w:pPr>
              <w:ind w:left="100"/>
              <w:spacing w:after="0"/>
              <w:rPr>
                <w:sz w:val="20"/>
                <w:szCs w:val="20"/>
                <w:color w:val="auto"/>
              </w:rPr>
            </w:pPr>
            <w:r>
              <w:rPr>
                <w:rFonts w:ascii="Arial" w:cs="Arial" w:eastAsia="Arial" w:hAnsi="Arial"/>
                <w:sz w:val="16"/>
                <w:szCs w:val="16"/>
                <w:color w:val="auto"/>
              </w:rPr>
              <w:t>(9)</w:t>
            </w:r>
          </w:p>
        </w:tc>
        <w:tc>
          <w:tcPr>
            <w:tcW w:w="220" w:type="dxa"/>
            <w:vAlign w:val="bottom"/>
            <w:shd w:val="clear" w:color="auto" w:fill="E8E8E8"/>
          </w:tcPr>
          <w:p>
            <w:pPr>
              <w:spacing w:after="0"/>
              <w:rPr>
                <w:sz w:val="20"/>
                <w:szCs w:val="20"/>
                <w:color w:val="auto"/>
              </w:rPr>
            </w:pPr>
          </w:p>
        </w:tc>
        <w:tc>
          <w:tcPr>
            <w:tcW w:w="940" w:type="dxa"/>
            <w:vAlign w:val="bottom"/>
            <w:shd w:val="clear" w:color="auto" w:fill="E8E8E8"/>
          </w:tcPr>
          <w:p>
            <w:pPr>
              <w:jc w:val="right"/>
              <w:spacing w:after="0"/>
              <w:rPr>
                <w:sz w:val="20"/>
                <w:szCs w:val="20"/>
                <w:color w:val="auto"/>
              </w:rPr>
            </w:pPr>
            <w:r>
              <w:rPr>
                <w:rFonts w:ascii="Arial" w:cs="Arial" w:eastAsia="Arial" w:hAnsi="Arial"/>
                <w:sz w:val="16"/>
                <w:szCs w:val="16"/>
                <w:color w:val="auto"/>
              </w:rPr>
              <w:t>2,810,860</w:t>
            </w:r>
          </w:p>
        </w:tc>
        <w:tc>
          <w:tcPr>
            <w:tcW w:w="60" w:type="dxa"/>
            <w:vAlign w:val="bottom"/>
            <w:shd w:val="clear" w:color="auto" w:fill="E8E8E8"/>
          </w:tcPr>
          <w:p>
            <w:pPr>
              <w:spacing w:after="0"/>
              <w:rPr>
                <w:sz w:val="20"/>
                <w:szCs w:val="20"/>
                <w:color w:val="auto"/>
              </w:rPr>
            </w:pPr>
          </w:p>
        </w:tc>
        <w:tc>
          <w:tcPr>
            <w:tcW w:w="440" w:type="dxa"/>
            <w:vAlign w:val="bottom"/>
            <w:shd w:val="clear" w:color="auto" w:fill="E8E8E8"/>
          </w:tcPr>
          <w:p>
            <w:pPr>
              <w:ind w:left="40"/>
              <w:spacing w:after="0"/>
              <w:rPr>
                <w:sz w:val="20"/>
                <w:szCs w:val="20"/>
                <w:color w:val="auto"/>
              </w:rPr>
            </w:pPr>
            <w:r>
              <w:rPr>
                <w:rFonts w:ascii="Arial" w:cs="Arial" w:eastAsia="Arial" w:hAnsi="Arial"/>
                <w:sz w:val="16"/>
                <w:szCs w:val="16"/>
                <w:color w:val="auto"/>
              </w:rPr>
              <w:t>(10)</w:t>
            </w:r>
          </w:p>
        </w:tc>
        <w:tc>
          <w:tcPr>
            <w:tcW w:w="240" w:type="dxa"/>
            <w:vAlign w:val="bottom"/>
            <w:shd w:val="clear" w:color="auto" w:fill="E8E8E8"/>
          </w:tcPr>
          <w:p>
            <w:pPr>
              <w:spacing w:after="0"/>
              <w:rPr>
                <w:sz w:val="20"/>
                <w:szCs w:val="20"/>
                <w:color w:val="auto"/>
              </w:rPr>
            </w:pPr>
          </w:p>
        </w:tc>
        <w:tc>
          <w:tcPr>
            <w:tcW w:w="880" w:type="dxa"/>
            <w:vAlign w:val="bottom"/>
            <w:shd w:val="clear" w:color="auto" w:fill="E8E8E8"/>
          </w:tcPr>
          <w:p>
            <w:pPr>
              <w:jc w:val="right"/>
              <w:spacing w:after="0"/>
              <w:rPr>
                <w:sz w:val="20"/>
                <w:szCs w:val="20"/>
                <w:color w:val="auto"/>
              </w:rPr>
            </w:pPr>
            <w:r>
              <w:rPr>
                <w:rFonts w:ascii="Arial" w:cs="Arial" w:eastAsia="Arial" w:hAnsi="Arial"/>
                <w:sz w:val="16"/>
                <w:szCs w:val="16"/>
                <w:color w:val="auto"/>
              </w:rPr>
              <w:t>2,810,860</w:t>
            </w:r>
          </w:p>
        </w:tc>
        <w:tc>
          <w:tcPr>
            <w:tcW w:w="20" w:type="dxa"/>
            <w:vAlign w:val="bottom"/>
            <w:shd w:val="clear" w:color="auto" w:fill="E8E8E8"/>
          </w:tcPr>
          <w:p>
            <w:pPr>
              <w:spacing w:after="0"/>
              <w:rPr>
                <w:sz w:val="20"/>
                <w:szCs w:val="20"/>
                <w:color w:val="auto"/>
              </w:rPr>
            </w:pPr>
          </w:p>
        </w:tc>
        <w:tc>
          <w:tcPr>
            <w:tcW w:w="20" w:type="dxa"/>
            <w:vAlign w:val="bottom"/>
            <w:shd w:val="clear" w:color="auto" w:fill="E8E8E8"/>
          </w:tcPr>
          <w:p>
            <w:pPr>
              <w:spacing w:after="0"/>
              <w:rPr>
                <w:sz w:val="20"/>
                <w:szCs w:val="20"/>
                <w:color w:val="auto"/>
              </w:rPr>
            </w:pPr>
          </w:p>
        </w:tc>
        <w:tc>
          <w:tcPr>
            <w:tcW w:w="80" w:type="dxa"/>
            <w:vAlign w:val="bottom"/>
            <w:shd w:val="clear" w:color="auto" w:fill="E8E8E8"/>
          </w:tcPr>
          <w:p>
            <w:pPr>
              <w:spacing w:after="0"/>
              <w:rPr>
                <w:sz w:val="20"/>
                <w:szCs w:val="20"/>
                <w:color w:val="auto"/>
              </w:rPr>
            </w:pPr>
          </w:p>
        </w:tc>
        <w:tc>
          <w:tcPr>
            <w:tcW w:w="420" w:type="dxa"/>
            <w:vAlign w:val="bottom"/>
            <w:shd w:val="clear" w:color="auto" w:fill="E8E8E8"/>
          </w:tcPr>
          <w:p>
            <w:pPr>
              <w:ind w:lef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41"/>
        </w:trPr>
        <w:tc>
          <w:tcPr>
            <w:tcW w:w="1620" w:type="dxa"/>
            <w:vAlign w:val="bottom"/>
            <w:shd w:val="clear" w:color="auto" w:fill="E8E8E8"/>
          </w:tcPr>
          <w:p>
            <w:pPr>
              <w:spacing w:after="0"/>
              <w:rPr>
                <w:sz w:val="20"/>
                <w:szCs w:val="20"/>
                <w:color w:val="auto"/>
              </w:rPr>
            </w:pPr>
          </w:p>
        </w:tc>
        <w:tc>
          <w:tcPr>
            <w:tcW w:w="220" w:type="dxa"/>
            <w:vAlign w:val="bottom"/>
            <w:shd w:val="clear" w:color="auto" w:fill="E8E8E8"/>
          </w:tcPr>
          <w:p>
            <w:pPr>
              <w:spacing w:after="0"/>
              <w:rPr>
                <w:sz w:val="20"/>
                <w:szCs w:val="20"/>
                <w:color w:val="auto"/>
              </w:rPr>
            </w:pPr>
          </w:p>
        </w:tc>
        <w:tc>
          <w:tcPr>
            <w:tcW w:w="4120" w:type="dxa"/>
            <w:vAlign w:val="bottom"/>
            <w:shd w:val="clear" w:color="auto" w:fill="E8E8E8"/>
          </w:tcPr>
          <w:p>
            <w:pPr>
              <w:spacing w:after="0"/>
              <w:rPr>
                <w:sz w:val="20"/>
                <w:szCs w:val="20"/>
                <w:color w:val="auto"/>
              </w:rPr>
            </w:pPr>
            <w:r>
              <w:rPr>
                <w:rFonts w:ascii="Arial" w:cs="Arial" w:eastAsia="Arial" w:hAnsi="Arial"/>
                <w:sz w:val="16"/>
                <w:szCs w:val="16"/>
                <w:color w:val="auto"/>
              </w:rPr>
              <w:t>Accelerated Vesting of PSUs</w:t>
            </w:r>
          </w:p>
        </w:tc>
        <w:tc>
          <w:tcPr>
            <w:tcW w:w="200" w:type="dxa"/>
            <w:vAlign w:val="bottom"/>
            <w:shd w:val="clear" w:color="auto" w:fill="E8E8E8"/>
          </w:tcPr>
          <w:p>
            <w:pPr>
              <w:spacing w:after="0"/>
              <w:rPr>
                <w:sz w:val="20"/>
                <w:szCs w:val="20"/>
                <w:color w:val="auto"/>
              </w:rPr>
            </w:pPr>
          </w:p>
        </w:tc>
        <w:tc>
          <w:tcPr>
            <w:tcW w:w="940" w:type="dxa"/>
            <w:vAlign w:val="bottom"/>
            <w:shd w:val="clear" w:color="auto" w:fill="E8E8E8"/>
          </w:tcPr>
          <w:p>
            <w:pPr>
              <w:jc w:val="right"/>
              <w:spacing w:after="0"/>
              <w:rPr>
                <w:sz w:val="20"/>
                <w:szCs w:val="20"/>
                <w:color w:val="auto"/>
              </w:rPr>
            </w:pPr>
            <w:r>
              <w:rPr>
                <w:rFonts w:ascii="Arial" w:cs="Arial" w:eastAsia="Arial" w:hAnsi="Arial"/>
                <w:sz w:val="16"/>
                <w:szCs w:val="16"/>
                <w:color w:val="auto"/>
              </w:rPr>
              <w:t>288,322</w:t>
            </w:r>
          </w:p>
        </w:tc>
        <w:tc>
          <w:tcPr>
            <w:tcW w:w="500" w:type="dxa"/>
            <w:vAlign w:val="bottom"/>
            <w:shd w:val="clear" w:color="auto" w:fill="E8E8E8"/>
          </w:tcPr>
          <w:p>
            <w:pPr>
              <w:ind w:left="100"/>
              <w:spacing w:after="0"/>
              <w:rPr>
                <w:sz w:val="20"/>
                <w:szCs w:val="20"/>
                <w:color w:val="auto"/>
              </w:rPr>
            </w:pPr>
            <w:r>
              <w:rPr>
                <w:rFonts w:ascii="Arial" w:cs="Arial" w:eastAsia="Arial" w:hAnsi="Arial"/>
                <w:sz w:val="16"/>
                <w:szCs w:val="16"/>
                <w:color w:val="auto"/>
              </w:rPr>
              <w:t>(12)</w:t>
            </w:r>
          </w:p>
        </w:tc>
        <w:tc>
          <w:tcPr>
            <w:tcW w:w="220" w:type="dxa"/>
            <w:vAlign w:val="bottom"/>
            <w:shd w:val="clear" w:color="auto" w:fill="E8E8E8"/>
          </w:tcPr>
          <w:p>
            <w:pPr>
              <w:spacing w:after="0"/>
              <w:rPr>
                <w:sz w:val="20"/>
                <w:szCs w:val="20"/>
                <w:color w:val="auto"/>
              </w:rPr>
            </w:pPr>
          </w:p>
        </w:tc>
        <w:tc>
          <w:tcPr>
            <w:tcW w:w="940" w:type="dxa"/>
            <w:vAlign w:val="bottom"/>
            <w:shd w:val="clear" w:color="auto" w:fill="E8E8E8"/>
          </w:tcPr>
          <w:p>
            <w:pPr>
              <w:jc w:val="right"/>
              <w:spacing w:after="0"/>
              <w:rPr>
                <w:sz w:val="20"/>
                <w:szCs w:val="20"/>
                <w:color w:val="auto"/>
              </w:rPr>
            </w:pPr>
            <w:r>
              <w:rPr>
                <w:rFonts w:ascii="Arial" w:cs="Arial" w:eastAsia="Arial" w:hAnsi="Arial"/>
                <w:sz w:val="16"/>
                <w:szCs w:val="16"/>
                <w:color w:val="auto"/>
              </w:rPr>
              <w:t>288,322</w:t>
            </w:r>
          </w:p>
        </w:tc>
        <w:tc>
          <w:tcPr>
            <w:tcW w:w="60" w:type="dxa"/>
            <w:vAlign w:val="bottom"/>
            <w:shd w:val="clear" w:color="auto" w:fill="E8E8E8"/>
          </w:tcPr>
          <w:p>
            <w:pPr>
              <w:spacing w:after="0"/>
              <w:rPr>
                <w:sz w:val="20"/>
                <w:szCs w:val="20"/>
                <w:color w:val="auto"/>
              </w:rPr>
            </w:pPr>
          </w:p>
        </w:tc>
        <w:tc>
          <w:tcPr>
            <w:tcW w:w="440" w:type="dxa"/>
            <w:vAlign w:val="bottom"/>
            <w:shd w:val="clear" w:color="auto" w:fill="E8E8E8"/>
          </w:tcPr>
          <w:p>
            <w:pPr>
              <w:ind w:left="40"/>
              <w:spacing w:after="0"/>
              <w:rPr>
                <w:sz w:val="20"/>
                <w:szCs w:val="20"/>
                <w:color w:val="auto"/>
              </w:rPr>
            </w:pPr>
            <w:r>
              <w:rPr>
                <w:rFonts w:ascii="Arial" w:cs="Arial" w:eastAsia="Arial" w:hAnsi="Arial"/>
                <w:sz w:val="16"/>
                <w:szCs w:val="16"/>
                <w:color w:val="auto"/>
              </w:rPr>
              <w:t>(13)</w:t>
            </w:r>
          </w:p>
        </w:tc>
        <w:tc>
          <w:tcPr>
            <w:tcW w:w="240" w:type="dxa"/>
            <w:vAlign w:val="bottom"/>
            <w:shd w:val="clear" w:color="auto" w:fill="E8E8E8"/>
          </w:tcPr>
          <w:p>
            <w:pPr>
              <w:spacing w:after="0"/>
              <w:rPr>
                <w:sz w:val="20"/>
                <w:szCs w:val="20"/>
                <w:color w:val="auto"/>
              </w:rPr>
            </w:pPr>
          </w:p>
        </w:tc>
        <w:tc>
          <w:tcPr>
            <w:tcW w:w="880" w:type="dxa"/>
            <w:vAlign w:val="bottom"/>
            <w:shd w:val="clear" w:color="auto" w:fill="E8E8E8"/>
          </w:tcPr>
          <w:p>
            <w:pPr>
              <w:jc w:val="right"/>
              <w:spacing w:after="0"/>
              <w:rPr>
                <w:sz w:val="20"/>
                <w:szCs w:val="20"/>
                <w:color w:val="auto"/>
              </w:rPr>
            </w:pPr>
            <w:r>
              <w:rPr>
                <w:rFonts w:ascii="Arial" w:cs="Arial" w:eastAsia="Arial" w:hAnsi="Arial"/>
                <w:sz w:val="16"/>
                <w:szCs w:val="16"/>
                <w:color w:val="auto"/>
              </w:rPr>
              <w:t>288,322</w:t>
            </w:r>
          </w:p>
        </w:tc>
        <w:tc>
          <w:tcPr>
            <w:tcW w:w="20" w:type="dxa"/>
            <w:vAlign w:val="bottom"/>
            <w:shd w:val="clear" w:color="auto" w:fill="E8E8E8"/>
          </w:tcPr>
          <w:p>
            <w:pPr>
              <w:spacing w:after="0"/>
              <w:rPr>
                <w:sz w:val="20"/>
                <w:szCs w:val="20"/>
                <w:color w:val="auto"/>
              </w:rPr>
            </w:pPr>
          </w:p>
        </w:tc>
        <w:tc>
          <w:tcPr>
            <w:tcW w:w="20" w:type="dxa"/>
            <w:vAlign w:val="bottom"/>
            <w:shd w:val="clear" w:color="auto" w:fill="E8E8E8"/>
          </w:tcPr>
          <w:p>
            <w:pPr>
              <w:spacing w:after="0"/>
              <w:rPr>
                <w:sz w:val="20"/>
                <w:szCs w:val="20"/>
                <w:color w:val="auto"/>
              </w:rPr>
            </w:pPr>
          </w:p>
        </w:tc>
        <w:tc>
          <w:tcPr>
            <w:tcW w:w="80" w:type="dxa"/>
            <w:vAlign w:val="bottom"/>
            <w:shd w:val="clear" w:color="auto" w:fill="E8E8E8"/>
          </w:tcPr>
          <w:p>
            <w:pPr>
              <w:spacing w:after="0"/>
              <w:rPr>
                <w:sz w:val="20"/>
                <w:szCs w:val="20"/>
                <w:color w:val="auto"/>
              </w:rPr>
            </w:pPr>
          </w:p>
        </w:tc>
        <w:tc>
          <w:tcPr>
            <w:tcW w:w="420" w:type="dxa"/>
            <w:vAlign w:val="bottom"/>
            <w:shd w:val="clear" w:color="auto" w:fill="E8E8E8"/>
          </w:tcPr>
          <w:p>
            <w:pPr>
              <w:ind w:lef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03"/>
        </w:trPr>
        <w:tc>
          <w:tcPr>
            <w:tcW w:w="1620" w:type="dxa"/>
            <w:vAlign w:val="bottom"/>
            <w:tcBorders>
              <w:bottom w:val="single" w:sz="8" w:color="E8E8E8"/>
            </w:tcBorders>
            <w:shd w:val="clear" w:color="auto" w:fill="E8E8E8"/>
          </w:tcPr>
          <w:p>
            <w:pPr>
              <w:spacing w:after="0"/>
              <w:rPr>
                <w:sz w:val="24"/>
                <w:szCs w:val="24"/>
                <w:color w:val="auto"/>
              </w:rPr>
            </w:pPr>
          </w:p>
        </w:tc>
        <w:tc>
          <w:tcPr>
            <w:tcW w:w="220" w:type="dxa"/>
            <w:vAlign w:val="bottom"/>
            <w:tcBorders>
              <w:bottom w:val="single" w:sz="8" w:color="E8E8E8"/>
            </w:tcBorders>
            <w:shd w:val="clear" w:color="auto" w:fill="E8E8E8"/>
          </w:tcPr>
          <w:p>
            <w:pPr>
              <w:spacing w:after="0"/>
              <w:rPr>
                <w:sz w:val="24"/>
                <w:szCs w:val="24"/>
                <w:color w:val="auto"/>
              </w:rPr>
            </w:pPr>
          </w:p>
        </w:tc>
        <w:tc>
          <w:tcPr>
            <w:tcW w:w="4120" w:type="dxa"/>
            <w:vAlign w:val="bottom"/>
            <w:tcBorders>
              <w:bottom w:val="single" w:sz="8" w:color="E8E8E8"/>
            </w:tcBorders>
            <w:shd w:val="clear" w:color="auto" w:fill="E8E8E8"/>
          </w:tcPr>
          <w:p>
            <w:pPr>
              <w:spacing w:after="0"/>
              <w:rPr>
                <w:sz w:val="20"/>
                <w:szCs w:val="20"/>
                <w:color w:val="auto"/>
              </w:rPr>
            </w:pPr>
            <w:r>
              <w:rPr>
                <w:rFonts w:ascii="Arial" w:cs="Arial" w:eastAsia="Arial" w:hAnsi="Arial"/>
                <w:sz w:val="16"/>
                <w:szCs w:val="16"/>
                <w:color w:val="auto"/>
              </w:rPr>
              <w:t>Group Benefit Continuation</w:t>
            </w:r>
          </w:p>
        </w:tc>
        <w:tc>
          <w:tcPr>
            <w:tcW w:w="200" w:type="dxa"/>
            <w:vAlign w:val="bottom"/>
            <w:tcBorders>
              <w:bottom w:val="single" w:sz="8" w:color="E8E8E8"/>
            </w:tcBorders>
            <w:shd w:val="clear" w:color="auto" w:fill="E8E8E8"/>
          </w:tcPr>
          <w:p>
            <w:pPr>
              <w:spacing w:after="0"/>
              <w:rPr>
                <w:sz w:val="24"/>
                <w:szCs w:val="24"/>
                <w:color w:val="auto"/>
              </w:rPr>
            </w:pPr>
          </w:p>
        </w:tc>
        <w:tc>
          <w:tcPr>
            <w:tcW w:w="94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8,133</w:t>
            </w:r>
          </w:p>
        </w:tc>
        <w:tc>
          <w:tcPr>
            <w:tcW w:w="500" w:type="dxa"/>
            <w:vAlign w:val="bottom"/>
            <w:tcBorders>
              <w:bottom w:val="single" w:sz="8" w:color="E8E8E8"/>
            </w:tcBorders>
            <w:shd w:val="clear" w:color="auto" w:fill="E8E8E8"/>
          </w:tcPr>
          <w:p>
            <w:pPr>
              <w:ind w:left="100"/>
              <w:spacing w:after="0"/>
              <w:rPr>
                <w:sz w:val="20"/>
                <w:szCs w:val="20"/>
                <w:color w:val="auto"/>
              </w:rPr>
            </w:pPr>
            <w:r>
              <w:rPr>
                <w:rFonts w:ascii="Arial" w:cs="Arial" w:eastAsia="Arial" w:hAnsi="Arial"/>
                <w:sz w:val="16"/>
                <w:szCs w:val="16"/>
                <w:color w:val="auto"/>
              </w:rPr>
              <w:t>(15)</w:t>
            </w:r>
          </w:p>
        </w:tc>
        <w:tc>
          <w:tcPr>
            <w:tcW w:w="220" w:type="dxa"/>
            <w:vAlign w:val="bottom"/>
            <w:tcBorders>
              <w:bottom w:val="single" w:sz="8" w:color="E8E8E8"/>
            </w:tcBorders>
            <w:shd w:val="clear" w:color="auto" w:fill="E8E8E8"/>
          </w:tcPr>
          <w:p>
            <w:pPr>
              <w:spacing w:after="0"/>
              <w:rPr>
                <w:sz w:val="24"/>
                <w:szCs w:val="24"/>
                <w:color w:val="auto"/>
              </w:rPr>
            </w:pPr>
          </w:p>
        </w:tc>
        <w:tc>
          <w:tcPr>
            <w:tcW w:w="1000" w:type="dxa"/>
            <w:vAlign w:val="bottom"/>
            <w:tcBorders>
              <w:bottom w:val="single" w:sz="8" w:color="E8E8E8"/>
            </w:tcBorders>
            <w:gridSpan w:val="2"/>
            <w:shd w:val="clear" w:color="auto" w:fill="E8E8E8"/>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E8E8E8"/>
            </w:tcBorders>
            <w:shd w:val="clear" w:color="auto" w:fill="E8E8E8"/>
          </w:tcPr>
          <w:p>
            <w:pPr>
              <w:spacing w:after="0"/>
              <w:rPr>
                <w:sz w:val="24"/>
                <w:szCs w:val="24"/>
                <w:color w:val="auto"/>
              </w:rPr>
            </w:pPr>
          </w:p>
        </w:tc>
        <w:tc>
          <w:tcPr>
            <w:tcW w:w="240" w:type="dxa"/>
            <w:vAlign w:val="bottom"/>
            <w:tcBorders>
              <w:bottom w:val="single" w:sz="8" w:color="E8E8E8"/>
            </w:tcBorders>
            <w:shd w:val="clear" w:color="auto" w:fill="E8E8E8"/>
          </w:tcPr>
          <w:p>
            <w:pPr>
              <w:spacing w:after="0"/>
              <w:rPr>
                <w:sz w:val="24"/>
                <w:szCs w:val="24"/>
                <w:color w:val="auto"/>
              </w:rPr>
            </w:pPr>
          </w:p>
        </w:tc>
        <w:tc>
          <w:tcPr>
            <w:tcW w:w="88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12,200</w:t>
            </w:r>
          </w:p>
        </w:tc>
        <w:tc>
          <w:tcPr>
            <w:tcW w:w="20" w:type="dxa"/>
            <w:vAlign w:val="bottom"/>
            <w:tcBorders>
              <w:bottom w:val="single" w:sz="8" w:color="E8E8E8"/>
            </w:tcBorders>
            <w:shd w:val="clear" w:color="auto" w:fill="E8E8E8"/>
          </w:tcPr>
          <w:p>
            <w:pPr>
              <w:spacing w:after="0"/>
              <w:rPr>
                <w:sz w:val="24"/>
                <w:szCs w:val="24"/>
                <w:color w:val="auto"/>
              </w:rPr>
            </w:pPr>
          </w:p>
        </w:tc>
        <w:tc>
          <w:tcPr>
            <w:tcW w:w="20" w:type="dxa"/>
            <w:vAlign w:val="bottom"/>
            <w:tcBorders>
              <w:bottom w:val="single" w:sz="8" w:color="E8E8E8"/>
            </w:tcBorders>
            <w:shd w:val="clear" w:color="auto" w:fill="E8E8E8"/>
          </w:tcPr>
          <w:p>
            <w:pPr>
              <w:spacing w:after="0"/>
              <w:rPr>
                <w:sz w:val="24"/>
                <w:szCs w:val="24"/>
                <w:color w:val="auto"/>
              </w:rPr>
            </w:pPr>
          </w:p>
        </w:tc>
        <w:tc>
          <w:tcPr>
            <w:tcW w:w="80" w:type="dxa"/>
            <w:vAlign w:val="bottom"/>
            <w:tcBorders>
              <w:bottom w:val="single" w:sz="8" w:color="E8E8E8"/>
            </w:tcBorders>
            <w:shd w:val="clear" w:color="auto" w:fill="E8E8E8"/>
          </w:tcPr>
          <w:p>
            <w:pPr>
              <w:spacing w:after="0"/>
              <w:rPr>
                <w:sz w:val="24"/>
                <w:szCs w:val="24"/>
                <w:color w:val="auto"/>
              </w:rPr>
            </w:pPr>
          </w:p>
        </w:tc>
        <w:tc>
          <w:tcPr>
            <w:tcW w:w="420" w:type="dxa"/>
            <w:vAlign w:val="bottom"/>
            <w:tcBorders>
              <w:bottom w:val="single" w:sz="8" w:color="E8E8E8"/>
            </w:tcBorders>
            <w:shd w:val="clear" w:color="auto" w:fill="E8E8E8"/>
          </w:tcPr>
          <w:p>
            <w:pPr>
              <w:ind w:lef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4"/>
        </w:trPr>
        <w:tc>
          <w:tcPr>
            <w:tcW w:w="1620" w:type="dxa"/>
            <w:vAlign w:val="bottom"/>
            <w:tcBorders>
              <w:top w:val="single" w:sz="8" w:color="E8E8E8"/>
              <w:bottom w:val="single" w:sz="8" w:color="E8E8E8"/>
            </w:tcBorders>
            <w:shd w:val="clear" w:color="auto" w:fill="E8E8E8"/>
          </w:tcPr>
          <w:p>
            <w:pPr>
              <w:spacing w:after="0"/>
              <w:rPr>
                <w:sz w:val="18"/>
                <w:szCs w:val="18"/>
                <w:color w:val="auto"/>
              </w:rPr>
            </w:pPr>
          </w:p>
        </w:tc>
        <w:tc>
          <w:tcPr>
            <w:tcW w:w="220" w:type="dxa"/>
            <w:vAlign w:val="bottom"/>
            <w:tcBorders>
              <w:top w:val="single" w:sz="8" w:color="E8E8E8"/>
              <w:bottom w:val="single" w:sz="8" w:color="E8E8E8"/>
            </w:tcBorders>
            <w:shd w:val="clear" w:color="auto" w:fill="E8E8E8"/>
          </w:tcPr>
          <w:p>
            <w:pPr>
              <w:spacing w:after="0"/>
              <w:rPr>
                <w:sz w:val="18"/>
                <w:szCs w:val="18"/>
                <w:color w:val="auto"/>
              </w:rPr>
            </w:pPr>
          </w:p>
        </w:tc>
        <w:tc>
          <w:tcPr>
            <w:tcW w:w="4120" w:type="dxa"/>
            <w:vAlign w:val="bottom"/>
            <w:tcBorders>
              <w:top w:val="single" w:sz="8" w:color="E8E8E8"/>
              <w:bottom w:val="single" w:sz="8" w:color="E8E8E8"/>
            </w:tcBorders>
            <w:shd w:val="clear" w:color="auto" w:fill="E8E8E8"/>
          </w:tcPr>
          <w:p>
            <w:pPr>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2,879,346</w:t>
            </w:r>
          </w:p>
        </w:tc>
        <w:tc>
          <w:tcPr>
            <w:tcW w:w="500" w:type="dxa"/>
            <w:vAlign w:val="bottom"/>
            <w:tcBorders>
              <w:top w:val="single" w:sz="8" w:color="E8E8E8"/>
              <w:bottom w:val="single" w:sz="8" w:color="E8E8E8"/>
            </w:tcBorders>
            <w:shd w:val="clear" w:color="auto" w:fill="E8E8E8"/>
          </w:tcPr>
          <w:p>
            <w:pPr>
              <w:spacing w:after="0"/>
              <w:rPr>
                <w:sz w:val="18"/>
                <w:szCs w:val="18"/>
                <w:color w:val="auto"/>
              </w:rPr>
            </w:pPr>
          </w:p>
        </w:tc>
        <w:tc>
          <w:tcPr>
            <w:tcW w:w="220" w:type="dxa"/>
            <w:vAlign w:val="bottom"/>
            <w:tcBorders>
              <w:top w:val="single" w:sz="8" w:color="auto"/>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3,099,182</w:t>
            </w:r>
          </w:p>
        </w:tc>
        <w:tc>
          <w:tcPr>
            <w:tcW w:w="60" w:type="dxa"/>
            <w:vAlign w:val="bottom"/>
            <w:tcBorders>
              <w:top w:val="single" w:sz="8" w:color="E8E8E8"/>
              <w:bottom w:val="single" w:sz="8" w:color="E8E8E8"/>
            </w:tcBorders>
            <w:shd w:val="clear" w:color="auto" w:fill="E8E8E8"/>
          </w:tcPr>
          <w:p>
            <w:pPr>
              <w:spacing w:after="0"/>
              <w:rPr>
                <w:sz w:val="18"/>
                <w:szCs w:val="18"/>
                <w:color w:val="auto"/>
              </w:rPr>
            </w:pPr>
          </w:p>
        </w:tc>
        <w:tc>
          <w:tcPr>
            <w:tcW w:w="440" w:type="dxa"/>
            <w:vAlign w:val="bottom"/>
            <w:tcBorders>
              <w:top w:val="single" w:sz="8" w:color="E8E8E8"/>
              <w:bottom w:val="single" w:sz="8" w:color="E8E8E8"/>
            </w:tcBorders>
            <w:shd w:val="clear" w:color="auto" w:fill="E8E8E8"/>
          </w:tcPr>
          <w:p>
            <w:pPr>
              <w:spacing w:after="0"/>
              <w:rPr>
                <w:sz w:val="18"/>
                <w:szCs w:val="18"/>
                <w:color w:val="auto"/>
              </w:rPr>
            </w:pPr>
          </w:p>
        </w:tc>
        <w:tc>
          <w:tcPr>
            <w:tcW w:w="240" w:type="dxa"/>
            <w:vAlign w:val="bottom"/>
            <w:tcBorders>
              <w:top w:val="single" w:sz="8" w:color="auto"/>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5,061,382</w:t>
            </w:r>
          </w:p>
        </w:tc>
        <w:tc>
          <w:tcPr>
            <w:tcW w:w="20" w:type="dxa"/>
            <w:vAlign w:val="bottom"/>
            <w:tcBorders>
              <w:top w:val="single" w:sz="8" w:color="auto"/>
              <w:bottom w:val="single" w:sz="8" w:color="E8E8E8"/>
            </w:tcBorders>
            <w:shd w:val="clear" w:color="auto" w:fill="E8E8E8"/>
          </w:tcPr>
          <w:p>
            <w:pPr>
              <w:spacing w:after="0"/>
              <w:rPr>
                <w:sz w:val="18"/>
                <w:szCs w:val="18"/>
                <w:color w:val="auto"/>
              </w:rPr>
            </w:pPr>
          </w:p>
        </w:tc>
        <w:tc>
          <w:tcPr>
            <w:tcW w:w="20" w:type="dxa"/>
            <w:vAlign w:val="bottom"/>
            <w:tcBorders>
              <w:top w:val="single" w:sz="8" w:color="auto"/>
              <w:bottom w:val="single" w:sz="8" w:color="E8E8E8"/>
            </w:tcBorders>
            <w:shd w:val="clear" w:color="auto" w:fill="E8E8E8"/>
          </w:tcPr>
          <w:p>
            <w:pPr>
              <w:spacing w:after="0"/>
              <w:rPr>
                <w:sz w:val="18"/>
                <w:szCs w:val="18"/>
                <w:color w:val="auto"/>
              </w:rPr>
            </w:pPr>
          </w:p>
        </w:tc>
        <w:tc>
          <w:tcPr>
            <w:tcW w:w="80" w:type="dxa"/>
            <w:vAlign w:val="bottom"/>
            <w:tcBorders>
              <w:top w:val="single" w:sz="8" w:color="E8E8E8"/>
              <w:bottom w:val="single" w:sz="8" w:color="E8E8E8"/>
            </w:tcBorders>
            <w:shd w:val="clear" w:color="auto" w:fill="E8E8E8"/>
          </w:tcPr>
          <w:p>
            <w:pPr>
              <w:spacing w:after="0"/>
              <w:rPr>
                <w:sz w:val="18"/>
                <w:szCs w:val="18"/>
                <w:color w:val="auto"/>
              </w:rPr>
            </w:pPr>
          </w:p>
        </w:tc>
        <w:tc>
          <w:tcPr>
            <w:tcW w:w="420" w:type="dxa"/>
            <w:vAlign w:val="bottom"/>
            <w:tcBorders>
              <w:top w:val="single" w:sz="8" w:color="E8E8E8"/>
              <w:bottom w:val="single" w:sz="8" w:color="E8E8E8"/>
            </w:tcBorders>
            <w:shd w:val="clear" w:color="auto" w:fill="E8E8E8"/>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620" w:type="dxa"/>
            <w:vAlign w:val="bottom"/>
          </w:tcPr>
          <w:p>
            <w:pPr>
              <w:ind w:left="80"/>
              <w:spacing w:after="0"/>
              <w:rPr>
                <w:sz w:val="20"/>
                <w:szCs w:val="20"/>
                <w:color w:val="auto"/>
              </w:rPr>
            </w:pPr>
            <w:r>
              <w:rPr>
                <w:rFonts w:ascii="Arial" w:cs="Arial" w:eastAsia="Arial" w:hAnsi="Arial"/>
                <w:sz w:val="16"/>
                <w:szCs w:val="16"/>
                <w:color w:val="auto"/>
              </w:rPr>
              <w:t>Dayton Semerjian</w:t>
            </w:r>
          </w:p>
        </w:tc>
        <w:tc>
          <w:tcPr>
            <w:tcW w:w="2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Arial" w:cs="Arial" w:eastAsia="Arial" w:hAnsi="Arial"/>
                <w:sz w:val="16"/>
                <w:szCs w:val="16"/>
                <w:color w:val="auto"/>
              </w:rPr>
              <w:t>Severance</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500,000</w:t>
            </w:r>
          </w:p>
        </w:tc>
        <w:tc>
          <w:tcPr>
            <w:tcW w:w="500" w:type="dxa"/>
            <w:vAlign w:val="bottom"/>
          </w:tcPr>
          <w:p>
            <w:pPr>
              <w:ind w:left="100"/>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750,000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1"/>
        </w:trPr>
        <w:tc>
          <w:tcPr>
            <w:tcW w:w="1620" w:type="dxa"/>
            <w:vAlign w:val="bottom"/>
          </w:tcPr>
          <w:p>
            <w:pPr>
              <w:spacing w:after="0"/>
              <w:rPr>
                <w:sz w:val="18"/>
                <w:szCs w:val="18"/>
                <w:color w:val="auto"/>
              </w:rPr>
            </w:pPr>
          </w:p>
        </w:tc>
        <w:tc>
          <w:tcPr>
            <w:tcW w:w="4340" w:type="dxa"/>
            <w:vAlign w:val="bottom"/>
            <w:gridSpan w:val="2"/>
          </w:tcPr>
          <w:p>
            <w:pPr>
              <w:ind w:left="220"/>
              <w:spacing w:after="0"/>
              <w:rPr>
                <w:sz w:val="20"/>
                <w:szCs w:val="20"/>
                <w:color w:val="auto"/>
              </w:rPr>
            </w:pPr>
            <w:r>
              <w:rPr>
                <w:rFonts w:ascii="Arial" w:cs="Arial" w:eastAsia="Arial" w:hAnsi="Arial"/>
                <w:sz w:val="16"/>
                <w:szCs w:val="16"/>
                <w:color w:val="auto"/>
              </w:rPr>
              <w:t>Bonus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800,000</w:t>
            </w:r>
          </w:p>
        </w:tc>
        <w:tc>
          <w:tcPr>
            <w:tcW w:w="500" w:type="dxa"/>
            <w:vAlign w:val="bottom"/>
          </w:tcPr>
          <w:p>
            <w:pPr>
              <w:ind w:left="100"/>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1,200,000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4"/>
        </w:trPr>
        <w:tc>
          <w:tcPr>
            <w:tcW w:w="1620" w:type="dxa"/>
            <w:vAlign w:val="bottom"/>
          </w:tcPr>
          <w:p>
            <w:pPr>
              <w:spacing w:after="0"/>
              <w:rPr>
                <w:sz w:val="18"/>
                <w:szCs w:val="18"/>
                <w:color w:val="auto"/>
              </w:rPr>
            </w:pPr>
          </w:p>
        </w:tc>
        <w:tc>
          <w:tcPr>
            <w:tcW w:w="4340" w:type="dxa"/>
            <w:vAlign w:val="bottom"/>
            <w:gridSpan w:val="2"/>
          </w:tcPr>
          <w:p>
            <w:pPr>
              <w:ind w:left="220"/>
              <w:spacing w:after="0"/>
              <w:rPr>
                <w:sz w:val="20"/>
                <w:szCs w:val="20"/>
                <w:color w:val="auto"/>
              </w:rPr>
            </w:pPr>
            <w:r>
              <w:rPr>
                <w:rFonts w:ascii="Arial" w:cs="Arial" w:eastAsia="Arial" w:hAnsi="Arial"/>
                <w:sz w:val="16"/>
                <w:szCs w:val="16"/>
                <w:color w:val="auto"/>
              </w:rPr>
              <w:t>Accelerated Vesting of Stock Options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20" w:type="dxa"/>
            <w:vAlign w:val="bottom"/>
          </w:tcPr>
          <w:p>
            <w:pPr>
              <w:spacing w:after="0"/>
              <w:rPr>
                <w:sz w:val="18"/>
                <w:szCs w:val="18"/>
                <w:color w:val="auto"/>
              </w:rPr>
            </w:pPr>
          </w:p>
        </w:tc>
        <w:tc>
          <w:tcPr>
            <w:tcW w:w="4340" w:type="dxa"/>
            <w:vAlign w:val="bottom"/>
            <w:gridSpan w:val="2"/>
          </w:tcPr>
          <w:p>
            <w:pPr>
              <w:ind w:left="220"/>
              <w:spacing w:after="0"/>
              <w:rPr>
                <w:sz w:val="20"/>
                <w:szCs w:val="20"/>
                <w:color w:val="auto"/>
              </w:rPr>
            </w:pPr>
            <w:r>
              <w:rPr>
                <w:rFonts w:ascii="Arial" w:cs="Arial" w:eastAsia="Arial" w:hAnsi="Arial"/>
                <w:sz w:val="16"/>
                <w:szCs w:val="16"/>
                <w:color w:val="auto"/>
              </w:rPr>
              <w:t>Accelerated Vesting of RSUs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349,797</w:t>
            </w:r>
          </w:p>
        </w:tc>
        <w:tc>
          <w:tcPr>
            <w:tcW w:w="500" w:type="dxa"/>
            <w:vAlign w:val="bottom"/>
          </w:tcPr>
          <w:p>
            <w:pPr>
              <w:ind w:left="100"/>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852,639</w:t>
            </w:r>
          </w:p>
        </w:tc>
        <w:tc>
          <w:tcPr>
            <w:tcW w:w="6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852,639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4"/>
        </w:trPr>
        <w:tc>
          <w:tcPr>
            <w:tcW w:w="1620" w:type="dxa"/>
            <w:vAlign w:val="bottom"/>
          </w:tcPr>
          <w:p>
            <w:pPr>
              <w:spacing w:after="0"/>
              <w:rPr>
                <w:sz w:val="18"/>
                <w:szCs w:val="18"/>
                <w:color w:val="auto"/>
              </w:rPr>
            </w:pPr>
          </w:p>
        </w:tc>
        <w:tc>
          <w:tcPr>
            <w:tcW w:w="4340" w:type="dxa"/>
            <w:vAlign w:val="bottom"/>
            <w:gridSpan w:val="2"/>
          </w:tcPr>
          <w:p>
            <w:pPr>
              <w:ind w:left="220"/>
              <w:spacing w:after="0"/>
              <w:rPr>
                <w:sz w:val="20"/>
                <w:szCs w:val="20"/>
                <w:color w:val="auto"/>
              </w:rPr>
            </w:pPr>
            <w:r>
              <w:rPr>
                <w:rFonts w:ascii="Arial" w:cs="Arial" w:eastAsia="Arial" w:hAnsi="Arial"/>
                <w:sz w:val="16"/>
                <w:szCs w:val="16"/>
                <w:color w:val="auto"/>
              </w:rPr>
              <w:t>Accelerated Vesting of PSUs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820,301</w:t>
            </w:r>
          </w:p>
        </w:tc>
        <w:tc>
          <w:tcPr>
            <w:tcW w:w="500" w:type="dxa"/>
            <w:vAlign w:val="bottom"/>
          </w:tcPr>
          <w:p>
            <w:pPr>
              <w:ind w:left="100"/>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820,301</w:t>
            </w:r>
          </w:p>
        </w:tc>
        <w:tc>
          <w:tcPr>
            <w:tcW w:w="6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6"/>
                <w:szCs w:val="16"/>
                <w:color w:val="auto"/>
              </w:rPr>
              <w:t>(13)</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820,301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4"/>
        </w:trPr>
        <w:tc>
          <w:tcPr>
            <w:tcW w:w="1620" w:type="dxa"/>
            <w:vAlign w:val="bottom"/>
          </w:tcPr>
          <w:p>
            <w:pPr>
              <w:spacing w:after="0"/>
              <w:rPr>
                <w:sz w:val="18"/>
                <w:szCs w:val="18"/>
                <w:color w:val="auto"/>
              </w:rPr>
            </w:pPr>
          </w:p>
        </w:tc>
        <w:tc>
          <w:tcPr>
            <w:tcW w:w="4340" w:type="dxa"/>
            <w:vAlign w:val="bottom"/>
            <w:gridSpan w:val="2"/>
          </w:tcPr>
          <w:p>
            <w:pPr>
              <w:ind w:left="220"/>
              <w:spacing w:after="0"/>
              <w:rPr>
                <w:sz w:val="20"/>
                <w:szCs w:val="20"/>
                <w:color w:val="auto"/>
              </w:rPr>
            </w:pPr>
            <w:r>
              <w:rPr>
                <w:rFonts w:ascii="Arial" w:cs="Arial" w:eastAsia="Arial" w:hAnsi="Arial"/>
                <w:sz w:val="16"/>
                <w:szCs w:val="16"/>
                <w:color w:val="auto"/>
              </w:rPr>
              <w:t>Group Benefit Continuation</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27,965</w:t>
            </w:r>
          </w:p>
        </w:tc>
        <w:tc>
          <w:tcPr>
            <w:tcW w:w="500" w:type="dxa"/>
            <w:vAlign w:val="bottom"/>
          </w:tcPr>
          <w:p>
            <w:pPr>
              <w:ind w:left="100"/>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41,948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8"/>
        </w:trPr>
        <w:tc>
          <w:tcPr>
            <w:tcW w:w="1620" w:type="dxa"/>
            <w:vAlign w:val="bottom"/>
          </w:tcPr>
          <w:p>
            <w:pPr>
              <w:spacing w:after="0"/>
              <w:rPr>
                <w:sz w:val="18"/>
                <w:szCs w:val="18"/>
                <w:color w:val="auto"/>
              </w:rPr>
            </w:pPr>
          </w:p>
        </w:tc>
        <w:tc>
          <w:tcPr>
            <w:tcW w:w="4340" w:type="dxa"/>
            <w:vAlign w:val="bottom"/>
            <w:gridSpan w:val="2"/>
          </w:tcPr>
          <w:p>
            <w:pPr>
              <w:ind w:left="22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2,498,063</w:t>
            </w:r>
          </w:p>
        </w:tc>
        <w:tc>
          <w:tcPr>
            <w:tcW w:w="500" w:type="dxa"/>
            <w:vAlign w:val="bottom"/>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1,672,940</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3,664,888</w:t>
            </w: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620" w:type="dxa"/>
            <w:vAlign w:val="bottom"/>
          </w:tcPr>
          <w:p>
            <w:pPr>
              <w:spacing w:after="0"/>
              <w:rPr>
                <w:sz w:val="2"/>
                <w:szCs w:val="2"/>
                <w:color w:val="auto"/>
              </w:rPr>
            </w:pPr>
          </w:p>
        </w:tc>
        <w:tc>
          <w:tcPr>
            <w:tcW w:w="4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1620" w:type="dxa"/>
            <w:vAlign w:val="bottom"/>
            <w:shd w:val="clear" w:color="auto" w:fill="E8E8E8"/>
          </w:tcPr>
          <w:p>
            <w:pPr>
              <w:ind w:left="80"/>
              <w:spacing w:after="0"/>
              <w:rPr>
                <w:sz w:val="20"/>
                <w:szCs w:val="20"/>
                <w:color w:val="auto"/>
              </w:rPr>
            </w:pPr>
            <w:r>
              <w:rPr>
                <w:rFonts w:ascii="Arial" w:cs="Arial" w:eastAsia="Arial" w:hAnsi="Arial"/>
                <w:sz w:val="16"/>
                <w:szCs w:val="16"/>
                <w:color w:val="auto"/>
              </w:rPr>
              <w:t>Richard Steinmeier</w:t>
            </w:r>
          </w:p>
        </w:tc>
        <w:tc>
          <w:tcPr>
            <w:tcW w:w="4340" w:type="dxa"/>
            <w:vAlign w:val="bottom"/>
            <w:gridSpan w:val="2"/>
            <w:shd w:val="clear" w:color="auto" w:fill="E8E8E8"/>
          </w:tcPr>
          <w:p>
            <w:pPr>
              <w:ind w:left="220"/>
              <w:spacing w:after="0"/>
              <w:rPr>
                <w:sz w:val="20"/>
                <w:szCs w:val="20"/>
                <w:color w:val="auto"/>
              </w:rPr>
            </w:pPr>
            <w:r>
              <w:rPr>
                <w:rFonts w:ascii="Arial" w:cs="Arial" w:eastAsia="Arial" w:hAnsi="Arial"/>
                <w:sz w:val="16"/>
                <w:szCs w:val="16"/>
                <w:color w:val="auto"/>
              </w:rPr>
              <w:t>Severance</w:t>
            </w:r>
          </w:p>
        </w:tc>
        <w:tc>
          <w:tcPr>
            <w:tcW w:w="200" w:type="dxa"/>
            <w:vAlign w:val="bottom"/>
            <w:shd w:val="clear" w:color="auto" w:fill="E8E8E8"/>
          </w:tcPr>
          <w:p>
            <w:pPr>
              <w:spacing w:after="0"/>
              <w:rPr>
                <w:sz w:val="18"/>
                <w:szCs w:val="18"/>
                <w:color w:val="auto"/>
              </w:rPr>
            </w:pPr>
          </w:p>
        </w:tc>
        <w:tc>
          <w:tcPr>
            <w:tcW w:w="940" w:type="dxa"/>
            <w:vAlign w:val="bottom"/>
            <w:shd w:val="clear" w:color="auto" w:fill="E8E8E8"/>
          </w:tcPr>
          <w:p>
            <w:pPr>
              <w:jc w:val="right"/>
              <w:spacing w:after="0"/>
              <w:rPr>
                <w:sz w:val="20"/>
                <w:szCs w:val="20"/>
                <w:color w:val="auto"/>
              </w:rPr>
            </w:pPr>
            <w:r>
              <w:rPr>
                <w:rFonts w:ascii="Arial" w:cs="Arial" w:eastAsia="Arial" w:hAnsi="Arial"/>
                <w:sz w:val="16"/>
                <w:szCs w:val="16"/>
                <w:color w:val="auto"/>
              </w:rPr>
              <w:t>500,000</w:t>
            </w:r>
          </w:p>
        </w:tc>
        <w:tc>
          <w:tcPr>
            <w:tcW w:w="500" w:type="dxa"/>
            <w:vAlign w:val="bottom"/>
            <w:shd w:val="clear" w:color="auto" w:fill="E8E8E8"/>
          </w:tcPr>
          <w:p>
            <w:pPr>
              <w:ind w:left="100"/>
              <w:spacing w:after="0"/>
              <w:rPr>
                <w:sz w:val="20"/>
                <w:szCs w:val="20"/>
                <w:color w:val="auto"/>
              </w:rPr>
            </w:pPr>
            <w:r>
              <w:rPr>
                <w:rFonts w:ascii="Arial" w:cs="Arial" w:eastAsia="Arial" w:hAnsi="Arial"/>
                <w:sz w:val="16"/>
                <w:szCs w:val="16"/>
                <w:color w:val="auto"/>
              </w:rPr>
              <w:t>(2)</w:t>
            </w:r>
          </w:p>
        </w:tc>
        <w:tc>
          <w:tcPr>
            <w:tcW w:w="220" w:type="dxa"/>
            <w:vAlign w:val="bottom"/>
            <w:shd w:val="clear" w:color="auto" w:fill="E8E8E8"/>
          </w:tcPr>
          <w:p>
            <w:pPr>
              <w:spacing w:after="0"/>
              <w:rPr>
                <w:sz w:val="18"/>
                <w:szCs w:val="18"/>
                <w:color w:val="auto"/>
              </w:rPr>
            </w:pPr>
          </w:p>
        </w:tc>
        <w:tc>
          <w:tcPr>
            <w:tcW w:w="1000" w:type="dxa"/>
            <w:vAlign w:val="bottom"/>
            <w:gridSpan w:val="2"/>
            <w:shd w:val="clear" w:color="auto" w:fill="E8E8E8"/>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shd w:val="clear" w:color="auto" w:fill="E8E8E8"/>
          </w:tcPr>
          <w:p>
            <w:pPr>
              <w:spacing w:after="0"/>
              <w:rPr>
                <w:sz w:val="18"/>
                <w:szCs w:val="18"/>
                <w:color w:val="auto"/>
              </w:rPr>
            </w:pPr>
          </w:p>
        </w:tc>
        <w:tc>
          <w:tcPr>
            <w:tcW w:w="240" w:type="dxa"/>
            <w:vAlign w:val="bottom"/>
            <w:shd w:val="clear" w:color="auto" w:fill="E8E8E8"/>
          </w:tcPr>
          <w:p>
            <w:pPr>
              <w:spacing w:after="0"/>
              <w:rPr>
                <w:sz w:val="18"/>
                <w:szCs w:val="18"/>
                <w:color w:val="auto"/>
              </w:rPr>
            </w:pPr>
          </w:p>
        </w:tc>
        <w:tc>
          <w:tcPr>
            <w:tcW w:w="880" w:type="dxa"/>
            <w:vAlign w:val="bottom"/>
            <w:shd w:val="clear" w:color="auto" w:fill="E8E8E8"/>
          </w:tcPr>
          <w:p>
            <w:pPr>
              <w:jc w:val="right"/>
              <w:spacing w:after="0"/>
              <w:rPr>
                <w:sz w:val="20"/>
                <w:szCs w:val="20"/>
                <w:color w:val="auto"/>
              </w:rPr>
            </w:pPr>
            <w:r>
              <w:rPr>
                <w:rFonts w:ascii="Arial" w:cs="Arial" w:eastAsia="Arial" w:hAnsi="Arial"/>
                <w:sz w:val="16"/>
                <w:szCs w:val="16"/>
                <w:color w:val="auto"/>
              </w:rPr>
              <w:t>750,000</w:t>
            </w:r>
          </w:p>
        </w:tc>
        <w:tc>
          <w:tcPr>
            <w:tcW w:w="20" w:type="dxa"/>
            <w:vAlign w:val="bottom"/>
            <w:shd w:val="clear" w:color="auto" w:fill="E8E8E8"/>
          </w:tcPr>
          <w:p>
            <w:pPr>
              <w:spacing w:after="0"/>
              <w:rPr>
                <w:sz w:val="18"/>
                <w:szCs w:val="18"/>
                <w:color w:val="auto"/>
              </w:rPr>
            </w:pPr>
          </w:p>
        </w:tc>
        <w:tc>
          <w:tcPr>
            <w:tcW w:w="20" w:type="dxa"/>
            <w:vAlign w:val="bottom"/>
            <w:shd w:val="clear" w:color="auto" w:fill="E8E8E8"/>
          </w:tcPr>
          <w:p>
            <w:pPr>
              <w:spacing w:after="0"/>
              <w:rPr>
                <w:sz w:val="18"/>
                <w:szCs w:val="18"/>
                <w:color w:val="auto"/>
              </w:rPr>
            </w:pPr>
          </w:p>
        </w:tc>
        <w:tc>
          <w:tcPr>
            <w:tcW w:w="80" w:type="dxa"/>
            <w:vAlign w:val="bottom"/>
            <w:shd w:val="clear" w:color="auto" w:fill="E8E8E8"/>
          </w:tcPr>
          <w:p>
            <w:pPr>
              <w:spacing w:after="0"/>
              <w:rPr>
                <w:sz w:val="18"/>
                <w:szCs w:val="18"/>
                <w:color w:val="auto"/>
              </w:rPr>
            </w:pPr>
          </w:p>
        </w:tc>
        <w:tc>
          <w:tcPr>
            <w:tcW w:w="420" w:type="dxa"/>
            <w:vAlign w:val="bottom"/>
            <w:shd w:val="clear" w:color="auto" w:fill="E8E8E8"/>
          </w:tcPr>
          <w:p>
            <w:pPr>
              <w:ind w:lef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7"/>
        </w:trPr>
        <w:tc>
          <w:tcPr>
            <w:tcW w:w="1620" w:type="dxa"/>
            <w:vAlign w:val="bottom"/>
            <w:shd w:val="clear" w:color="auto" w:fill="E8E8E8"/>
          </w:tcPr>
          <w:p>
            <w:pPr>
              <w:spacing w:after="0"/>
              <w:rPr>
                <w:sz w:val="19"/>
                <w:szCs w:val="19"/>
                <w:color w:val="auto"/>
              </w:rPr>
            </w:pPr>
          </w:p>
        </w:tc>
        <w:tc>
          <w:tcPr>
            <w:tcW w:w="220" w:type="dxa"/>
            <w:vAlign w:val="bottom"/>
            <w:shd w:val="clear" w:color="auto" w:fill="E8E8E8"/>
          </w:tcPr>
          <w:p>
            <w:pPr>
              <w:spacing w:after="0"/>
              <w:rPr>
                <w:sz w:val="19"/>
                <w:szCs w:val="19"/>
                <w:color w:val="auto"/>
              </w:rPr>
            </w:pPr>
          </w:p>
        </w:tc>
        <w:tc>
          <w:tcPr>
            <w:tcW w:w="4120" w:type="dxa"/>
            <w:vAlign w:val="bottom"/>
            <w:shd w:val="clear" w:color="auto" w:fill="E8E8E8"/>
          </w:tcPr>
          <w:p>
            <w:pPr>
              <w:spacing w:after="0"/>
              <w:rPr>
                <w:sz w:val="20"/>
                <w:szCs w:val="20"/>
                <w:color w:val="auto"/>
              </w:rPr>
            </w:pPr>
            <w:r>
              <w:rPr>
                <w:rFonts w:ascii="Arial" w:cs="Arial" w:eastAsia="Arial" w:hAnsi="Arial"/>
                <w:sz w:val="16"/>
                <w:szCs w:val="16"/>
                <w:color w:val="auto"/>
              </w:rPr>
              <w:t>Bonus</w:t>
            </w:r>
          </w:p>
        </w:tc>
        <w:tc>
          <w:tcPr>
            <w:tcW w:w="200" w:type="dxa"/>
            <w:vAlign w:val="bottom"/>
            <w:shd w:val="clear" w:color="auto" w:fill="E8E8E8"/>
          </w:tcPr>
          <w:p>
            <w:pPr>
              <w:spacing w:after="0"/>
              <w:rPr>
                <w:sz w:val="19"/>
                <w:szCs w:val="19"/>
                <w:color w:val="auto"/>
              </w:rPr>
            </w:pPr>
          </w:p>
        </w:tc>
        <w:tc>
          <w:tcPr>
            <w:tcW w:w="940" w:type="dxa"/>
            <w:vAlign w:val="bottom"/>
            <w:shd w:val="clear" w:color="auto" w:fill="E8E8E8"/>
          </w:tcPr>
          <w:p>
            <w:pPr>
              <w:jc w:val="right"/>
              <w:spacing w:after="0"/>
              <w:rPr>
                <w:sz w:val="20"/>
                <w:szCs w:val="20"/>
                <w:color w:val="auto"/>
              </w:rPr>
            </w:pPr>
            <w:r>
              <w:rPr>
                <w:rFonts w:ascii="Arial" w:cs="Arial" w:eastAsia="Arial" w:hAnsi="Arial"/>
                <w:sz w:val="16"/>
                <w:szCs w:val="16"/>
                <w:color w:val="auto"/>
              </w:rPr>
              <w:t>1,280,000</w:t>
            </w:r>
          </w:p>
        </w:tc>
        <w:tc>
          <w:tcPr>
            <w:tcW w:w="500" w:type="dxa"/>
            <w:vAlign w:val="bottom"/>
            <w:shd w:val="clear" w:color="auto" w:fill="E8E8E8"/>
          </w:tcPr>
          <w:p>
            <w:pPr>
              <w:ind w:left="100"/>
              <w:spacing w:after="0"/>
              <w:rPr>
                <w:sz w:val="20"/>
                <w:szCs w:val="20"/>
                <w:color w:val="auto"/>
              </w:rPr>
            </w:pPr>
            <w:r>
              <w:rPr>
                <w:rFonts w:ascii="Arial" w:cs="Arial" w:eastAsia="Arial" w:hAnsi="Arial"/>
                <w:sz w:val="16"/>
                <w:szCs w:val="16"/>
                <w:color w:val="auto"/>
              </w:rPr>
              <w:t>(4)</w:t>
            </w:r>
          </w:p>
        </w:tc>
        <w:tc>
          <w:tcPr>
            <w:tcW w:w="220" w:type="dxa"/>
            <w:vAlign w:val="bottom"/>
            <w:shd w:val="clear" w:color="auto" w:fill="E8E8E8"/>
          </w:tcPr>
          <w:p>
            <w:pPr>
              <w:spacing w:after="0"/>
              <w:rPr>
                <w:sz w:val="19"/>
                <w:szCs w:val="19"/>
                <w:color w:val="auto"/>
              </w:rPr>
            </w:pPr>
          </w:p>
        </w:tc>
        <w:tc>
          <w:tcPr>
            <w:tcW w:w="1000" w:type="dxa"/>
            <w:vAlign w:val="bottom"/>
            <w:gridSpan w:val="2"/>
            <w:shd w:val="clear" w:color="auto" w:fill="E8E8E8"/>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shd w:val="clear" w:color="auto" w:fill="E8E8E8"/>
          </w:tcPr>
          <w:p>
            <w:pPr>
              <w:spacing w:after="0"/>
              <w:rPr>
                <w:sz w:val="19"/>
                <w:szCs w:val="19"/>
                <w:color w:val="auto"/>
              </w:rPr>
            </w:pPr>
          </w:p>
        </w:tc>
        <w:tc>
          <w:tcPr>
            <w:tcW w:w="240" w:type="dxa"/>
            <w:vAlign w:val="bottom"/>
            <w:shd w:val="clear" w:color="auto" w:fill="E8E8E8"/>
          </w:tcPr>
          <w:p>
            <w:pPr>
              <w:spacing w:after="0"/>
              <w:rPr>
                <w:sz w:val="19"/>
                <w:szCs w:val="19"/>
                <w:color w:val="auto"/>
              </w:rPr>
            </w:pPr>
          </w:p>
        </w:tc>
        <w:tc>
          <w:tcPr>
            <w:tcW w:w="880" w:type="dxa"/>
            <w:vAlign w:val="bottom"/>
            <w:shd w:val="clear" w:color="auto" w:fill="E8E8E8"/>
          </w:tcPr>
          <w:p>
            <w:pPr>
              <w:jc w:val="right"/>
              <w:spacing w:after="0"/>
              <w:rPr>
                <w:sz w:val="20"/>
                <w:szCs w:val="20"/>
                <w:color w:val="auto"/>
              </w:rPr>
            </w:pPr>
            <w:r>
              <w:rPr>
                <w:rFonts w:ascii="Arial" w:cs="Arial" w:eastAsia="Arial" w:hAnsi="Arial"/>
                <w:sz w:val="16"/>
                <w:szCs w:val="16"/>
                <w:color w:val="auto"/>
              </w:rPr>
              <w:t>1,200,000</w:t>
            </w:r>
          </w:p>
        </w:tc>
        <w:tc>
          <w:tcPr>
            <w:tcW w:w="20" w:type="dxa"/>
            <w:vAlign w:val="bottom"/>
            <w:shd w:val="clear" w:color="auto" w:fill="E8E8E8"/>
          </w:tcPr>
          <w:p>
            <w:pPr>
              <w:spacing w:after="0"/>
              <w:rPr>
                <w:sz w:val="19"/>
                <w:szCs w:val="19"/>
                <w:color w:val="auto"/>
              </w:rPr>
            </w:pPr>
          </w:p>
        </w:tc>
        <w:tc>
          <w:tcPr>
            <w:tcW w:w="20" w:type="dxa"/>
            <w:vAlign w:val="bottom"/>
            <w:shd w:val="clear" w:color="auto" w:fill="E8E8E8"/>
          </w:tcPr>
          <w:p>
            <w:pPr>
              <w:spacing w:after="0"/>
              <w:rPr>
                <w:sz w:val="19"/>
                <w:szCs w:val="19"/>
                <w:color w:val="auto"/>
              </w:rPr>
            </w:pPr>
          </w:p>
        </w:tc>
        <w:tc>
          <w:tcPr>
            <w:tcW w:w="80" w:type="dxa"/>
            <w:vAlign w:val="bottom"/>
            <w:shd w:val="clear" w:color="auto" w:fill="E8E8E8"/>
          </w:tcPr>
          <w:p>
            <w:pPr>
              <w:spacing w:after="0"/>
              <w:rPr>
                <w:sz w:val="19"/>
                <w:szCs w:val="19"/>
                <w:color w:val="auto"/>
              </w:rPr>
            </w:pPr>
          </w:p>
        </w:tc>
        <w:tc>
          <w:tcPr>
            <w:tcW w:w="420" w:type="dxa"/>
            <w:vAlign w:val="bottom"/>
            <w:shd w:val="clear" w:color="auto" w:fill="E8E8E8"/>
          </w:tcPr>
          <w:p>
            <w:pPr>
              <w:ind w:lef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41"/>
        </w:trPr>
        <w:tc>
          <w:tcPr>
            <w:tcW w:w="1620" w:type="dxa"/>
            <w:vAlign w:val="bottom"/>
            <w:shd w:val="clear" w:color="auto" w:fill="E8E8E8"/>
          </w:tcPr>
          <w:p>
            <w:pPr>
              <w:spacing w:after="0"/>
              <w:rPr>
                <w:sz w:val="20"/>
                <w:szCs w:val="20"/>
                <w:color w:val="auto"/>
              </w:rPr>
            </w:pPr>
          </w:p>
        </w:tc>
        <w:tc>
          <w:tcPr>
            <w:tcW w:w="220" w:type="dxa"/>
            <w:vAlign w:val="bottom"/>
            <w:shd w:val="clear" w:color="auto" w:fill="E8E8E8"/>
          </w:tcPr>
          <w:p>
            <w:pPr>
              <w:spacing w:after="0"/>
              <w:rPr>
                <w:sz w:val="20"/>
                <w:szCs w:val="20"/>
                <w:color w:val="auto"/>
              </w:rPr>
            </w:pPr>
          </w:p>
        </w:tc>
        <w:tc>
          <w:tcPr>
            <w:tcW w:w="4120" w:type="dxa"/>
            <w:vAlign w:val="bottom"/>
            <w:shd w:val="clear" w:color="auto" w:fill="E8E8E8"/>
          </w:tcPr>
          <w:p>
            <w:pPr>
              <w:spacing w:after="0"/>
              <w:rPr>
                <w:sz w:val="20"/>
                <w:szCs w:val="20"/>
                <w:color w:val="auto"/>
              </w:rPr>
            </w:pPr>
            <w:r>
              <w:rPr>
                <w:rFonts w:ascii="Arial" w:cs="Arial" w:eastAsia="Arial" w:hAnsi="Arial"/>
                <w:sz w:val="16"/>
                <w:szCs w:val="16"/>
                <w:color w:val="auto"/>
              </w:rPr>
              <w:t>Accelerated Vesting of Stock Options</w:t>
            </w:r>
          </w:p>
        </w:tc>
        <w:tc>
          <w:tcPr>
            <w:tcW w:w="200" w:type="dxa"/>
            <w:vAlign w:val="bottom"/>
            <w:shd w:val="clear" w:color="auto" w:fill="E8E8E8"/>
          </w:tcPr>
          <w:p>
            <w:pPr>
              <w:spacing w:after="0"/>
              <w:rPr>
                <w:sz w:val="20"/>
                <w:szCs w:val="20"/>
                <w:color w:val="auto"/>
              </w:rPr>
            </w:pPr>
          </w:p>
        </w:tc>
        <w:tc>
          <w:tcPr>
            <w:tcW w:w="940" w:type="dxa"/>
            <w:vAlign w:val="bottom"/>
            <w:shd w:val="clear" w:color="auto" w:fill="E8E8E8"/>
          </w:tcPr>
          <w:p>
            <w:pPr>
              <w:jc w:val="right"/>
              <w:spacing w:after="0"/>
              <w:rPr>
                <w:sz w:val="20"/>
                <w:szCs w:val="20"/>
                <w:color w:val="auto"/>
              </w:rPr>
            </w:pPr>
            <w:r>
              <w:rPr>
                <w:rFonts w:ascii="Arial" w:cs="Arial" w:eastAsia="Arial" w:hAnsi="Arial"/>
                <w:sz w:val="16"/>
                <w:szCs w:val="16"/>
                <w:color w:val="auto"/>
              </w:rPr>
              <w:t>202,355</w:t>
            </w:r>
          </w:p>
        </w:tc>
        <w:tc>
          <w:tcPr>
            <w:tcW w:w="500" w:type="dxa"/>
            <w:vAlign w:val="bottom"/>
            <w:shd w:val="clear" w:color="auto" w:fill="E8E8E8"/>
          </w:tcPr>
          <w:p>
            <w:pPr>
              <w:ind w:left="100"/>
              <w:spacing w:after="0"/>
              <w:rPr>
                <w:sz w:val="20"/>
                <w:szCs w:val="20"/>
                <w:color w:val="auto"/>
              </w:rPr>
            </w:pPr>
            <w:r>
              <w:rPr>
                <w:rFonts w:ascii="Arial" w:cs="Arial" w:eastAsia="Arial" w:hAnsi="Arial"/>
                <w:sz w:val="16"/>
                <w:szCs w:val="16"/>
                <w:color w:val="auto"/>
              </w:rPr>
              <w:t>(6)</w:t>
            </w:r>
          </w:p>
        </w:tc>
        <w:tc>
          <w:tcPr>
            <w:tcW w:w="220" w:type="dxa"/>
            <w:vAlign w:val="bottom"/>
            <w:shd w:val="clear" w:color="auto" w:fill="E8E8E8"/>
          </w:tcPr>
          <w:p>
            <w:pPr>
              <w:spacing w:after="0"/>
              <w:rPr>
                <w:sz w:val="20"/>
                <w:szCs w:val="20"/>
                <w:color w:val="auto"/>
              </w:rPr>
            </w:pPr>
          </w:p>
        </w:tc>
        <w:tc>
          <w:tcPr>
            <w:tcW w:w="940" w:type="dxa"/>
            <w:vAlign w:val="bottom"/>
            <w:shd w:val="clear" w:color="auto" w:fill="E8E8E8"/>
          </w:tcPr>
          <w:p>
            <w:pPr>
              <w:jc w:val="right"/>
              <w:spacing w:after="0"/>
              <w:rPr>
                <w:sz w:val="20"/>
                <w:szCs w:val="20"/>
                <w:color w:val="auto"/>
              </w:rPr>
            </w:pPr>
            <w:r>
              <w:rPr>
                <w:rFonts w:ascii="Arial" w:cs="Arial" w:eastAsia="Arial" w:hAnsi="Arial"/>
                <w:sz w:val="16"/>
                <w:szCs w:val="16"/>
                <w:color w:val="auto"/>
              </w:rPr>
              <w:t>202,355</w:t>
            </w:r>
          </w:p>
        </w:tc>
        <w:tc>
          <w:tcPr>
            <w:tcW w:w="60" w:type="dxa"/>
            <w:vAlign w:val="bottom"/>
            <w:shd w:val="clear" w:color="auto" w:fill="E8E8E8"/>
          </w:tcPr>
          <w:p>
            <w:pPr>
              <w:spacing w:after="0"/>
              <w:rPr>
                <w:sz w:val="20"/>
                <w:szCs w:val="20"/>
                <w:color w:val="auto"/>
              </w:rPr>
            </w:pPr>
          </w:p>
        </w:tc>
        <w:tc>
          <w:tcPr>
            <w:tcW w:w="440" w:type="dxa"/>
            <w:vAlign w:val="bottom"/>
            <w:shd w:val="clear" w:color="auto" w:fill="E8E8E8"/>
          </w:tcPr>
          <w:p>
            <w:pPr>
              <w:ind w:left="40"/>
              <w:spacing w:after="0"/>
              <w:rPr>
                <w:sz w:val="20"/>
                <w:szCs w:val="20"/>
                <w:color w:val="auto"/>
              </w:rPr>
            </w:pPr>
            <w:r>
              <w:rPr>
                <w:rFonts w:ascii="Arial" w:cs="Arial" w:eastAsia="Arial" w:hAnsi="Arial"/>
                <w:sz w:val="16"/>
                <w:szCs w:val="16"/>
                <w:color w:val="auto"/>
              </w:rPr>
              <w:t>(7)</w:t>
            </w:r>
          </w:p>
        </w:tc>
        <w:tc>
          <w:tcPr>
            <w:tcW w:w="240" w:type="dxa"/>
            <w:vAlign w:val="bottom"/>
            <w:shd w:val="clear" w:color="auto" w:fill="E8E8E8"/>
          </w:tcPr>
          <w:p>
            <w:pPr>
              <w:spacing w:after="0"/>
              <w:rPr>
                <w:sz w:val="20"/>
                <w:szCs w:val="20"/>
                <w:color w:val="auto"/>
              </w:rPr>
            </w:pPr>
          </w:p>
        </w:tc>
        <w:tc>
          <w:tcPr>
            <w:tcW w:w="880" w:type="dxa"/>
            <w:vAlign w:val="bottom"/>
            <w:shd w:val="clear" w:color="auto" w:fill="E8E8E8"/>
          </w:tcPr>
          <w:p>
            <w:pPr>
              <w:jc w:val="right"/>
              <w:spacing w:after="0"/>
              <w:rPr>
                <w:sz w:val="20"/>
                <w:szCs w:val="20"/>
                <w:color w:val="auto"/>
              </w:rPr>
            </w:pPr>
            <w:r>
              <w:rPr>
                <w:rFonts w:ascii="Arial" w:cs="Arial" w:eastAsia="Arial" w:hAnsi="Arial"/>
                <w:sz w:val="16"/>
                <w:szCs w:val="16"/>
                <w:color w:val="auto"/>
              </w:rPr>
              <w:t>202,355</w:t>
            </w:r>
          </w:p>
        </w:tc>
        <w:tc>
          <w:tcPr>
            <w:tcW w:w="20" w:type="dxa"/>
            <w:vAlign w:val="bottom"/>
            <w:shd w:val="clear" w:color="auto" w:fill="E8E8E8"/>
          </w:tcPr>
          <w:p>
            <w:pPr>
              <w:spacing w:after="0"/>
              <w:rPr>
                <w:sz w:val="20"/>
                <w:szCs w:val="20"/>
                <w:color w:val="auto"/>
              </w:rPr>
            </w:pPr>
          </w:p>
        </w:tc>
        <w:tc>
          <w:tcPr>
            <w:tcW w:w="20" w:type="dxa"/>
            <w:vAlign w:val="bottom"/>
            <w:shd w:val="clear" w:color="auto" w:fill="E8E8E8"/>
          </w:tcPr>
          <w:p>
            <w:pPr>
              <w:spacing w:after="0"/>
              <w:rPr>
                <w:sz w:val="20"/>
                <w:szCs w:val="20"/>
                <w:color w:val="auto"/>
              </w:rPr>
            </w:pPr>
          </w:p>
        </w:tc>
        <w:tc>
          <w:tcPr>
            <w:tcW w:w="80" w:type="dxa"/>
            <w:vAlign w:val="bottom"/>
            <w:shd w:val="clear" w:color="auto" w:fill="E8E8E8"/>
          </w:tcPr>
          <w:p>
            <w:pPr>
              <w:spacing w:after="0"/>
              <w:rPr>
                <w:sz w:val="20"/>
                <w:szCs w:val="20"/>
                <w:color w:val="auto"/>
              </w:rPr>
            </w:pPr>
          </w:p>
        </w:tc>
        <w:tc>
          <w:tcPr>
            <w:tcW w:w="420" w:type="dxa"/>
            <w:vAlign w:val="bottom"/>
            <w:shd w:val="clear" w:color="auto" w:fill="E8E8E8"/>
          </w:tcPr>
          <w:p>
            <w:pPr>
              <w:ind w:lef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41"/>
        </w:trPr>
        <w:tc>
          <w:tcPr>
            <w:tcW w:w="1620" w:type="dxa"/>
            <w:vAlign w:val="bottom"/>
            <w:shd w:val="clear" w:color="auto" w:fill="E8E8E8"/>
          </w:tcPr>
          <w:p>
            <w:pPr>
              <w:spacing w:after="0"/>
              <w:rPr>
                <w:sz w:val="20"/>
                <w:szCs w:val="20"/>
                <w:color w:val="auto"/>
              </w:rPr>
            </w:pPr>
          </w:p>
        </w:tc>
        <w:tc>
          <w:tcPr>
            <w:tcW w:w="220" w:type="dxa"/>
            <w:vAlign w:val="bottom"/>
            <w:shd w:val="clear" w:color="auto" w:fill="E8E8E8"/>
          </w:tcPr>
          <w:p>
            <w:pPr>
              <w:spacing w:after="0"/>
              <w:rPr>
                <w:sz w:val="20"/>
                <w:szCs w:val="20"/>
                <w:color w:val="auto"/>
              </w:rPr>
            </w:pPr>
          </w:p>
        </w:tc>
        <w:tc>
          <w:tcPr>
            <w:tcW w:w="4120" w:type="dxa"/>
            <w:vAlign w:val="bottom"/>
            <w:shd w:val="clear" w:color="auto" w:fill="E8E8E8"/>
          </w:tcPr>
          <w:p>
            <w:pPr>
              <w:spacing w:after="0"/>
              <w:rPr>
                <w:sz w:val="20"/>
                <w:szCs w:val="20"/>
                <w:color w:val="auto"/>
              </w:rPr>
            </w:pPr>
            <w:r>
              <w:rPr>
                <w:rFonts w:ascii="Arial" w:cs="Arial" w:eastAsia="Arial" w:hAnsi="Arial"/>
                <w:sz w:val="16"/>
                <w:szCs w:val="16"/>
                <w:color w:val="auto"/>
              </w:rPr>
              <w:t>Accelerated Vesting of RSUs</w:t>
            </w:r>
          </w:p>
        </w:tc>
        <w:tc>
          <w:tcPr>
            <w:tcW w:w="200" w:type="dxa"/>
            <w:vAlign w:val="bottom"/>
            <w:shd w:val="clear" w:color="auto" w:fill="E8E8E8"/>
          </w:tcPr>
          <w:p>
            <w:pPr>
              <w:spacing w:after="0"/>
              <w:rPr>
                <w:sz w:val="20"/>
                <w:szCs w:val="20"/>
                <w:color w:val="auto"/>
              </w:rPr>
            </w:pPr>
          </w:p>
        </w:tc>
        <w:tc>
          <w:tcPr>
            <w:tcW w:w="940" w:type="dxa"/>
            <w:vAlign w:val="bottom"/>
            <w:shd w:val="clear" w:color="auto" w:fill="E8E8E8"/>
          </w:tcPr>
          <w:p>
            <w:pPr>
              <w:jc w:val="right"/>
              <w:spacing w:after="0"/>
              <w:rPr>
                <w:sz w:val="20"/>
                <w:szCs w:val="20"/>
                <w:color w:val="auto"/>
              </w:rPr>
            </w:pPr>
            <w:r>
              <w:rPr>
                <w:rFonts w:ascii="Arial" w:cs="Arial" w:eastAsia="Arial" w:hAnsi="Arial"/>
                <w:sz w:val="16"/>
                <w:szCs w:val="16"/>
                <w:color w:val="auto"/>
              </w:rPr>
              <w:t>1,784,843</w:t>
            </w:r>
          </w:p>
        </w:tc>
        <w:tc>
          <w:tcPr>
            <w:tcW w:w="500" w:type="dxa"/>
            <w:vAlign w:val="bottom"/>
            <w:shd w:val="clear" w:color="auto" w:fill="E8E8E8"/>
          </w:tcPr>
          <w:p>
            <w:pPr>
              <w:ind w:left="100"/>
              <w:spacing w:after="0"/>
              <w:rPr>
                <w:sz w:val="20"/>
                <w:szCs w:val="20"/>
                <w:color w:val="auto"/>
              </w:rPr>
            </w:pPr>
            <w:r>
              <w:rPr>
                <w:rFonts w:ascii="Arial" w:cs="Arial" w:eastAsia="Arial" w:hAnsi="Arial"/>
                <w:sz w:val="16"/>
                <w:szCs w:val="16"/>
                <w:color w:val="auto"/>
              </w:rPr>
              <w:t>(9)</w:t>
            </w:r>
          </w:p>
        </w:tc>
        <w:tc>
          <w:tcPr>
            <w:tcW w:w="220" w:type="dxa"/>
            <w:vAlign w:val="bottom"/>
            <w:shd w:val="clear" w:color="auto" w:fill="E8E8E8"/>
          </w:tcPr>
          <w:p>
            <w:pPr>
              <w:spacing w:after="0"/>
              <w:rPr>
                <w:sz w:val="20"/>
                <w:szCs w:val="20"/>
                <w:color w:val="auto"/>
              </w:rPr>
            </w:pPr>
          </w:p>
        </w:tc>
        <w:tc>
          <w:tcPr>
            <w:tcW w:w="940" w:type="dxa"/>
            <w:vAlign w:val="bottom"/>
            <w:shd w:val="clear" w:color="auto" w:fill="E8E8E8"/>
          </w:tcPr>
          <w:p>
            <w:pPr>
              <w:jc w:val="right"/>
              <w:spacing w:after="0"/>
              <w:rPr>
                <w:sz w:val="20"/>
                <w:szCs w:val="20"/>
                <w:color w:val="auto"/>
              </w:rPr>
            </w:pPr>
            <w:r>
              <w:rPr>
                <w:rFonts w:ascii="Arial" w:cs="Arial" w:eastAsia="Arial" w:hAnsi="Arial"/>
                <w:sz w:val="16"/>
                <w:szCs w:val="16"/>
                <w:color w:val="auto"/>
              </w:rPr>
              <w:t>2,460,103</w:t>
            </w:r>
          </w:p>
        </w:tc>
        <w:tc>
          <w:tcPr>
            <w:tcW w:w="60" w:type="dxa"/>
            <w:vAlign w:val="bottom"/>
            <w:shd w:val="clear" w:color="auto" w:fill="E8E8E8"/>
          </w:tcPr>
          <w:p>
            <w:pPr>
              <w:spacing w:after="0"/>
              <w:rPr>
                <w:sz w:val="20"/>
                <w:szCs w:val="20"/>
                <w:color w:val="auto"/>
              </w:rPr>
            </w:pPr>
          </w:p>
        </w:tc>
        <w:tc>
          <w:tcPr>
            <w:tcW w:w="440" w:type="dxa"/>
            <w:vAlign w:val="bottom"/>
            <w:shd w:val="clear" w:color="auto" w:fill="E8E8E8"/>
          </w:tcPr>
          <w:p>
            <w:pPr>
              <w:ind w:left="40"/>
              <w:spacing w:after="0"/>
              <w:rPr>
                <w:sz w:val="20"/>
                <w:szCs w:val="20"/>
                <w:color w:val="auto"/>
              </w:rPr>
            </w:pPr>
            <w:r>
              <w:rPr>
                <w:rFonts w:ascii="Arial" w:cs="Arial" w:eastAsia="Arial" w:hAnsi="Arial"/>
                <w:sz w:val="16"/>
                <w:szCs w:val="16"/>
                <w:color w:val="auto"/>
              </w:rPr>
              <w:t>(10)</w:t>
            </w:r>
          </w:p>
        </w:tc>
        <w:tc>
          <w:tcPr>
            <w:tcW w:w="240" w:type="dxa"/>
            <w:vAlign w:val="bottom"/>
            <w:shd w:val="clear" w:color="auto" w:fill="E8E8E8"/>
          </w:tcPr>
          <w:p>
            <w:pPr>
              <w:spacing w:after="0"/>
              <w:rPr>
                <w:sz w:val="20"/>
                <w:szCs w:val="20"/>
                <w:color w:val="auto"/>
              </w:rPr>
            </w:pPr>
          </w:p>
        </w:tc>
        <w:tc>
          <w:tcPr>
            <w:tcW w:w="880" w:type="dxa"/>
            <w:vAlign w:val="bottom"/>
            <w:shd w:val="clear" w:color="auto" w:fill="E8E8E8"/>
          </w:tcPr>
          <w:p>
            <w:pPr>
              <w:jc w:val="right"/>
              <w:spacing w:after="0"/>
              <w:rPr>
                <w:sz w:val="20"/>
                <w:szCs w:val="20"/>
                <w:color w:val="auto"/>
              </w:rPr>
            </w:pPr>
            <w:r>
              <w:rPr>
                <w:rFonts w:ascii="Arial" w:cs="Arial" w:eastAsia="Arial" w:hAnsi="Arial"/>
                <w:sz w:val="16"/>
                <w:szCs w:val="16"/>
                <w:color w:val="auto"/>
              </w:rPr>
              <w:t>2,460,103</w:t>
            </w:r>
          </w:p>
        </w:tc>
        <w:tc>
          <w:tcPr>
            <w:tcW w:w="20" w:type="dxa"/>
            <w:vAlign w:val="bottom"/>
            <w:shd w:val="clear" w:color="auto" w:fill="E8E8E8"/>
          </w:tcPr>
          <w:p>
            <w:pPr>
              <w:spacing w:after="0"/>
              <w:rPr>
                <w:sz w:val="20"/>
                <w:szCs w:val="20"/>
                <w:color w:val="auto"/>
              </w:rPr>
            </w:pPr>
          </w:p>
        </w:tc>
        <w:tc>
          <w:tcPr>
            <w:tcW w:w="20" w:type="dxa"/>
            <w:vAlign w:val="bottom"/>
            <w:shd w:val="clear" w:color="auto" w:fill="E8E8E8"/>
          </w:tcPr>
          <w:p>
            <w:pPr>
              <w:spacing w:after="0"/>
              <w:rPr>
                <w:sz w:val="20"/>
                <w:szCs w:val="20"/>
                <w:color w:val="auto"/>
              </w:rPr>
            </w:pPr>
          </w:p>
        </w:tc>
        <w:tc>
          <w:tcPr>
            <w:tcW w:w="80" w:type="dxa"/>
            <w:vAlign w:val="bottom"/>
            <w:shd w:val="clear" w:color="auto" w:fill="E8E8E8"/>
          </w:tcPr>
          <w:p>
            <w:pPr>
              <w:spacing w:after="0"/>
              <w:rPr>
                <w:sz w:val="20"/>
                <w:szCs w:val="20"/>
                <w:color w:val="auto"/>
              </w:rPr>
            </w:pPr>
          </w:p>
        </w:tc>
        <w:tc>
          <w:tcPr>
            <w:tcW w:w="420" w:type="dxa"/>
            <w:vAlign w:val="bottom"/>
            <w:shd w:val="clear" w:color="auto" w:fill="E8E8E8"/>
          </w:tcPr>
          <w:p>
            <w:pPr>
              <w:ind w:lef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41"/>
        </w:trPr>
        <w:tc>
          <w:tcPr>
            <w:tcW w:w="1620" w:type="dxa"/>
            <w:vAlign w:val="bottom"/>
            <w:shd w:val="clear" w:color="auto" w:fill="E8E8E8"/>
          </w:tcPr>
          <w:p>
            <w:pPr>
              <w:spacing w:after="0"/>
              <w:rPr>
                <w:sz w:val="20"/>
                <w:szCs w:val="20"/>
                <w:color w:val="auto"/>
              </w:rPr>
            </w:pPr>
          </w:p>
        </w:tc>
        <w:tc>
          <w:tcPr>
            <w:tcW w:w="220" w:type="dxa"/>
            <w:vAlign w:val="bottom"/>
            <w:shd w:val="clear" w:color="auto" w:fill="E8E8E8"/>
          </w:tcPr>
          <w:p>
            <w:pPr>
              <w:spacing w:after="0"/>
              <w:rPr>
                <w:sz w:val="20"/>
                <w:szCs w:val="20"/>
                <w:color w:val="auto"/>
              </w:rPr>
            </w:pPr>
          </w:p>
        </w:tc>
        <w:tc>
          <w:tcPr>
            <w:tcW w:w="4120" w:type="dxa"/>
            <w:vAlign w:val="bottom"/>
            <w:shd w:val="clear" w:color="auto" w:fill="E8E8E8"/>
          </w:tcPr>
          <w:p>
            <w:pPr>
              <w:spacing w:after="0"/>
              <w:rPr>
                <w:sz w:val="20"/>
                <w:szCs w:val="20"/>
                <w:color w:val="auto"/>
              </w:rPr>
            </w:pPr>
            <w:r>
              <w:rPr>
                <w:rFonts w:ascii="Arial" w:cs="Arial" w:eastAsia="Arial" w:hAnsi="Arial"/>
                <w:sz w:val="16"/>
                <w:szCs w:val="16"/>
                <w:color w:val="auto"/>
              </w:rPr>
              <w:t>Accelerated Vesting of PSUs</w:t>
            </w:r>
          </w:p>
        </w:tc>
        <w:tc>
          <w:tcPr>
            <w:tcW w:w="200" w:type="dxa"/>
            <w:vAlign w:val="bottom"/>
            <w:shd w:val="clear" w:color="auto" w:fill="E8E8E8"/>
          </w:tcPr>
          <w:p>
            <w:pPr>
              <w:spacing w:after="0"/>
              <w:rPr>
                <w:sz w:val="20"/>
                <w:szCs w:val="20"/>
                <w:color w:val="auto"/>
              </w:rPr>
            </w:pPr>
          </w:p>
        </w:tc>
        <w:tc>
          <w:tcPr>
            <w:tcW w:w="940" w:type="dxa"/>
            <w:vAlign w:val="bottom"/>
            <w:shd w:val="clear" w:color="auto" w:fill="E8E8E8"/>
          </w:tcPr>
          <w:p>
            <w:pPr>
              <w:jc w:val="right"/>
              <w:spacing w:after="0"/>
              <w:rPr>
                <w:sz w:val="20"/>
                <w:szCs w:val="20"/>
                <w:color w:val="auto"/>
              </w:rPr>
            </w:pPr>
            <w:r>
              <w:rPr>
                <w:rFonts w:ascii="Arial" w:cs="Arial" w:eastAsia="Arial" w:hAnsi="Arial"/>
                <w:sz w:val="16"/>
                <w:szCs w:val="16"/>
                <w:color w:val="auto"/>
              </w:rPr>
              <w:t>1,525,498</w:t>
            </w:r>
          </w:p>
        </w:tc>
        <w:tc>
          <w:tcPr>
            <w:tcW w:w="500" w:type="dxa"/>
            <w:vAlign w:val="bottom"/>
            <w:shd w:val="clear" w:color="auto" w:fill="E8E8E8"/>
          </w:tcPr>
          <w:p>
            <w:pPr>
              <w:ind w:left="100"/>
              <w:spacing w:after="0"/>
              <w:rPr>
                <w:sz w:val="20"/>
                <w:szCs w:val="20"/>
                <w:color w:val="auto"/>
              </w:rPr>
            </w:pPr>
            <w:r>
              <w:rPr>
                <w:rFonts w:ascii="Arial" w:cs="Arial" w:eastAsia="Arial" w:hAnsi="Arial"/>
                <w:sz w:val="16"/>
                <w:szCs w:val="16"/>
                <w:color w:val="auto"/>
              </w:rPr>
              <w:t>(12)</w:t>
            </w:r>
          </w:p>
        </w:tc>
        <w:tc>
          <w:tcPr>
            <w:tcW w:w="220" w:type="dxa"/>
            <w:vAlign w:val="bottom"/>
            <w:shd w:val="clear" w:color="auto" w:fill="E8E8E8"/>
          </w:tcPr>
          <w:p>
            <w:pPr>
              <w:spacing w:after="0"/>
              <w:rPr>
                <w:sz w:val="20"/>
                <w:szCs w:val="20"/>
                <w:color w:val="auto"/>
              </w:rPr>
            </w:pPr>
          </w:p>
        </w:tc>
        <w:tc>
          <w:tcPr>
            <w:tcW w:w="940" w:type="dxa"/>
            <w:vAlign w:val="bottom"/>
            <w:shd w:val="clear" w:color="auto" w:fill="E8E8E8"/>
          </w:tcPr>
          <w:p>
            <w:pPr>
              <w:jc w:val="right"/>
              <w:spacing w:after="0"/>
              <w:rPr>
                <w:sz w:val="20"/>
                <w:szCs w:val="20"/>
                <w:color w:val="auto"/>
              </w:rPr>
            </w:pPr>
            <w:r>
              <w:rPr>
                <w:rFonts w:ascii="Arial" w:cs="Arial" w:eastAsia="Arial" w:hAnsi="Arial"/>
                <w:sz w:val="16"/>
                <w:szCs w:val="16"/>
                <w:color w:val="auto"/>
              </w:rPr>
              <w:t>1,525,498</w:t>
            </w:r>
          </w:p>
        </w:tc>
        <w:tc>
          <w:tcPr>
            <w:tcW w:w="60" w:type="dxa"/>
            <w:vAlign w:val="bottom"/>
            <w:shd w:val="clear" w:color="auto" w:fill="E8E8E8"/>
          </w:tcPr>
          <w:p>
            <w:pPr>
              <w:spacing w:after="0"/>
              <w:rPr>
                <w:sz w:val="20"/>
                <w:szCs w:val="20"/>
                <w:color w:val="auto"/>
              </w:rPr>
            </w:pPr>
          </w:p>
        </w:tc>
        <w:tc>
          <w:tcPr>
            <w:tcW w:w="440" w:type="dxa"/>
            <w:vAlign w:val="bottom"/>
            <w:shd w:val="clear" w:color="auto" w:fill="E8E8E8"/>
          </w:tcPr>
          <w:p>
            <w:pPr>
              <w:ind w:left="40"/>
              <w:spacing w:after="0"/>
              <w:rPr>
                <w:sz w:val="20"/>
                <w:szCs w:val="20"/>
                <w:color w:val="auto"/>
              </w:rPr>
            </w:pPr>
            <w:r>
              <w:rPr>
                <w:rFonts w:ascii="Arial" w:cs="Arial" w:eastAsia="Arial" w:hAnsi="Arial"/>
                <w:sz w:val="16"/>
                <w:szCs w:val="16"/>
                <w:color w:val="auto"/>
              </w:rPr>
              <w:t>(13)</w:t>
            </w:r>
          </w:p>
        </w:tc>
        <w:tc>
          <w:tcPr>
            <w:tcW w:w="240" w:type="dxa"/>
            <w:vAlign w:val="bottom"/>
            <w:shd w:val="clear" w:color="auto" w:fill="E8E8E8"/>
          </w:tcPr>
          <w:p>
            <w:pPr>
              <w:spacing w:after="0"/>
              <w:rPr>
                <w:sz w:val="20"/>
                <w:szCs w:val="20"/>
                <w:color w:val="auto"/>
              </w:rPr>
            </w:pPr>
          </w:p>
        </w:tc>
        <w:tc>
          <w:tcPr>
            <w:tcW w:w="880" w:type="dxa"/>
            <w:vAlign w:val="bottom"/>
            <w:shd w:val="clear" w:color="auto" w:fill="E8E8E8"/>
          </w:tcPr>
          <w:p>
            <w:pPr>
              <w:jc w:val="right"/>
              <w:spacing w:after="0"/>
              <w:rPr>
                <w:sz w:val="20"/>
                <w:szCs w:val="20"/>
                <w:color w:val="auto"/>
              </w:rPr>
            </w:pPr>
            <w:r>
              <w:rPr>
                <w:rFonts w:ascii="Arial" w:cs="Arial" w:eastAsia="Arial" w:hAnsi="Arial"/>
                <w:sz w:val="16"/>
                <w:szCs w:val="16"/>
                <w:color w:val="auto"/>
              </w:rPr>
              <w:t>1,525,498</w:t>
            </w:r>
          </w:p>
        </w:tc>
        <w:tc>
          <w:tcPr>
            <w:tcW w:w="20" w:type="dxa"/>
            <w:vAlign w:val="bottom"/>
            <w:shd w:val="clear" w:color="auto" w:fill="E8E8E8"/>
          </w:tcPr>
          <w:p>
            <w:pPr>
              <w:spacing w:after="0"/>
              <w:rPr>
                <w:sz w:val="20"/>
                <w:szCs w:val="20"/>
                <w:color w:val="auto"/>
              </w:rPr>
            </w:pPr>
          </w:p>
        </w:tc>
        <w:tc>
          <w:tcPr>
            <w:tcW w:w="20" w:type="dxa"/>
            <w:vAlign w:val="bottom"/>
            <w:shd w:val="clear" w:color="auto" w:fill="E8E8E8"/>
          </w:tcPr>
          <w:p>
            <w:pPr>
              <w:spacing w:after="0"/>
              <w:rPr>
                <w:sz w:val="20"/>
                <w:szCs w:val="20"/>
                <w:color w:val="auto"/>
              </w:rPr>
            </w:pPr>
          </w:p>
        </w:tc>
        <w:tc>
          <w:tcPr>
            <w:tcW w:w="80" w:type="dxa"/>
            <w:vAlign w:val="bottom"/>
            <w:shd w:val="clear" w:color="auto" w:fill="E8E8E8"/>
          </w:tcPr>
          <w:p>
            <w:pPr>
              <w:spacing w:after="0"/>
              <w:rPr>
                <w:sz w:val="20"/>
                <w:szCs w:val="20"/>
                <w:color w:val="auto"/>
              </w:rPr>
            </w:pPr>
          </w:p>
        </w:tc>
        <w:tc>
          <w:tcPr>
            <w:tcW w:w="420" w:type="dxa"/>
            <w:vAlign w:val="bottom"/>
            <w:shd w:val="clear" w:color="auto" w:fill="E8E8E8"/>
          </w:tcPr>
          <w:p>
            <w:pPr>
              <w:ind w:lef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03"/>
        </w:trPr>
        <w:tc>
          <w:tcPr>
            <w:tcW w:w="1620" w:type="dxa"/>
            <w:vAlign w:val="bottom"/>
            <w:tcBorders>
              <w:bottom w:val="single" w:sz="8" w:color="E8E8E8"/>
            </w:tcBorders>
            <w:shd w:val="clear" w:color="auto" w:fill="E8E8E8"/>
          </w:tcPr>
          <w:p>
            <w:pPr>
              <w:spacing w:after="0"/>
              <w:rPr>
                <w:sz w:val="24"/>
                <w:szCs w:val="24"/>
                <w:color w:val="auto"/>
              </w:rPr>
            </w:pPr>
          </w:p>
        </w:tc>
        <w:tc>
          <w:tcPr>
            <w:tcW w:w="220" w:type="dxa"/>
            <w:vAlign w:val="bottom"/>
            <w:tcBorders>
              <w:bottom w:val="single" w:sz="8" w:color="E8E8E8"/>
            </w:tcBorders>
            <w:shd w:val="clear" w:color="auto" w:fill="E8E8E8"/>
          </w:tcPr>
          <w:p>
            <w:pPr>
              <w:spacing w:after="0"/>
              <w:rPr>
                <w:sz w:val="24"/>
                <w:szCs w:val="24"/>
                <w:color w:val="auto"/>
              </w:rPr>
            </w:pPr>
          </w:p>
        </w:tc>
        <w:tc>
          <w:tcPr>
            <w:tcW w:w="4120" w:type="dxa"/>
            <w:vAlign w:val="bottom"/>
            <w:tcBorders>
              <w:bottom w:val="single" w:sz="8" w:color="E8E8E8"/>
            </w:tcBorders>
            <w:shd w:val="clear" w:color="auto" w:fill="E8E8E8"/>
          </w:tcPr>
          <w:p>
            <w:pPr>
              <w:spacing w:after="0"/>
              <w:rPr>
                <w:sz w:val="20"/>
                <w:szCs w:val="20"/>
                <w:color w:val="auto"/>
              </w:rPr>
            </w:pPr>
            <w:r>
              <w:rPr>
                <w:rFonts w:ascii="Arial" w:cs="Arial" w:eastAsia="Arial" w:hAnsi="Arial"/>
                <w:sz w:val="16"/>
                <w:szCs w:val="16"/>
                <w:color w:val="auto"/>
              </w:rPr>
              <w:t>Group Benefit Continuation</w:t>
            </w:r>
          </w:p>
        </w:tc>
        <w:tc>
          <w:tcPr>
            <w:tcW w:w="200" w:type="dxa"/>
            <w:vAlign w:val="bottom"/>
            <w:tcBorders>
              <w:bottom w:val="single" w:sz="8" w:color="E8E8E8"/>
            </w:tcBorders>
            <w:shd w:val="clear" w:color="auto" w:fill="E8E8E8"/>
          </w:tcPr>
          <w:p>
            <w:pPr>
              <w:spacing w:after="0"/>
              <w:rPr>
                <w:sz w:val="24"/>
                <w:szCs w:val="24"/>
                <w:color w:val="auto"/>
              </w:rPr>
            </w:pPr>
          </w:p>
        </w:tc>
        <w:tc>
          <w:tcPr>
            <w:tcW w:w="94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21,634</w:t>
            </w:r>
          </w:p>
        </w:tc>
        <w:tc>
          <w:tcPr>
            <w:tcW w:w="500" w:type="dxa"/>
            <w:vAlign w:val="bottom"/>
            <w:tcBorders>
              <w:bottom w:val="single" w:sz="8" w:color="E8E8E8"/>
            </w:tcBorders>
            <w:shd w:val="clear" w:color="auto" w:fill="E8E8E8"/>
          </w:tcPr>
          <w:p>
            <w:pPr>
              <w:ind w:left="100"/>
              <w:spacing w:after="0"/>
              <w:rPr>
                <w:sz w:val="20"/>
                <w:szCs w:val="20"/>
                <w:color w:val="auto"/>
              </w:rPr>
            </w:pPr>
            <w:r>
              <w:rPr>
                <w:rFonts w:ascii="Arial" w:cs="Arial" w:eastAsia="Arial" w:hAnsi="Arial"/>
                <w:sz w:val="16"/>
                <w:szCs w:val="16"/>
                <w:color w:val="auto"/>
              </w:rPr>
              <w:t>(15)</w:t>
            </w:r>
          </w:p>
        </w:tc>
        <w:tc>
          <w:tcPr>
            <w:tcW w:w="220" w:type="dxa"/>
            <w:vAlign w:val="bottom"/>
            <w:tcBorders>
              <w:bottom w:val="single" w:sz="8" w:color="E8E8E8"/>
            </w:tcBorders>
            <w:shd w:val="clear" w:color="auto" w:fill="E8E8E8"/>
          </w:tcPr>
          <w:p>
            <w:pPr>
              <w:spacing w:after="0"/>
              <w:rPr>
                <w:sz w:val="24"/>
                <w:szCs w:val="24"/>
                <w:color w:val="auto"/>
              </w:rPr>
            </w:pPr>
          </w:p>
        </w:tc>
        <w:tc>
          <w:tcPr>
            <w:tcW w:w="1000" w:type="dxa"/>
            <w:vAlign w:val="bottom"/>
            <w:tcBorders>
              <w:bottom w:val="single" w:sz="8" w:color="E8E8E8"/>
            </w:tcBorders>
            <w:gridSpan w:val="2"/>
            <w:shd w:val="clear" w:color="auto" w:fill="E8E8E8"/>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E8E8E8"/>
            </w:tcBorders>
            <w:shd w:val="clear" w:color="auto" w:fill="E8E8E8"/>
          </w:tcPr>
          <w:p>
            <w:pPr>
              <w:spacing w:after="0"/>
              <w:rPr>
                <w:sz w:val="24"/>
                <w:szCs w:val="24"/>
                <w:color w:val="auto"/>
              </w:rPr>
            </w:pPr>
          </w:p>
        </w:tc>
        <w:tc>
          <w:tcPr>
            <w:tcW w:w="240" w:type="dxa"/>
            <w:vAlign w:val="bottom"/>
            <w:tcBorders>
              <w:bottom w:val="single" w:sz="8" w:color="E8E8E8"/>
            </w:tcBorders>
            <w:shd w:val="clear" w:color="auto" w:fill="E8E8E8"/>
          </w:tcPr>
          <w:p>
            <w:pPr>
              <w:spacing w:after="0"/>
              <w:rPr>
                <w:sz w:val="24"/>
                <w:szCs w:val="24"/>
                <w:color w:val="auto"/>
              </w:rPr>
            </w:pPr>
          </w:p>
        </w:tc>
        <w:tc>
          <w:tcPr>
            <w:tcW w:w="88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32,451</w:t>
            </w:r>
          </w:p>
        </w:tc>
        <w:tc>
          <w:tcPr>
            <w:tcW w:w="20" w:type="dxa"/>
            <w:vAlign w:val="bottom"/>
            <w:tcBorders>
              <w:bottom w:val="single" w:sz="8" w:color="E8E8E8"/>
            </w:tcBorders>
            <w:shd w:val="clear" w:color="auto" w:fill="E8E8E8"/>
          </w:tcPr>
          <w:p>
            <w:pPr>
              <w:spacing w:after="0"/>
              <w:rPr>
                <w:sz w:val="24"/>
                <w:szCs w:val="24"/>
                <w:color w:val="auto"/>
              </w:rPr>
            </w:pPr>
          </w:p>
        </w:tc>
        <w:tc>
          <w:tcPr>
            <w:tcW w:w="20" w:type="dxa"/>
            <w:vAlign w:val="bottom"/>
            <w:tcBorders>
              <w:bottom w:val="single" w:sz="8" w:color="E8E8E8"/>
            </w:tcBorders>
            <w:shd w:val="clear" w:color="auto" w:fill="E8E8E8"/>
          </w:tcPr>
          <w:p>
            <w:pPr>
              <w:spacing w:after="0"/>
              <w:rPr>
                <w:sz w:val="24"/>
                <w:szCs w:val="24"/>
                <w:color w:val="auto"/>
              </w:rPr>
            </w:pPr>
          </w:p>
        </w:tc>
        <w:tc>
          <w:tcPr>
            <w:tcW w:w="80" w:type="dxa"/>
            <w:vAlign w:val="bottom"/>
            <w:tcBorders>
              <w:bottom w:val="single" w:sz="8" w:color="E8E8E8"/>
            </w:tcBorders>
            <w:shd w:val="clear" w:color="auto" w:fill="E8E8E8"/>
          </w:tcPr>
          <w:p>
            <w:pPr>
              <w:spacing w:after="0"/>
              <w:rPr>
                <w:sz w:val="24"/>
                <w:szCs w:val="24"/>
                <w:color w:val="auto"/>
              </w:rPr>
            </w:pPr>
          </w:p>
        </w:tc>
        <w:tc>
          <w:tcPr>
            <w:tcW w:w="420" w:type="dxa"/>
            <w:vAlign w:val="bottom"/>
            <w:tcBorders>
              <w:bottom w:val="single" w:sz="8" w:color="E8E8E8"/>
            </w:tcBorders>
            <w:shd w:val="clear" w:color="auto" w:fill="E8E8E8"/>
          </w:tcPr>
          <w:p>
            <w:pPr>
              <w:ind w:lef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9"/>
        </w:trPr>
        <w:tc>
          <w:tcPr>
            <w:tcW w:w="1620" w:type="dxa"/>
            <w:vAlign w:val="bottom"/>
            <w:tcBorders>
              <w:top w:val="single" w:sz="8" w:color="E8E8E8"/>
              <w:bottom w:val="single" w:sz="8" w:color="E8E8E8"/>
            </w:tcBorders>
            <w:shd w:val="clear" w:color="auto" w:fill="E8E8E8"/>
          </w:tcPr>
          <w:p>
            <w:pPr>
              <w:spacing w:after="0"/>
              <w:rPr>
                <w:sz w:val="20"/>
                <w:szCs w:val="20"/>
                <w:color w:val="auto"/>
              </w:rPr>
            </w:pPr>
          </w:p>
        </w:tc>
        <w:tc>
          <w:tcPr>
            <w:tcW w:w="220" w:type="dxa"/>
            <w:vAlign w:val="bottom"/>
            <w:tcBorders>
              <w:top w:val="single" w:sz="8" w:color="E8E8E8"/>
              <w:bottom w:val="single" w:sz="8" w:color="E8E8E8"/>
            </w:tcBorders>
            <w:shd w:val="clear" w:color="auto" w:fill="E8E8E8"/>
          </w:tcPr>
          <w:p>
            <w:pPr>
              <w:spacing w:after="0"/>
              <w:rPr>
                <w:sz w:val="20"/>
                <w:szCs w:val="20"/>
                <w:color w:val="auto"/>
              </w:rPr>
            </w:pPr>
          </w:p>
        </w:tc>
        <w:tc>
          <w:tcPr>
            <w:tcW w:w="4120" w:type="dxa"/>
            <w:vAlign w:val="bottom"/>
            <w:tcBorders>
              <w:top w:val="single" w:sz="8" w:color="E8E8E8"/>
              <w:bottom w:val="single" w:sz="8" w:color="E8E8E8"/>
            </w:tcBorders>
            <w:shd w:val="clear" w:color="auto" w:fill="E8E8E8"/>
          </w:tcPr>
          <w:p>
            <w:pPr>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5,314,330</w:t>
            </w:r>
          </w:p>
        </w:tc>
        <w:tc>
          <w:tcPr>
            <w:tcW w:w="500" w:type="dxa"/>
            <w:vAlign w:val="bottom"/>
            <w:tcBorders>
              <w:top w:val="single" w:sz="8" w:color="E8E8E8"/>
              <w:bottom w:val="single" w:sz="8" w:color="E8E8E8"/>
            </w:tcBorders>
            <w:shd w:val="clear" w:color="auto" w:fill="E8E8E8"/>
          </w:tcPr>
          <w:p>
            <w:pPr>
              <w:spacing w:after="0"/>
              <w:rPr>
                <w:sz w:val="20"/>
                <w:szCs w:val="20"/>
                <w:color w:val="auto"/>
              </w:rPr>
            </w:pPr>
          </w:p>
        </w:tc>
        <w:tc>
          <w:tcPr>
            <w:tcW w:w="220" w:type="dxa"/>
            <w:vAlign w:val="bottom"/>
            <w:tcBorders>
              <w:top w:val="single" w:sz="8" w:color="auto"/>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4,187,956</w:t>
            </w:r>
          </w:p>
        </w:tc>
        <w:tc>
          <w:tcPr>
            <w:tcW w:w="60" w:type="dxa"/>
            <w:vAlign w:val="bottom"/>
            <w:tcBorders>
              <w:top w:val="single" w:sz="8" w:color="E8E8E8"/>
              <w:bottom w:val="single" w:sz="8" w:color="E8E8E8"/>
            </w:tcBorders>
            <w:shd w:val="clear" w:color="auto" w:fill="E8E8E8"/>
          </w:tcPr>
          <w:p>
            <w:pPr>
              <w:spacing w:after="0"/>
              <w:rPr>
                <w:sz w:val="20"/>
                <w:szCs w:val="20"/>
                <w:color w:val="auto"/>
              </w:rPr>
            </w:pPr>
          </w:p>
        </w:tc>
        <w:tc>
          <w:tcPr>
            <w:tcW w:w="440" w:type="dxa"/>
            <w:vAlign w:val="bottom"/>
            <w:tcBorders>
              <w:top w:val="single" w:sz="8" w:color="E8E8E8"/>
              <w:bottom w:val="single" w:sz="8" w:color="E8E8E8"/>
            </w:tcBorders>
            <w:shd w:val="clear" w:color="auto" w:fill="E8E8E8"/>
          </w:tcPr>
          <w:p>
            <w:pPr>
              <w:spacing w:after="0"/>
              <w:rPr>
                <w:sz w:val="20"/>
                <w:szCs w:val="20"/>
                <w:color w:val="auto"/>
              </w:rPr>
            </w:pPr>
          </w:p>
        </w:tc>
        <w:tc>
          <w:tcPr>
            <w:tcW w:w="240" w:type="dxa"/>
            <w:vAlign w:val="bottom"/>
            <w:tcBorders>
              <w:top w:val="single" w:sz="8" w:color="auto"/>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6,170,407</w:t>
            </w:r>
          </w:p>
        </w:tc>
        <w:tc>
          <w:tcPr>
            <w:tcW w:w="20" w:type="dxa"/>
            <w:vAlign w:val="bottom"/>
            <w:tcBorders>
              <w:top w:val="single" w:sz="8" w:color="auto"/>
              <w:bottom w:val="single" w:sz="8" w:color="E8E8E8"/>
            </w:tcBorders>
            <w:shd w:val="clear" w:color="auto" w:fill="E8E8E8"/>
          </w:tcPr>
          <w:p>
            <w:pPr>
              <w:spacing w:after="0"/>
              <w:rPr>
                <w:sz w:val="20"/>
                <w:szCs w:val="20"/>
                <w:color w:val="auto"/>
              </w:rPr>
            </w:pPr>
          </w:p>
        </w:tc>
        <w:tc>
          <w:tcPr>
            <w:tcW w:w="20" w:type="dxa"/>
            <w:vAlign w:val="bottom"/>
            <w:tcBorders>
              <w:top w:val="single" w:sz="8" w:color="auto"/>
              <w:bottom w:val="single" w:sz="8" w:color="E8E8E8"/>
            </w:tcBorders>
            <w:shd w:val="clear" w:color="auto" w:fill="E8E8E8"/>
          </w:tcPr>
          <w:p>
            <w:pPr>
              <w:spacing w:after="0"/>
              <w:rPr>
                <w:sz w:val="20"/>
                <w:szCs w:val="20"/>
                <w:color w:val="auto"/>
              </w:rPr>
            </w:pPr>
          </w:p>
        </w:tc>
        <w:tc>
          <w:tcPr>
            <w:tcW w:w="80" w:type="dxa"/>
            <w:vAlign w:val="bottom"/>
            <w:tcBorders>
              <w:top w:val="single" w:sz="8" w:color="E8E8E8"/>
              <w:bottom w:val="single" w:sz="8" w:color="E8E8E8"/>
            </w:tcBorders>
            <w:shd w:val="clear" w:color="auto" w:fill="E8E8E8"/>
          </w:tcPr>
          <w:p>
            <w:pPr>
              <w:spacing w:after="0"/>
              <w:rPr>
                <w:sz w:val="20"/>
                <w:szCs w:val="20"/>
                <w:color w:val="auto"/>
              </w:rPr>
            </w:pPr>
          </w:p>
        </w:tc>
        <w:tc>
          <w:tcPr>
            <w:tcW w:w="420" w:type="dxa"/>
            <w:vAlign w:val="bottom"/>
            <w:tcBorders>
              <w:top w:val="single" w:sz="8" w:color="E8E8E8"/>
              <w:bottom w:val="single" w:sz="8" w:color="E8E8E8"/>
            </w:tcBorders>
            <w:shd w:val="clear" w:color="auto" w:fill="E8E8E8"/>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1620" w:type="dxa"/>
            <w:vAlign w:val="bottom"/>
            <w:tcBorders>
              <w:top w:val="single" w:sz="8" w:color="050A54"/>
            </w:tcBorders>
          </w:tcPr>
          <w:p>
            <w:pPr>
              <w:spacing w:after="0"/>
              <w:rPr>
                <w:sz w:val="12"/>
                <w:szCs w:val="12"/>
                <w:color w:val="auto"/>
              </w:rPr>
            </w:pPr>
          </w:p>
        </w:tc>
        <w:tc>
          <w:tcPr>
            <w:tcW w:w="220" w:type="dxa"/>
            <w:vAlign w:val="bottom"/>
            <w:tcBorders>
              <w:top w:val="single" w:sz="8" w:color="050A54"/>
            </w:tcBorders>
          </w:tcPr>
          <w:p>
            <w:pPr>
              <w:spacing w:after="0"/>
              <w:rPr>
                <w:sz w:val="12"/>
                <w:szCs w:val="12"/>
                <w:color w:val="auto"/>
              </w:rPr>
            </w:pPr>
          </w:p>
        </w:tc>
        <w:tc>
          <w:tcPr>
            <w:tcW w:w="4120" w:type="dxa"/>
            <w:vAlign w:val="bottom"/>
            <w:tcBorders>
              <w:top w:val="single" w:sz="8" w:color="050A54"/>
            </w:tcBorders>
          </w:tcPr>
          <w:p>
            <w:pPr>
              <w:spacing w:after="0"/>
              <w:rPr>
                <w:sz w:val="12"/>
                <w:szCs w:val="12"/>
                <w:color w:val="auto"/>
              </w:rPr>
            </w:pPr>
          </w:p>
        </w:tc>
        <w:tc>
          <w:tcPr>
            <w:tcW w:w="200" w:type="dxa"/>
            <w:vAlign w:val="bottom"/>
            <w:tcBorders>
              <w:top w:val="single" w:sz="8" w:color="050A54"/>
            </w:tcBorders>
          </w:tcPr>
          <w:p>
            <w:pPr>
              <w:spacing w:after="0"/>
              <w:rPr>
                <w:sz w:val="12"/>
                <w:szCs w:val="12"/>
                <w:color w:val="auto"/>
              </w:rPr>
            </w:pPr>
          </w:p>
        </w:tc>
        <w:tc>
          <w:tcPr>
            <w:tcW w:w="940" w:type="dxa"/>
            <w:vAlign w:val="bottom"/>
            <w:tcBorders>
              <w:top w:val="single" w:sz="8" w:color="050A54"/>
            </w:tcBorders>
          </w:tcPr>
          <w:p>
            <w:pPr>
              <w:spacing w:after="0"/>
              <w:rPr>
                <w:sz w:val="12"/>
                <w:szCs w:val="12"/>
                <w:color w:val="auto"/>
              </w:rPr>
            </w:pPr>
          </w:p>
        </w:tc>
        <w:tc>
          <w:tcPr>
            <w:tcW w:w="500" w:type="dxa"/>
            <w:vAlign w:val="bottom"/>
            <w:tcBorders>
              <w:top w:val="single" w:sz="8" w:color="050A54"/>
            </w:tcBorders>
          </w:tcPr>
          <w:p>
            <w:pPr>
              <w:spacing w:after="0"/>
              <w:rPr>
                <w:sz w:val="12"/>
                <w:szCs w:val="12"/>
                <w:color w:val="auto"/>
              </w:rPr>
            </w:pPr>
          </w:p>
        </w:tc>
        <w:tc>
          <w:tcPr>
            <w:tcW w:w="220" w:type="dxa"/>
            <w:vAlign w:val="bottom"/>
            <w:tcBorders>
              <w:top w:val="single" w:sz="8" w:color="050A54"/>
            </w:tcBorders>
          </w:tcPr>
          <w:p>
            <w:pPr>
              <w:spacing w:after="0"/>
              <w:rPr>
                <w:sz w:val="12"/>
                <w:szCs w:val="12"/>
                <w:color w:val="auto"/>
              </w:rPr>
            </w:pPr>
          </w:p>
        </w:tc>
        <w:tc>
          <w:tcPr>
            <w:tcW w:w="2560" w:type="dxa"/>
            <w:vAlign w:val="bottom"/>
            <w:tcBorders>
              <w:top w:val="single" w:sz="8" w:color="050A54"/>
            </w:tcBorders>
            <w:gridSpan w:val="5"/>
            <w:vMerge w:val="restart"/>
          </w:tcPr>
          <w:p>
            <w:pPr>
              <w:jc w:val="right"/>
              <w:ind w:right="121"/>
              <w:spacing w:after="0"/>
              <w:rPr>
                <w:sz w:val="20"/>
                <w:szCs w:val="20"/>
                <w:color w:val="auto"/>
              </w:rPr>
            </w:pPr>
            <w:r>
              <w:rPr>
                <w:rFonts w:ascii="Arial" w:cs="Arial" w:eastAsia="Arial" w:hAnsi="Arial"/>
                <w:sz w:val="18"/>
                <w:szCs w:val="18"/>
                <w:b w:val="1"/>
                <w:bCs w:val="1"/>
                <w:color w:val="050A54"/>
              </w:rPr>
              <w:t>2022 Proxy Statement</w:t>
            </w:r>
          </w:p>
        </w:tc>
        <w:tc>
          <w:tcPr>
            <w:tcW w:w="20" w:type="dxa"/>
            <w:vAlign w:val="bottom"/>
            <w:tcBorders>
              <w:top w:val="single" w:sz="8" w:color="050A54"/>
            </w:tcBorders>
          </w:tcPr>
          <w:p>
            <w:pPr>
              <w:spacing w:after="0"/>
              <w:rPr>
                <w:sz w:val="12"/>
                <w:szCs w:val="12"/>
                <w:color w:val="auto"/>
              </w:rPr>
            </w:pPr>
          </w:p>
        </w:tc>
        <w:tc>
          <w:tcPr>
            <w:tcW w:w="100" w:type="dxa"/>
            <w:vAlign w:val="bottom"/>
            <w:tcBorders>
              <w:top w:val="single" w:sz="8" w:color="050A54"/>
            </w:tcBorders>
            <w:gridSpan w:val="2"/>
            <w:vMerge w:val="restart"/>
          </w:tcPr>
          <w:p>
            <w:pPr>
              <w:spacing w:after="0"/>
              <w:rPr>
                <w:sz w:val="12"/>
                <w:szCs w:val="12"/>
                <w:color w:val="auto"/>
              </w:rPr>
            </w:pPr>
          </w:p>
        </w:tc>
        <w:tc>
          <w:tcPr>
            <w:tcW w:w="420" w:type="dxa"/>
            <w:vAlign w:val="bottom"/>
            <w:tcBorders>
              <w:top w:val="single" w:sz="8" w:color="050A54"/>
            </w:tcBorders>
            <w:vMerge w:val="restart"/>
          </w:tcPr>
          <w:p>
            <w:pPr>
              <w:ind w:left="220"/>
              <w:spacing w:after="0"/>
              <w:rPr>
                <w:sz w:val="20"/>
                <w:szCs w:val="20"/>
                <w:color w:val="auto"/>
              </w:rPr>
            </w:pPr>
            <w:r>
              <w:rPr>
                <w:rFonts w:ascii="Arial" w:cs="Arial" w:eastAsia="Arial" w:hAnsi="Arial"/>
                <w:sz w:val="18"/>
                <w:szCs w:val="18"/>
                <w:color w:val="050A54"/>
                <w:w w:val="89"/>
              </w:rPr>
              <w:t>57</w:t>
            </w:r>
          </w:p>
        </w:tc>
        <w:tc>
          <w:tcPr>
            <w:tcW w:w="0" w:type="dxa"/>
            <w:vAlign w:val="bottom"/>
          </w:tcPr>
          <w:p>
            <w:pPr>
              <w:spacing w:after="0"/>
              <w:rPr>
                <w:sz w:val="1"/>
                <w:szCs w:val="1"/>
                <w:color w:val="auto"/>
              </w:rPr>
            </w:pPr>
          </w:p>
        </w:tc>
      </w:tr>
      <w:tr>
        <w:trPr>
          <w:trHeight w:val="214"/>
        </w:trPr>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5"/>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100" w:type="dxa"/>
            <w:vAlign w:val="bottom"/>
            <w:gridSpan w:val="2"/>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4" w:right="49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780"/>
        <w:spacing w:after="0"/>
        <w:rPr>
          <w:sz w:val="20"/>
          <w:szCs w:val="20"/>
          <w:color w:val="auto"/>
        </w:rPr>
      </w:pPr>
      <w:r>
        <w:rPr>
          <w:rFonts w:ascii="Arial" w:cs="Arial" w:eastAsia="Arial" w:hAnsi="Arial"/>
          <w:sz w:val="20"/>
          <w:szCs w:val="20"/>
          <w:b w:val="1"/>
          <w:bCs w:val="1"/>
          <w:color w:val="050A54"/>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8" w:lineRule="exact"/>
        <w:rPr>
          <w:sz w:val="20"/>
          <w:szCs w:val="20"/>
          <w:color w:val="auto"/>
        </w:rPr>
      </w:pPr>
    </w:p>
    <w:p>
      <w:pPr>
        <w:jc w:val="both"/>
        <w:ind w:left="600" w:hanging="433"/>
        <w:spacing w:after="0" w:line="256" w:lineRule="auto"/>
        <w:tabs>
          <w:tab w:leader="none" w:pos="6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Our Executive Severance Plan provides enhanced severance benefits on a “double trigger” basis in the event of a termination of employment by the Company without cause or a termination by the executive for good reason, in each case, within 12 months following a change-in-control. All amounts reported in this column assume both that a change-in-control occurred on December 31, 2021 and that the NEO’s employment was terminated by the Company without cause or by the executive for good reason on December 31, 2021.</w:t>
      </w:r>
    </w:p>
    <w:p>
      <w:pPr>
        <w:spacing w:after="0" w:line="30" w:lineRule="exact"/>
        <w:rPr>
          <w:rFonts w:ascii="Arial" w:cs="Arial" w:eastAsia="Arial" w:hAnsi="Arial"/>
          <w:sz w:val="16"/>
          <w:szCs w:val="16"/>
          <w:color w:val="auto"/>
        </w:rPr>
      </w:pPr>
    </w:p>
    <w:p>
      <w:pPr>
        <w:ind w:left="600" w:hanging="433"/>
        <w:spacing w:after="0"/>
        <w:tabs>
          <w:tab w:leader="none" w:pos="6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Represents continued payment under our Executive Severance Plan of the NEO’s base salary in effect on the separation date for 12 months.</w:t>
      </w:r>
    </w:p>
    <w:p>
      <w:pPr>
        <w:spacing w:after="0" w:line="70" w:lineRule="exact"/>
        <w:rPr>
          <w:rFonts w:ascii="Arial" w:cs="Arial" w:eastAsia="Arial" w:hAnsi="Arial"/>
          <w:sz w:val="16"/>
          <w:szCs w:val="16"/>
          <w:color w:val="auto"/>
        </w:rPr>
      </w:pPr>
    </w:p>
    <w:p>
      <w:pPr>
        <w:ind w:left="600" w:hanging="433"/>
        <w:spacing w:after="0"/>
        <w:tabs>
          <w:tab w:leader="none" w:pos="6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Represents continued payment under our Executive Severance Plan of the NEO’s base salary in effect on the separation date for 18 months.</w:t>
      </w:r>
    </w:p>
    <w:p>
      <w:pPr>
        <w:spacing w:after="0" w:line="70" w:lineRule="exact"/>
        <w:rPr>
          <w:rFonts w:ascii="Arial" w:cs="Arial" w:eastAsia="Arial" w:hAnsi="Arial"/>
          <w:sz w:val="16"/>
          <w:szCs w:val="16"/>
          <w:color w:val="auto"/>
        </w:rPr>
      </w:pPr>
    </w:p>
    <w:p>
      <w:pPr>
        <w:ind w:left="600" w:hanging="433"/>
        <w:spacing w:after="0" w:line="279" w:lineRule="auto"/>
        <w:tabs>
          <w:tab w:leader="none" w:pos="6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Represents payment under our Executive Severance Plan of an amount equal to the bonus paid (or payable) to the NEO for the most recently completed calendar year.</w:t>
      </w:r>
    </w:p>
    <w:p>
      <w:pPr>
        <w:spacing w:after="0" w:line="13" w:lineRule="exact"/>
        <w:rPr>
          <w:rFonts w:ascii="Arial" w:cs="Arial" w:eastAsia="Arial" w:hAnsi="Arial"/>
          <w:sz w:val="16"/>
          <w:szCs w:val="16"/>
          <w:color w:val="auto"/>
        </w:rPr>
      </w:pPr>
    </w:p>
    <w:p>
      <w:pPr>
        <w:ind w:left="600" w:right="20" w:hanging="433"/>
        <w:spacing w:after="0" w:line="279" w:lineRule="auto"/>
        <w:tabs>
          <w:tab w:leader="none" w:pos="6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Represents payment under our Executive Severance Plan of an amount equal to 150% of the target bonus amount for the calendar year in which the NEO’s employment is terminated.</w:t>
      </w:r>
    </w:p>
    <w:p>
      <w:pPr>
        <w:spacing w:after="0" w:line="13" w:lineRule="exact"/>
        <w:rPr>
          <w:rFonts w:ascii="Arial" w:cs="Arial" w:eastAsia="Arial" w:hAnsi="Arial"/>
          <w:sz w:val="16"/>
          <w:szCs w:val="16"/>
          <w:color w:val="auto"/>
        </w:rPr>
      </w:pPr>
    </w:p>
    <w:p>
      <w:pPr>
        <w:jc w:val="both"/>
        <w:ind w:left="600" w:hanging="433"/>
        <w:spacing w:after="0" w:line="256" w:lineRule="auto"/>
        <w:tabs>
          <w:tab w:leader="none" w:pos="6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Represents the value of the unvested portion of any outstanding stock options scheduled to vest based solely on the passage of time within 12 months following separation, the vesting of which would have been accelerated under our Executive Severance Plan. In the case of any retirement-eligible NEO, this represents the value of all outstanding unvested stock options, the vesting of which would have been accelerated under the terms of the NEO’s stock option agreements. Mr. Arnold was the only NEO who was retirement-eligible as of December 31, 2021.</w:t>
      </w:r>
    </w:p>
    <w:p>
      <w:pPr>
        <w:spacing w:after="0" w:line="30" w:lineRule="exact"/>
        <w:rPr>
          <w:rFonts w:ascii="Arial" w:cs="Arial" w:eastAsia="Arial" w:hAnsi="Arial"/>
          <w:sz w:val="16"/>
          <w:szCs w:val="16"/>
          <w:color w:val="auto"/>
        </w:rPr>
      </w:pPr>
    </w:p>
    <w:p>
      <w:pPr>
        <w:ind w:left="600" w:hanging="433"/>
        <w:spacing w:after="0" w:line="279" w:lineRule="auto"/>
        <w:tabs>
          <w:tab w:leader="none" w:pos="6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Represents the value of the unvested portion all outstanding stock options, the vesting of which would have been accelerated upon termination of employment due to death or disability under the terms of the NEO’s stock option agreements.</w:t>
      </w:r>
    </w:p>
    <w:p>
      <w:pPr>
        <w:spacing w:after="0" w:line="13" w:lineRule="exact"/>
        <w:rPr>
          <w:rFonts w:ascii="Arial" w:cs="Arial" w:eastAsia="Arial" w:hAnsi="Arial"/>
          <w:sz w:val="16"/>
          <w:szCs w:val="16"/>
          <w:color w:val="auto"/>
        </w:rPr>
      </w:pPr>
    </w:p>
    <w:p>
      <w:pPr>
        <w:ind w:left="600" w:hanging="433"/>
        <w:spacing w:after="0" w:line="279" w:lineRule="auto"/>
        <w:tabs>
          <w:tab w:leader="none" w:pos="6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Represents the value of the unvested portion of all outstanding stock options, the vesting of which would have been accelerated under our Executive Severance Plan.</w:t>
      </w:r>
    </w:p>
    <w:p>
      <w:pPr>
        <w:spacing w:after="0" w:line="13" w:lineRule="exact"/>
        <w:rPr>
          <w:rFonts w:ascii="Arial" w:cs="Arial" w:eastAsia="Arial" w:hAnsi="Arial"/>
          <w:sz w:val="16"/>
          <w:szCs w:val="16"/>
          <w:color w:val="auto"/>
        </w:rPr>
      </w:pPr>
    </w:p>
    <w:p>
      <w:pPr>
        <w:jc w:val="both"/>
        <w:ind w:left="600" w:right="20" w:hanging="433"/>
        <w:spacing w:after="0" w:line="256" w:lineRule="auto"/>
        <w:tabs>
          <w:tab w:leader="none" w:pos="6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Represents the value of shares of Common Stock in respect of the unvested portion of any outstanding RSUs scheduled to vest based solely on the passage of time within 12 months following a termination of employment, the vesting of which would have been accelerated under our Executive Severance Plan. In the case of retirement-eligible NEOs, this represents the value of all outstanding unvested RSUs, the vesting of which would have been accelerated under the terms of the NEOs’ RSU agreements.</w:t>
      </w:r>
    </w:p>
    <w:p>
      <w:pPr>
        <w:spacing w:after="0" w:line="30" w:lineRule="exact"/>
        <w:rPr>
          <w:rFonts w:ascii="Arial" w:cs="Arial" w:eastAsia="Arial" w:hAnsi="Arial"/>
          <w:sz w:val="16"/>
          <w:szCs w:val="16"/>
          <w:color w:val="auto"/>
        </w:rPr>
      </w:pPr>
    </w:p>
    <w:p>
      <w:pPr>
        <w:jc w:val="both"/>
        <w:ind w:left="600" w:hanging="433"/>
        <w:spacing w:after="0" w:line="262" w:lineRule="auto"/>
        <w:tabs>
          <w:tab w:leader="none" w:pos="6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Represents the value of shares of Common Stock in respect of all outstanding unvested RSUs, the vesting of which would have been accelerated upon a termination of employment due to death (and, for RSUs granted subsequent to February 23, 2017, upon a termination of employment due to death or disability) under the terms of the NEO’s RSU agreements.</w:t>
      </w:r>
    </w:p>
    <w:p>
      <w:pPr>
        <w:spacing w:after="0" w:line="26" w:lineRule="exact"/>
        <w:rPr>
          <w:rFonts w:ascii="Arial" w:cs="Arial" w:eastAsia="Arial" w:hAnsi="Arial"/>
          <w:sz w:val="16"/>
          <w:szCs w:val="16"/>
          <w:color w:val="auto"/>
        </w:rPr>
      </w:pPr>
    </w:p>
    <w:p>
      <w:pPr>
        <w:ind w:left="600" w:hanging="433"/>
        <w:spacing w:after="0" w:line="279" w:lineRule="auto"/>
        <w:tabs>
          <w:tab w:leader="none" w:pos="6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Represents the value of shares of Common Stock in respect of all outstanding unvested RSUs, the vesting of which would have been accelerated under our Executive Severance Plan.</w:t>
      </w:r>
    </w:p>
    <w:p>
      <w:pPr>
        <w:spacing w:after="0" w:line="13" w:lineRule="exact"/>
        <w:rPr>
          <w:rFonts w:ascii="Arial" w:cs="Arial" w:eastAsia="Arial" w:hAnsi="Arial"/>
          <w:sz w:val="16"/>
          <w:szCs w:val="16"/>
          <w:color w:val="auto"/>
        </w:rPr>
      </w:pPr>
    </w:p>
    <w:p>
      <w:pPr>
        <w:jc w:val="both"/>
        <w:ind w:left="600" w:hanging="433"/>
        <w:spacing w:after="0" w:line="251" w:lineRule="auto"/>
        <w:tabs>
          <w:tab w:leader="none" w:pos="6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Represents the value of unvested PSUs assuming the target number of shares of Common Stock in respect of such PSUs became earned and vested on December 31, 2021, with such amount prorated based on the number of days the NEO was employed during the Performance Period. Under our Executive Severance Plan, upon a qualifying termination of employment by the Company without cause or a termination by the executive for good reason, other than in connection with a change-in-control, the actual number of shares of Common Stock that will be earned and vested in respect of outstanding unvested PSUs, if any, depend on actual performance measured at the end of the Performance Period, prorated based on the number of days the NEO was employed during the Performance Period.</w:t>
      </w:r>
    </w:p>
    <w:p>
      <w:pPr>
        <w:spacing w:after="0" w:line="35" w:lineRule="exact"/>
        <w:rPr>
          <w:rFonts w:ascii="Arial" w:cs="Arial" w:eastAsia="Arial" w:hAnsi="Arial"/>
          <w:sz w:val="16"/>
          <w:szCs w:val="16"/>
          <w:color w:val="auto"/>
        </w:rPr>
      </w:pPr>
    </w:p>
    <w:p>
      <w:pPr>
        <w:jc w:val="both"/>
        <w:ind w:left="600" w:hanging="433"/>
        <w:spacing w:after="0" w:line="253" w:lineRule="auto"/>
        <w:tabs>
          <w:tab w:leader="none" w:pos="6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Represents the value of unvested PSUs assuming the target number of shares of Common Stock in respect of such PSUs became earned and vested on December 31, 2021, with such amount prorated based on the number of days that the executive was employed during the Performance Period. Under the NEO’s PSU agreements, upon termination of employment due to death, disability or retirement, the actual number of shares of Common Stock that will be earned and vested in respect of outstanding unvested PSUs, if any, depends on actual performance measured at the end of the Performance Period, prorated based on the number of days that the NEO was employed during the Performance Period.</w:t>
      </w:r>
    </w:p>
    <w:p>
      <w:pPr>
        <w:spacing w:after="0" w:line="33" w:lineRule="exact"/>
        <w:rPr>
          <w:rFonts w:ascii="Arial" w:cs="Arial" w:eastAsia="Arial" w:hAnsi="Arial"/>
          <w:sz w:val="16"/>
          <w:szCs w:val="16"/>
          <w:color w:val="auto"/>
        </w:rPr>
      </w:pPr>
    </w:p>
    <w:p>
      <w:pPr>
        <w:ind w:left="600" w:hanging="433"/>
        <w:spacing w:after="0" w:line="279" w:lineRule="auto"/>
        <w:tabs>
          <w:tab w:leader="none" w:pos="6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Represents the value of unvested PSUs assuming the target number of shares of Common Stock in respect of such PSUs became earned and vested on December 31, 2021, prorated based on the number of days that the NEO was employed during the Performance Period.</w:t>
      </w:r>
    </w:p>
    <w:p>
      <w:pPr>
        <w:spacing w:after="0" w:line="13" w:lineRule="exact"/>
        <w:rPr>
          <w:rFonts w:ascii="Arial" w:cs="Arial" w:eastAsia="Arial" w:hAnsi="Arial"/>
          <w:sz w:val="16"/>
          <w:szCs w:val="16"/>
          <w:color w:val="auto"/>
        </w:rPr>
      </w:pPr>
    </w:p>
    <w:p>
      <w:pPr>
        <w:ind w:left="600" w:hanging="433"/>
        <w:spacing w:after="0" w:line="279" w:lineRule="auto"/>
        <w:tabs>
          <w:tab w:leader="none" w:pos="6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Represents payments under our Executive Severance Plan of an amount equal to 100% of the employer portion of premiums for continued health and dental plan participation under COBRA for the NEO and his qualified beneficiaries for a 12-month period.</w:t>
      </w:r>
    </w:p>
    <w:p>
      <w:pPr>
        <w:spacing w:after="0" w:line="13" w:lineRule="exact"/>
        <w:rPr>
          <w:rFonts w:ascii="Arial" w:cs="Arial" w:eastAsia="Arial" w:hAnsi="Arial"/>
          <w:sz w:val="16"/>
          <w:szCs w:val="16"/>
          <w:color w:val="auto"/>
        </w:rPr>
      </w:pPr>
    </w:p>
    <w:p>
      <w:pPr>
        <w:ind w:left="600" w:hanging="433"/>
        <w:spacing w:after="0" w:line="279" w:lineRule="auto"/>
        <w:tabs>
          <w:tab w:leader="none" w:pos="6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Represents payments under our Executive Severance Plan of an amount equal to 100% of the employer portion of premiums for continued health and dental plan participation under COBRA for the NEO and his qualified beneficiaries for an 18-month period.</w:t>
      </w:r>
    </w:p>
    <w:p>
      <w:pPr>
        <w:spacing w:after="0" w:line="89" w:lineRule="exact"/>
        <w:rPr>
          <w:sz w:val="20"/>
          <w:szCs w:val="20"/>
          <w:color w:val="auto"/>
        </w:rPr>
      </w:pPr>
    </w:p>
    <w:p>
      <w:pPr>
        <w:ind w:left="1000" w:hanging="690"/>
        <w:spacing w:after="0"/>
        <w:tabs>
          <w:tab w:leader="none" w:pos="1000" w:val="left"/>
        </w:tabs>
        <w:numPr>
          <w:ilvl w:val="0"/>
          <w:numId w:val="89"/>
        </w:numPr>
        <w:rPr>
          <w:rFonts w:ascii="Arial" w:cs="Arial" w:eastAsia="Arial" w:hAnsi="Arial"/>
          <w:sz w:val="18"/>
          <w:szCs w:val="18"/>
          <w:color w:val="050A54"/>
        </w:rPr>
      </w:pPr>
      <w:r>
        <w:rPr>
          <w:rFonts w:ascii="Arial" w:cs="Arial" w:eastAsia="Arial" w:hAnsi="Arial"/>
          <w:sz w:val="18"/>
          <w:szCs w:val="18"/>
          <w:b w:val="1"/>
          <w:bCs w:val="1"/>
          <w:color w:val="050A54"/>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-118745</wp:posOffset>
            </wp:positionV>
            <wp:extent cx="8255" cy="135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33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Executive Severance Plan</w:t>
      </w:r>
    </w:p>
    <w:p>
      <w:pPr>
        <w:spacing w:after="0" w:line="203"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All of our NEOs are eligible to participate in our Executive Severance Plan. As described in more detail below, our Executive Severance Plan provides a uniform framework for payments and benefits to be provided to all executive participants upon certain terminations of employment, subject to a participant’s compliance with post-termination restrictive covenants and delivery of a general release agreement in favor of the Company. Our Executive Severance Plan can be amended or terminated at any time, in our discretion, and no eligible executive, including our NEOs, has a legally binding right to any payments or benefits under the plan.</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0A54"/>
        </w:rPr>
        <w:t>Restrictive Covenants</w:t>
      </w:r>
    </w:p>
    <w:p>
      <w:pPr>
        <w:spacing w:after="0" w:line="206"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As a condition to benefits under the Executive Severance Plan, an executive is not permitted to engage in prohibited competitive conduct for a period of:</w:t>
      </w:r>
    </w:p>
    <w:p>
      <w:pPr>
        <w:spacing w:after="0" w:line="78" w:lineRule="exact"/>
        <w:rPr>
          <w:sz w:val="20"/>
          <w:szCs w:val="20"/>
          <w:color w:val="auto"/>
        </w:rPr>
      </w:pPr>
    </w:p>
    <w:p>
      <w:pPr>
        <w:ind w:left="520"/>
        <w:spacing w:after="0" w:line="249" w:lineRule="auto"/>
        <w:rPr>
          <w:sz w:val="20"/>
          <w:szCs w:val="20"/>
          <w:color w:val="auto"/>
        </w:rPr>
      </w:pPr>
      <w:r>
        <w:rPr>
          <w:rFonts w:ascii="Arial" w:cs="Arial" w:eastAsia="Arial" w:hAnsi="Arial"/>
          <w:sz w:val="18"/>
          <w:szCs w:val="18"/>
          <w:color w:val="auto"/>
        </w:rPr>
        <w:t>12 months following termination of employment by the Company without cause or a termination by the executive for good reason; and</w:t>
      </w:r>
    </w:p>
    <w:p>
      <w:pPr>
        <w:spacing w:after="0" w:line="77" w:lineRule="exact"/>
        <w:rPr>
          <w:sz w:val="20"/>
          <w:szCs w:val="20"/>
          <w:color w:val="auto"/>
        </w:rPr>
      </w:pPr>
    </w:p>
    <w:p>
      <w:pPr>
        <w:ind w:left="520"/>
        <w:spacing w:after="0" w:line="243" w:lineRule="auto"/>
        <w:rPr>
          <w:sz w:val="20"/>
          <w:szCs w:val="20"/>
          <w:color w:val="auto"/>
        </w:rPr>
      </w:pPr>
      <w:r>
        <w:rPr>
          <w:rFonts w:ascii="Arial" w:cs="Arial" w:eastAsia="Arial" w:hAnsi="Arial"/>
          <w:sz w:val="18"/>
          <w:szCs w:val="18"/>
          <w:color w:val="auto"/>
        </w:rPr>
        <w:t>18 months following termination of employment by the Company without cause or a termination by the executive for good reason, in each case, within 12 months following a change-in-control.</w:t>
      </w:r>
    </w:p>
    <w:p>
      <w:pPr>
        <w:spacing w:after="0" w:line="178"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Prohibited competitive conduct is set forth in the Executive Severance Plan, which includes provisions related to non-competition, non-solicitation and the confidentiality of the Company’s proprietary information.</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0A54"/>
        </w:rPr>
        <w:t>Severance and Change-in-Control Payments</w:t>
      </w:r>
    </w:p>
    <w:p>
      <w:pPr>
        <w:spacing w:after="0" w:line="206"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We may become obligated to make severance payments under our Executive Severance Plan to an NEO upon such NEO’s qualifying termination employment. These benefits are described below. We, however, have no obligation to grant any of the executive officers any “gross-up” or other “make-whole” compensation for any tax imposed on severance or change-in-control payments made to the executive officer, including “parachute payments.” Severance payable in connection with a change-in-control under our Executive Severance Plan is subject to a so-called “modified golden parachute cutback” provision, pursuant to which excess parachute payments would be reduced so that no portion of the payments would be subject to the</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excise tax, to the extent such reduction would result in greater after-tax benefits to the executive.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50A54"/>
        </w:rPr>
        <w:t>Termination Without Cause or For Good Reason</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Under the terms of our Executive Severance Plan, upon a termination of employment by the Company without cause or by the executive for good reason, a participant in the Executive Severance Plan (a “Participant”) will be entitled to the following payments and benefits, subject to the execution of a release of claims and continued compliance with post-termination restrictive covenants:</w:t>
      </w:r>
    </w:p>
    <w:p>
      <w:pPr>
        <w:spacing w:after="0" w:line="73" w:lineRule="exact"/>
        <w:rPr>
          <w:sz w:val="20"/>
          <w:szCs w:val="20"/>
          <w:color w:val="auto"/>
        </w:rPr>
      </w:pPr>
    </w:p>
    <w:p>
      <w:pPr>
        <w:ind w:left="360" w:right="20"/>
        <w:spacing w:after="0" w:line="249" w:lineRule="auto"/>
        <w:rPr>
          <w:sz w:val="20"/>
          <w:szCs w:val="20"/>
          <w:color w:val="auto"/>
        </w:rPr>
      </w:pPr>
      <w:r>
        <w:rPr>
          <w:rFonts w:ascii="Arial" w:cs="Arial" w:eastAsia="Arial" w:hAnsi="Arial"/>
          <w:sz w:val="18"/>
          <w:szCs w:val="18"/>
          <w:color w:val="auto"/>
        </w:rPr>
        <w:t>Base salary through the Participant’s separation date, reimbursements for reasonable business expenses and any other employee benefit entitlements;</w:t>
      </w:r>
    </w:p>
    <w:p>
      <w:pPr>
        <w:spacing w:after="0" w:line="198" w:lineRule="exact"/>
        <w:rPr>
          <w:sz w:val="20"/>
          <w:szCs w:val="20"/>
          <w:color w:val="auto"/>
        </w:rPr>
      </w:pPr>
    </w:p>
    <w:p>
      <w:pPr>
        <w:ind w:left="360" w:right="20"/>
        <w:spacing w:after="0" w:line="265" w:lineRule="auto"/>
        <w:rPr>
          <w:sz w:val="20"/>
          <w:szCs w:val="20"/>
          <w:color w:val="auto"/>
        </w:rPr>
      </w:pPr>
      <w:r>
        <w:rPr>
          <w:rFonts w:ascii="Arial" w:cs="Arial" w:eastAsia="Arial" w:hAnsi="Arial"/>
          <w:sz w:val="18"/>
          <w:szCs w:val="18"/>
          <w:color w:val="auto"/>
        </w:rPr>
        <w:t>An amount equal to the bonus paid (or payable) to the Participant for the most recently completed calendar year;</w:t>
      </w:r>
    </w:p>
    <w:p>
      <w:pPr>
        <w:spacing w:after="0" w:line="184" w:lineRule="exact"/>
        <w:rPr>
          <w:sz w:val="20"/>
          <w:szCs w:val="20"/>
          <w:color w:val="auto"/>
        </w:rPr>
      </w:pPr>
    </w:p>
    <w:p>
      <w:pPr>
        <w:ind w:left="360" w:right="20"/>
        <w:spacing w:after="0" w:line="265" w:lineRule="auto"/>
        <w:rPr>
          <w:sz w:val="20"/>
          <w:szCs w:val="20"/>
          <w:color w:val="auto"/>
        </w:rPr>
      </w:pPr>
      <w:r>
        <w:rPr>
          <w:rFonts w:ascii="Arial" w:cs="Arial" w:eastAsia="Arial" w:hAnsi="Arial"/>
          <w:sz w:val="18"/>
          <w:szCs w:val="18"/>
          <w:color w:val="auto"/>
        </w:rPr>
        <w:t>Continued payment of base salary for 12 months after termination of employment;</w:t>
      </w:r>
    </w:p>
    <w:p>
      <w:pPr>
        <w:spacing w:after="0" w:line="184" w:lineRule="exact"/>
        <w:rPr>
          <w:sz w:val="20"/>
          <w:szCs w:val="20"/>
          <w:color w:val="auto"/>
        </w:rPr>
      </w:pPr>
    </w:p>
    <w:p>
      <w:pPr>
        <w:ind w:left="360" w:right="20"/>
        <w:spacing w:after="0"/>
        <w:rPr>
          <w:sz w:val="20"/>
          <w:szCs w:val="20"/>
          <w:color w:val="auto"/>
        </w:rPr>
      </w:pPr>
      <w:r>
        <w:rPr>
          <w:rFonts w:ascii="Arial" w:cs="Arial" w:eastAsia="Arial" w:hAnsi="Arial"/>
          <w:sz w:val="18"/>
          <w:szCs w:val="18"/>
          <w:color w:val="auto"/>
        </w:rPr>
        <w:t>Accelerated vesting of the unvested portion of any outstanding equity and equity-based awards scheduled to vest based solely on the passage of time (such as outstanding stock options and RSUs) within 12 months of such Participant’s separation date; and</w:t>
      </w:r>
    </w:p>
    <w:p>
      <w:pPr>
        <w:spacing w:after="0" w:line="208" w:lineRule="exact"/>
        <w:rPr>
          <w:sz w:val="20"/>
          <w:szCs w:val="20"/>
          <w:color w:val="auto"/>
        </w:rPr>
      </w:pPr>
    </w:p>
    <w:p>
      <w:pPr>
        <w:ind w:left="360" w:right="20"/>
        <w:spacing w:after="0" w:line="237" w:lineRule="auto"/>
        <w:rPr>
          <w:sz w:val="20"/>
          <w:szCs w:val="20"/>
          <w:color w:val="auto"/>
        </w:rPr>
      </w:pPr>
      <w:r>
        <w:rPr>
          <w:rFonts w:ascii="Arial" w:cs="Arial" w:eastAsia="Arial" w:hAnsi="Arial"/>
          <w:sz w:val="18"/>
          <w:szCs w:val="18"/>
          <w:color w:val="auto"/>
        </w:rPr>
        <w:t>Payment of the employer portion of the premium for COBRA participation in the Company’s health and dental plans until the earliest of 12 months following termination of the Participant’s participation in such plans as an employee, the date that such Participant becomes eligible for comparable benefit coverage and the date the Participant is no longer eligible for COBRA (subject to the Participant’s eligibility under COBRA and proper and timely elections).</w:t>
      </w:r>
    </w:p>
    <w:p>
      <w:pPr>
        <w:spacing w:after="0" w:line="18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any performance-based equity or equity-based awards (such as outstanding PSUs) will remain outstanding and eligible to become earned in accordance with their terms, provided that the portion of the awards that becomes earned and vested will be prorated based upon the number of days the Participant was employed by the Company in the applicable performance period associated with such award.</w:t>
      </w:r>
    </w:p>
    <w:p>
      <w:pPr>
        <w:spacing w:after="0" w:line="18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Further, upon a termination of employment by the Company without cause or by the executive for good</w:t>
      </w:r>
    </w:p>
    <w:p>
      <w:pPr>
        <w:spacing w:after="0" w:line="220" w:lineRule="exact"/>
        <w:rPr>
          <w:sz w:val="20"/>
          <w:szCs w:val="20"/>
          <w:color w:val="auto"/>
        </w:rPr>
      </w:pPr>
    </w:p>
    <w:p>
      <w:pPr>
        <w:sectPr>
          <w:pgSz w:w="11900" w:h="16838" w:orient="portrait"/>
          <w:cols w:equalWidth="0" w:num="2">
            <w:col w:w="5400" w:space="340"/>
            <w:col w:w="5340"/>
          </w:cols>
          <w:pgMar w:left="320" w:top="454" w:right="499" w:bottom="1440" w:gutter="0" w:footer="0" w:header="0"/>
          <w:type w:val="continuous"/>
        </w:sectPr>
      </w:pPr>
    </w:p>
    <w:p>
      <w:pPr>
        <w:spacing w:after="0" w:line="218" w:lineRule="exact"/>
        <w:rPr>
          <w:sz w:val="20"/>
          <w:szCs w:val="20"/>
          <w:color w:val="auto"/>
        </w:rPr>
      </w:pPr>
    </w:p>
    <w:tbl>
      <w:tblPr>
        <w:tblLayout w:type="fixed"/>
        <w:tblInd w:w="8500" w:type="dxa"/>
        <w:tblCellMar>
          <w:top w:w="0" w:type="dxa"/>
          <w:left w:w="0" w:type="dxa"/>
          <w:bottom w:w="0" w:type="dxa"/>
          <w:right w:w="0" w:type="dxa"/>
        </w:tblCellMar>
      </w:tblPr>
      <w:tr>
        <w:trPr>
          <w:trHeight w:val="233"/>
        </w:trPr>
        <w:tc>
          <w:tcPr>
            <w:tcW w:w="2060" w:type="dxa"/>
            <w:vAlign w:val="bottom"/>
            <w:tcBorders>
              <w:right w:val="single" w:sz="8" w:color="050A54"/>
            </w:tcBorders>
          </w:tcPr>
          <w:p>
            <w:pPr>
              <w:spacing w:after="0"/>
              <w:rPr>
                <w:sz w:val="20"/>
                <w:szCs w:val="20"/>
                <w:color w:val="auto"/>
              </w:rPr>
            </w:pPr>
            <w:r>
              <w:rPr>
                <w:rFonts w:ascii="Arial" w:cs="Arial" w:eastAsia="Arial" w:hAnsi="Arial"/>
                <w:sz w:val="18"/>
                <w:szCs w:val="18"/>
                <w:b w:val="1"/>
                <w:bCs w:val="1"/>
                <w:color w:val="050A54"/>
              </w:rPr>
              <w:t>2022 Proxy Statement</w:t>
            </w:r>
          </w:p>
        </w:tc>
        <w:tc>
          <w:tcPr>
            <w:tcW w:w="520" w:type="dxa"/>
            <w:vAlign w:val="bottom"/>
          </w:tcPr>
          <w:p>
            <w:pPr>
              <w:jc w:val="right"/>
              <w:spacing w:after="0"/>
              <w:rPr>
                <w:sz w:val="20"/>
                <w:szCs w:val="20"/>
                <w:color w:val="auto"/>
              </w:rPr>
            </w:pPr>
            <w:r>
              <w:rPr>
                <w:rFonts w:ascii="Arial" w:cs="Arial" w:eastAsia="Arial" w:hAnsi="Arial"/>
                <w:sz w:val="18"/>
                <w:szCs w:val="18"/>
                <w:color w:val="050A54"/>
              </w:rPr>
              <w:t>59</w:t>
            </w:r>
          </w:p>
        </w:tc>
      </w:tr>
    </w:tbl>
    <w:p>
      <w:pPr>
        <w:sectPr>
          <w:pgSz w:w="11900" w:h="16838" w:orient="portrait"/>
          <w:cols w:equalWidth="0" w:num="1">
            <w:col w:w="11080"/>
          </w:cols>
          <w:pgMar w:left="320" w:top="454" w:right="499" w:bottom="1440" w:gutter="0" w:footer="0" w:header="0"/>
          <w:type w:val="continuous"/>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336"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reason, in each case, within the 12-month period following the date of consummation of a change-in-control (as defined in the Executive Severance Plan), a Participant will be entitled to the following payments and benefits, subject to the execution of a release of claims and continued compliance with post-termination restrictive covenants:</w:t>
      </w:r>
    </w:p>
    <w:p>
      <w:pPr>
        <w:spacing w:after="0" w:line="208" w:lineRule="exact"/>
        <w:rPr>
          <w:sz w:val="20"/>
          <w:szCs w:val="20"/>
          <w:color w:val="auto"/>
        </w:rPr>
      </w:pPr>
    </w:p>
    <w:p>
      <w:pPr>
        <w:ind w:left="520" w:right="20"/>
        <w:spacing w:after="0" w:line="249" w:lineRule="auto"/>
        <w:rPr>
          <w:sz w:val="20"/>
          <w:szCs w:val="20"/>
          <w:color w:val="auto"/>
        </w:rPr>
      </w:pPr>
      <w:r>
        <w:rPr>
          <w:rFonts w:ascii="Arial" w:cs="Arial" w:eastAsia="Arial" w:hAnsi="Arial"/>
          <w:sz w:val="18"/>
          <w:szCs w:val="18"/>
          <w:color w:val="auto"/>
        </w:rPr>
        <w:t>Base salary through the Participant’s separation date, reimbursements for reasonable business expenses, and any other employee benefit entitlements;</w:t>
      </w:r>
    </w:p>
    <w:p>
      <w:pPr>
        <w:spacing w:after="0" w:line="198" w:lineRule="exact"/>
        <w:rPr>
          <w:sz w:val="20"/>
          <w:szCs w:val="20"/>
          <w:color w:val="auto"/>
        </w:rPr>
      </w:pPr>
    </w:p>
    <w:p>
      <w:pPr>
        <w:ind w:left="520"/>
        <w:spacing w:after="0" w:line="265" w:lineRule="auto"/>
        <w:rPr>
          <w:sz w:val="20"/>
          <w:szCs w:val="20"/>
          <w:color w:val="auto"/>
        </w:rPr>
      </w:pPr>
      <w:r>
        <w:rPr>
          <w:rFonts w:ascii="Arial" w:cs="Arial" w:eastAsia="Arial" w:hAnsi="Arial"/>
          <w:sz w:val="18"/>
          <w:szCs w:val="18"/>
          <w:color w:val="auto"/>
        </w:rPr>
        <w:t>An amount equal to 150% of the Participant’s target bonus for the calendar year in which employment is terminated;</w:t>
      </w:r>
    </w:p>
    <w:p>
      <w:pPr>
        <w:spacing w:after="0" w:line="184" w:lineRule="exact"/>
        <w:rPr>
          <w:sz w:val="20"/>
          <w:szCs w:val="20"/>
          <w:color w:val="auto"/>
        </w:rPr>
      </w:pPr>
    </w:p>
    <w:p>
      <w:pPr>
        <w:ind w:left="520"/>
        <w:spacing w:after="0" w:line="265" w:lineRule="auto"/>
        <w:rPr>
          <w:sz w:val="20"/>
          <w:szCs w:val="20"/>
          <w:color w:val="auto"/>
        </w:rPr>
      </w:pPr>
      <w:r>
        <w:rPr>
          <w:rFonts w:ascii="Arial" w:cs="Arial" w:eastAsia="Arial" w:hAnsi="Arial"/>
          <w:sz w:val="18"/>
          <w:szCs w:val="18"/>
          <w:color w:val="auto"/>
        </w:rPr>
        <w:t>Continued payment of base salary for 18 months after termination of employment;</w:t>
      </w:r>
    </w:p>
    <w:p>
      <w:pPr>
        <w:spacing w:after="0" w:line="184" w:lineRule="exact"/>
        <w:rPr>
          <w:sz w:val="20"/>
          <w:szCs w:val="20"/>
          <w:color w:val="auto"/>
        </w:rPr>
      </w:pPr>
    </w:p>
    <w:p>
      <w:pPr>
        <w:ind w:left="520"/>
        <w:spacing w:after="0" w:line="239" w:lineRule="auto"/>
        <w:rPr>
          <w:sz w:val="20"/>
          <w:szCs w:val="20"/>
          <w:color w:val="auto"/>
        </w:rPr>
      </w:pPr>
      <w:r>
        <w:rPr>
          <w:rFonts w:ascii="Arial" w:cs="Arial" w:eastAsia="Arial" w:hAnsi="Arial"/>
          <w:sz w:val="18"/>
          <w:szCs w:val="18"/>
          <w:color w:val="auto"/>
        </w:rPr>
        <w:t>Accelerated vesting in full of all outstanding time-based equity and equity-based awards (such as outstanding stock options and RSUs) and prorated vesting, as of the separation date, of any performance-based equity and equity-based awards (such as outstanding PSUs) assuming target levels of achievement; and</w:t>
      </w:r>
    </w:p>
    <w:p>
      <w:pPr>
        <w:spacing w:after="0" w:line="207" w:lineRule="exact"/>
        <w:rPr>
          <w:sz w:val="20"/>
          <w:szCs w:val="20"/>
          <w:color w:val="auto"/>
        </w:rPr>
      </w:pPr>
    </w:p>
    <w:p>
      <w:pPr>
        <w:ind w:left="520"/>
        <w:spacing w:after="0" w:line="237" w:lineRule="auto"/>
        <w:rPr>
          <w:sz w:val="20"/>
          <w:szCs w:val="20"/>
          <w:color w:val="auto"/>
        </w:rPr>
      </w:pPr>
      <w:r>
        <w:rPr>
          <w:rFonts w:ascii="Arial" w:cs="Arial" w:eastAsia="Arial" w:hAnsi="Arial"/>
          <w:sz w:val="18"/>
          <w:szCs w:val="18"/>
          <w:color w:val="auto"/>
        </w:rPr>
        <w:t>Payment of the employer portion of the premium for COBRA participation in the Company’s health and dental plans until the earliest of 18 months following termination of the Participant’s participation in such plans as an employee, the date that such Participant becomes eligible for comparable benefit coverage, and the date the Participant is no longer eligible for COBRA (subject to the Participant’s eligibility under COBRA and proper and timely elections).</w:t>
      </w:r>
    </w:p>
    <w:p>
      <w:pPr>
        <w:spacing w:after="0" w:line="184" w:lineRule="exact"/>
        <w:rPr>
          <w:sz w:val="20"/>
          <w:szCs w:val="20"/>
          <w:color w:val="auto"/>
        </w:rPr>
      </w:pPr>
    </w:p>
    <w:p>
      <w:pPr>
        <w:ind w:left="160"/>
        <w:spacing w:after="0"/>
        <w:tabs>
          <w:tab w:leader="none" w:pos="940" w:val="left"/>
          <w:tab w:leader="none" w:pos="1560" w:val="left"/>
          <w:tab w:leader="none" w:pos="1980" w:val="left"/>
          <w:tab w:leader="none" w:pos="2900" w:val="left"/>
          <w:tab w:leader="none" w:pos="3920" w:val="left"/>
          <w:tab w:leader="none" w:pos="4440" w:val="left"/>
          <w:tab w:leader="none" w:pos="5140" w:val="left"/>
        </w:tabs>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Cause</w:t>
      </w:r>
      <w:r>
        <w:rPr>
          <w:rFonts w:ascii="Arial" w:cs="Arial" w:eastAsia="Arial" w:hAnsi="Arial"/>
          <w:sz w:val="18"/>
          <w:szCs w:val="18"/>
          <w:color w:val="auto"/>
        </w:rPr>
        <w:t>”</w:t>
        <w:tab/>
        <w:t>under</w:t>
        <w:tab/>
        <w:t>our</w:t>
        <w:tab/>
        <w:t>Executive</w:t>
        <w:tab/>
        <w:t>Severance</w:t>
        <w:tab/>
        <w:t>Plan</w:t>
        <w:tab/>
        <w:t>means</w:t>
      </w:r>
      <w:r>
        <w:rPr>
          <w:sz w:val="20"/>
          <w:szCs w:val="20"/>
          <w:color w:val="auto"/>
        </w:rPr>
        <w:tab/>
      </w:r>
      <w:r>
        <w:rPr>
          <w:rFonts w:ascii="Arial" w:cs="Arial" w:eastAsia="Arial" w:hAnsi="Arial"/>
          <w:sz w:val="17"/>
          <w:szCs w:val="17"/>
          <w:color w:val="auto"/>
        </w:rPr>
        <w:t>the</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Participant’s:</w:t>
      </w:r>
    </w:p>
    <w:p>
      <w:pPr>
        <w:spacing w:after="0" w:line="216" w:lineRule="exact"/>
        <w:rPr>
          <w:sz w:val="20"/>
          <w:szCs w:val="20"/>
          <w:color w:val="auto"/>
        </w:rPr>
      </w:pPr>
    </w:p>
    <w:p>
      <w:pPr>
        <w:ind w:left="520"/>
        <w:spacing w:after="0" w:line="239" w:lineRule="auto"/>
        <w:rPr>
          <w:sz w:val="20"/>
          <w:szCs w:val="20"/>
          <w:color w:val="auto"/>
        </w:rPr>
      </w:pPr>
      <w:r>
        <w:rPr>
          <w:rFonts w:ascii="Arial" w:cs="Arial" w:eastAsia="Arial" w:hAnsi="Arial"/>
          <w:sz w:val="18"/>
          <w:szCs w:val="18"/>
          <w:color w:val="auto"/>
        </w:rPr>
        <w:t>willful and continued failure to perform, or gross negligence or willful misconduct in the performance of, his or her material duties with respect to the Company or an affiliate which, if curable, continues beyond ten (10) business days after a written demand for substantial performance is delivered to such Participant by the Company;</w:t>
      </w:r>
    </w:p>
    <w:p>
      <w:pPr>
        <w:spacing w:after="0" w:line="207" w:lineRule="exact"/>
        <w:rPr>
          <w:sz w:val="20"/>
          <w:szCs w:val="20"/>
          <w:color w:val="auto"/>
        </w:rPr>
      </w:pPr>
    </w:p>
    <w:p>
      <w:pPr>
        <w:ind w:left="520"/>
        <w:spacing w:after="0" w:line="249" w:lineRule="auto"/>
        <w:rPr>
          <w:sz w:val="20"/>
          <w:szCs w:val="20"/>
          <w:color w:val="auto"/>
        </w:rPr>
      </w:pPr>
      <w:r>
        <w:rPr>
          <w:rFonts w:ascii="Arial" w:cs="Arial" w:eastAsia="Arial" w:hAnsi="Arial"/>
          <w:sz w:val="18"/>
          <w:szCs w:val="18"/>
          <w:color w:val="auto"/>
        </w:rPr>
        <w:t>conviction of, or a plea of nolo contendere to, a crime constituting a felony under the laws of the United States or any state thereof;</w:t>
      </w:r>
    </w:p>
    <w:p>
      <w:pPr>
        <w:spacing w:after="0" w:line="252" w:lineRule="exact"/>
        <w:rPr>
          <w:sz w:val="20"/>
          <w:szCs w:val="20"/>
          <w:color w:val="auto"/>
        </w:rPr>
      </w:pPr>
    </w:p>
    <w:p>
      <w:pPr>
        <w:ind w:left="1000" w:hanging="690"/>
        <w:spacing w:after="0"/>
        <w:tabs>
          <w:tab w:leader="none" w:pos="1000" w:val="left"/>
        </w:tabs>
        <w:numPr>
          <w:ilvl w:val="0"/>
          <w:numId w:val="94"/>
        </w:numPr>
        <w:rPr>
          <w:rFonts w:ascii="Arial" w:cs="Arial" w:eastAsia="Arial" w:hAnsi="Arial"/>
          <w:sz w:val="18"/>
          <w:szCs w:val="18"/>
          <w:color w:val="050A54"/>
        </w:rPr>
      </w:pPr>
      <w:r>
        <w:rPr>
          <w:rFonts w:ascii="Arial" w:cs="Arial" w:eastAsia="Arial" w:hAnsi="Arial"/>
          <w:sz w:val="18"/>
          <w:szCs w:val="18"/>
          <w:b w:val="1"/>
          <w:bCs w:val="1"/>
          <w:color w:val="050A54"/>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-118745</wp:posOffset>
            </wp:positionV>
            <wp:extent cx="8255" cy="135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left="360" w:right="20"/>
        <w:spacing w:after="0" w:line="249" w:lineRule="auto"/>
        <w:rPr>
          <w:sz w:val="20"/>
          <w:szCs w:val="20"/>
          <w:color w:val="auto"/>
        </w:rPr>
      </w:pPr>
      <w:r>
        <w:rPr>
          <w:rFonts w:ascii="Arial" w:cs="Arial" w:eastAsia="Arial" w:hAnsi="Arial"/>
          <w:sz w:val="18"/>
          <w:szCs w:val="18"/>
          <w:color w:val="auto"/>
        </w:rPr>
        <w:t>committing or engaging in any act of fraud, embezzlement, theft, or other act of dishonesty that causes material injury, monetarily or otherwise, to the Company or an affiliate;</w:t>
      </w:r>
    </w:p>
    <w:p>
      <w:pPr>
        <w:spacing w:after="0" w:line="198" w:lineRule="exact"/>
        <w:rPr>
          <w:sz w:val="20"/>
          <w:szCs w:val="20"/>
          <w:color w:val="auto"/>
        </w:rPr>
      </w:pPr>
    </w:p>
    <w:p>
      <w:pPr>
        <w:ind w:left="360" w:right="20"/>
        <w:spacing w:after="0" w:line="265" w:lineRule="auto"/>
        <w:rPr>
          <w:sz w:val="20"/>
          <w:szCs w:val="20"/>
          <w:color w:val="auto"/>
        </w:rPr>
      </w:pPr>
      <w:r>
        <w:rPr>
          <w:rFonts w:ascii="Arial" w:cs="Arial" w:eastAsia="Arial" w:hAnsi="Arial"/>
          <w:sz w:val="18"/>
          <w:szCs w:val="18"/>
          <w:color w:val="auto"/>
        </w:rPr>
        <w:t>breach of the restrictive covenants in the Executive Severance Plan;</w:t>
      </w:r>
    </w:p>
    <w:p>
      <w:pPr>
        <w:spacing w:after="0" w:line="184" w:lineRule="exact"/>
        <w:rPr>
          <w:sz w:val="20"/>
          <w:szCs w:val="20"/>
          <w:color w:val="auto"/>
        </w:rPr>
      </w:pPr>
    </w:p>
    <w:p>
      <w:pPr>
        <w:ind w:left="360" w:right="20"/>
        <w:spacing w:after="0" w:line="243" w:lineRule="auto"/>
        <w:rPr>
          <w:sz w:val="20"/>
          <w:szCs w:val="20"/>
          <w:color w:val="auto"/>
        </w:rPr>
      </w:pPr>
      <w:r>
        <w:rPr>
          <w:rFonts w:ascii="Arial" w:cs="Arial" w:eastAsia="Arial" w:hAnsi="Arial"/>
          <w:sz w:val="18"/>
          <w:szCs w:val="18"/>
          <w:color w:val="auto"/>
        </w:rPr>
        <w:t>violation of the code of conduct of the Company or its subsidiaries or any policy of the Company or its subsidiaries, or of any statutory or common law duty of loyalty to the Company or its subsidiaries; or</w:t>
      </w:r>
    </w:p>
    <w:p>
      <w:pPr>
        <w:spacing w:after="0" w:line="204" w:lineRule="exact"/>
        <w:rPr>
          <w:sz w:val="20"/>
          <w:szCs w:val="20"/>
          <w:color w:val="auto"/>
        </w:rPr>
      </w:pPr>
    </w:p>
    <w:p>
      <w:pPr>
        <w:ind w:left="360" w:right="20"/>
        <w:spacing w:after="0" w:line="295" w:lineRule="auto"/>
        <w:rPr>
          <w:sz w:val="20"/>
          <w:szCs w:val="20"/>
          <w:color w:val="auto"/>
        </w:rPr>
      </w:pPr>
      <w:r>
        <w:rPr>
          <w:rFonts w:ascii="Arial" w:cs="Arial" w:eastAsia="Arial" w:hAnsi="Arial"/>
          <w:sz w:val="17"/>
          <w:szCs w:val="17"/>
          <w:color w:val="auto"/>
        </w:rPr>
        <w:t>other conduct that could reasonably be expected to be harmful to the business, interests, or reputation of the Company.</w:t>
      </w:r>
    </w:p>
    <w:p>
      <w:pPr>
        <w:spacing w:after="0" w:line="135"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Good Reason</w:t>
      </w:r>
      <w:r>
        <w:rPr>
          <w:rFonts w:ascii="Arial" w:cs="Arial" w:eastAsia="Arial" w:hAnsi="Arial"/>
          <w:sz w:val="18"/>
          <w:szCs w:val="18"/>
          <w:color w:val="auto"/>
        </w:rPr>
        <w:t>” under our Executive Severance Plan means the occurrence, without the Participant’s written consent, of:</w:t>
      </w:r>
    </w:p>
    <w:p>
      <w:pPr>
        <w:spacing w:after="0" w:line="185" w:lineRule="exact"/>
        <w:rPr>
          <w:sz w:val="20"/>
          <w:szCs w:val="20"/>
          <w:color w:val="auto"/>
        </w:rPr>
      </w:pPr>
    </w:p>
    <w:p>
      <w:pPr>
        <w:ind w:left="360" w:right="20"/>
        <w:spacing w:after="0" w:line="243" w:lineRule="auto"/>
        <w:rPr>
          <w:sz w:val="20"/>
          <w:szCs w:val="20"/>
          <w:color w:val="auto"/>
        </w:rPr>
      </w:pPr>
      <w:r>
        <w:rPr>
          <w:rFonts w:ascii="Arial" w:cs="Arial" w:eastAsia="Arial" w:hAnsi="Arial"/>
          <w:sz w:val="18"/>
          <w:szCs w:val="18"/>
          <w:color w:val="auto"/>
        </w:rPr>
        <w:t>a material reduction in base salary unless such reduction is consistent with reductions made in the applicable annual base salaries of other similarly situated employees of the Company or its affiliates;</w:t>
      </w:r>
    </w:p>
    <w:p>
      <w:pPr>
        <w:spacing w:after="0" w:line="204" w:lineRule="exact"/>
        <w:rPr>
          <w:sz w:val="20"/>
          <w:szCs w:val="20"/>
          <w:color w:val="auto"/>
        </w:rPr>
      </w:pPr>
    </w:p>
    <w:p>
      <w:pPr>
        <w:ind w:left="360" w:right="20"/>
        <w:spacing w:after="0" w:line="249" w:lineRule="auto"/>
        <w:rPr>
          <w:sz w:val="20"/>
          <w:szCs w:val="20"/>
          <w:color w:val="auto"/>
        </w:rPr>
      </w:pPr>
      <w:r>
        <w:rPr>
          <w:rFonts w:ascii="Arial" w:cs="Arial" w:eastAsia="Arial" w:hAnsi="Arial"/>
          <w:sz w:val="18"/>
          <w:szCs w:val="18"/>
          <w:color w:val="auto"/>
        </w:rPr>
        <w:t>a material adverse change in duties and responsibilities at the Company or its affiliates (but not changes in functional titles); or</w:t>
      </w:r>
    </w:p>
    <w:p>
      <w:pPr>
        <w:spacing w:after="0" w:line="198" w:lineRule="exact"/>
        <w:rPr>
          <w:sz w:val="20"/>
          <w:szCs w:val="20"/>
          <w:color w:val="auto"/>
        </w:rPr>
      </w:pPr>
    </w:p>
    <w:p>
      <w:pPr>
        <w:ind w:left="360" w:right="20"/>
        <w:spacing w:after="0" w:line="238" w:lineRule="auto"/>
        <w:rPr>
          <w:sz w:val="20"/>
          <w:szCs w:val="20"/>
          <w:color w:val="auto"/>
        </w:rPr>
      </w:pPr>
      <w:r>
        <w:rPr>
          <w:rFonts w:ascii="Arial" w:cs="Arial" w:eastAsia="Arial" w:hAnsi="Arial"/>
          <w:sz w:val="18"/>
          <w:szCs w:val="18"/>
          <w:color w:val="auto"/>
        </w:rPr>
        <w:t>a relocation that would result in the Participant’s principal location of employment being moved 50 miles away from the Participant’s principal location of employment as in effect immediately prior to the consummation of a change-in-control, to the extent any such relocation occurs during the 12-month period following the date of the consummation of a change-in-control.</w:t>
      </w:r>
    </w:p>
    <w:p>
      <w:pPr>
        <w:spacing w:after="0" w:line="18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Participant is required to provide notice within 90 days following the “</w:t>
      </w:r>
      <w:r>
        <w:rPr>
          <w:rFonts w:ascii="Arial" w:cs="Arial" w:eastAsia="Arial" w:hAnsi="Arial"/>
          <w:sz w:val="18"/>
          <w:szCs w:val="18"/>
          <w:i w:val="1"/>
          <w:iCs w:val="1"/>
          <w:color w:val="auto"/>
        </w:rPr>
        <w:t>Good Reason</w:t>
      </w:r>
      <w:r>
        <w:rPr>
          <w:rFonts w:ascii="Arial" w:cs="Arial" w:eastAsia="Arial" w:hAnsi="Arial"/>
          <w:sz w:val="18"/>
          <w:szCs w:val="18"/>
          <w:color w:val="auto"/>
        </w:rPr>
        <w:t>” event (and the Company will have 30 days following such notice to cure). “</w:t>
      </w:r>
      <w:r>
        <w:rPr>
          <w:rFonts w:ascii="Arial" w:cs="Arial" w:eastAsia="Arial" w:hAnsi="Arial"/>
          <w:sz w:val="18"/>
          <w:szCs w:val="18"/>
          <w:i w:val="1"/>
          <w:iCs w:val="1"/>
          <w:color w:val="auto"/>
        </w:rPr>
        <w:t>Good Reason</w:t>
      </w:r>
      <w:r>
        <w:rPr>
          <w:rFonts w:ascii="Arial" w:cs="Arial" w:eastAsia="Arial" w:hAnsi="Arial"/>
          <w:sz w:val="18"/>
          <w:szCs w:val="18"/>
          <w:color w:val="auto"/>
        </w:rPr>
        <w:t>” will cease to exist for an event on the 90th day following the date on which the Participant knew or reasonably should have known of such event and failed to give notice as described above or if the Participant failed to terminate employment within 14 days following the expiration of the cure period.</w:t>
      </w:r>
    </w:p>
    <w:p>
      <w:pPr>
        <w:sectPr>
          <w:pgSz w:w="11900" w:h="16838" w:orient="portrait"/>
          <w:cols w:equalWidth="0" w:num="2">
            <w:col w:w="5400" w:space="340"/>
            <w:col w:w="5340"/>
          </w:cols>
          <w:pgMar w:left="320" w:top="454" w:right="499" w:bottom="1440" w:gutter="0" w:footer="0" w:header="0"/>
          <w:type w:val="continuous"/>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336"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Change-in-Control</w:t>
      </w:r>
      <w:r>
        <w:rPr>
          <w:rFonts w:ascii="Arial" w:cs="Arial" w:eastAsia="Arial" w:hAnsi="Arial"/>
          <w:sz w:val="18"/>
          <w:szCs w:val="18"/>
          <w:color w:val="auto"/>
        </w:rPr>
        <w:t>” under our Executive Severance Plan means the consummation of:</w:t>
      </w:r>
    </w:p>
    <w:p>
      <w:pPr>
        <w:spacing w:after="0" w:line="185" w:lineRule="exact"/>
        <w:rPr>
          <w:sz w:val="20"/>
          <w:szCs w:val="20"/>
          <w:color w:val="auto"/>
        </w:rPr>
      </w:pPr>
    </w:p>
    <w:p>
      <w:pPr>
        <w:ind w:left="520"/>
        <w:spacing w:after="0" w:line="237" w:lineRule="auto"/>
        <w:rPr>
          <w:sz w:val="20"/>
          <w:szCs w:val="20"/>
          <w:color w:val="auto"/>
        </w:rPr>
      </w:pPr>
      <w:r>
        <w:rPr>
          <w:rFonts w:ascii="Arial" w:cs="Arial" w:eastAsia="Arial" w:hAnsi="Arial"/>
          <w:sz w:val="18"/>
          <w:szCs w:val="18"/>
          <w:color w:val="auto"/>
        </w:rPr>
        <w:t>any transaction or series of related transactions, whether or not the Company is a party thereto, after giving effect to which in excess of 50 percent of the Company’s voting power is owned directly, or indirectly through one or more entities, by any person and its “affiliates” or “associates” (as such terms are defined in the Exchange Act rules) or any “group” (as defined in the Exchange Act rules) other than, in each case, the Company or an affiliate of the Company; or</w:t>
      </w:r>
    </w:p>
    <w:p>
      <w:pPr>
        <w:spacing w:after="0" w:line="210" w:lineRule="exact"/>
        <w:rPr>
          <w:sz w:val="20"/>
          <w:szCs w:val="20"/>
          <w:color w:val="auto"/>
        </w:rPr>
      </w:pPr>
    </w:p>
    <w:p>
      <w:pPr>
        <w:ind w:left="520"/>
        <w:spacing w:after="0" w:line="235" w:lineRule="auto"/>
        <w:rPr>
          <w:sz w:val="20"/>
          <w:szCs w:val="20"/>
          <w:color w:val="auto"/>
        </w:rPr>
      </w:pPr>
      <w:r>
        <w:rPr>
          <w:rFonts w:ascii="Arial" w:cs="Arial" w:eastAsia="Arial" w:hAnsi="Arial"/>
          <w:sz w:val="18"/>
          <w:szCs w:val="18"/>
          <w:color w:val="auto"/>
        </w:rPr>
        <w:t>a sale or other disposition of all or substantially all of the consolidated assets of the Company (each of the foregoing, a “Business Combination”), provided that, notwithstanding the foregoing, a “change-in-control” is not deemed to occur as a result of a Business Combination following which the individuals or entities who were beneficial owners of the outstanding securities entitled to vote generally in the election of directors of the Company immediately prior to such Business Combination beneficially own, directly or indirectly, 50% or more of the outstanding securities entitled to vote generally in the election of directors of the resulting, surviving, or acquiring corporation in such transaction.</w:t>
      </w:r>
    </w:p>
    <w:p>
      <w:pPr>
        <w:spacing w:after="0" w:line="19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0A54"/>
        </w:rPr>
        <w:t>Termination Other than For Good Reason</w:t>
      </w:r>
    </w:p>
    <w:p>
      <w:pPr>
        <w:spacing w:after="0" w:line="206"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The Executive Severance Plan does not provide for any separation benefits or payments upon an executive’s retirement or voluntary resignation from employment other than for good reason. Upon such a retirement or voluntary resignation, an eligible executive would be entitled to receive only base salary through such executive’s separation date, reimbursements for reasonable business expenses, and any other employee benefit entitlements to which the executive is entitled under the Company’s other employee benefit plans and programs.</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0A54"/>
        </w:rPr>
        <w:t>Death, Disability, and Retirement</w:t>
      </w:r>
    </w:p>
    <w:p>
      <w:pPr>
        <w:spacing w:after="0" w:line="206"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The Executive Severance Plan does not provide for any separation benefits or payments upon a termination due to death, disability, or voluntary termination (regardless of age). Upon such a termination, an eligible executive would be entitled to receive only base salary through the separation date, reimbursements for reasonable business expenses and any other employee benefit entitlements to which</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jc w:val="both"/>
        <w:ind w:left="7"/>
        <w:spacing w:after="0" w:line="265" w:lineRule="auto"/>
        <w:rPr>
          <w:sz w:val="20"/>
          <w:szCs w:val="20"/>
          <w:color w:val="auto"/>
        </w:rPr>
      </w:pPr>
      <w:r>
        <w:rPr>
          <w:rFonts w:ascii="Arial" w:cs="Arial" w:eastAsia="Arial" w:hAnsi="Arial"/>
          <w:sz w:val="18"/>
          <w:szCs w:val="18"/>
          <w:color w:val="auto"/>
        </w:rPr>
        <w:t>the executive is entitled under the Company’s other employee benefit plans and programs.</w:t>
      </w:r>
    </w:p>
    <w:p>
      <w:pPr>
        <w:spacing w:after="0" w:line="158" w:lineRule="exact"/>
        <w:rPr>
          <w:sz w:val="20"/>
          <w:szCs w:val="20"/>
          <w:color w:val="auto"/>
        </w:rPr>
      </w:pPr>
    </w:p>
    <w:p>
      <w:pPr>
        <w:jc w:val="both"/>
        <w:ind w:left="7"/>
        <w:spacing w:after="0" w:line="249" w:lineRule="auto"/>
        <w:rPr>
          <w:sz w:val="20"/>
          <w:szCs w:val="20"/>
          <w:color w:val="auto"/>
        </w:rPr>
      </w:pPr>
      <w:r>
        <w:rPr>
          <w:rFonts w:ascii="Arial" w:cs="Arial" w:eastAsia="Arial" w:hAnsi="Arial"/>
          <w:sz w:val="18"/>
          <w:szCs w:val="18"/>
          <w:color w:val="auto"/>
        </w:rPr>
        <w:t>Please see the “Equity Award Agreements” below for the treatment of outstanding equity awards in connection with a termination of employment due to death, disability or retirement.</w:t>
      </w:r>
    </w:p>
    <w:p>
      <w:pPr>
        <w:spacing w:after="0" w:line="172"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050A54"/>
        </w:rPr>
        <w:t>Equity Award Agreements</w:t>
      </w:r>
    </w:p>
    <w:p>
      <w:pPr>
        <w:spacing w:after="0" w:line="143"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050A54"/>
        </w:rPr>
        <w:t>Stock Options</w:t>
      </w:r>
    </w:p>
    <w:p>
      <w:pPr>
        <w:spacing w:after="0" w:line="139" w:lineRule="exact"/>
        <w:rPr>
          <w:sz w:val="20"/>
          <w:szCs w:val="20"/>
          <w:color w:val="auto"/>
        </w:rPr>
      </w:pPr>
    </w:p>
    <w:p>
      <w:pPr>
        <w:jc w:val="both"/>
        <w:ind w:left="7"/>
        <w:spacing w:after="0" w:line="265" w:lineRule="auto"/>
        <w:rPr>
          <w:sz w:val="20"/>
          <w:szCs w:val="20"/>
          <w:color w:val="auto"/>
        </w:rPr>
      </w:pPr>
      <w:r>
        <w:rPr>
          <w:rFonts w:ascii="Arial" w:cs="Arial" w:eastAsia="Arial" w:hAnsi="Arial"/>
          <w:sz w:val="18"/>
          <w:szCs w:val="18"/>
          <w:color w:val="auto"/>
        </w:rPr>
        <w:t>All stock options held by our NEOs as of December 31, 2021 were granted under our 2010 Plan.</w:t>
      </w:r>
    </w:p>
    <w:p>
      <w:pPr>
        <w:spacing w:after="0" w:line="158" w:lineRule="exact"/>
        <w:rPr>
          <w:sz w:val="20"/>
          <w:szCs w:val="20"/>
          <w:color w:val="auto"/>
        </w:rPr>
      </w:pPr>
    </w:p>
    <w:p>
      <w:pPr>
        <w:jc w:val="both"/>
        <w:ind w:left="7"/>
        <w:spacing w:after="0" w:line="243" w:lineRule="auto"/>
        <w:rPr>
          <w:sz w:val="20"/>
          <w:szCs w:val="20"/>
          <w:color w:val="auto"/>
        </w:rPr>
      </w:pPr>
      <w:r>
        <w:rPr>
          <w:rFonts w:ascii="Arial" w:cs="Arial" w:eastAsia="Arial" w:hAnsi="Arial"/>
          <w:sz w:val="18"/>
          <w:szCs w:val="18"/>
          <w:color w:val="auto"/>
        </w:rPr>
        <w:t>In accordance with our NEOs’ option agreements, unvested stock options are canceled upon termination of employment, unless</w:t>
      </w:r>
    </w:p>
    <w:p>
      <w:pPr>
        <w:jc w:val="both"/>
        <w:ind w:left="7" w:hanging="7"/>
        <w:spacing w:after="0" w:line="236" w:lineRule="auto"/>
        <w:tabs>
          <w:tab w:leader="none" w:pos="29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otherwise agreed by the Company, or (2) in the case of death, disability (as defined in the stock option agreement) or retirement, in which case any and all unvested portions of stock options shall become vested. Unless the NEO is terminated for cause, vested options will be exercisable for:</w:t>
      </w:r>
    </w:p>
    <w:p>
      <w:pPr>
        <w:spacing w:after="0" w:line="208" w:lineRule="exact"/>
        <w:rPr>
          <w:sz w:val="20"/>
          <w:szCs w:val="20"/>
          <w:color w:val="auto"/>
        </w:rPr>
      </w:pPr>
    </w:p>
    <w:p>
      <w:pPr>
        <w:ind w:left="367" w:right="20"/>
        <w:spacing w:after="0" w:line="265" w:lineRule="auto"/>
        <w:rPr>
          <w:sz w:val="20"/>
          <w:szCs w:val="20"/>
          <w:color w:val="auto"/>
        </w:rPr>
      </w:pPr>
      <w:r>
        <w:rPr>
          <w:rFonts w:ascii="Arial" w:cs="Arial" w:eastAsia="Arial" w:hAnsi="Arial"/>
          <w:sz w:val="18"/>
          <w:szCs w:val="18"/>
          <w:color w:val="auto"/>
        </w:rPr>
        <w:t>two years following termination of employment by reason of retirement, but not later than the option expiration date;</w:t>
      </w:r>
    </w:p>
    <w:p>
      <w:pPr>
        <w:spacing w:after="0" w:line="184" w:lineRule="exact"/>
        <w:rPr>
          <w:sz w:val="20"/>
          <w:szCs w:val="20"/>
          <w:color w:val="auto"/>
        </w:rPr>
      </w:pPr>
    </w:p>
    <w:p>
      <w:pPr>
        <w:ind w:left="367" w:right="20"/>
        <w:spacing w:after="0" w:line="265" w:lineRule="auto"/>
        <w:rPr>
          <w:sz w:val="20"/>
          <w:szCs w:val="20"/>
          <w:color w:val="auto"/>
        </w:rPr>
      </w:pPr>
      <w:r>
        <w:rPr>
          <w:rFonts w:ascii="Arial" w:cs="Arial" w:eastAsia="Arial" w:hAnsi="Arial"/>
          <w:sz w:val="18"/>
          <w:szCs w:val="18"/>
          <w:color w:val="auto"/>
        </w:rPr>
        <w:t>one year following death or disability but, in each case, not later than the option expiration date; and</w:t>
      </w:r>
    </w:p>
    <w:p>
      <w:pPr>
        <w:spacing w:after="0" w:line="184" w:lineRule="exact"/>
        <w:rPr>
          <w:sz w:val="20"/>
          <w:szCs w:val="20"/>
          <w:color w:val="auto"/>
        </w:rPr>
      </w:pPr>
    </w:p>
    <w:p>
      <w:pPr>
        <w:ind w:left="367" w:right="20"/>
        <w:spacing w:after="0" w:line="265" w:lineRule="auto"/>
        <w:rPr>
          <w:sz w:val="20"/>
          <w:szCs w:val="20"/>
          <w:color w:val="auto"/>
        </w:rPr>
      </w:pPr>
      <w:r>
        <w:rPr>
          <w:rFonts w:ascii="Arial" w:cs="Arial" w:eastAsia="Arial" w:hAnsi="Arial"/>
          <w:sz w:val="18"/>
          <w:szCs w:val="18"/>
          <w:color w:val="auto"/>
        </w:rPr>
        <w:t>90 days following termination in other cases, but not later than the option expiration date.</w:t>
      </w:r>
    </w:p>
    <w:p>
      <w:pPr>
        <w:spacing w:after="0" w:line="160"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050A54"/>
        </w:rPr>
        <w:t>Restricted Stock Units (RSUs)</w:t>
      </w:r>
    </w:p>
    <w:p>
      <w:pPr>
        <w:spacing w:after="0" w:line="206" w:lineRule="exact"/>
        <w:rPr>
          <w:sz w:val="20"/>
          <w:szCs w:val="20"/>
          <w:color w:val="auto"/>
        </w:rPr>
      </w:pPr>
    </w:p>
    <w:p>
      <w:pPr>
        <w:jc w:val="both"/>
        <w:ind w:left="7"/>
        <w:spacing w:after="0" w:line="237" w:lineRule="auto"/>
        <w:rPr>
          <w:sz w:val="20"/>
          <w:szCs w:val="20"/>
          <w:color w:val="auto"/>
        </w:rPr>
      </w:pPr>
      <w:r>
        <w:rPr>
          <w:rFonts w:ascii="Arial" w:cs="Arial" w:eastAsia="Arial" w:hAnsi="Arial"/>
          <w:sz w:val="18"/>
          <w:szCs w:val="18"/>
          <w:color w:val="auto"/>
        </w:rPr>
        <w:t>In accordance with the NEOs’ RSU agreements, unvested portions of RSU awards are cancelled upon termination of employment, unless (1) otherwise agreed by the Company, or (2) in the case of death or retirement, in which case any and all unvested portions shall become vested. The unvested portion of RSUs will become vested in full in the event of disability (as defined in the RSU award agreement). If the NEO is terminated for cause, the vested portion of the award will terminate. All RSUs held by our NEOs as of December 31, 2021 were granted under our 2010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2767" w:type="dxa"/>
        <w:tblCellMar>
          <w:top w:w="0" w:type="dxa"/>
          <w:left w:w="0" w:type="dxa"/>
          <w:bottom w:w="0" w:type="dxa"/>
          <w:right w:w="0" w:type="dxa"/>
        </w:tblCellMar>
      </w:tblPr>
      <w:tr>
        <w:trPr>
          <w:trHeight w:val="233"/>
        </w:trPr>
        <w:tc>
          <w:tcPr>
            <w:tcW w:w="2060" w:type="dxa"/>
            <w:vAlign w:val="bottom"/>
            <w:tcBorders>
              <w:right w:val="single" w:sz="8" w:color="050A54"/>
            </w:tcBorders>
          </w:tcPr>
          <w:p>
            <w:pPr>
              <w:spacing w:after="0"/>
              <w:rPr>
                <w:sz w:val="20"/>
                <w:szCs w:val="20"/>
                <w:color w:val="auto"/>
              </w:rPr>
            </w:pPr>
            <w:r>
              <w:rPr>
                <w:rFonts w:ascii="Arial" w:cs="Arial" w:eastAsia="Arial" w:hAnsi="Arial"/>
                <w:sz w:val="18"/>
                <w:szCs w:val="18"/>
                <w:b w:val="1"/>
                <w:bCs w:val="1"/>
                <w:color w:val="050A54"/>
              </w:rPr>
              <w:t>2022 Proxy Statement</w:t>
            </w:r>
          </w:p>
        </w:tc>
        <w:tc>
          <w:tcPr>
            <w:tcW w:w="520" w:type="dxa"/>
            <w:vAlign w:val="bottom"/>
          </w:tcPr>
          <w:p>
            <w:pPr>
              <w:jc w:val="right"/>
              <w:spacing w:after="0"/>
              <w:rPr>
                <w:sz w:val="20"/>
                <w:szCs w:val="20"/>
                <w:color w:val="auto"/>
              </w:rPr>
            </w:pPr>
            <w:r>
              <w:rPr>
                <w:rFonts w:ascii="Arial" w:cs="Arial" w:eastAsia="Arial" w:hAnsi="Arial"/>
                <w:sz w:val="18"/>
                <w:szCs w:val="18"/>
                <w:color w:val="050A54"/>
              </w:rPr>
              <w:t>61</w:t>
            </w:r>
          </w:p>
        </w:tc>
      </w:tr>
    </w:tbl>
    <w:p>
      <w:pPr>
        <w:sectPr>
          <w:pgSz w:w="11900" w:h="16838" w:orient="portrait"/>
          <w:cols w:equalWidth="0" w:num="2">
            <w:col w:w="5400" w:space="333"/>
            <w:col w:w="5347"/>
          </w:cols>
          <w:pgMar w:left="320" w:top="454" w:right="499" w:bottom="1440" w:gutter="0" w:footer="0" w:header="0"/>
          <w:type w:val="continuous"/>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33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0A54"/>
        </w:rPr>
        <w:t>Performance Stock Units (PSUs)</w:t>
      </w:r>
    </w:p>
    <w:p>
      <w:pPr>
        <w:spacing w:after="0" w:line="206"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In accordance with the NEOs’ PSU agreements, unvested portions of PSUs are forfeited upon termination of employment, except in the case of death, disability or retirement, or as otherwise provided pursuant to our Executive Severance Plan, and in any such case the PSUs will not terminate and will instead remain outstanding and eligible to become earned PSUs on a prorated basis in accordance with the terms of the PSU award agreement and/or our Executive Severance Plan. All PSUs held by our NEOs as of December 31, 2021 were granted under our 2010 Plan.</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0A54"/>
        </w:rPr>
        <w:t>CEO Pay Ratio</w:t>
      </w:r>
    </w:p>
    <w:p>
      <w:pPr>
        <w:spacing w:after="0" w:line="208"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As required by Section 953(b) of the Dodd-Frank Wall Street Reform and Consumer Protection Act, and Item 402(u) of Regulation S-K, we are providing the following information regarding the ratio of total annual compensation for Mr. Arnold, our president and chief executive officer (the “CEO”), to the median of the annual total compensation of all our employees (other than the CEO) (the “CEO Pay Ratio”). For 2021:</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Mr. Arnold’s total annual compensation: $12,875,868</w:t>
      </w:r>
    </w:p>
    <w:p>
      <w:pPr>
        <w:spacing w:after="0" w:line="247" w:lineRule="exact"/>
        <w:rPr>
          <w:sz w:val="20"/>
          <w:szCs w:val="20"/>
          <w:color w:val="auto"/>
        </w:rPr>
      </w:pPr>
    </w:p>
    <w:p>
      <w:pPr>
        <w:ind w:left="520"/>
        <w:spacing w:after="0" w:line="265" w:lineRule="auto"/>
        <w:rPr>
          <w:sz w:val="20"/>
          <w:szCs w:val="20"/>
          <w:color w:val="auto"/>
        </w:rPr>
      </w:pPr>
      <w:r>
        <w:rPr>
          <w:rFonts w:ascii="Arial" w:cs="Arial" w:eastAsia="Arial" w:hAnsi="Arial"/>
          <w:sz w:val="18"/>
          <w:szCs w:val="18"/>
          <w:color w:val="auto"/>
        </w:rPr>
        <w:t>Median annual total compensation of all employees (other than CEO): $88,009</w:t>
      </w:r>
    </w:p>
    <w:p>
      <w:pPr>
        <w:spacing w:after="0" w:line="184" w:lineRule="exact"/>
        <w:rPr>
          <w:sz w:val="20"/>
          <w:szCs w:val="20"/>
          <w:color w:val="auto"/>
        </w:rPr>
      </w:pPr>
    </w:p>
    <w:p>
      <w:pPr>
        <w:ind w:left="520" w:right="20"/>
        <w:spacing w:after="0" w:line="249" w:lineRule="auto"/>
        <w:rPr>
          <w:sz w:val="20"/>
          <w:szCs w:val="20"/>
          <w:color w:val="auto"/>
        </w:rPr>
      </w:pPr>
      <w:r>
        <w:rPr>
          <w:rFonts w:ascii="Arial" w:cs="Arial" w:eastAsia="Arial" w:hAnsi="Arial"/>
          <w:sz w:val="18"/>
          <w:szCs w:val="18"/>
          <w:color w:val="auto"/>
        </w:rPr>
        <w:t>Ratio of the annual total compensation of the CEO to the median of the annual total compensation of all employees (other than CEO): 146:1</w:t>
      </w:r>
    </w:p>
    <w:p>
      <w:pPr>
        <w:spacing w:after="0" w:line="172"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color w:val="auto"/>
        </w:rPr>
        <w:t>We used the following methodology to determine the foregoing ratio:</w:t>
      </w:r>
    </w:p>
    <w:p>
      <w:pPr>
        <w:spacing w:after="0" w:line="185" w:lineRule="exact"/>
        <w:rPr>
          <w:sz w:val="20"/>
          <w:szCs w:val="20"/>
          <w:color w:val="auto"/>
        </w:rPr>
      </w:pPr>
    </w:p>
    <w:p>
      <w:pPr>
        <w:ind w:left="520"/>
        <w:spacing w:after="0" w:line="249" w:lineRule="auto"/>
        <w:rPr>
          <w:sz w:val="20"/>
          <w:szCs w:val="20"/>
          <w:color w:val="auto"/>
        </w:rPr>
      </w:pPr>
      <w:r>
        <w:rPr>
          <w:rFonts w:ascii="Arial" w:cs="Arial" w:eastAsia="Arial" w:hAnsi="Arial"/>
          <w:sz w:val="18"/>
          <w:szCs w:val="18"/>
          <w:color w:val="auto"/>
        </w:rPr>
        <w:t>We determined our 2020 median employee (our “2020 Median Employee”) from our employee population on December 31, 2020.</w:t>
      </w:r>
    </w:p>
    <w:p>
      <w:pPr>
        <w:spacing w:after="0" w:line="198" w:lineRule="exact"/>
        <w:rPr>
          <w:sz w:val="20"/>
          <w:szCs w:val="20"/>
          <w:color w:val="auto"/>
        </w:rPr>
      </w:pPr>
    </w:p>
    <w:p>
      <w:pPr>
        <w:ind w:left="520"/>
        <w:spacing w:after="0" w:line="238" w:lineRule="auto"/>
        <w:rPr>
          <w:sz w:val="20"/>
          <w:szCs w:val="20"/>
          <w:color w:val="auto"/>
        </w:rPr>
      </w:pPr>
      <w:r>
        <w:rPr>
          <w:rFonts w:ascii="Arial" w:cs="Arial" w:eastAsia="Arial" w:hAnsi="Arial"/>
          <w:sz w:val="18"/>
          <w:szCs w:val="18"/>
          <w:color w:val="auto"/>
        </w:rPr>
        <w:t>SEC rules allow a company to use the same median employee for three consecutive fiscal years. Accordingly, we have used our 2020 Median Employee for purposes of determining our 2021 pay ratio, as there has been no change in our employee population or employee compensation arrangements that we reasonably believe would significantly impact our pay ratio disclosure.</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left="367" w:right="20"/>
        <w:spacing w:after="0"/>
        <w:rPr>
          <w:sz w:val="20"/>
          <w:szCs w:val="20"/>
          <w:color w:val="auto"/>
        </w:rPr>
      </w:pPr>
      <w:r>
        <w:rPr>
          <w:rFonts w:ascii="Arial" w:cs="Arial" w:eastAsia="Arial" w:hAnsi="Arial"/>
          <w:sz w:val="18"/>
          <w:szCs w:val="18"/>
          <w:color w:val="auto"/>
        </w:rPr>
        <w:t>To identify the 2020 Median Employee from our employee population, we first determined each employee’s 2020 Box 1 W-2 wages (“Compensation Measure”) for the 2020 calendar year (“Measurement Period”), as reflected in our payroll records and systems.</w:t>
      </w:r>
    </w:p>
    <w:p>
      <w:pPr>
        <w:spacing w:after="0" w:line="209" w:lineRule="exact"/>
        <w:rPr>
          <w:sz w:val="20"/>
          <w:szCs w:val="20"/>
          <w:color w:val="auto"/>
        </w:rPr>
      </w:pPr>
    </w:p>
    <w:p>
      <w:pPr>
        <w:jc w:val="both"/>
        <w:ind w:left="367" w:right="20" w:hanging="367"/>
        <w:spacing w:after="0" w:line="243" w:lineRule="auto"/>
        <w:tabs>
          <w:tab w:leader="none" w:pos="36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For those full-time employees who were employed on December 31, 2020 but who were not employed for the full Measurement Period, we annualized compensation paid to such employees during 2020.</w:t>
      </w:r>
    </w:p>
    <w:p>
      <w:pPr>
        <w:spacing w:after="0" w:line="204" w:lineRule="exact"/>
        <w:rPr>
          <w:rFonts w:ascii="Arial" w:cs="Arial" w:eastAsia="Arial" w:hAnsi="Arial"/>
          <w:sz w:val="18"/>
          <w:szCs w:val="18"/>
          <w:color w:val="auto"/>
        </w:rPr>
      </w:pPr>
    </w:p>
    <w:p>
      <w:pPr>
        <w:ind w:left="367" w:right="20" w:hanging="367"/>
        <w:spacing w:after="0" w:line="265" w:lineRule="auto"/>
        <w:tabs>
          <w:tab w:leader="none" w:pos="36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We then identified our 2020 Median Employee from our employee population based on this Compensation Measure.</w:t>
      </w:r>
    </w:p>
    <w:p>
      <w:pPr>
        <w:spacing w:after="0" w:line="158" w:lineRule="exact"/>
        <w:rPr>
          <w:sz w:val="20"/>
          <w:szCs w:val="20"/>
          <w:color w:val="auto"/>
        </w:rPr>
      </w:pPr>
    </w:p>
    <w:p>
      <w:pPr>
        <w:ind w:left="7" w:right="20"/>
        <w:spacing w:after="0" w:line="265" w:lineRule="auto"/>
        <w:rPr>
          <w:sz w:val="20"/>
          <w:szCs w:val="20"/>
          <w:color w:val="auto"/>
        </w:rPr>
      </w:pPr>
      <w:r>
        <w:rPr>
          <w:rFonts w:ascii="Arial" w:cs="Arial" w:eastAsia="Arial" w:hAnsi="Arial"/>
          <w:sz w:val="18"/>
          <w:szCs w:val="18"/>
          <w:color w:val="auto"/>
        </w:rPr>
        <w:t>We then determined the annual total compensation for 2021 of the median employee and our CEO in accordance with the following:</w:t>
      </w:r>
    </w:p>
    <w:p>
      <w:pPr>
        <w:spacing w:after="0" w:line="185" w:lineRule="exact"/>
        <w:rPr>
          <w:sz w:val="20"/>
          <w:szCs w:val="20"/>
          <w:color w:val="auto"/>
        </w:rPr>
      </w:pPr>
    </w:p>
    <w:p>
      <w:pPr>
        <w:ind w:left="367" w:right="20"/>
        <w:spacing w:after="0" w:line="239" w:lineRule="auto"/>
        <w:rPr>
          <w:sz w:val="20"/>
          <w:szCs w:val="20"/>
          <w:color w:val="auto"/>
        </w:rPr>
      </w:pPr>
      <w:r>
        <w:rPr>
          <w:rFonts w:ascii="Arial" w:cs="Arial" w:eastAsia="Arial" w:hAnsi="Arial"/>
          <w:sz w:val="18"/>
          <w:szCs w:val="18"/>
          <w:color w:val="auto"/>
        </w:rPr>
        <w:t>The median employee’s annual total compensation represents the amount of such employee’s compensation for 2021 that would have been reported in the Summary Compensation Table in accordance with the requirements of Item 402(c)(2)(x) of Regulation S-K if the employee were a named executive officer for 2021.</w:t>
      </w:r>
    </w:p>
    <w:p>
      <w:pPr>
        <w:spacing w:after="0" w:line="207" w:lineRule="exact"/>
        <w:rPr>
          <w:sz w:val="20"/>
          <w:szCs w:val="20"/>
          <w:color w:val="auto"/>
        </w:rPr>
      </w:pPr>
    </w:p>
    <w:p>
      <w:pPr>
        <w:ind w:left="367" w:right="20"/>
        <w:spacing w:after="0" w:line="243" w:lineRule="auto"/>
        <w:rPr>
          <w:sz w:val="20"/>
          <w:szCs w:val="20"/>
          <w:color w:val="auto"/>
        </w:rPr>
      </w:pPr>
      <w:r>
        <w:rPr>
          <w:rFonts w:ascii="Arial" w:cs="Arial" w:eastAsia="Arial" w:hAnsi="Arial"/>
          <w:sz w:val="18"/>
          <w:szCs w:val="18"/>
          <w:color w:val="auto"/>
        </w:rPr>
        <w:t>The annual total compensation of the CEO represents the amount reported in the “Total” column of our Summary Compensation Table included on page 50 of this proxy statement.</w:t>
      </w:r>
    </w:p>
    <w:p>
      <w:pPr>
        <w:spacing w:after="0" w:line="178" w:lineRule="exact"/>
        <w:rPr>
          <w:sz w:val="20"/>
          <w:szCs w:val="20"/>
          <w:color w:val="auto"/>
        </w:rPr>
      </w:pPr>
    </w:p>
    <w:p>
      <w:pPr>
        <w:jc w:val="both"/>
        <w:ind w:left="7"/>
        <w:spacing w:after="0" w:line="252" w:lineRule="auto"/>
        <w:rPr>
          <w:sz w:val="20"/>
          <w:szCs w:val="20"/>
          <w:color w:val="auto"/>
        </w:rPr>
      </w:pPr>
      <w:r>
        <w:rPr>
          <w:rFonts w:ascii="Arial" w:cs="Arial" w:eastAsia="Arial" w:hAnsi="Arial"/>
          <w:sz w:val="17"/>
          <w:szCs w:val="17"/>
          <w:color w:val="auto"/>
        </w:rPr>
        <w:t>This pay ratio is a reasonable estimate calculated in a manner consistent with SEC rules based on our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w:t>
      </w:r>
    </w:p>
    <w:p>
      <w:pPr>
        <w:spacing w:after="0" w:line="1875" w:lineRule="exact"/>
        <w:rPr>
          <w:sz w:val="20"/>
          <w:szCs w:val="20"/>
          <w:color w:val="auto"/>
        </w:rPr>
      </w:pPr>
    </w:p>
    <w:p>
      <w:pPr>
        <w:sectPr>
          <w:pgSz w:w="11900" w:h="16838" w:orient="portrait"/>
          <w:cols w:equalWidth="0" w:num="2">
            <w:col w:w="5400" w:space="333"/>
            <w:col w:w="5347"/>
          </w:cols>
          <w:pgMar w:left="320" w:top="454" w:right="499" w:bottom="1440" w:gutter="0" w:footer="0" w:header="0"/>
          <w:type w:val="continuous"/>
        </w:sectPr>
      </w:pPr>
    </w:p>
    <w:p>
      <w:pPr>
        <w:spacing w:after="0" w:line="62" w:lineRule="exact"/>
        <w:rPr>
          <w:sz w:val="20"/>
          <w:szCs w:val="20"/>
          <w:color w:val="auto"/>
        </w:rPr>
      </w:pPr>
    </w:p>
    <w:p>
      <w:pPr>
        <w:ind w:left="1000" w:hanging="690"/>
        <w:spacing w:after="0"/>
        <w:tabs>
          <w:tab w:leader="none" w:pos="1000" w:val="left"/>
        </w:tabs>
        <w:numPr>
          <w:ilvl w:val="0"/>
          <w:numId w:val="105"/>
        </w:numPr>
        <w:rPr>
          <w:rFonts w:ascii="Arial" w:cs="Arial" w:eastAsia="Arial" w:hAnsi="Arial"/>
          <w:sz w:val="17"/>
          <w:szCs w:val="17"/>
          <w:color w:val="050A54"/>
        </w:rPr>
      </w:pPr>
      <w:r>
        <w:rPr>
          <w:rFonts w:ascii="Arial" w:cs="Arial" w:eastAsia="Arial" w:hAnsi="Arial"/>
          <w:sz w:val="17"/>
          <w:szCs w:val="17"/>
          <w:b w:val="1"/>
          <w:bCs w:val="1"/>
          <w:color w:val="050A54"/>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-111760</wp:posOffset>
            </wp:positionV>
            <wp:extent cx="8255" cy="135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11"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Security Ownership of Certain Beneficial</w:t>
      </w:r>
    </w:p>
    <w:p>
      <w:pPr>
        <w:spacing w:after="0" w:line="4"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60325</wp:posOffset>
            </wp:positionV>
            <wp:extent cx="69297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33" w:lineRule="exact"/>
        <w:rPr>
          <w:sz w:val="20"/>
          <w:szCs w:val="20"/>
          <w:color w:val="auto"/>
        </w:rPr>
      </w:pPr>
    </w:p>
    <w:p>
      <w:pPr>
        <w:jc w:val="center"/>
        <w:ind w:right="-179"/>
        <w:spacing w:after="0"/>
        <w:rPr>
          <w:sz w:val="20"/>
          <w:szCs w:val="20"/>
          <w:color w:val="auto"/>
        </w:rPr>
      </w:pPr>
      <w:r>
        <w:rPr>
          <w:rFonts w:ascii="Arial" w:cs="Arial" w:eastAsia="Arial" w:hAnsi="Arial"/>
          <w:sz w:val="21"/>
          <w:szCs w:val="21"/>
          <w:b w:val="1"/>
          <w:bCs w:val="1"/>
          <w:color w:val="050A54"/>
        </w:rPr>
        <w:t>Security Ownership of Certain Beneficial Owners and Management</w:t>
      </w:r>
    </w:p>
    <w:p>
      <w:pPr>
        <w:sectPr>
          <w:pgSz w:w="11900" w:h="16838" w:orient="portrait"/>
          <w:cols w:equalWidth="0" w:num="1">
            <w:col w:w="11080"/>
          </w:cols>
          <w:pgMar w:left="320" w:top="454" w:right="499" w:bottom="1440" w:gutter="0" w:footer="0" w:header="0"/>
        </w:sectPr>
      </w:pPr>
    </w:p>
    <w:p>
      <w:pPr>
        <w:spacing w:after="0" w:line="30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table  below  describes  the  beneficial  ownership  of  our</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Common Stock as of March 21, 2022, by:</w:t>
      </w:r>
    </w:p>
    <w:p>
      <w:pPr>
        <w:spacing w:after="0" w:line="216" w:lineRule="exact"/>
        <w:rPr>
          <w:sz w:val="20"/>
          <w:szCs w:val="20"/>
          <w:color w:val="auto"/>
        </w:rPr>
      </w:pPr>
    </w:p>
    <w:p>
      <w:pPr>
        <w:ind w:left="520" w:right="20"/>
        <w:spacing w:after="0" w:line="249" w:lineRule="auto"/>
        <w:rPr>
          <w:sz w:val="20"/>
          <w:szCs w:val="20"/>
          <w:color w:val="auto"/>
        </w:rPr>
      </w:pPr>
      <w:r>
        <w:rPr>
          <w:rFonts w:ascii="Arial" w:cs="Arial" w:eastAsia="Arial" w:hAnsi="Arial"/>
          <w:sz w:val="18"/>
          <w:szCs w:val="18"/>
          <w:color w:val="auto"/>
        </w:rPr>
        <w:t>persons or “groups” (as that term is used in Section 13(d)(3) of the Exchange Act) known by us to be the beneficial owner of 5% or more of the Common Stock;</w:t>
      </w:r>
    </w:p>
    <w:p>
      <w:pPr>
        <w:spacing w:after="0" w:line="198" w:lineRule="exact"/>
        <w:rPr>
          <w:sz w:val="20"/>
          <w:szCs w:val="20"/>
          <w:color w:val="auto"/>
        </w:rPr>
      </w:pPr>
    </w:p>
    <w:p>
      <w:pPr>
        <w:ind w:left="520" w:right="140"/>
        <w:spacing w:after="0" w:line="511" w:lineRule="auto"/>
        <w:rPr>
          <w:sz w:val="20"/>
          <w:szCs w:val="20"/>
          <w:color w:val="auto"/>
        </w:rPr>
      </w:pPr>
      <w:r>
        <w:rPr>
          <w:rFonts w:ascii="Arial" w:cs="Arial" w:eastAsia="Arial" w:hAnsi="Arial"/>
          <w:sz w:val="18"/>
          <w:szCs w:val="18"/>
          <w:color w:val="auto"/>
        </w:rPr>
        <w:t>each of our NEOs, directors and director nominees; and all of our current directors and executive officers as a group.</w:t>
      </w:r>
    </w:p>
    <w:p>
      <w:pPr>
        <w:spacing w:after="0" w:line="1"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Beneficial ownership is determined in accordance with the rules of the SEC. Unless otherwise indicated, we believe, based on information furnished by such</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persons, that each person listed below has sole voting and investment power with respect to the shares of Common Stock shown as beneficially owned. Securities that may be beneficially acquired within 60 days of March 21, 2022 are deemed to be beneficially owned by the person holding such securities for the purpose of computing ownership of such person, but are not treated as outstanding for the purpose of computing the ownership of any other person. The applicable percentage of beneficial ownership is based on 80,057,022 shares of Common Stock outstanding as of March 21, 2022.</w:t>
      </w:r>
    </w:p>
    <w:p>
      <w:pPr>
        <w:spacing w:after="0" w:line="18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Unless otherwise indicated in the footnotes to the following table, the address of each of the individuals named below is: c/o LPL Financial Holdings Inc., 4707 Executive Drive, San Diego, CA 92121.</w:t>
      </w:r>
    </w:p>
    <w:p>
      <w:pPr>
        <w:spacing w:after="0" w:line="200" w:lineRule="exact"/>
        <w:rPr>
          <w:sz w:val="20"/>
          <w:szCs w:val="20"/>
          <w:color w:val="auto"/>
        </w:rPr>
      </w:pPr>
    </w:p>
    <w:p>
      <w:pPr>
        <w:sectPr>
          <w:pgSz w:w="11900" w:h="16838" w:orient="portrait"/>
          <w:cols w:equalWidth="0" w:num="2">
            <w:col w:w="5400" w:space="340"/>
            <w:col w:w="5340"/>
          </w:cols>
          <w:pgMar w:left="320" w:top="454" w:right="499" w:bottom="1440" w:gutter="0" w:footer="0" w:header="0"/>
          <w:type w:val="continuous"/>
        </w:sectPr>
      </w:pPr>
    </w:p>
    <w:p>
      <w:pPr>
        <w:spacing w:after="0" w:line="16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050A54"/>
                <w:w w:val="99"/>
              </w:rPr>
              <w:t>Total Amount</w:t>
            </w:r>
          </w:p>
        </w:tc>
        <w:tc>
          <w:tcPr>
            <w:tcW w:w="1420" w:type="dxa"/>
            <w:vAlign w:val="bottom"/>
          </w:tcPr>
          <w:p>
            <w:pPr>
              <w:spacing w:after="0"/>
              <w:rPr>
                <w:sz w:val="14"/>
                <w:szCs w:val="14"/>
                <w:color w:val="auto"/>
              </w:rPr>
            </w:pPr>
          </w:p>
        </w:tc>
      </w:tr>
      <w:tr>
        <w:trPr>
          <w:trHeight w:val="160"/>
        </w:trPr>
        <w:tc>
          <w:tcPr>
            <w:tcW w:w="46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050A54"/>
              </w:rPr>
              <w:t>and Nature of</w:t>
            </w:r>
          </w:p>
        </w:tc>
        <w:tc>
          <w:tcPr>
            <w:tcW w:w="1420" w:type="dxa"/>
            <w:vAlign w:val="bottom"/>
          </w:tcPr>
          <w:p>
            <w:pPr>
              <w:spacing w:after="0"/>
              <w:rPr>
                <w:sz w:val="13"/>
                <w:szCs w:val="13"/>
                <w:color w:val="auto"/>
              </w:rPr>
            </w:pPr>
          </w:p>
        </w:tc>
      </w:tr>
      <w:tr>
        <w:trPr>
          <w:trHeight w:val="160"/>
        </w:trPr>
        <w:tc>
          <w:tcPr>
            <w:tcW w:w="46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050A54"/>
              </w:rPr>
              <w:t>Beneficial</w:t>
            </w:r>
          </w:p>
        </w:tc>
        <w:tc>
          <w:tcPr>
            <w:tcW w:w="1420" w:type="dxa"/>
            <w:vAlign w:val="bottom"/>
          </w:tcPr>
          <w:p>
            <w:pPr>
              <w:spacing w:after="0"/>
              <w:rPr>
                <w:sz w:val="13"/>
                <w:szCs w:val="13"/>
                <w:color w:val="auto"/>
              </w:rPr>
            </w:pPr>
          </w:p>
        </w:tc>
      </w:tr>
      <w:tr>
        <w:trPr>
          <w:trHeight w:val="160"/>
        </w:trPr>
        <w:tc>
          <w:tcPr>
            <w:tcW w:w="4600" w:type="dxa"/>
            <w:vAlign w:val="bottom"/>
          </w:tcPr>
          <w:p>
            <w:pPr>
              <w:spacing w:after="0"/>
              <w:rPr>
                <w:sz w:val="13"/>
                <w:szCs w:val="13"/>
                <w:color w:val="auto"/>
              </w:rPr>
            </w:pPr>
          </w:p>
        </w:tc>
        <w:tc>
          <w:tcPr>
            <w:tcW w:w="1180" w:type="dxa"/>
            <w:vAlign w:val="bottom"/>
          </w:tcPr>
          <w:p>
            <w:pPr>
              <w:jc w:val="center"/>
              <w:ind w:left="361"/>
              <w:spacing w:after="0"/>
              <w:rPr>
                <w:sz w:val="20"/>
                <w:szCs w:val="20"/>
                <w:color w:val="auto"/>
              </w:rPr>
            </w:pPr>
            <w:r>
              <w:rPr>
                <w:rFonts w:ascii="Arial" w:cs="Arial" w:eastAsia="Arial" w:hAnsi="Arial"/>
                <w:sz w:val="14"/>
                <w:szCs w:val="14"/>
                <w:b w:val="1"/>
                <w:bCs w:val="1"/>
                <w:color w:val="050A54"/>
              </w:rPr>
              <w:t>Directly or</w:t>
            </w:r>
          </w:p>
        </w:tc>
        <w:tc>
          <w:tcPr>
            <w:tcW w:w="300" w:type="dxa"/>
            <w:vAlign w:val="bottom"/>
          </w:tcPr>
          <w:p>
            <w:pPr>
              <w:spacing w:after="0"/>
              <w:rPr>
                <w:sz w:val="13"/>
                <w:szCs w:val="13"/>
                <w:color w:val="auto"/>
              </w:rPr>
            </w:pPr>
          </w:p>
        </w:tc>
        <w:tc>
          <w:tcPr>
            <w:tcW w:w="940" w:type="dxa"/>
            <w:vAlign w:val="bottom"/>
          </w:tcPr>
          <w:p>
            <w:pPr>
              <w:jc w:val="center"/>
              <w:ind w:right="41"/>
              <w:spacing w:after="0"/>
              <w:rPr>
                <w:sz w:val="20"/>
                <w:szCs w:val="20"/>
                <w:color w:val="auto"/>
              </w:rPr>
            </w:pPr>
            <w:r>
              <w:rPr>
                <w:rFonts w:ascii="Arial" w:cs="Arial" w:eastAsia="Arial" w:hAnsi="Arial"/>
                <w:sz w:val="14"/>
                <w:szCs w:val="14"/>
                <w:b w:val="1"/>
                <w:bCs w:val="1"/>
                <w:color w:val="050A54"/>
              </w:rPr>
              <w:t>Right to</w:t>
            </w:r>
          </w:p>
        </w:tc>
        <w:tc>
          <w:tcPr>
            <w:tcW w:w="88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050A54"/>
              </w:rPr>
              <w:t>Ownership of</w:t>
            </w:r>
          </w:p>
        </w:tc>
        <w:tc>
          <w:tcPr>
            <w:tcW w:w="1420" w:type="dxa"/>
            <w:vAlign w:val="bottom"/>
          </w:tcPr>
          <w:p>
            <w:pPr>
              <w:ind w:left="340"/>
              <w:spacing w:after="0"/>
              <w:rPr>
                <w:sz w:val="20"/>
                <w:szCs w:val="20"/>
                <w:color w:val="auto"/>
              </w:rPr>
            </w:pPr>
            <w:r>
              <w:rPr>
                <w:rFonts w:ascii="Arial" w:cs="Arial" w:eastAsia="Arial" w:hAnsi="Arial"/>
                <w:sz w:val="14"/>
                <w:szCs w:val="14"/>
                <w:b w:val="1"/>
                <w:bCs w:val="1"/>
                <w:color w:val="050A54"/>
              </w:rPr>
              <w:t>Percentage of</w:t>
            </w:r>
          </w:p>
        </w:tc>
      </w:tr>
      <w:tr>
        <w:trPr>
          <w:trHeight w:val="160"/>
        </w:trPr>
        <w:tc>
          <w:tcPr>
            <w:tcW w:w="4600" w:type="dxa"/>
            <w:vAlign w:val="bottom"/>
          </w:tcPr>
          <w:p>
            <w:pPr>
              <w:spacing w:after="0"/>
              <w:rPr>
                <w:sz w:val="13"/>
                <w:szCs w:val="13"/>
                <w:color w:val="auto"/>
              </w:rPr>
            </w:pPr>
          </w:p>
        </w:tc>
        <w:tc>
          <w:tcPr>
            <w:tcW w:w="1480" w:type="dxa"/>
            <w:vAlign w:val="bottom"/>
            <w:gridSpan w:val="2"/>
          </w:tcPr>
          <w:p>
            <w:pPr>
              <w:jc w:val="center"/>
              <w:ind w:left="61"/>
              <w:spacing w:after="0"/>
              <w:rPr>
                <w:sz w:val="20"/>
                <w:szCs w:val="20"/>
                <w:color w:val="auto"/>
              </w:rPr>
            </w:pPr>
            <w:r>
              <w:rPr>
                <w:rFonts w:ascii="Arial" w:cs="Arial" w:eastAsia="Arial" w:hAnsi="Arial"/>
                <w:sz w:val="14"/>
                <w:szCs w:val="14"/>
                <w:b w:val="1"/>
                <w:bCs w:val="1"/>
                <w:color w:val="050A54"/>
              </w:rPr>
              <w:t>Indirectly Held</w:t>
            </w:r>
          </w:p>
        </w:tc>
        <w:tc>
          <w:tcPr>
            <w:tcW w:w="940" w:type="dxa"/>
            <w:vAlign w:val="bottom"/>
          </w:tcPr>
          <w:p>
            <w:pPr>
              <w:jc w:val="center"/>
              <w:ind w:right="41"/>
              <w:spacing w:after="0"/>
              <w:rPr>
                <w:sz w:val="20"/>
                <w:szCs w:val="20"/>
                <w:color w:val="auto"/>
              </w:rPr>
            </w:pPr>
            <w:r>
              <w:rPr>
                <w:rFonts w:ascii="Arial" w:cs="Arial" w:eastAsia="Arial" w:hAnsi="Arial"/>
                <w:sz w:val="14"/>
                <w:szCs w:val="14"/>
                <w:b w:val="1"/>
                <w:bCs w:val="1"/>
                <w:color w:val="050A54"/>
              </w:rPr>
              <w:t>Acquire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050A54"/>
              </w:rPr>
              <w:t>Other</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050A54"/>
              </w:rPr>
              <w:t>Common Stock</w:t>
            </w:r>
          </w:p>
        </w:tc>
        <w:tc>
          <w:tcPr>
            <w:tcW w:w="1420" w:type="dxa"/>
            <w:vAlign w:val="bottom"/>
          </w:tcPr>
          <w:p>
            <w:pPr>
              <w:ind w:left="300"/>
              <w:spacing w:after="0"/>
              <w:rPr>
                <w:sz w:val="20"/>
                <w:szCs w:val="20"/>
                <w:color w:val="auto"/>
              </w:rPr>
            </w:pPr>
            <w:r>
              <w:rPr>
                <w:rFonts w:ascii="Arial" w:cs="Arial" w:eastAsia="Arial" w:hAnsi="Arial"/>
                <w:sz w:val="14"/>
                <w:szCs w:val="14"/>
                <w:b w:val="1"/>
                <w:bCs w:val="1"/>
                <w:color w:val="050A54"/>
              </w:rPr>
              <w:t>Common Stock</w:t>
            </w:r>
          </w:p>
        </w:tc>
      </w:tr>
      <w:tr>
        <w:trPr>
          <w:trHeight w:val="208"/>
        </w:trPr>
        <w:tc>
          <w:tcPr>
            <w:tcW w:w="4600" w:type="dxa"/>
            <w:vAlign w:val="bottom"/>
          </w:tcPr>
          <w:p>
            <w:pPr>
              <w:ind w:left="640"/>
              <w:spacing w:after="0"/>
              <w:rPr>
                <w:sz w:val="20"/>
                <w:szCs w:val="20"/>
                <w:color w:val="auto"/>
              </w:rPr>
            </w:pPr>
            <w:r>
              <w:rPr>
                <w:rFonts w:ascii="Arial" w:cs="Arial" w:eastAsia="Arial" w:hAnsi="Arial"/>
                <w:sz w:val="14"/>
                <w:szCs w:val="14"/>
                <w:b w:val="1"/>
                <w:bCs w:val="1"/>
                <w:color w:val="050A54"/>
              </w:rPr>
              <w:t>Name of Beneficial Owner</w:t>
            </w:r>
          </w:p>
        </w:tc>
        <w:tc>
          <w:tcPr>
            <w:tcW w:w="1180" w:type="dxa"/>
            <w:vAlign w:val="bottom"/>
          </w:tcPr>
          <w:p>
            <w:pPr>
              <w:jc w:val="center"/>
              <w:ind w:left="361"/>
              <w:spacing w:after="0"/>
              <w:rPr>
                <w:sz w:val="20"/>
                <w:szCs w:val="20"/>
                <w:color w:val="auto"/>
              </w:rPr>
            </w:pPr>
            <w:r>
              <w:rPr>
                <w:rFonts w:ascii="Arial" w:cs="Arial" w:eastAsia="Arial" w:hAnsi="Arial"/>
                <w:sz w:val="14"/>
                <w:szCs w:val="14"/>
                <w:b w:val="1"/>
                <w:bCs w:val="1"/>
                <w:color w:val="050A54"/>
              </w:rPr>
              <w:t>(#)</w:t>
            </w:r>
          </w:p>
        </w:tc>
        <w:tc>
          <w:tcPr>
            <w:tcW w:w="300" w:type="dxa"/>
            <w:vAlign w:val="bottom"/>
          </w:tcPr>
          <w:p>
            <w:pPr>
              <w:spacing w:after="0"/>
              <w:rPr>
                <w:sz w:val="18"/>
                <w:szCs w:val="18"/>
                <w:color w:val="auto"/>
              </w:rPr>
            </w:pPr>
          </w:p>
        </w:tc>
        <w:tc>
          <w:tcPr>
            <w:tcW w:w="940" w:type="dxa"/>
            <w:vAlign w:val="bottom"/>
          </w:tcPr>
          <w:p>
            <w:pPr>
              <w:jc w:val="center"/>
              <w:ind w:right="41"/>
              <w:spacing w:after="0"/>
              <w:rPr>
                <w:sz w:val="20"/>
                <w:szCs w:val="20"/>
                <w:color w:val="auto"/>
              </w:rPr>
            </w:pPr>
            <w:r>
              <w:rPr>
                <w:rFonts w:ascii="Arial" w:cs="Arial" w:eastAsia="Arial" w:hAnsi="Arial"/>
                <w:sz w:val="14"/>
                <w:szCs w:val="14"/>
                <w:b w:val="1"/>
                <w:bCs w:val="1"/>
                <w:color w:val="050A54"/>
                <w:w w:val="99"/>
              </w:rPr>
              <w:t>(#)(1)</w:t>
            </w:r>
          </w:p>
        </w:tc>
        <w:tc>
          <w:tcPr>
            <w:tcW w:w="880" w:type="dxa"/>
            <w:vAlign w:val="bottom"/>
          </w:tcPr>
          <w:p>
            <w:pPr>
              <w:jc w:val="right"/>
              <w:ind w:right="269"/>
              <w:spacing w:after="0"/>
              <w:rPr>
                <w:sz w:val="20"/>
                <w:szCs w:val="20"/>
                <w:color w:val="auto"/>
              </w:rPr>
            </w:pPr>
            <w:r>
              <w:rPr>
                <w:rFonts w:ascii="Arial" w:cs="Arial" w:eastAsia="Arial" w:hAnsi="Arial"/>
                <w:sz w:val="14"/>
                <w:szCs w:val="14"/>
                <w:b w:val="1"/>
                <w:bCs w:val="1"/>
                <w:color w:val="050A54"/>
              </w:rPr>
              <w:t>(#)</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050A54"/>
              </w:rPr>
              <w:t>(#)</w:t>
            </w:r>
          </w:p>
        </w:tc>
        <w:tc>
          <w:tcPr>
            <w:tcW w:w="1420" w:type="dxa"/>
            <w:vAlign w:val="bottom"/>
          </w:tcPr>
          <w:p>
            <w:pPr>
              <w:ind w:left="700"/>
              <w:spacing w:after="0"/>
              <w:rPr>
                <w:sz w:val="20"/>
                <w:szCs w:val="20"/>
                <w:color w:val="auto"/>
              </w:rPr>
            </w:pPr>
            <w:r>
              <w:rPr>
                <w:rFonts w:ascii="Arial" w:cs="Arial" w:eastAsia="Arial" w:hAnsi="Arial"/>
                <w:sz w:val="14"/>
                <w:szCs w:val="14"/>
                <w:b w:val="1"/>
                <w:bCs w:val="1"/>
                <w:color w:val="050A54"/>
              </w:rPr>
              <w:t>(%)</w:t>
            </w:r>
          </w:p>
        </w:tc>
      </w:tr>
      <w:tr>
        <w:trPr>
          <w:trHeight w:val="42"/>
        </w:trPr>
        <w:tc>
          <w:tcPr>
            <w:tcW w:w="4600" w:type="dxa"/>
            <w:vAlign w:val="bottom"/>
            <w:tcBorders>
              <w:bottom w:val="single" w:sz="8" w:color="050A54"/>
            </w:tcBorders>
          </w:tcPr>
          <w:p>
            <w:pPr>
              <w:spacing w:after="0"/>
              <w:rPr>
                <w:sz w:val="3"/>
                <w:szCs w:val="3"/>
                <w:color w:val="auto"/>
              </w:rPr>
            </w:pPr>
          </w:p>
        </w:tc>
        <w:tc>
          <w:tcPr>
            <w:tcW w:w="1180" w:type="dxa"/>
            <w:vAlign w:val="bottom"/>
            <w:tcBorders>
              <w:bottom w:val="single" w:sz="8" w:color="050A54"/>
            </w:tcBorders>
          </w:tcPr>
          <w:p>
            <w:pPr>
              <w:spacing w:after="0"/>
              <w:rPr>
                <w:sz w:val="3"/>
                <w:szCs w:val="3"/>
                <w:color w:val="auto"/>
              </w:rPr>
            </w:pPr>
          </w:p>
        </w:tc>
        <w:tc>
          <w:tcPr>
            <w:tcW w:w="300" w:type="dxa"/>
            <w:vAlign w:val="bottom"/>
            <w:tcBorders>
              <w:bottom w:val="single" w:sz="8" w:color="050A54"/>
            </w:tcBorders>
          </w:tcPr>
          <w:p>
            <w:pPr>
              <w:spacing w:after="0"/>
              <w:rPr>
                <w:sz w:val="3"/>
                <w:szCs w:val="3"/>
                <w:color w:val="auto"/>
              </w:rPr>
            </w:pPr>
          </w:p>
        </w:tc>
        <w:tc>
          <w:tcPr>
            <w:tcW w:w="940" w:type="dxa"/>
            <w:vAlign w:val="bottom"/>
            <w:tcBorders>
              <w:bottom w:val="single" w:sz="8" w:color="050A54"/>
            </w:tcBorders>
          </w:tcPr>
          <w:p>
            <w:pPr>
              <w:spacing w:after="0"/>
              <w:rPr>
                <w:sz w:val="3"/>
                <w:szCs w:val="3"/>
                <w:color w:val="auto"/>
              </w:rPr>
            </w:pPr>
          </w:p>
        </w:tc>
        <w:tc>
          <w:tcPr>
            <w:tcW w:w="880" w:type="dxa"/>
            <w:vAlign w:val="bottom"/>
            <w:tcBorders>
              <w:bottom w:val="single" w:sz="8" w:color="050A54"/>
            </w:tcBorders>
          </w:tcPr>
          <w:p>
            <w:pPr>
              <w:spacing w:after="0"/>
              <w:rPr>
                <w:sz w:val="3"/>
                <w:szCs w:val="3"/>
                <w:color w:val="auto"/>
              </w:rPr>
            </w:pPr>
          </w:p>
        </w:tc>
        <w:tc>
          <w:tcPr>
            <w:tcW w:w="1600" w:type="dxa"/>
            <w:vAlign w:val="bottom"/>
            <w:tcBorders>
              <w:bottom w:val="single" w:sz="8" w:color="050A54"/>
            </w:tcBorders>
          </w:tcPr>
          <w:p>
            <w:pPr>
              <w:spacing w:after="0"/>
              <w:rPr>
                <w:sz w:val="3"/>
                <w:szCs w:val="3"/>
                <w:color w:val="auto"/>
              </w:rPr>
            </w:pPr>
          </w:p>
        </w:tc>
        <w:tc>
          <w:tcPr>
            <w:tcW w:w="1420" w:type="dxa"/>
            <w:vAlign w:val="bottom"/>
            <w:tcBorders>
              <w:bottom w:val="single" w:sz="8" w:color="050A54"/>
            </w:tcBorders>
          </w:tcPr>
          <w:p>
            <w:pPr>
              <w:spacing w:after="0"/>
              <w:rPr>
                <w:sz w:val="3"/>
                <w:szCs w:val="3"/>
                <w:color w:val="auto"/>
              </w:rPr>
            </w:pPr>
          </w:p>
        </w:tc>
      </w:tr>
      <w:tr>
        <w:trPr>
          <w:trHeight w:val="281"/>
        </w:trPr>
        <w:tc>
          <w:tcPr>
            <w:tcW w:w="4600" w:type="dxa"/>
            <w:vAlign w:val="bottom"/>
            <w:tcBorders>
              <w:bottom w:val="single" w:sz="8" w:color="E8E8E8"/>
            </w:tcBorders>
            <w:shd w:val="clear" w:color="auto" w:fill="E8E8E8"/>
          </w:tcPr>
          <w:p>
            <w:pPr>
              <w:spacing w:after="0"/>
              <w:rPr>
                <w:sz w:val="20"/>
                <w:szCs w:val="20"/>
                <w:color w:val="auto"/>
              </w:rPr>
            </w:pPr>
            <w:r>
              <w:rPr>
                <w:rFonts w:ascii="Arial" w:cs="Arial" w:eastAsia="Arial" w:hAnsi="Arial"/>
                <w:sz w:val="16"/>
                <w:szCs w:val="16"/>
                <w:b w:val="1"/>
                <w:bCs w:val="1"/>
                <w:color w:val="050A54"/>
              </w:rPr>
              <w:t>5% Stockholders</w:t>
            </w:r>
          </w:p>
        </w:tc>
        <w:tc>
          <w:tcPr>
            <w:tcW w:w="1180" w:type="dxa"/>
            <w:vAlign w:val="bottom"/>
            <w:tcBorders>
              <w:bottom w:val="single" w:sz="8" w:color="E8E8E8"/>
            </w:tcBorders>
            <w:shd w:val="clear" w:color="auto" w:fill="E8E8E8"/>
          </w:tcPr>
          <w:p>
            <w:pPr>
              <w:spacing w:after="0"/>
              <w:rPr>
                <w:sz w:val="24"/>
                <w:szCs w:val="24"/>
                <w:color w:val="auto"/>
              </w:rPr>
            </w:pPr>
          </w:p>
        </w:tc>
        <w:tc>
          <w:tcPr>
            <w:tcW w:w="300" w:type="dxa"/>
            <w:vAlign w:val="bottom"/>
            <w:tcBorders>
              <w:bottom w:val="single" w:sz="8" w:color="E8E8E8"/>
            </w:tcBorders>
            <w:shd w:val="clear" w:color="auto" w:fill="E8E8E8"/>
          </w:tcPr>
          <w:p>
            <w:pPr>
              <w:spacing w:after="0"/>
              <w:rPr>
                <w:sz w:val="24"/>
                <w:szCs w:val="24"/>
                <w:color w:val="auto"/>
              </w:rPr>
            </w:pPr>
          </w:p>
        </w:tc>
        <w:tc>
          <w:tcPr>
            <w:tcW w:w="940" w:type="dxa"/>
            <w:vAlign w:val="bottom"/>
            <w:tcBorders>
              <w:bottom w:val="single" w:sz="8" w:color="E8E8E8"/>
            </w:tcBorders>
            <w:shd w:val="clear" w:color="auto" w:fill="E8E8E8"/>
          </w:tcPr>
          <w:p>
            <w:pPr>
              <w:spacing w:after="0"/>
              <w:rPr>
                <w:sz w:val="24"/>
                <w:szCs w:val="24"/>
                <w:color w:val="auto"/>
              </w:rPr>
            </w:pPr>
          </w:p>
        </w:tc>
        <w:tc>
          <w:tcPr>
            <w:tcW w:w="880" w:type="dxa"/>
            <w:vAlign w:val="bottom"/>
            <w:tcBorders>
              <w:bottom w:val="single" w:sz="8" w:color="E8E8E8"/>
            </w:tcBorders>
            <w:shd w:val="clear" w:color="auto" w:fill="E8E8E8"/>
          </w:tcPr>
          <w:p>
            <w:pPr>
              <w:spacing w:after="0"/>
              <w:rPr>
                <w:sz w:val="24"/>
                <w:szCs w:val="24"/>
                <w:color w:val="auto"/>
              </w:rPr>
            </w:pPr>
          </w:p>
        </w:tc>
        <w:tc>
          <w:tcPr>
            <w:tcW w:w="1600" w:type="dxa"/>
            <w:vAlign w:val="bottom"/>
            <w:tcBorders>
              <w:bottom w:val="single" w:sz="8" w:color="E8E8E8"/>
            </w:tcBorders>
            <w:shd w:val="clear" w:color="auto" w:fill="E8E8E8"/>
          </w:tcPr>
          <w:p>
            <w:pPr>
              <w:spacing w:after="0"/>
              <w:rPr>
                <w:sz w:val="24"/>
                <w:szCs w:val="24"/>
                <w:color w:val="auto"/>
              </w:rPr>
            </w:pPr>
          </w:p>
        </w:tc>
        <w:tc>
          <w:tcPr>
            <w:tcW w:w="1420" w:type="dxa"/>
            <w:vAlign w:val="bottom"/>
            <w:tcBorders>
              <w:bottom w:val="single" w:sz="8" w:color="E8E8E8"/>
            </w:tcBorders>
            <w:shd w:val="clear" w:color="auto" w:fill="E8E8E8"/>
          </w:tcPr>
          <w:p>
            <w:pPr>
              <w:spacing w:after="0"/>
              <w:rPr>
                <w:sz w:val="24"/>
                <w:szCs w:val="24"/>
                <w:color w:val="auto"/>
              </w:rPr>
            </w:pPr>
          </w:p>
        </w:tc>
      </w:tr>
      <w:tr>
        <w:trPr>
          <w:trHeight w:val="264"/>
        </w:trPr>
        <w:tc>
          <w:tcPr>
            <w:tcW w:w="4600" w:type="dxa"/>
            <w:vAlign w:val="bottom"/>
          </w:tcPr>
          <w:p>
            <w:pPr>
              <w:ind w:left="200"/>
              <w:spacing w:after="0"/>
              <w:rPr>
                <w:sz w:val="20"/>
                <w:szCs w:val="20"/>
                <w:color w:val="auto"/>
              </w:rPr>
            </w:pPr>
            <w:r>
              <w:rPr>
                <w:rFonts w:ascii="Arial" w:cs="Arial" w:eastAsia="Arial" w:hAnsi="Arial"/>
                <w:sz w:val="16"/>
                <w:szCs w:val="16"/>
                <w:color w:val="auto"/>
              </w:rPr>
              <w:t>Janus Henderson Group PLC (2)</w:t>
            </w: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0" w:type="dxa"/>
            <w:vAlign w:val="bottom"/>
          </w:tcPr>
          <w:p>
            <w:pPr>
              <w:jc w:val="right"/>
              <w:ind w:right="462"/>
              <w:spacing w:after="0"/>
              <w:rPr>
                <w:sz w:val="20"/>
                <w:szCs w:val="20"/>
                <w:color w:val="auto"/>
              </w:rPr>
            </w:pPr>
            <w:r>
              <w:rPr>
                <w:rFonts w:ascii="Arial" w:cs="Arial" w:eastAsia="Arial" w:hAnsi="Arial"/>
                <w:sz w:val="16"/>
                <w:szCs w:val="16"/>
                <w:color w:val="auto"/>
              </w:rPr>
              <w:t>8,049,630</w:t>
            </w:r>
          </w:p>
        </w:tc>
        <w:tc>
          <w:tcPr>
            <w:tcW w:w="1420" w:type="dxa"/>
            <w:vAlign w:val="bottom"/>
          </w:tcPr>
          <w:p>
            <w:pPr>
              <w:jc w:val="center"/>
              <w:ind w:right="81"/>
              <w:spacing w:after="0"/>
              <w:rPr>
                <w:sz w:val="20"/>
                <w:szCs w:val="20"/>
                <w:color w:val="auto"/>
              </w:rPr>
            </w:pPr>
            <w:r>
              <w:rPr>
                <w:rFonts w:ascii="Arial" w:cs="Arial" w:eastAsia="Arial" w:hAnsi="Arial"/>
                <w:sz w:val="16"/>
                <w:szCs w:val="16"/>
                <w:color w:val="auto"/>
              </w:rPr>
              <w:t>10.1%</w:t>
            </w:r>
          </w:p>
        </w:tc>
      </w:tr>
      <w:tr>
        <w:trPr>
          <w:trHeight w:val="57"/>
        </w:trPr>
        <w:tc>
          <w:tcPr>
            <w:tcW w:w="46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301"/>
        </w:trPr>
        <w:tc>
          <w:tcPr>
            <w:tcW w:w="4600" w:type="dxa"/>
            <w:vAlign w:val="bottom"/>
            <w:tcBorders>
              <w:bottom w:val="single" w:sz="8" w:color="E8E8E8"/>
            </w:tcBorders>
            <w:shd w:val="clear" w:color="auto" w:fill="E8E8E8"/>
          </w:tcPr>
          <w:p>
            <w:pPr>
              <w:ind w:left="200"/>
              <w:spacing w:after="0"/>
              <w:rPr>
                <w:sz w:val="20"/>
                <w:szCs w:val="20"/>
                <w:color w:val="auto"/>
              </w:rPr>
            </w:pPr>
            <w:r>
              <w:rPr>
                <w:rFonts w:ascii="Arial" w:cs="Arial" w:eastAsia="Arial" w:hAnsi="Arial"/>
                <w:sz w:val="16"/>
                <w:szCs w:val="16"/>
                <w:color w:val="auto"/>
              </w:rPr>
              <w:t>The Vanguard Group, Inc. (3)</w:t>
            </w:r>
          </w:p>
        </w:tc>
        <w:tc>
          <w:tcPr>
            <w:tcW w:w="1180" w:type="dxa"/>
            <w:vAlign w:val="bottom"/>
            <w:tcBorders>
              <w:bottom w:val="single" w:sz="8" w:color="E8E8E8"/>
            </w:tcBorders>
            <w:shd w:val="clear" w:color="auto" w:fill="E8E8E8"/>
          </w:tcPr>
          <w:p>
            <w:pPr>
              <w:spacing w:after="0"/>
              <w:rPr>
                <w:sz w:val="24"/>
                <w:szCs w:val="24"/>
                <w:color w:val="auto"/>
              </w:rPr>
            </w:pPr>
          </w:p>
        </w:tc>
        <w:tc>
          <w:tcPr>
            <w:tcW w:w="300" w:type="dxa"/>
            <w:vAlign w:val="bottom"/>
            <w:tcBorders>
              <w:bottom w:val="single" w:sz="8" w:color="E8E8E8"/>
            </w:tcBorders>
            <w:shd w:val="clear" w:color="auto" w:fill="E8E8E8"/>
          </w:tcPr>
          <w:p>
            <w:pPr>
              <w:spacing w:after="0"/>
              <w:rPr>
                <w:sz w:val="24"/>
                <w:szCs w:val="24"/>
                <w:color w:val="auto"/>
              </w:rPr>
            </w:pPr>
          </w:p>
        </w:tc>
        <w:tc>
          <w:tcPr>
            <w:tcW w:w="940" w:type="dxa"/>
            <w:vAlign w:val="bottom"/>
            <w:tcBorders>
              <w:bottom w:val="single" w:sz="8" w:color="E8E8E8"/>
            </w:tcBorders>
            <w:shd w:val="clear" w:color="auto" w:fill="E8E8E8"/>
          </w:tcPr>
          <w:p>
            <w:pPr>
              <w:spacing w:after="0"/>
              <w:rPr>
                <w:sz w:val="24"/>
                <w:szCs w:val="24"/>
                <w:color w:val="auto"/>
              </w:rPr>
            </w:pPr>
          </w:p>
        </w:tc>
        <w:tc>
          <w:tcPr>
            <w:tcW w:w="880" w:type="dxa"/>
            <w:vAlign w:val="bottom"/>
            <w:tcBorders>
              <w:bottom w:val="single" w:sz="8" w:color="E8E8E8"/>
            </w:tcBorders>
            <w:shd w:val="clear" w:color="auto" w:fill="E8E8E8"/>
          </w:tcPr>
          <w:p>
            <w:pPr>
              <w:spacing w:after="0"/>
              <w:rPr>
                <w:sz w:val="24"/>
                <w:szCs w:val="24"/>
                <w:color w:val="auto"/>
              </w:rPr>
            </w:pPr>
          </w:p>
        </w:tc>
        <w:tc>
          <w:tcPr>
            <w:tcW w:w="1600" w:type="dxa"/>
            <w:vAlign w:val="bottom"/>
            <w:tcBorders>
              <w:bottom w:val="single" w:sz="8" w:color="E8E8E8"/>
            </w:tcBorders>
            <w:shd w:val="clear" w:color="auto" w:fill="E8E8E8"/>
          </w:tcPr>
          <w:p>
            <w:pPr>
              <w:jc w:val="right"/>
              <w:ind w:right="462"/>
              <w:spacing w:after="0"/>
              <w:rPr>
                <w:sz w:val="20"/>
                <w:szCs w:val="20"/>
                <w:color w:val="auto"/>
              </w:rPr>
            </w:pPr>
            <w:r>
              <w:rPr>
                <w:rFonts w:ascii="Arial" w:cs="Arial" w:eastAsia="Arial" w:hAnsi="Arial"/>
                <w:sz w:val="16"/>
                <w:szCs w:val="16"/>
                <w:color w:val="auto"/>
              </w:rPr>
              <w:t>6,918,082</w:t>
            </w:r>
          </w:p>
        </w:tc>
        <w:tc>
          <w:tcPr>
            <w:tcW w:w="1420" w:type="dxa"/>
            <w:vAlign w:val="bottom"/>
            <w:tcBorders>
              <w:bottom w:val="single" w:sz="8" w:color="E8E8E8"/>
            </w:tcBorders>
            <w:shd w:val="clear" w:color="auto" w:fill="E8E8E8"/>
          </w:tcPr>
          <w:p>
            <w:pPr>
              <w:jc w:val="center"/>
              <w:ind w:right="81"/>
              <w:spacing w:after="0"/>
              <w:rPr>
                <w:sz w:val="20"/>
                <w:szCs w:val="20"/>
                <w:color w:val="auto"/>
              </w:rPr>
            </w:pPr>
            <w:r>
              <w:rPr>
                <w:rFonts w:ascii="Arial" w:cs="Arial" w:eastAsia="Arial" w:hAnsi="Arial"/>
                <w:sz w:val="16"/>
                <w:szCs w:val="16"/>
                <w:color w:val="auto"/>
              </w:rPr>
              <w:t>8.6%</w:t>
            </w:r>
          </w:p>
        </w:tc>
      </w:tr>
      <w:tr>
        <w:trPr>
          <w:trHeight w:val="274"/>
        </w:trPr>
        <w:tc>
          <w:tcPr>
            <w:tcW w:w="4600" w:type="dxa"/>
            <w:vAlign w:val="bottom"/>
          </w:tcPr>
          <w:p>
            <w:pPr>
              <w:spacing w:after="0"/>
              <w:rPr>
                <w:sz w:val="20"/>
                <w:szCs w:val="20"/>
                <w:color w:val="auto"/>
              </w:rPr>
            </w:pPr>
            <w:r>
              <w:rPr>
                <w:rFonts w:ascii="Arial" w:cs="Arial" w:eastAsia="Arial" w:hAnsi="Arial"/>
                <w:sz w:val="16"/>
                <w:szCs w:val="16"/>
                <w:b w:val="1"/>
                <w:bCs w:val="1"/>
                <w:color w:val="050A54"/>
              </w:rPr>
              <w:t>Officers and Directors</w:t>
            </w: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47"/>
        </w:trPr>
        <w:tc>
          <w:tcPr>
            <w:tcW w:w="46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301"/>
        </w:trPr>
        <w:tc>
          <w:tcPr>
            <w:tcW w:w="4600" w:type="dxa"/>
            <w:vAlign w:val="bottom"/>
            <w:tcBorders>
              <w:bottom w:val="single" w:sz="8" w:color="E8E8E8"/>
            </w:tcBorders>
            <w:shd w:val="clear" w:color="auto" w:fill="E8E8E8"/>
          </w:tcPr>
          <w:p>
            <w:pPr>
              <w:ind w:left="200"/>
              <w:spacing w:after="0"/>
              <w:rPr>
                <w:sz w:val="20"/>
                <w:szCs w:val="20"/>
                <w:color w:val="auto"/>
              </w:rPr>
            </w:pPr>
            <w:r>
              <w:rPr>
                <w:rFonts w:ascii="Arial" w:cs="Arial" w:eastAsia="Arial" w:hAnsi="Arial"/>
                <w:sz w:val="16"/>
                <w:szCs w:val="16"/>
                <w:color w:val="auto"/>
              </w:rPr>
              <w:t>Dan H. Arnold</w:t>
            </w:r>
          </w:p>
        </w:tc>
        <w:tc>
          <w:tcPr>
            <w:tcW w:w="118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136,175</w:t>
            </w:r>
          </w:p>
        </w:tc>
        <w:tc>
          <w:tcPr>
            <w:tcW w:w="300" w:type="dxa"/>
            <w:vAlign w:val="bottom"/>
            <w:tcBorders>
              <w:bottom w:val="single" w:sz="8" w:color="E8E8E8"/>
            </w:tcBorders>
            <w:shd w:val="clear" w:color="auto" w:fill="E8E8E8"/>
          </w:tcPr>
          <w:p>
            <w:pPr>
              <w:jc w:val="right"/>
              <w:ind w:right="20"/>
              <w:spacing w:after="0"/>
              <w:rPr>
                <w:sz w:val="20"/>
                <w:szCs w:val="20"/>
                <w:color w:val="auto"/>
              </w:rPr>
            </w:pPr>
            <w:r>
              <w:rPr>
                <w:rFonts w:ascii="Arial" w:cs="Arial" w:eastAsia="Arial" w:hAnsi="Arial"/>
                <w:sz w:val="16"/>
                <w:szCs w:val="16"/>
                <w:color w:val="auto"/>
                <w:w w:val="91"/>
              </w:rPr>
              <w:t>(4)</w:t>
            </w:r>
          </w:p>
        </w:tc>
        <w:tc>
          <w:tcPr>
            <w:tcW w:w="940" w:type="dxa"/>
            <w:vAlign w:val="bottom"/>
            <w:tcBorders>
              <w:bottom w:val="single" w:sz="8" w:color="E8E8E8"/>
            </w:tcBorders>
            <w:shd w:val="clear" w:color="auto" w:fill="E8E8E8"/>
          </w:tcPr>
          <w:p>
            <w:pPr>
              <w:jc w:val="right"/>
              <w:ind w:right="201"/>
              <w:spacing w:after="0"/>
              <w:rPr>
                <w:sz w:val="20"/>
                <w:szCs w:val="20"/>
                <w:color w:val="auto"/>
              </w:rPr>
            </w:pPr>
            <w:r>
              <w:rPr>
                <w:rFonts w:ascii="Arial" w:cs="Arial" w:eastAsia="Arial" w:hAnsi="Arial"/>
                <w:sz w:val="16"/>
                <w:szCs w:val="16"/>
                <w:color w:val="auto"/>
              </w:rPr>
              <w:t>347,588</w:t>
            </w:r>
          </w:p>
        </w:tc>
        <w:tc>
          <w:tcPr>
            <w:tcW w:w="880" w:type="dxa"/>
            <w:vAlign w:val="bottom"/>
            <w:tcBorders>
              <w:bottom w:val="single" w:sz="8" w:color="E8E8E8"/>
            </w:tcBorders>
            <w:shd w:val="clear" w:color="auto" w:fill="E8E8E8"/>
          </w:tcPr>
          <w:p>
            <w:pPr>
              <w:spacing w:after="0"/>
              <w:rPr>
                <w:sz w:val="24"/>
                <w:szCs w:val="24"/>
                <w:color w:val="auto"/>
              </w:rPr>
            </w:pPr>
          </w:p>
        </w:tc>
        <w:tc>
          <w:tcPr>
            <w:tcW w:w="1600" w:type="dxa"/>
            <w:vAlign w:val="bottom"/>
            <w:tcBorders>
              <w:bottom w:val="single" w:sz="8" w:color="E8E8E8"/>
            </w:tcBorders>
            <w:shd w:val="clear" w:color="auto" w:fill="E8E8E8"/>
          </w:tcPr>
          <w:p>
            <w:pPr>
              <w:jc w:val="right"/>
              <w:ind w:right="462"/>
              <w:spacing w:after="0"/>
              <w:rPr>
                <w:sz w:val="20"/>
                <w:szCs w:val="20"/>
                <w:color w:val="auto"/>
              </w:rPr>
            </w:pPr>
            <w:r>
              <w:rPr>
                <w:rFonts w:ascii="Arial" w:cs="Arial" w:eastAsia="Arial" w:hAnsi="Arial"/>
                <w:sz w:val="16"/>
                <w:szCs w:val="16"/>
                <w:color w:val="auto"/>
              </w:rPr>
              <w:t>483,763</w:t>
            </w:r>
          </w:p>
        </w:tc>
        <w:tc>
          <w:tcPr>
            <w:tcW w:w="1420" w:type="dxa"/>
            <w:vAlign w:val="bottom"/>
            <w:tcBorders>
              <w:bottom w:val="single" w:sz="8" w:color="E8E8E8"/>
            </w:tcBorders>
            <w:shd w:val="clear" w:color="auto" w:fill="E8E8E8"/>
          </w:tcPr>
          <w:p>
            <w:pPr>
              <w:ind w:left="680"/>
              <w:spacing w:after="0"/>
              <w:rPr>
                <w:sz w:val="20"/>
                <w:szCs w:val="20"/>
                <w:color w:val="auto"/>
              </w:rPr>
            </w:pPr>
            <w:r>
              <w:rPr>
                <w:rFonts w:ascii="Arial" w:cs="Arial" w:eastAsia="Arial" w:hAnsi="Arial"/>
                <w:sz w:val="16"/>
                <w:szCs w:val="16"/>
                <w:color w:val="auto"/>
              </w:rPr>
              <w:t>*</w:t>
            </w:r>
          </w:p>
        </w:tc>
      </w:tr>
      <w:tr>
        <w:trPr>
          <w:trHeight w:val="264"/>
        </w:trPr>
        <w:tc>
          <w:tcPr>
            <w:tcW w:w="4600" w:type="dxa"/>
            <w:vAlign w:val="bottom"/>
          </w:tcPr>
          <w:p>
            <w:pPr>
              <w:ind w:left="200"/>
              <w:spacing w:after="0"/>
              <w:rPr>
                <w:sz w:val="20"/>
                <w:szCs w:val="20"/>
                <w:color w:val="auto"/>
              </w:rPr>
            </w:pPr>
            <w:r>
              <w:rPr>
                <w:rFonts w:ascii="Arial" w:cs="Arial" w:eastAsia="Arial" w:hAnsi="Arial"/>
                <w:sz w:val="16"/>
                <w:szCs w:val="16"/>
                <w:color w:val="auto"/>
              </w:rPr>
              <w:t>Matthew J. Audette</w:t>
            </w:r>
          </w:p>
        </w:tc>
        <w:tc>
          <w:tcPr>
            <w:tcW w:w="1180" w:type="dxa"/>
            <w:vAlign w:val="bottom"/>
          </w:tcPr>
          <w:p>
            <w:pPr>
              <w:jc w:val="right"/>
              <w:spacing w:after="0"/>
              <w:rPr>
                <w:sz w:val="20"/>
                <w:szCs w:val="20"/>
                <w:color w:val="auto"/>
              </w:rPr>
            </w:pPr>
            <w:r>
              <w:rPr>
                <w:rFonts w:ascii="Arial" w:cs="Arial" w:eastAsia="Arial" w:hAnsi="Arial"/>
                <w:sz w:val="16"/>
                <w:szCs w:val="16"/>
                <w:color w:val="auto"/>
              </w:rPr>
              <w:t>6,203</w:t>
            </w:r>
          </w:p>
        </w:tc>
        <w:tc>
          <w:tcPr>
            <w:tcW w:w="300" w:type="dxa"/>
            <w:vAlign w:val="bottom"/>
          </w:tcPr>
          <w:p>
            <w:pPr>
              <w:spacing w:after="0"/>
              <w:rPr>
                <w:sz w:val="22"/>
                <w:szCs w:val="22"/>
                <w:color w:val="auto"/>
              </w:rPr>
            </w:pPr>
          </w:p>
        </w:tc>
        <w:tc>
          <w:tcPr>
            <w:tcW w:w="940" w:type="dxa"/>
            <w:vAlign w:val="bottom"/>
          </w:tcPr>
          <w:p>
            <w:pPr>
              <w:jc w:val="right"/>
              <w:ind w:right="201"/>
              <w:spacing w:after="0"/>
              <w:rPr>
                <w:sz w:val="20"/>
                <w:szCs w:val="20"/>
                <w:color w:val="auto"/>
              </w:rPr>
            </w:pPr>
            <w:r>
              <w:rPr>
                <w:rFonts w:ascii="Arial" w:cs="Arial" w:eastAsia="Arial" w:hAnsi="Arial"/>
                <w:sz w:val="16"/>
                <w:szCs w:val="16"/>
                <w:color w:val="auto"/>
              </w:rPr>
              <w:t>97,291</w:t>
            </w:r>
          </w:p>
        </w:tc>
        <w:tc>
          <w:tcPr>
            <w:tcW w:w="880" w:type="dxa"/>
            <w:vAlign w:val="bottom"/>
          </w:tcPr>
          <w:p>
            <w:pPr>
              <w:spacing w:after="0"/>
              <w:rPr>
                <w:sz w:val="22"/>
                <w:szCs w:val="22"/>
                <w:color w:val="auto"/>
              </w:rPr>
            </w:pPr>
          </w:p>
        </w:tc>
        <w:tc>
          <w:tcPr>
            <w:tcW w:w="1600" w:type="dxa"/>
            <w:vAlign w:val="bottom"/>
          </w:tcPr>
          <w:p>
            <w:pPr>
              <w:jc w:val="right"/>
              <w:ind w:right="462"/>
              <w:spacing w:after="0"/>
              <w:rPr>
                <w:sz w:val="20"/>
                <w:szCs w:val="20"/>
                <w:color w:val="auto"/>
              </w:rPr>
            </w:pPr>
            <w:r>
              <w:rPr>
                <w:rFonts w:ascii="Arial" w:cs="Arial" w:eastAsia="Arial" w:hAnsi="Arial"/>
                <w:sz w:val="16"/>
                <w:szCs w:val="16"/>
                <w:color w:val="auto"/>
              </w:rPr>
              <w:t>103,494</w:t>
            </w:r>
          </w:p>
        </w:tc>
        <w:tc>
          <w:tcPr>
            <w:tcW w:w="1420" w:type="dxa"/>
            <w:vAlign w:val="bottom"/>
          </w:tcPr>
          <w:p>
            <w:pPr>
              <w:ind w:left="680"/>
              <w:spacing w:after="0"/>
              <w:rPr>
                <w:sz w:val="20"/>
                <w:szCs w:val="20"/>
                <w:color w:val="auto"/>
              </w:rPr>
            </w:pPr>
            <w:r>
              <w:rPr>
                <w:rFonts w:ascii="Arial" w:cs="Arial" w:eastAsia="Arial" w:hAnsi="Arial"/>
                <w:sz w:val="16"/>
                <w:szCs w:val="16"/>
                <w:color w:val="auto"/>
              </w:rPr>
              <w:t>*</w:t>
            </w:r>
          </w:p>
        </w:tc>
      </w:tr>
      <w:tr>
        <w:trPr>
          <w:trHeight w:val="57"/>
        </w:trPr>
        <w:tc>
          <w:tcPr>
            <w:tcW w:w="46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301"/>
        </w:trPr>
        <w:tc>
          <w:tcPr>
            <w:tcW w:w="4600" w:type="dxa"/>
            <w:vAlign w:val="bottom"/>
            <w:tcBorders>
              <w:bottom w:val="single" w:sz="8" w:color="E8E8E8"/>
            </w:tcBorders>
            <w:shd w:val="clear" w:color="auto" w:fill="E8E8E8"/>
          </w:tcPr>
          <w:p>
            <w:pPr>
              <w:ind w:left="200"/>
              <w:spacing w:after="0"/>
              <w:rPr>
                <w:sz w:val="20"/>
                <w:szCs w:val="20"/>
                <w:color w:val="auto"/>
              </w:rPr>
            </w:pPr>
            <w:r>
              <w:rPr>
                <w:rFonts w:ascii="Arial" w:cs="Arial" w:eastAsia="Arial" w:hAnsi="Arial"/>
                <w:sz w:val="16"/>
                <w:szCs w:val="16"/>
                <w:color w:val="auto"/>
              </w:rPr>
              <w:t>Edward Fandrey</w:t>
            </w:r>
          </w:p>
        </w:tc>
        <w:tc>
          <w:tcPr>
            <w:tcW w:w="118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885</w:t>
            </w:r>
          </w:p>
        </w:tc>
        <w:tc>
          <w:tcPr>
            <w:tcW w:w="300" w:type="dxa"/>
            <w:vAlign w:val="bottom"/>
            <w:tcBorders>
              <w:bottom w:val="single" w:sz="8" w:color="E8E8E8"/>
            </w:tcBorders>
            <w:shd w:val="clear" w:color="auto" w:fill="E8E8E8"/>
          </w:tcPr>
          <w:p>
            <w:pPr>
              <w:spacing w:after="0"/>
              <w:rPr>
                <w:sz w:val="24"/>
                <w:szCs w:val="24"/>
                <w:color w:val="auto"/>
              </w:rPr>
            </w:pPr>
          </w:p>
        </w:tc>
        <w:tc>
          <w:tcPr>
            <w:tcW w:w="940" w:type="dxa"/>
            <w:vAlign w:val="bottom"/>
            <w:tcBorders>
              <w:bottom w:val="single" w:sz="8" w:color="E8E8E8"/>
            </w:tcBorders>
            <w:shd w:val="clear" w:color="auto" w:fill="E8E8E8"/>
          </w:tcPr>
          <w:p>
            <w:pPr>
              <w:jc w:val="right"/>
              <w:ind w:right="201"/>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E8E8E8"/>
            </w:tcBorders>
            <w:shd w:val="clear" w:color="auto" w:fill="E8E8E8"/>
          </w:tcPr>
          <w:p>
            <w:pPr>
              <w:spacing w:after="0"/>
              <w:rPr>
                <w:sz w:val="24"/>
                <w:szCs w:val="24"/>
                <w:color w:val="auto"/>
              </w:rPr>
            </w:pPr>
          </w:p>
        </w:tc>
        <w:tc>
          <w:tcPr>
            <w:tcW w:w="1600" w:type="dxa"/>
            <w:vAlign w:val="bottom"/>
            <w:tcBorders>
              <w:bottom w:val="single" w:sz="8" w:color="E8E8E8"/>
            </w:tcBorders>
            <w:shd w:val="clear" w:color="auto" w:fill="E8E8E8"/>
          </w:tcPr>
          <w:p>
            <w:pPr>
              <w:jc w:val="right"/>
              <w:ind w:right="462"/>
              <w:spacing w:after="0"/>
              <w:rPr>
                <w:sz w:val="20"/>
                <w:szCs w:val="20"/>
                <w:color w:val="auto"/>
              </w:rPr>
            </w:pPr>
            <w:r>
              <w:rPr>
                <w:rFonts w:ascii="Arial" w:cs="Arial" w:eastAsia="Arial" w:hAnsi="Arial"/>
                <w:sz w:val="16"/>
                <w:szCs w:val="16"/>
                <w:color w:val="auto"/>
              </w:rPr>
              <w:t>885</w:t>
            </w:r>
          </w:p>
        </w:tc>
        <w:tc>
          <w:tcPr>
            <w:tcW w:w="1420" w:type="dxa"/>
            <w:vAlign w:val="bottom"/>
            <w:tcBorders>
              <w:bottom w:val="single" w:sz="8" w:color="E8E8E8"/>
            </w:tcBorders>
            <w:shd w:val="clear" w:color="auto" w:fill="E8E8E8"/>
          </w:tcPr>
          <w:p>
            <w:pPr>
              <w:ind w:left="680"/>
              <w:spacing w:after="0"/>
              <w:rPr>
                <w:sz w:val="20"/>
                <w:szCs w:val="20"/>
                <w:color w:val="auto"/>
              </w:rPr>
            </w:pPr>
            <w:r>
              <w:rPr>
                <w:rFonts w:ascii="Arial" w:cs="Arial" w:eastAsia="Arial" w:hAnsi="Arial"/>
                <w:sz w:val="16"/>
                <w:szCs w:val="16"/>
                <w:color w:val="auto"/>
              </w:rPr>
              <w:t>*</w:t>
            </w:r>
          </w:p>
        </w:tc>
      </w:tr>
      <w:tr>
        <w:trPr>
          <w:trHeight w:val="264"/>
        </w:trPr>
        <w:tc>
          <w:tcPr>
            <w:tcW w:w="4600" w:type="dxa"/>
            <w:vAlign w:val="bottom"/>
          </w:tcPr>
          <w:p>
            <w:pPr>
              <w:ind w:left="200"/>
              <w:spacing w:after="0"/>
              <w:rPr>
                <w:sz w:val="20"/>
                <w:szCs w:val="20"/>
                <w:color w:val="auto"/>
              </w:rPr>
            </w:pPr>
            <w:r>
              <w:rPr>
                <w:rFonts w:ascii="Arial" w:cs="Arial" w:eastAsia="Arial" w:hAnsi="Arial"/>
                <w:sz w:val="16"/>
                <w:szCs w:val="16"/>
                <w:color w:val="auto"/>
              </w:rPr>
              <w:t>Dayton Semerjian</w:t>
            </w:r>
          </w:p>
        </w:tc>
        <w:tc>
          <w:tcPr>
            <w:tcW w:w="1180" w:type="dxa"/>
            <w:vAlign w:val="bottom"/>
          </w:tcPr>
          <w:p>
            <w:pPr>
              <w:jc w:val="right"/>
              <w:spacing w:after="0"/>
              <w:rPr>
                <w:sz w:val="20"/>
                <w:szCs w:val="20"/>
                <w:color w:val="auto"/>
              </w:rPr>
            </w:pPr>
            <w:r>
              <w:rPr>
                <w:rFonts w:ascii="Arial" w:cs="Arial" w:eastAsia="Arial" w:hAnsi="Arial"/>
                <w:sz w:val="16"/>
                <w:szCs w:val="16"/>
                <w:color w:val="auto"/>
              </w:rPr>
              <w:t>9,188</w:t>
            </w:r>
          </w:p>
        </w:tc>
        <w:tc>
          <w:tcPr>
            <w:tcW w:w="300" w:type="dxa"/>
            <w:vAlign w:val="bottom"/>
          </w:tcPr>
          <w:p>
            <w:pPr>
              <w:spacing w:after="0"/>
              <w:rPr>
                <w:sz w:val="22"/>
                <w:szCs w:val="22"/>
                <w:color w:val="auto"/>
              </w:rPr>
            </w:pPr>
          </w:p>
        </w:tc>
        <w:tc>
          <w:tcPr>
            <w:tcW w:w="94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22"/>
                <w:szCs w:val="22"/>
                <w:color w:val="auto"/>
              </w:rPr>
            </w:pPr>
          </w:p>
        </w:tc>
        <w:tc>
          <w:tcPr>
            <w:tcW w:w="1600" w:type="dxa"/>
            <w:vAlign w:val="bottom"/>
          </w:tcPr>
          <w:p>
            <w:pPr>
              <w:jc w:val="right"/>
              <w:ind w:right="462"/>
              <w:spacing w:after="0"/>
              <w:rPr>
                <w:sz w:val="20"/>
                <w:szCs w:val="20"/>
                <w:color w:val="auto"/>
              </w:rPr>
            </w:pPr>
            <w:r>
              <w:rPr>
                <w:rFonts w:ascii="Arial" w:cs="Arial" w:eastAsia="Arial" w:hAnsi="Arial"/>
                <w:sz w:val="16"/>
                <w:szCs w:val="16"/>
                <w:color w:val="auto"/>
              </w:rPr>
              <w:t>9,188</w:t>
            </w:r>
          </w:p>
        </w:tc>
        <w:tc>
          <w:tcPr>
            <w:tcW w:w="1420" w:type="dxa"/>
            <w:vAlign w:val="bottom"/>
          </w:tcPr>
          <w:p>
            <w:pPr>
              <w:ind w:left="680"/>
              <w:spacing w:after="0"/>
              <w:rPr>
                <w:sz w:val="20"/>
                <w:szCs w:val="20"/>
                <w:color w:val="auto"/>
              </w:rPr>
            </w:pPr>
            <w:r>
              <w:rPr>
                <w:rFonts w:ascii="Arial" w:cs="Arial" w:eastAsia="Arial" w:hAnsi="Arial"/>
                <w:sz w:val="16"/>
                <w:szCs w:val="16"/>
                <w:color w:val="auto"/>
              </w:rPr>
              <w:t>*</w:t>
            </w:r>
          </w:p>
        </w:tc>
      </w:tr>
      <w:tr>
        <w:trPr>
          <w:trHeight w:val="57"/>
        </w:trPr>
        <w:tc>
          <w:tcPr>
            <w:tcW w:w="46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301"/>
        </w:trPr>
        <w:tc>
          <w:tcPr>
            <w:tcW w:w="4600" w:type="dxa"/>
            <w:vAlign w:val="bottom"/>
            <w:tcBorders>
              <w:bottom w:val="single" w:sz="8" w:color="E8E8E8"/>
            </w:tcBorders>
            <w:shd w:val="clear" w:color="auto" w:fill="E8E8E8"/>
          </w:tcPr>
          <w:p>
            <w:pPr>
              <w:ind w:left="200"/>
              <w:spacing w:after="0"/>
              <w:rPr>
                <w:sz w:val="20"/>
                <w:szCs w:val="20"/>
                <w:color w:val="auto"/>
              </w:rPr>
            </w:pPr>
            <w:r>
              <w:rPr>
                <w:rFonts w:ascii="Arial" w:cs="Arial" w:eastAsia="Arial" w:hAnsi="Arial"/>
                <w:sz w:val="16"/>
                <w:szCs w:val="16"/>
                <w:color w:val="auto"/>
              </w:rPr>
              <w:t>Richard Steinmeier</w:t>
            </w:r>
          </w:p>
        </w:tc>
        <w:tc>
          <w:tcPr>
            <w:tcW w:w="118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9,711</w:t>
            </w:r>
          </w:p>
        </w:tc>
        <w:tc>
          <w:tcPr>
            <w:tcW w:w="300" w:type="dxa"/>
            <w:vAlign w:val="bottom"/>
            <w:tcBorders>
              <w:bottom w:val="single" w:sz="8" w:color="E8E8E8"/>
            </w:tcBorders>
            <w:shd w:val="clear" w:color="auto" w:fill="E8E8E8"/>
          </w:tcPr>
          <w:p>
            <w:pPr>
              <w:spacing w:after="0"/>
              <w:rPr>
                <w:sz w:val="24"/>
                <w:szCs w:val="24"/>
                <w:color w:val="auto"/>
              </w:rPr>
            </w:pPr>
          </w:p>
        </w:tc>
        <w:tc>
          <w:tcPr>
            <w:tcW w:w="940" w:type="dxa"/>
            <w:vAlign w:val="bottom"/>
            <w:tcBorders>
              <w:bottom w:val="single" w:sz="8" w:color="E8E8E8"/>
            </w:tcBorders>
            <w:shd w:val="clear" w:color="auto" w:fill="E8E8E8"/>
          </w:tcPr>
          <w:p>
            <w:pPr>
              <w:jc w:val="right"/>
              <w:ind w:right="201"/>
              <w:spacing w:after="0"/>
              <w:rPr>
                <w:sz w:val="20"/>
                <w:szCs w:val="20"/>
                <w:color w:val="auto"/>
              </w:rPr>
            </w:pPr>
            <w:r>
              <w:rPr>
                <w:rFonts w:ascii="Arial" w:cs="Arial" w:eastAsia="Arial" w:hAnsi="Arial"/>
                <w:sz w:val="16"/>
                <w:szCs w:val="16"/>
                <w:color w:val="auto"/>
              </w:rPr>
              <w:t>7,355</w:t>
            </w:r>
          </w:p>
        </w:tc>
        <w:tc>
          <w:tcPr>
            <w:tcW w:w="880" w:type="dxa"/>
            <w:vAlign w:val="bottom"/>
            <w:tcBorders>
              <w:bottom w:val="single" w:sz="8" w:color="E8E8E8"/>
            </w:tcBorders>
            <w:shd w:val="clear" w:color="auto" w:fill="E8E8E8"/>
          </w:tcPr>
          <w:p>
            <w:pPr>
              <w:spacing w:after="0"/>
              <w:rPr>
                <w:sz w:val="24"/>
                <w:szCs w:val="24"/>
                <w:color w:val="auto"/>
              </w:rPr>
            </w:pPr>
          </w:p>
        </w:tc>
        <w:tc>
          <w:tcPr>
            <w:tcW w:w="1600" w:type="dxa"/>
            <w:vAlign w:val="bottom"/>
            <w:tcBorders>
              <w:bottom w:val="single" w:sz="8" w:color="E8E8E8"/>
            </w:tcBorders>
            <w:shd w:val="clear" w:color="auto" w:fill="E8E8E8"/>
          </w:tcPr>
          <w:p>
            <w:pPr>
              <w:jc w:val="right"/>
              <w:ind w:right="462"/>
              <w:spacing w:after="0"/>
              <w:rPr>
                <w:sz w:val="20"/>
                <w:szCs w:val="20"/>
                <w:color w:val="auto"/>
              </w:rPr>
            </w:pPr>
            <w:r>
              <w:rPr>
                <w:rFonts w:ascii="Arial" w:cs="Arial" w:eastAsia="Arial" w:hAnsi="Arial"/>
                <w:sz w:val="16"/>
                <w:szCs w:val="16"/>
                <w:color w:val="auto"/>
              </w:rPr>
              <w:t>17,066</w:t>
            </w:r>
          </w:p>
        </w:tc>
        <w:tc>
          <w:tcPr>
            <w:tcW w:w="1420" w:type="dxa"/>
            <w:vAlign w:val="bottom"/>
            <w:tcBorders>
              <w:bottom w:val="single" w:sz="8" w:color="E8E8E8"/>
            </w:tcBorders>
            <w:shd w:val="clear" w:color="auto" w:fill="E8E8E8"/>
          </w:tcPr>
          <w:p>
            <w:pPr>
              <w:ind w:left="680"/>
              <w:spacing w:after="0"/>
              <w:rPr>
                <w:sz w:val="20"/>
                <w:szCs w:val="20"/>
                <w:color w:val="auto"/>
              </w:rPr>
            </w:pPr>
            <w:r>
              <w:rPr>
                <w:rFonts w:ascii="Arial" w:cs="Arial" w:eastAsia="Arial" w:hAnsi="Arial"/>
                <w:sz w:val="16"/>
                <w:szCs w:val="16"/>
                <w:color w:val="auto"/>
              </w:rPr>
              <w:t>*</w:t>
            </w:r>
          </w:p>
        </w:tc>
      </w:tr>
      <w:tr>
        <w:trPr>
          <w:trHeight w:val="264"/>
        </w:trPr>
        <w:tc>
          <w:tcPr>
            <w:tcW w:w="4600" w:type="dxa"/>
            <w:vAlign w:val="bottom"/>
          </w:tcPr>
          <w:p>
            <w:pPr>
              <w:ind w:left="200"/>
              <w:spacing w:after="0"/>
              <w:rPr>
                <w:sz w:val="20"/>
                <w:szCs w:val="20"/>
                <w:color w:val="auto"/>
              </w:rPr>
            </w:pPr>
            <w:r>
              <w:rPr>
                <w:rFonts w:ascii="Arial" w:cs="Arial" w:eastAsia="Arial" w:hAnsi="Arial"/>
                <w:sz w:val="16"/>
                <w:szCs w:val="16"/>
                <w:color w:val="auto"/>
              </w:rPr>
              <w:t>Edward C. Bernard</w:t>
            </w:r>
          </w:p>
        </w:tc>
        <w:tc>
          <w:tcPr>
            <w:tcW w:w="1180" w:type="dxa"/>
            <w:vAlign w:val="bottom"/>
          </w:tcPr>
          <w:p>
            <w:pPr>
              <w:jc w:val="right"/>
              <w:spacing w:after="0"/>
              <w:rPr>
                <w:sz w:val="20"/>
                <w:szCs w:val="20"/>
                <w:color w:val="auto"/>
              </w:rPr>
            </w:pPr>
            <w:r>
              <w:rPr>
                <w:rFonts w:ascii="Arial" w:cs="Arial" w:eastAsia="Arial" w:hAnsi="Arial"/>
                <w:sz w:val="16"/>
                <w:szCs w:val="16"/>
                <w:color w:val="auto"/>
              </w:rPr>
              <w:t>40,971</w:t>
            </w:r>
          </w:p>
        </w:tc>
        <w:tc>
          <w:tcPr>
            <w:tcW w:w="300" w:type="dxa"/>
            <w:vAlign w:val="bottom"/>
          </w:tcPr>
          <w:p>
            <w:pPr>
              <w:jc w:val="right"/>
              <w:ind w:right="20"/>
              <w:spacing w:after="0"/>
              <w:rPr>
                <w:sz w:val="20"/>
                <w:szCs w:val="20"/>
                <w:color w:val="auto"/>
              </w:rPr>
            </w:pPr>
            <w:r>
              <w:rPr>
                <w:rFonts w:ascii="Arial" w:cs="Arial" w:eastAsia="Arial" w:hAnsi="Arial"/>
                <w:sz w:val="16"/>
                <w:szCs w:val="16"/>
                <w:color w:val="auto"/>
                <w:w w:val="91"/>
              </w:rPr>
              <w:t>(5)</w:t>
            </w:r>
          </w:p>
        </w:tc>
        <w:tc>
          <w:tcPr>
            <w:tcW w:w="940" w:type="dxa"/>
            <w:vAlign w:val="bottom"/>
          </w:tcPr>
          <w:p>
            <w:pPr>
              <w:jc w:val="right"/>
              <w:ind w:right="201"/>
              <w:spacing w:after="0"/>
              <w:rPr>
                <w:sz w:val="20"/>
                <w:szCs w:val="20"/>
                <w:color w:val="auto"/>
              </w:rPr>
            </w:pPr>
            <w:r>
              <w:rPr>
                <w:rFonts w:ascii="Arial" w:cs="Arial" w:eastAsia="Arial" w:hAnsi="Arial"/>
                <w:sz w:val="16"/>
                <w:szCs w:val="16"/>
                <w:color w:val="auto"/>
              </w:rPr>
              <w:t>5,869</w:t>
            </w:r>
          </w:p>
        </w:tc>
        <w:tc>
          <w:tcPr>
            <w:tcW w:w="880" w:type="dxa"/>
            <w:vAlign w:val="bottom"/>
          </w:tcPr>
          <w:p>
            <w:pPr>
              <w:spacing w:after="0"/>
              <w:rPr>
                <w:sz w:val="22"/>
                <w:szCs w:val="22"/>
                <w:color w:val="auto"/>
              </w:rPr>
            </w:pPr>
          </w:p>
        </w:tc>
        <w:tc>
          <w:tcPr>
            <w:tcW w:w="1600" w:type="dxa"/>
            <w:vAlign w:val="bottom"/>
          </w:tcPr>
          <w:p>
            <w:pPr>
              <w:jc w:val="right"/>
              <w:ind w:right="462"/>
              <w:spacing w:after="0"/>
              <w:rPr>
                <w:sz w:val="20"/>
                <w:szCs w:val="20"/>
                <w:color w:val="auto"/>
              </w:rPr>
            </w:pPr>
            <w:r>
              <w:rPr>
                <w:rFonts w:ascii="Arial" w:cs="Arial" w:eastAsia="Arial" w:hAnsi="Arial"/>
                <w:sz w:val="16"/>
                <w:szCs w:val="16"/>
                <w:color w:val="auto"/>
              </w:rPr>
              <w:t>46,840</w:t>
            </w:r>
          </w:p>
        </w:tc>
        <w:tc>
          <w:tcPr>
            <w:tcW w:w="1420" w:type="dxa"/>
            <w:vAlign w:val="bottom"/>
          </w:tcPr>
          <w:p>
            <w:pPr>
              <w:ind w:left="680"/>
              <w:spacing w:after="0"/>
              <w:rPr>
                <w:sz w:val="20"/>
                <w:szCs w:val="20"/>
                <w:color w:val="auto"/>
              </w:rPr>
            </w:pPr>
            <w:r>
              <w:rPr>
                <w:rFonts w:ascii="Arial" w:cs="Arial" w:eastAsia="Arial" w:hAnsi="Arial"/>
                <w:sz w:val="16"/>
                <w:szCs w:val="16"/>
                <w:color w:val="auto"/>
              </w:rPr>
              <w:t>*</w:t>
            </w:r>
          </w:p>
        </w:tc>
      </w:tr>
      <w:tr>
        <w:trPr>
          <w:trHeight w:val="57"/>
        </w:trPr>
        <w:tc>
          <w:tcPr>
            <w:tcW w:w="46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301"/>
        </w:trPr>
        <w:tc>
          <w:tcPr>
            <w:tcW w:w="4600" w:type="dxa"/>
            <w:vAlign w:val="bottom"/>
            <w:tcBorders>
              <w:bottom w:val="single" w:sz="8" w:color="E8E8E8"/>
            </w:tcBorders>
            <w:shd w:val="clear" w:color="auto" w:fill="E8E8E8"/>
          </w:tcPr>
          <w:p>
            <w:pPr>
              <w:ind w:left="200"/>
              <w:spacing w:after="0"/>
              <w:rPr>
                <w:sz w:val="20"/>
                <w:szCs w:val="20"/>
                <w:color w:val="auto"/>
              </w:rPr>
            </w:pPr>
            <w:r>
              <w:rPr>
                <w:rFonts w:ascii="Arial" w:cs="Arial" w:eastAsia="Arial" w:hAnsi="Arial"/>
                <w:sz w:val="16"/>
                <w:szCs w:val="16"/>
                <w:color w:val="auto"/>
              </w:rPr>
              <w:t>H. Paulett Eberhart</w:t>
            </w:r>
          </w:p>
        </w:tc>
        <w:tc>
          <w:tcPr>
            <w:tcW w:w="118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14,771</w:t>
            </w:r>
          </w:p>
        </w:tc>
        <w:tc>
          <w:tcPr>
            <w:tcW w:w="300" w:type="dxa"/>
            <w:vAlign w:val="bottom"/>
            <w:tcBorders>
              <w:bottom w:val="single" w:sz="8" w:color="E8E8E8"/>
            </w:tcBorders>
            <w:shd w:val="clear" w:color="auto" w:fill="E8E8E8"/>
          </w:tcPr>
          <w:p>
            <w:pPr>
              <w:spacing w:after="0"/>
              <w:rPr>
                <w:sz w:val="24"/>
                <w:szCs w:val="24"/>
                <w:color w:val="auto"/>
              </w:rPr>
            </w:pPr>
          </w:p>
        </w:tc>
        <w:tc>
          <w:tcPr>
            <w:tcW w:w="940" w:type="dxa"/>
            <w:vAlign w:val="bottom"/>
            <w:tcBorders>
              <w:bottom w:val="single" w:sz="8" w:color="E8E8E8"/>
            </w:tcBorders>
            <w:shd w:val="clear" w:color="auto" w:fill="E8E8E8"/>
          </w:tcPr>
          <w:p>
            <w:pPr>
              <w:jc w:val="right"/>
              <w:ind w:right="201"/>
              <w:spacing w:after="0"/>
              <w:rPr>
                <w:sz w:val="20"/>
                <w:szCs w:val="20"/>
                <w:color w:val="auto"/>
              </w:rPr>
            </w:pPr>
            <w:r>
              <w:rPr>
                <w:rFonts w:ascii="Arial" w:cs="Arial" w:eastAsia="Arial" w:hAnsi="Arial"/>
                <w:sz w:val="16"/>
                <w:szCs w:val="16"/>
                <w:color w:val="auto"/>
              </w:rPr>
              <w:t>6,438</w:t>
            </w:r>
          </w:p>
        </w:tc>
        <w:tc>
          <w:tcPr>
            <w:tcW w:w="880" w:type="dxa"/>
            <w:vAlign w:val="bottom"/>
            <w:tcBorders>
              <w:bottom w:val="single" w:sz="8" w:color="E8E8E8"/>
            </w:tcBorders>
            <w:shd w:val="clear" w:color="auto" w:fill="E8E8E8"/>
          </w:tcPr>
          <w:p>
            <w:pPr>
              <w:spacing w:after="0"/>
              <w:rPr>
                <w:sz w:val="24"/>
                <w:szCs w:val="24"/>
                <w:color w:val="auto"/>
              </w:rPr>
            </w:pPr>
          </w:p>
        </w:tc>
        <w:tc>
          <w:tcPr>
            <w:tcW w:w="1600" w:type="dxa"/>
            <w:vAlign w:val="bottom"/>
            <w:tcBorders>
              <w:bottom w:val="single" w:sz="8" w:color="E8E8E8"/>
            </w:tcBorders>
            <w:shd w:val="clear" w:color="auto" w:fill="E8E8E8"/>
          </w:tcPr>
          <w:p>
            <w:pPr>
              <w:jc w:val="right"/>
              <w:ind w:right="462"/>
              <w:spacing w:after="0"/>
              <w:rPr>
                <w:sz w:val="20"/>
                <w:szCs w:val="20"/>
                <w:color w:val="auto"/>
              </w:rPr>
            </w:pPr>
            <w:r>
              <w:rPr>
                <w:rFonts w:ascii="Arial" w:cs="Arial" w:eastAsia="Arial" w:hAnsi="Arial"/>
                <w:sz w:val="16"/>
                <w:szCs w:val="16"/>
                <w:color w:val="auto"/>
              </w:rPr>
              <w:t>21,209</w:t>
            </w:r>
          </w:p>
        </w:tc>
        <w:tc>
          <w:tcPr>
            <w:tcW w:w="1420" w:type="dxa"/>
            <w:vAlign w:val="bottom"/>
            <w:tcBorders>
              <w:bottom w:val="single" w:sz="8" w:color="E8E8E8"/>
            </w:tcBorders>
            <w:shd w:val="clear" w:color="auto" w:fill="E8E8E8"/>
          </w:tcPr>
          <w:p>
            <w:pPr>
              <w:ind w:left="680"/>
              <w:spacing w:after="0"/>
              <w:rPr>
                <w:sz w:val="20"/>
                <w:szCs w:val="20"/>
                <w:color w:val="auto"/>
              </w:rPr>
            </w:pPr>
            <w:r>
              <w:rPr>
                <w:rFonts w:ascii="Arial" w:cs="Arial" w:eastAsia="Arial" w:hAnsi="Arial"/>
                <w:sz w:val="16"/>
                <w:szCs w:val="16"/>
                <w:color w:val="auto"/>
              </w:rPr>
              <w:t>*</w:t>
            </w:r>
          </w:p>
        </w:tc>
      </w:tr>
      <w:tr>
        <w:trPr>
          <w:trHeight w:val="264"/>
        </w:trPr>
        <w:tc>
          <w:tcPr>
            <w:tcW w:w="4600" w:type="dxa"/>
            <w:vAlign w:val="bottom"/>
          </w:tcPr>
          <w:p>
            <w:pPr>
              <w:ind w:left="200"/>
              <w:spacing w:after="0"/>
              <w:rPr>
                <w:sz w:val="20"/>
                <w:szCs w:val="20"/>
                <w:color w:val="auto"/>
              </w:rPr>
            </w:pPr>
            <w:r>
              <w:rPr>
                <w:rFonts w:ascii="Arial" w:cs="Arial" w:eastAsia="Arial" w:hAnsi="Arial"/>
                <w:sz w:val="16"/>
                <w:szCs w:val="16"/>
                <w:color w:val="auto"/>
              </w:rPr>
              <w:t>William F. Glavin, Jr.</w:t>
            </w:r>
          </w:p>
        </w:tc>
        <w:tc>
          <w:tcPr>
            <w:tcW w:w="1180" w:type="dxa"/>
            <w:vAlign w:val="bottom"/>
          </w:tcPr>
          <w:p>
            <w:pPr>
              <w:jc w:val="right"/>
              <w:spacing w:after="0"/>
              <w:rPr>
                <w:sz w:val="20"/>
                <w:szCs w:val="20"/>
                <w:color w:val="auto"/>
              </w:rPr>
            </w:pPr>
            <w:r>
              <w:rPr>
                <w:rFonts w:ascii="Arial" w:cs="Arial" w:eastAsia="Arial" w:hAnsi="Arial"/>
                <w:sz w:val="16"/>
                <w:szCs w:val="16"/>
                <w:color w:val="auto"/>
              </w:rPr>
              <w:t>1,760</w:t>
            </w:r>
          </w:p>
        </w:tc>
        <w:tc>
          <w:tcPr>
            <w:tcW w:w="300" w:type="dxa"/>
            <w:vAlign w:val="bottom"/>
          </w:tcPr>
          <w:p>
            <w:pPr>
              <w:jc w:val="right"/>
              <w:ind w:right="20"/>
              <w:spacing w:after="0"/>
              <w:rPr>
                <w:sz w:val="20"/>
                <w:szCs w:val="20"/>
                <w:color w:val="auto"/>
              </w:rPr>
            </w:pPr>
            <w:r>
              <w:rPr>
                <w:rFonts w:ascii="Arial" w:cs="Arial" w:eastAsia="Arial" w:hAnsi="Arial"/>
                <w:sz w:val="16"/>
                <w:szCs w:val="16"/>
                <w:color w:val="auto"/>
                <w:w w:val="91"/>
              </w:rPr>
              <w:t>(6)</w:t>
            </w:r>
          </w:p>
        </w:tc>
        <w:tc>
          <w:tcPr>
            <w:tcW w:w="940" w:type="dxa"/>
            <w:vAlign w:val="bottom"/>
          </w:tcPr>
          <w:p>
            <w:pPr>
              <w:jc w:val="right"/>
              <w:ind w:right="201"/>
              <w:spacing w:after="0"/>
              <w:rPr>
                <w:sz w:val="20"/>
                <w:szCs w:val="20"/>
                <w:color w:val="auto"/>
              </w:rPr>
            </w:pPr>
            <w:r>
              <w:rPr>
                <w:rFonts w:ascii="Arial" w:cs="Arial" w:eastAsia="Arial" w:hAnsi="Arial"/>
                <w:sz w:val="16"/>
                <w:szCs w:val="16"/>
                <w:color w:val="auto"/>
              </w:rPr>
              <w:t>18,442</w:t>
            </w:r>
          </w:p>
        </w:tc>
        <w:tc>
          <w:tcPr>
            <w:tcW w:w="880" w:type="dxa"/>
            <w:vAlign w:val="bottom"/>
          </w:tcPr>
          <w:p>
            <w:pPr>
              <w:spacing w:after="0"/>
              <w:rPr>
                <w:sz w:val="22"/>
                <w:szCs w:val="22"/>
                <w:color w:val="auto"/>
              </w:rPr>
            </w:pPr>
          </w:p>
        </w:tc>
        <w:tc>
          <w:tcPr>
            <w:tcW w:w="1600" w:type="dxa"/>
            <w:vAlign w:val="bottom"/>
          </w:tcPr>
          <w:p>
            <w:pPr>
              <w:jc w:val="right"/>
              <w:ind w:right="462"/>
              <w:spacing w:after="0"/>
              <w:rPr>
                <w:sz w:val="20"/>
                <w:szCs w:val="20"/>
                <w:color w:val="auto"/>
              </w:rPr>
            </w:pPr>
            <w:r>
              <w:rPr>
                <w:rFonts w:ascii="Arial" w:cs="Arial" w:eastAsia="Arial" w:hAnsi="Arial"/>
                <w:sz w:val="16"/>
                <w:szCs w:val="16"/>
                <w:color w:val="auto"/>
              </w:rPr>
              <w:t>20,202</w:t>
            </w:r>
          </w:p>
        </w:tc>
        <w:tc>
          <w:tcPr>
            <w:tcW w:w="1420" w:type="dxa"/>
            <w:vAlign w:val="bottom"/>
          </w:tcPr>
          <w:p>
            <w:pPr>
              <w:ind w:left="680"/>
              <w:spacing w:after="0"/>
              <w:rPr>
                <w:sz w:val="20"/>
                <w:szCs w:val="20"/>
                <w:color w:val="auto"/>
              </w:rPr>
            </w:pPr>
            <w:r>
              <w:rPr>
                <w:rFonts w:ascii="Arial" w:cs="Arial" w:eastAsia="Arial" w:hAnsi="Arial"/>
                <w:sz w:val="16"/>
                <w:szCs w:val="16"/>
                <w:color w:val="auto"/>
              </w:rPr>
              <w:t>*</w:t>
            </w:r>
          </w:p>
        </w:tc>
      </w:tr>
      <w:tr>
        <w:trPr>
          <w:trHeight w:val="57"/>
        </w:trPr>
        <w:tc>
          <w:tcPr>
            <w:tcW w:w="46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301"/>
        </w:trPr>
        <w:tc>
          <w:tcPr>
            <w:tcW w:w="4600" w:type="dxa"/>
            <w:vAlign w:val="bottom"/>
            <w:tcBorders>
              <w:bottom w:val="single" w:sz="8" w:color="E8E8E8"/>
            </w:tcBorders>
            <w:shd w:val="clear" w:color="auto" w:fill="E8E8E8"/>
          </w:tcPr>
          <w:p>
            <w:pPr>
              <w:ind w:left="200"/>
              <w:spacing w:after="0"/>
              <w:rPr>
                <w:sz w:val="20"/>
                <w:szCs w:val="20"/>
                <w:color w:val="auto"/>
              </w:rPr>
            </w:pPr>
            <w:r>
              <w:rPr>
                <w:rFonts w:ascii="Arial" w:cs="Arial" w:eastAsia="Arial" w:hAnsi="Arial"/>
                <w:sz w:val="16"/>
                <w:szCs w:val="16"/>
                <w:color w:val="auto"/>
              </w:rPr>
              <w:t>Allison H. Mnookin</w:t>
            </w:r>
          </w:p>
        </w:tc>
        <w:tc>
          <w:tcPr>
            <w:tcW w:w="118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4,205</w:t>
            </w:r>
          </w:p>
        </w:tc>
        <w:tc>
          <w:tcPr>
            <w:tcW w:w="300" w:type="dxa"/>
            <w:vAlign w:val="bottom"/>
            <w:tcBorders>
              <w:bottom w:val="single" w:sz="8" w:color="E8E8E8"/>
            </w:tcBorders>
            <w:shd w:val="clear" w:color="auto" w:fill="E8E8E8"/>
          </w:tcPr>
          <w:p>
            <w:pPr>
              <w:spacing w:after="0"/>
              <w:rPr>
                <w:sz w:val="24"/>
                <w:szCs w:val="24"/>
                <w:color w:val="auto"/>
              </w:rPr>
            </w:pPr>
          </w:p>
        </w:tc>
        <w:tc>
          <w:tcPr>
            <w:tcW w:w="940" w:type="dxa"/>
            <w:vAlign w:val="bottom"/>
            <w:tcBorders>
              <w:bottom w:val="single" w:sz="8" w:color="E8E8E8"/>
            </w:tcBorders>
            <w:shd w:val="clear" w:color="auto" w:fill="E8E8E8"/>
          </w:tcPr>
          <w:p>
            <w:pPr>
              <w:jc w:val="right"/>
              <w:ind w:right="201"/>
              <w:spacing w:after="0"/>
              <w:rPr>
                <w:sz w:val="20"/>
                <w:szCs w:val="20"/>
                <w:color w:val="auto"/>
              </w:rPr>
            </w:pPr>
            <w:r>
              <w:rPr>
                <w:rFonts w:ascii="Arial" w:cs="Arial" w:eastAsia="Arial" w:hAnsi="Arial"/>
                <w:sz w:val="16"/>
                <w:szCs w:val="16"/>
                <w:color w:val="auto"/>
              </w:rPr>
              <w:t>3,873</w:t>
            </w:r>
          </w:p>
        </w:tc>
        <w:tc>
          <w:tcPr>
            <w:tcW w:w="880" w:type="dxa"/>
            <w:vAlign w:val="bottom"/>
            <w:tcBorders>
              <w:bottom w:val="single" w:sz="8" w:color="E8E8E8"/>
            </w:tcBorders>
            <w:shd w:val="clear" w:color="auto" w:fill="E8E8E8"/>
          </w:tcPr>
          <w:p>
            <w:pPr>
              <w:spacing w:after="0"/>
              <w:rPr>
                <w:sz w:val="24"/>
                <w:szCs w:val="24"/>
                <w:color w:val="auto"/>
              </w:rPr>
            </w:pPr>
          </w:p>
        </w:tc>
        <w:tc>
          <w:tcPr>
            <w:tcW w:w="1600" w:type="dxa"/>
            <w:vAlign w:val="bottom"/>
            <w:tcBorders>
              <w:bottom w:val="single" w:sz="8" w:color="E8E8E8"/>
            </w:tcBorders>
            <w:shd w:val="clear" w:color="auto" w:fill="E8E8E8"/>
          </w:tcPr>
          <w:p>
            <w:pPr>
              <w:jc w:val="right"/>
              <w:ind w:right="462"/>
              <w:spacing w:after="0"/>
              <w:rPr>
                <w:sz w:val="20"/>
                <w:szCs w:val="20"/>
                <w:color w:val="auto"/>
              </w:rPr>
            </w:pPr>
            <w:r>
              <w:rPr>
                <w:rFonts w:ascii="Arial" w:cs="Arial" w:eastAsia="Arial" w:hAnsi="Arial"/>
                <w:sz w:val="16"/>
                <w:szCs w:val="16"/>
                <w:color w:val="auto"/>
              </w:rPr>
              <w:t>8,078</w:t>
            </w:r>
          </w:p>
        </w:tc>
        <w:tc>
          <w:tcPr>
            <w:tcW w:w="1420" w:type="dxa"/>
            <w:vAlign w:val="bottom"/>
            <w:tcBorders>
              <w:bottom w:val="single" w:sz="8" w:color="E8E8E8"/>
            </w:tcBorders>
            <w:shd w:val="clear" w:color="auto" w:fill="E8E8E8"/>
          </w:tcPr>
          <w:p>
            <w:pPr>
              <w:ind w:left="680"/>
              <w:spacing w:after="0"/>
              <w:rPr>
                <w:sz w:val="20"/>
                <w:szCs w:val="20"/>
                <w:color w:val="auto"/>
              </w:rPr>
            </w:pPr>
            <w:r>
              <w:rPr>
                <w:rFonts w:ascii="Arial" w:cs="Arial" w:eastAsia="Arial" w:hAnsi="Arial"/>
                <w:sz w:val="16"/>
                <w:szCs w:val="16"/>
                <w:color w:val="auto"/>
              </w:rPr>
              <w:t>*</w:t>
            </w:r>
          </w:p>
        </w:tc>
      </w:tr>
      <w:tr>
        <w:trPr>
          <w:trHeight w:val="264"/>
        </w:trPr>
        <w:tc>
          <w:tcPr>
            <w:tcW w:w="4600" w:type="dxa"/>
            <w:vAlign w:val="bottom"/>
          </w:tcPr>
          <w:p>
            <w:pPr>
              <w:ind w:left="200"/>
              <w:spacing w:after="0"/>
              <w:rPr>
                <w:sz w:val="20"/>
                <w:szCs w:val="20"/>
                <w:color w:val="auto"/>
              </w:rPr>
            </w:pPr>
            <w:r>
              <w:rPr>
                <w:rFonts w:ascii="Arial" w:cs="Arial" w:eastAsia="Arial" w:hAnsi="Arial"/>
                <w:sz w:val="16"/>
                <w:szCs w:val="16"/>
                <w:color w:val="auto"/>
              </w:rPr>
              <w:t>Anne M. Mulcahy</w:t>
            </w:r>
          </w:p>
        </w:tc>
        <w:tc>
          <w:tcPr>
            <w:tcW w:w="1180" w:type="dxa"/>
            <w:vAlign w:val="bottom"/>
          </w:tcPr>
          <w:p>
            <w:pPr>
              <w:jc w:val="right"/>
              <w:spacing w:after="0"/>
              <w:rPr>
                <w:sz w:val="20"/>
                <w:szCs w:val="20"/>
                <w:color w:val="auto"/>
              </w:rPr>
            </w:pPr>
            <w:r>
              <w:rPr>
                <w:rFonts w:ascii="Arial" w:cs="Arial" w:eastAsia="Arial" w:hAnsi="Arial"/>
                <w:sz w:val="16"/>
                <w:szCs w:val="16"/>
                <w:color w:val="auto"/>
              </w:rPr>
              <w:t>31,755</w:t>
            </w:r>
          </w:p>
        </w:tc>
        <w:tc>
          <w:tcPr>
            <w:tcW w:w="300" w:type="dxa"/>
            <w:vAlign w:val="bottom"/>
          </w:tcPr>
          <w:p>
            <w:pPr>
              <w:spacing w:after="0"/>
              <w:rPr>
                <w:sz w:val="22"/>
                <w:szCs w:val="22"/>
                <w:color w:val="auto"/>
              </w:rPr>
            </w:pPr>
          </w:p>
        </w:tc>
        <w:tc>
          <w:tcPr>
            <w:tcW w:w="94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22"/>
                <w:szCs w:val="22"/>
                <w:color w:val="auto"/>
              </w:rPr>
            </w:pPr>
          </w:p>
        </w:tc>
        <w:tc>
          <w:tcPr>
            <w:tcW w:w="1600" w:type="dxa"/>
            <w:vAlign w:val="bottom"/>
          </w:tcPr>
          <w:p>
            <w:pPr>
              <w:jc w:val="right"/>
              <w:ind w:right="462"/>
              <w:spacing w:after="0"/>
              <w:rPr>
                <w:sz w:val="20"/>
                <w:szCs w:val="20"/>
                <w:color w:val="auto"/>
              </w:rPr>
            </w:pPr>
            <w:r>
              <w:rPr>
                <w:rFonts w:ascii="Arial" w:cs="Arial" w:eastAsia="Arial" w:hAnsi="Arial"/>
                <w:sz w:val="16"/>
                <w:szCs w:val="16"/>
                <w:color w:val="auto"/>
              </w:rPr>
              <w:t>31,755</w:t>
            </w:r>
          </w:p>
        </w:tc>
        <w:tc>
          <w:tcPr>
            <w:tcW w:w="1420" w:type="dxa"/>
            <w:vAlign w:val="bottom"/>
          </w:tcPr>
          <w:p>
            <w:pPr>
              <w:ind w:left="680"/>
              <w:spacing w:after="0"/>
              <w:rPr>
                <w:sz w:val="20"/>
                <w:szCs w:val="20"/>
                <w:color w:val="auto"/>
              </w:rPr>
            </w:pPr>
            <w:r>
              <w:rPr>
                <w:rFonts w:ascii="Arial" w:cs="Arial" w:eastAsia="Arial" w:hAnsi="Arial"/>
                <w:sz w:val="16"/>
                <w:szCs w:val="16"/>
                <w:color w:val="auto"/>
              </w:rPr>
              <w:t>*</w:t>
            </w:r>
          </w:p>
        </w:tc>
      </w:tr>
      <w:tr>
        <w:trPr>
          <w:trHeight w:val="57"/>
        </w:trPr>
        <w:tc>
          <w:tcPr>
            <w:tcW w:w="46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301"/>
        </w:trPr>
        <w:tc>
          <w:tcPr>
            <w:tcW w:w="4600" w:type="dxa"/>
            <w:vAlign w:val="bottom"/>
            <w:tcBorders>
              <w:bottom w:val="single" w:sz="8" w:color="E8E8E8"/>
            </w:tcBorders>
            <w:shd w:val="clear" w:color="auto" w:fill="E8E8E8"/>
          </w:tcPr>
          <w:p>
            <w:pPr>
              <w:ind w:left="200"/>
              <w:spacing w:after="0"/>
              <w:rPr>
                <w:sz w:val="20"/>
                <w:szCs w:val="20"/>
                <w:color w:val="auto"/>
              </w:rPr>
            </w:pPr>
            <w:r>
              <w:rPr>
                <w:rFonts w:ascii="Arial" w:cs="Arial" w:eastAsia="Arial" w:hAnsi="Arial"/>
                <w:sz w:val="16"/>
                <w:szCs w:val="16"/>
                <w:color w:val="auto"/>
              </w:rPr>
              <w:t>James S. Putnam</w:t>
            </w:r>
          </w:p>
        </w:tc>
        <w:tc>
          <w:tcPr>
            <w:tcW w:w="118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120,450</w:t>
            </w:r>
          </w:p>
        </w:tc>
        <w:tc>
          <w:tcPr>
            <w:tcW w:w="300" w:type="dxa"/>
            <w:vAlign w:val="bottom"/>
            <w:tcBorders>
              <w:bottom w:val="single" w:sz="8" w:color="E8E8E8"/>
            </w:tcBorders>
            <w:shd w:val="clear" w:color="auto" w:fill="E8E8E8"/>
          </w:tcPr>
          <w:p>
            <w:pPr>
              <w:jc w:val="right"/>
              <w:ind w:right="20"/>
              <w:spacing w:after="0"/>
              <w:rPr>
                <w:sz w:val="20"/>
                <w:szCs w:val="20"/>
                <w:color w:val="auto"/>
              </w:rPr>
            </w:pPr>
            <w:r>
              <w:rPr>
                <w:rFonts w:ascii="Arial" w:cs="Arial" w:eastAsia="Arial" w:hAnsi="Arial"/>
                <w:sz w:val="16"/>
                <w:szCs w:val="16"/>
                <w:color w:val="auto"/>
                <w:w w:val="91"/>
              </w:rPr>
              <w:t>(7)</w:t>
            </w:r>
          </w:p>
        </w:tc>
        <w:tc>
          <w:tcPr>
            <w:tcW w:w="940" w:type="dxa"/>
            <w:vAlign w:val="bottom"/>
            <w:tcBorders>
              <w:bottom w:val="single" w:sz="8" w:color="E8E8E8"/>
            </w:tcBorders>
            <w:shd w:val="clear" w:color="auto" w:fill="E8E8E8"/>
          </w:tcPr>
          <w:p>
            <w:pPr>
              <w:jc w:val="right"/>
              <w:ind w:right="201"/>
              <w:spacing w:after="0"/>
              <w:rPr>
                <w:sz w:val="20"/>
                <w:szCs w:val="20"/>
                <w:color w:val="auto"/>
              </w:rPr>
            </w:pPr>
            <w:r>
              <w:rPr>
                <w:rFonts w:ascii="Arial" w:cs="Arial" w:eastAsia="Arial" w:hAnsi="Arial"/>
                <w:sz w:val="16"/>
                <w:szCs w:val="16"/>
                <w:color w:val="auto"/>
              </w:rPr>
              <w:t>12,090</w:t>
            </w:r>
          </w:p>
        </w:tc>
        <w:tc>
          <w:tcPr>
            <w:tcW w:w="880" w:type="dxa"/>
            <w:vAlign w:val="bottom"/>
            <w:tcBorders>
              <w:bottom w:val="single" w:sz="8" w:color="E8E8E8"/>
            </w:tcBorders>
            <w:shd w:val="clear" w:color="auto" w:fill="E8E8E8"/>
          </w:tcPr>
          <w:p>
            <w:pPr>
              <w:spacing w:after="0"/>
              <w:rPr>
                <w:sz w:val="24"/>
                <w:szCs w:val="24"/>
                <w:color w:val="auto"/>
              </w:rPr>
            </w:pPr>
          </w:p>
        </w:tc>
        <w:tc>
          <w:tcPr>
            <w:tcW w:w="1600" w:type="dxa"/>
            <w:vAlign w:val="bottom"/>
            <w:tcBorders>
              <w:bottom w:val="single" w:sz="8" w:color="E8E8E8"/>
            </w:tcBorders>
            <w:shd w:val="clear" w:color="auto" w:fill="E8E8E8"/>
          </w:tcPr>
          <w:p>
            <w:pPr>
              <w:jc w:val="right"/>
              <w:ind w:right="462"/>
              <w:spacing w:after="0"/>
              <w:rPr>
                <w:sz w:val="20"/>
                <w:szCs w:val="20"/>
                <w:color w:val="auto"/>
              </w:rPr>
            </w:pPr>
            <w:r>
              <w:rPr>
                <w:rFonts w:ascii="Arial" w:cs="Arial" w:eastAsia="Arial" w:hAnsi="Arial"/>
                <w:sz w:val="16"/>
                <w:szCs w:val="16"/>
                <w:color w:val="auto"/>
              </w:rPr>
              <w:t>132,540</w:t>
            </w:r>
          </w:p>
        </w:tc>
        <w:tc>
          <w:tcPr>
            <w:tcW w:w="1420" w:type="dxa"/>
            <w:vAlign w:val="bottom"/>
            <w:tcBorders>
              <w:bottom w:val="single" w:sz="8" w:color="E8E8E8"/>
            </w:tcBorders>
            <w:shd w:val="clear" w:color="auto" w:fill="E8E8E8"/>
          </w:tcPr>
          <w:p>
            <w:pPr>
              <w:ind w:left="680"/>
              <w:spacing w:after="0"/>
              <w:rPr>
                <w:sz w:val="20"/>
                <w:szCs w:val="20"/>
                <w:color w:val="auto"/>
              </w:rPr>
            </w:pPr>
            <w:r>
              <w:rPr>
                <w:rFonts w:ascii="Arial" w:cs="Arial" w:eastAsia="Arial" w:hAnsi="Arial"/>
                <w:sz w:val="16"/>
                <w:szCs w:val="16"/>
                <w:color w:val="auto"/>
              </w:rPr>
              <w:t>*</w:t>
            </w:r>
          </w:p>
        </w:tc>
      </w:tr>
      <w:tr>
        <w:trPr>
          <w:trHeight w:val="264"/>
        </w:trPr>
        <w:tc>
          <w:tcPr>
            <w:tcW w:w="4600" w:type="dxa"/>
            <w:vAlign w:val="bottom"/>
          </w:tcPr>
          <w:p>
            <w:pPr>
              <w:ind w:left="200"/>
              <w:spacing w:after="0"/>
              <w:rPr>
                <w:sz w:val="20"/>
                <w:szCs w:val="20"/>
                <w:color w:val="auto"/>
              </w:rPr>
            </w:pPr>
            <w:r>
              <w:rPr>
                <w:rFonts w:ascii="Arial" w:cs="Arial" w:eastAsia="Arial" w:hAnsi="Arial"/>
                <w:sz w:val="16"/>
                <w:szCs w:val="16"/>
                <w:color w:val="auto"/>
              </w:rPr>
              <w:t>Richard P. Schifter</w:t>
            </w:r>
          </w:p>
        </w:tc>
        <w:tc>
          <w:tcPr>
            <w:tcW w:w="1180" w:type="dxa"/>
            <w:vAlign w:val="bottom"/>
          </w:tcPr>
          <w:p>
            <w:pPr>
              <w:jc w:val="right"/>
              <w:spacing w:after="0"/>
              <w:rPr>
                <w:sz w:val="20"/>
                <w:szCs w:val="20"/>
                <w:color w:val="auto"/>
              </w:rPr>
            </w:pPr>
            <w:r>
              <w:rPr>
                <w:rFonts w:ascii="Arial" w:cs="Arial" w:eastAsia="Arial" w:hAnsi="Arial"/>
                <w:sz w:val="16"/>
                <w:szCs w:val="16"/>
                <w:color w:val="auto"/>
              </w:rPr>
              <w:t>26,911</w:t>
            </w:r>
          </w:p>
        </w:tc>
        <w:tc>
          <w:tcPr>
            <w:tcW w:w="300" w:type="dxa"/>
            <w:vAlign w:val="bottom"/>
          </w:tcPr>
          <w:p>
            <w:pPr>
              <w:spacing w:after="0"/>
              <w:rPr>
                <w:sz w:val="22"/>
                <w:szCs w:val="22"/>
                <w:color w:val="auto"/>
              </w:rPr>
            </w:pPr>
          </w:p>
        </w:tc>
        <w:tc>
          <w:tcPr>
            <w:tcW w:w="940" w:type="dxa"/>
            <w:vAlign w:val="bottom"/>
          </w:tcPr>
          <w:p>
            <w:pPr>
              <w:jc w:val="right"/>
              <w:ind w:right="201"/>
              <w:spacing w:after="0"/>
              <w:rPr>
                <w:sz w:val="20"/>
                <w:szCs w:val="20"/>
                <w:color w:val="auto"/>
              </w:rPr>
            </w:pPr>
            <w:r>
              <w:rPr>
                <w:rFonts w:ascii="Arial" w:cs="Arial" w:eastAsia="Arial" w:hAnsi="Arial"/>
                <w:sz w:val="16"/>
                <w:szCs w:val="16"/>
                <w:color w:val="auto"/>
              </w:rPr>
              <w:t>24,015</w:t>
            </w:r>
          </w:p>
        </w:tc>
        <w:tc>
          <w:tcPr>
            <w:tcW w:w="880" w:type="dxa"/>
            <w:vAlign w:val="bottom"/>
          </w:tcPr>
          <w:p>
            <w:pPr>
              <w:spacing w:after="0"/>
              <w:rPr>
                <w:sz w:val="22"/>
                <w:szCs w:val="22"/>
                <w:color w:val="auto"/>
              </w:rPr>
            </w:pPr>
          </w:p>
        </w:tc>
        <w:tc>
          <w:tcPr>
            <w:tcW w:w="1600" w:type="dxa"/>
            <w:vAlign w:val="bottom"/>
          </w:tcPr>
          <w:p>
            <w:pPr>
              <w:jc w:val="right"/>
              <w:ind w:right="462"/>
              <w:spacing w:after="0"/>
              <w:rPr>
                <w:sz w:val="20"/>
                <w:szCs w:val="20"/>
                <w:color w:val="auto"/>
              </w:rPr>
            </w:pPr>
            <w:r>
              <w:rPr>
                <w:rFonts w:ascii="Arial" w:cs="Arial" w:eastAsia="Arial" w:hAnsi="Arial"/>
                <w:sz w:val="16"/>
                <w:szCs w:val="16"/>
                <w:color w:val="auto"/>
              </w:rPr>
              <w:t>50,926</w:t>
            </w:r>
          </w:p>
        </w:tc>
        <w:tc>
          <w:tcPr>
            <w:tcW w:w="1420" w:type="dxa"/>
            <w:vAlign w:val="bottom"/>
          </w:tcPr>
          <w:p>
            <w:pPr>
              <w:ind w:left="680"/>
              <w:spacing w:after="0"/>
              <w:rPr>
                <w:sz w:val="20"/>
                <w:szCs w:val="20"/>
                <w:color w:val="auto"/>
              </w:rPr>
            </w:pPr>
            <w:r>
              <w:rPr>
                <w:rFonts w:ascii="Arial" w:cs="Arial" w:eastAsia="Arial" w:hAnsi="Arial"/>
                <w:sz w:val="16"/>
                <w:szCs w:val="16"/>
                <w:color w:val="auto"/>
              </w:rPr>
              <w:t>*</w:t>
            </w:r>
          </w:p>
        </w:tc>
      </w:tr>
      <w:tr>
        <w:trPr>
          <w:trHeight w:val="57"/>
        </w:trPr>
        <w:tc>
          <w:tcPr>
            <w:tcW w:w="46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301"/>
        </w:trPr>
        <w:tc>
          <w:tcPr>
            <w:tcW w:w="4600" w:type="dxa"/>
            <w:vAlign w:val="bottom"/>
            <w:tcBorders>
              <w:bottom w:val="single" w:sz="8" w:color="E8E8E8"/>
            </w:tcBorders>
            <w:shd w:val="clear" w:color="auto" w:fill="E8E8E8"/>
          </w:tcPr>
          <w:p>
            <w:pPr>
              <w:ind w:left="200"/>
              <w:spacing w:after="0"/>
              <w:rPr>
                <w:sz w:val="20"/>
                <w:szCs w:val="20"/>
                <w:color w:val="auto"/>
              </w:rPr>
            </w:pPr>
            <w:r>
              <w:rPr>
                <w:rFonts w:ascii="Arial" w:cs="Arial" w:eastAsia="Arial" w:hAnsi="Arial"/>
                <w:sz w:val="16"/>
                <w:szCs w:val="16"/>
                <w:color w:val="auto"/>
              </w:rPr>
              <w:t>Corey E. Thomas</w:t>
            </w:r>
          </w:p>
        </w:tc>
        <w:tc>
          <w:tcPr>
            <w:tcW w:w="118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E8E8E8"/>
            </w:tcBorders>
            <w:shd w:val="clear" w:color="auto" w:fill="E8E8E8"/>
          </w:tcPr>
          <w:p>
            <w:pPr>
              <w:spacing w:after="0"/>
              <w:rPr>
                <w:sz w:val="24"/>
                <w:szCs w:val="24"/>
                <w:color w:val="auto"/>
              </w:rPr>
            </w:pPr>
          </w:p>
        </w:tc>
        <w:tc>
          <w:tcPr>
            <w:tcW w:w="940" w:type="dxa"/>
            <w:vAlign w:val="bottom"/>
            <w:tcBorders>
              <w:bottom w:val="single" w:sz="8" w:color="E8E8E8"/>
            </w:tcBorders>
            <w:shd w:val="clear" w:color="auto" w:fill="E8E8E8"/>
          </w:tcPr>
          <w:p>
            <w:pPr>
              <w:jc w:val="right"/>
              <w:ind w:right="201"/>
              <w:spacing w:after="0"/>
              <w:rPr>
                <w:sz w:val="20"/>
                <w:szCs w:val="20"/>
                <w:color w:val="auto"/>
              </w:rPr>
            </w:pPr>
            <w:r>
              <w:rPr>
                <w:rFonts w:ascii="Arial" w:cs="Arial" w:eastAsia="Arial" w:hAnsi="Arial"/>
                <w:sz w:val="16"/>
                <w:szCs w:val="16"/>
                <w:color w:val="auto"/>
              </w:rPr>
              <w:t>9,093</w:t>
            </w:r>
          </w:p>
        </w:tc>
        <w:tc>
          <w:tcPr>
            <w:tcW w:w="880" w:type="dxa"/>
            <w:vAlign w:val="bottom"/>
            <w:tcBorders>
              <w:bottom w:val="single" w:sz="8" w:color="E8E8E8"/>
            </w:tcBorders>
            <w:shd w:val="clear" w:color="auto" w:fill="E8E8E8"/>
          </w:tcPr>
          <w:p>
            <w:pPr>
              <w:spacing w:after="0"/>
              <w:rPr>
                <w:sz w:val="24"/>
                <w:szCs w:val="24"/>
                <w:color w:val="auto"/>
              </w:rPr>
            </w:pPr>
          </w:p>
        </w:tc>
        <w:tc>
          <w:tcPr>
            <w:tcW w:w="1600" w:type="dxa"/>
            <w:vAlign w:val="bottom"/>
            <w:tcBorders>
              <w:bottom w:val="single" w:sz="8" w:color="E8E8E8"/>
            </w:tcBorders>
            <w:shd w:val="clear" w:color="auto" w:fill="E8E8E8"/>
          </w:tcPr>
          <w:p>
            <w:pPr>
              <w:jc w:val="right"/>
              <w:ind w:right="462"/>
              <w:spacing w:after="0"/>
              <w:rPr>
                <w:sz w:val="20"/>
                <w:szCs w:val="20"/>
                <w:color w:val="auto"/>
              </w:rPr>
            </w:pPr>
            <w:r>
              <w:rPr>
                <w:rFonts w:ascii="Arial" w:cs="Arial" w:eastAsia="Arial" w:hAnsi="Arial"/>
                <w:sz w:val="16"/>
                <w:szCs w:val="16"/>
                <w:color w:val="auto"/>
              </w:rPr>
              <w:t>9,093</w:t>
            </w:r>
          </w:p>
        </w:tc>
        <w:tc>
          <w:tcPr>
            <w:tcW w:w="1420" w:type="dxa"/>
            <w:vAlign w:val="bottom"/>
            <w:tcBorders>
              <w:bottom w:val="single" w:sz="8" w:color="E8E8E8"/>
            </w:tcBorders>
            <w:shd w:val="clear" w:color="auto" w:fill="E8E8E8"/>
          </w:tcPr>
          <w:p>
            <w:pPr>
              <w:ind w:left="680"/>
              <w:spacing w:after="0"/>
              <w:rPr>
                <w:sz w:val="20"/>
                <w:szCs w:val="20"/>
                <w:color w:val="auto"/>
              </w:rPr>
            </w:pPr>
            <w:r>
              <w:rPr>
                <w:rFonts w:ascii="Arial" w:cs="Arial" w:eastAsia="Arial" w:hAnsi="Arial"/>
                <w:sz w:val="16"/>
                <w:szCs w:val="16"/>
                <w:color w:val="auto"/>
              </w:rPr>
              <w:t>*</w:t>
            </w:r>
          </w:p>
        </w:tc>
      </w:tr>
      <w:tr>
        <w:trPr>
          <w:trHeight w:val="264"/>
        </w:trPr>
        <w:tc>
          <w:tcPr>
            <w:tcW w:w="4600" w:type="dxa"/>
            <w:vAlign w:val="bottom"/>
          </w:tcPr>
          <w:p>
            <w:pPr>
              <w:ind w:left="200"/>
              <w:spacing w:after="0"/>
              <w:rPr>
                <w:sz w:val="20"/>
                <w:szCs w:val="20"/>
                <w:color w:val="auto"/>
              </w:rPr>
            </w:pPr>
            <w:r>
              <w:rPr>
                <w:rFonts w:ascii="Arial" w:cs="Arial" w:eastAsia="Arial" w:hAnsi="Arial"/>
                <w:sz w:val="16"/>
                <w:szCs w:val="16"/>
                <w:color w:val="auto"/>
              </w:rPr>
              <w:t>All current directors and executive officers as a group</w:t>
            </w:r>
          </w:p>
        </w:tc>
        <w:tc>
          <w:tcPr>
            <w:tcW w:w="1180" w:type="dxa"/>
            <w:vAlign w:val="bottom"/>
          </w:tcPr>
          <w:p>
            <w:pPr>
              <w:jc w:val="right"/>
              <w:spacing w:after="0"/>
              <w:rPr>
                <w:sz w:val="20"/>
                <w:szCs w:val="20"/>
                <w:color w:val="auto"/>
              </w:rPr>
            </w:pPr>
            <w:r>
              <w:rPr>
                <w:rFonts w:ascii="Arial" w:cs="Arial" w:eastAsia="Arial" w:hAnsi="Arial"/>
                <w:sz w:val="16"/>
                <w:szCs w:val="16"/>
                <w:color w:val="auto"/>
              </w:rPr>
              <w:t>522,002</w:t>
            </w:r>
          </w:p>
        </w:tc>
        <w:tc>
          <w:tcPr>
            <w:tcW w:w="300" w:type="dxa"/>
            <w:vAlign w:val="bottom"/>
          </w:tcPr>
          <w:p>
            <w:pPr>
              <w:spacing w:after="0"/>
              <w:rPr>
                <w:sz w:val="22"/>
                <w:szCs w:val="22"/>
                <w:color w:val="auto"/>
              </w:rPr>
            </w:pPr>
          </w:p>
        </w:tc>
        <w:tc>
          <w:tcPr>
            <w:tcW w:w="940" w:type="dxa"/>
            <w:vAlign w:val="bottom"/>
          </w:tcPr>
          <w:p>
            <w:pPr>
              <w:jc w:val="right"/>
              <w:ind w:right="201"/>
              <w:spacing w:after="0"/>
              <w:rPr>
                <w:sz w:val="20"/>
                <w:szCs w:val="20"/>
                <w:color w:val="auto"/>
              </w:rPr>
            </w:pPr>
            <w:r>
              <w:rPr>
                <w:rFonts w:ascii="Arial" w:cs="Arial" w:eastAsia="Arial" w:hAnsi="Arial"/>
                <w:sz w:val="16"/>
                <w:szCs w:val="16"/>
                <w:color w:val="auto"/>
              </w:rPr>
              <w:t>736,019</w:t>
            </w:r>
          </w:p>
        </w:tc>
        <w:tc>
          <w:tcPr>
            <w:tcW w:w="880" w:type="dxa"/>
            <w:vAlign w:val="bottom"/>
          </w:tcPr>
          <w:p>
            <w:pPr>
              <w:spacing w:after="0"/>
              <w:rPr>
                <w:sz w:val="22"/>
                <w:szCs w:val="22"/>
                <w:color w:val="auto"/>
              </w:rPr>
            </w:pPr>
          </w:p>
        </w:tc>
        <w:tc>
          <w:tcPr>
            <w:tcW w:w="1600" w:type="dxa"/>
            <w:vAlign w:val="bottom"/>
          </w:tcPr>
          <w:p>
            <w:pPr>
              <w:jc w:val="right"/>
              <w:ind w:right="462"/>
              <w:spacing w:after="0"/>
              <w:rPr>
                <w:sz w:val="20"/>
                <w:szCs w:val="20"/>
                <w:color w:val="auto"/>
              </w:rPr>
            </w:pPr>
            <w:r>
              <w:rPr>
                <w:rFonts w:ascii="Arial" w:cs="Arial" w:eastAsia="Arial" w:hAnsi="Arial"/>
                <w:sz w:val="16"/>
                <w:szCs w:val="16"/>
                <w:color w:val="auto"/>
              </w:rPr>
              <w:t>1,258,021</w:t>
            </w:r>
          </w:p>
        </w:tc>
        <w:tc>
          <w:tcPr>
            <w:tcW w:w="1420" w:type="dxa"/>
            <w:vAlign w:val="bottom"/>
          </w:tcPr>
          <w:p>
            <w:pPr>
              <w:jc w:val="center"/>
              <w:ind w:right="81"/>
              <w:spacing w:after="0"/>
              <w:rPr>
                <w:sz w:val="20"/>
                <w:szCs w:val="20"/>
                <w:color w:val="auto"/>
              </w:rPr>
            </w:pPr>
            <w:r>
              <w:rPr>
                <w:rFonts w:ascii="Arial" w:cs="Arial" w:eastAsia="Arial" w:hAnsi="Arial"/>
                <w:sz w:val="16"/>
                <w:szCs w:val="16"/>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36195</wp:posOffset>
            </wp:positionV>
            <wp:extent cx="69297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Less than 1%</w:t>
      </w:r>
    </w:p>
    <w:p>
      <w:pPr>
        <w:spacing w:after="0" w:line="70" w:lineRule="exact"/>
        <w:rPr>
          <w:sz w:val="20"/>
          <w:szCs w:val="20"/>
          <w:color w:val="auto"/>
        </w:rPr>
      </w:pPr>
    </w:p>
    <w:p>
      <w:pPr>
        <w:jc w:val="both"/>
        <w:ind w:left="600" w:hanging="433"/>
        <w:spacing w:after="0" w:line="262" w:lineRule="auto"/>
        <w:tabs>
          <w:tab w:leader="none" w:pos="6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Consists of Common Stock which the named individual or group has the right to acquire within 60 days of March 21, 2022 through (i) the exercise of vested or vesting stock options, (ii) vesting RSUs or (iii) vested or vesting deferred stock units granted under our Non-Employee Director Deferred Compensation Plan.</w:t>
      </w:r>
    </w:p>
    <w:p>
      <w:pPr>
        <w:sectPr>
          <w:pgSz w:w="11900" w:h="16838" w:orient="portrait"/>
          <w:cols w:equalWidth="0" w:num="1">
            <w:col w:w="11080"/>
          </w:cols>
          <w:pgMar w:left="320" w:top="454" w:right="499" w:bottom="1440" w:gutter="0" w:footer="0" w:header="0"/>
          <w:type w:val="continuous"/>
        </w:sectPr>
      </w:pPr>
    </w:p>
    <w:p>
      <w:pPr>
        <w:spacing w:after="0" w:line="102" w:lineRule="exact"/>
        <w:rPr>
          <w:sz w:val="20"/>
          <w:szCs w:val="20"/>
          <w:color w:val="auto"/>
        </w:rPr>
      </w:pPr>
    </w:p>
    <w:p>
      <w:pPr>
        <w:ind w:left="8500"/>
        <w:spacing w:after="0"/>
        <w:tabs>
          <w:tab w:leader="none" w:pos="10860" w:val="left"/>
        </w:tabs>
        <w:rPr>
          <w:sz w:val="20"/>
          <w:szCs w:val="20"/>
          <w:color w:val="auto"/>
        </w:rPr>
      </w:pPr>
      <w:r>
        <w:rPr>
          <w:rFonts w:ascii="Arial" w:cs="Arial" w:eastAsia="Arial" w:hAnsi="Arial"/>
          <w:sz w:val="18"/>
          <w:szCs w:val="18"/>
          <w:b w:val="1"/>
          <w:bCs w:val="1"/>
          <w:color w:val="050A54"/>
        </w:rPr>
        <w:t>2022 Proxy Statement</w:t>
      </w:r>
      <w:r>
        <w:rPr>
          <w:sz w:val="20"/>
          <w:szCs w:val="20"/>
          <w:color w:val="auto"/>
        </w:rPr>
        <w:tab/>
      </w:r>
      <w:r>
        <w:rPr>
          <w:rFonts w:ascii="Arial" w:cs="Arial" w:eastAsia="Arial" w:hAnsi="Arial"/>
          <w:sz w:val="17"/>
          <w:szCs w:val="17"/>
          <w:color w:val="050A54"/>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6696710</wp:posOffset>
            </wp:positionH>
            <wp:positionV relativeFrom="paragraph">
              <wp:posOffset>-118745</wp:posOffset>
            </wp:positionV>
            <wp:extent cx="8255" cy="135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11"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Security Ownership of Certain Beneficial</w:t>
      </w:r>
    </w:p>
    <w:p>
      <w:pPr>
        <w:spacing w:after="0" w:line="4"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60325</wp:posOffset>
            </wp:positionV>
            <wp:extent cx="69297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48" w:lineRule="exact"/>
        <w:rPr>
          <w:sz w:val="20"/>
          <w:szCs w:val="20"/>
          <w:color w:val="auto"/>
        </w:rPr>
      </w:pPr>
    </w:p>
    <w:p>
      <w:pPr>
        <w:jc w:val="both"/>
        <w:ind w:left="600" w:hanging="433"/>
        <w:spacing w:after="0" w:line="247" w:lineRule="auto"/>
        <w:tabs>
          <w:tab w:leader="none" w:pos="6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Consists of shares of Common Stock held by Janus Henderson Group PLC (“Janus Henderson”). Janus Henderson has an indirect 97% ownership stake in Intech Investment Management LLC and a 100% ownership stake in Janus Henderson Investors U.S. LLC (“JHIUS”), Henderson Global Investors Limited and Janus Henderson Investors Australia Institutional Funds Management Limited (each an “Asset Manager” and collectively the “Asset Managers”). Due to the above ownership structure, holdings for the Asset Managers are aggregated. Each Asset Manager is an investment adviser registered or authorized in its relevant jurisdiction and each furnishes investment advice to various fund, individual and/or institutional clients (collectively, “Managed Portfolios”). As a result of its role as investment adviser or sub-adviser to the Managed Portfolios, JHIUS may be deemed to be the beneficial owner of 8,028,837 shares of Common Stock held by such Managed Portfolios. However, JHIUS does not have the right to receive any dividends from, or the proceeds from the sale of, the securities held in the Managed Portfolios and disclaims any ownership associated with such rights. The interest of Janus Henderson Enterprise Fund, an investment company registered under the Investment Company Act of 1940, amounted to 4,111,220 shares of Common Stock. This information is based on a Schedule 13G/A filed by Janus Henderson on February 11, 2022 with the SEC. The address of Janus Henderson is 201 Bishopsgate EC2M 3AE, United Kingdom.</w:t>
      </w:r>
    </w:p>
    <w:p>
      <w:pPr>
        <w:spacing w:after="0" w:line="43" w:lineRule="exact"/>
        <w:rPr>
          <w:rFonts w:ascii="Arial" w:cs="Arial" w:eastAsia="Arial" w:hAnsi="Arial"/>
          <w:sz w:val="16"/>
          <w:szCs w:val="16"/>
          <w:color w:val="auto"/>
        </w:rPr>
      </w:pPr>
    </w:p>
    <w:p>
      <w:pPr>
        <w:ind w:left="600" w:hanging="433"/>
        <w:spacing w:after="0" w:line="279" w:lineRule="auto"/>
        <w:tabs>
          <w:tab w:leader="none" w:pos="6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This information is based on a Schedule 13G/A filed by the Vanguard Group, Inc. on February 10, 2022 with the SEC. The address of The Vanguard Group, Inc. is 100 Vanguard Blvd., Malvern, PA 19355.</w:t>
      </w:r>
    </w:p>
    <w:p>
      <w:pPr>
        <w:spacing w:after="0" w:line="13" w:lineRule="exact"/>
        <w:rPr>
          <w:rFonts w:ascii="Arial" w:cs="Arial" w:eastAsia="Arial" w:hAnsi="Arial"/>
          <w:sz w:val="16"/>
          <w:szCs w:val="16"/>
          <w:color w:val="auto"/>
        </w:rPr>
      </w:pPr>
    </w:p>
    <w:p>
      <w:pPr>
        <w:ind w:left="600" w:hanging="433"/>
        <w:spacing w:after="0"/>
        <w:tabs>
          <w:tab w:leader="none" w:pos="6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Includes the transfer of 16,667 shares on March 18, 2022 to a donor advised fund.</w:t>
      </w:r>
    </w:p>
    <w:p>
      <w:pPr>
        <w:spacing w:after="0" w:line="70" w:lineRule="exact"/>
        <w:rPr>
          <w:rFonts w:ascii="Arial" w:cs="Arial" w:eastAsia="Arial" w:hAnsi="Arial"/>
          <w:sz w:val="16"/>
          <w:szCs w:val="16"/>
          <w:color w:val="auto"/>
        </w:rPr>
      </w:pPr>
    </w:p>
    <w:p>
      <w:pPr>
        <w:ind w:left="600" w:hanging="433"/>
        <w:spacing w:after="0" w:line="279" w:lineRule="auto"/>
        <w:tabs>
          <w:tab w:leader="none" w:pos="6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Consists of (i) 5,000 shares of Common Stock held directly and (ii) 35,971 shares of Common Stock held indirectly through a trust for which Mr. Bernard is a trustee and disclaims beneficial ownership.</w:t>
      </w:r>
    </w:p>
    <w:p>
      <w:pPr>
        <w:spacing w:after="0" w:line="13" w:lineRule="exact"/>
        <w:rPr>
          <w:rFonts w:ascii="Arial" w:cs="Arial" w:eastAsia="Arial" w:hAnsi="Arial"/>
          <w:sz w:val="16"/>
          <w:szCs w:val="16"/>
          <w:color w:val="auto"/>
        </w:rPr>
      </w:pPr>
    </w:p>
    <w:p>
      <w:pPr>
        <w:ind w:left="600" w:hanging="433"/>
        <w:spacing w:after="0"/>
        <w:tabs>
          <w:tab w:leader="none" w:pos="6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Consists of 1,760 shares of Common Stock held indirectly through spouse’s trust. Mr. Glavin disclaims beneficial ownership of such securities.</w:t>
      </w:r>
    </w:p>
    <w:p>
      <w:pPr>
        <w:spacing w:after="0" w:line="70" w:lineRule="exact"/>
        <w:rPr>
          <w:rFonts w:ascii="Arial" w:cs="Arial" w:eastAsia="Arial" w:hAnsi="Arial"/>
          <w:sz w:val="16"/>
          <w:szCs w:val="16"/>
          <w:color w:val="auto"/>
        </w:rPr>
      </w:pPr>
    </w:p>
    <w:p>
      <w:pPr>
        <w:ind w:left="600" w:hanging="433"/>
        <w:spacing w:after="0"/>
        <w:tabs>
          <w:tab w:leader="none" w:pos="60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Mr. Putnam holds 114,161 shares of Common Stock through James S. Putnam TTEE for Putnam Family Trust Dated 1699 Separate Property Trust.</w:t>
      </w:r>
    </w:p>
    <w:p>
      <w:pPr>
        <w:spacing w:after="0" w:line="157" w:lineRule="exact"/>
        <w:rPr>
          <w:sz w:val="20"/>
          <w:szCs w:val="20"/>
          <w:color w:val="auto"/>
        </w:rPr>
      </w:pPr>
    </w:p>
    <w:p>
      <w:pPr>
        <w:ind w:left="1000" w:hanging="690"/>
        <w:spacing w:after="0"/>
        <w:tabs>
          <w:tab w:leader="none" w:pos="1000" w:val="left"/>
        </w:tabs>
        <w:numPr>
          <w:ilvl w:val="0"/>
          <w:numId w:val="109"/>
        </w:numPr>
        <w:rPr>
          <w:rFonts w:ascii="Arial" w:cs="Arial" w:eastAsia="Arial" w:hAnsi="Arial"/>
          <w:sz w:val="18"/>
          <w:szCs w:val="18"/>
          <w:color w:val="050A54"/>
        </w:rPr>
      </w:pPr>
      <w:r>
        <w:rPr>
          <w:rFonts w:ascii="Arial" w:cs="Arial" w:eastAsia="Arial" w:hAnsi="Arial"/>
          <w:sz w:val="18"/>
          <w:szCs w:val="18"/>
          <w:b w:val="1"/>
          <w:bCs w:val="1"/>
          <w:color w:val="050A54"/>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-118745</wp:posOffset>
            </wp:positionV>
            <wp:extent cx="8255" cy="135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860"/>
        <w:spacing w:after="0"/>
        <w:rPr>
          <w:sz w:val="20"/>
          <w:szCs w:val="20"/>
          <w:color w:val="auto"/>
        </w:rPr>
      </w:pPr>
      <w:r>
        <w:rPr>
          <w:rFonts w:ascii="Arial" w:cs="Arial" w:eastAsia="Arial" w:hAnsi="Arial"/>
          <w:sz w:val="19"/>
          <w:szCs w:val="19"/>
          <w:b w:val="1"/>
          <w:bCs w:val="1"/>
          <w:color w:val="050A54"/>
        </w:rPr>
        <w:t>Certain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80010</wp:posOffset>
            </wp:positionV>
            <wp:extent cx="69297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5" w:lineRule="exact"/>
        <w:rPr>
          <w:sz w:val="20"/>
          <w:szCs w:val="20"/>
          <w:color w:val="auto"/>
        </w:rPr>
      </w:pPr>
    </w:p>
    <w:p>
      <w:pPr>
        <w:jc w:val="center"/>
        <w:ind w:right="-179"/>
        <w:spacing w:after="0"/>
        <w:rPr>
          <w:sz w:val="20"/>
          <w:szCs w:val="20"/>
          <w:color w:val="auto"/>
        </w:rPr>
      </w:pPr>
      <w:r>
        <w:rPr>
          <w:rFonts w:ascii="Arial" w:cs="Arial" w:eastAsia="Arial" w:hAnsi="Arial"/>
          <w:sz w:val="21"/>
          <w:szCs w:val="21"/>
          <w:b w:val="1"/>
          <w:bCs w:val="1"/>
          <w:color w:val="050A54"/>
        </w:rPr>
        <w:t>Certain Relationships and Related Party Transactions</w:t>
      </w:r>
    </w:p>
    <w:p>
      <w:pPr>
        <w:sectPr>
          <w:pgSz w:w="11900" w:h="16838" w:orient="portrait"/>
          <w:cols w:equalWidth="0" w:num="1">
            <w:col w:w="11080"/>
          </w:cols>
          <w:pgMar w:left="320" w:top="454" w:right="499" w:bottom="1440" w:gutter="0" w:footer="0" w:header="0"/>
        </w:sectPr>
      </w:pPr>
    </w:p>
    <w:p>
      <w:pPr>
        <w:spacing w:after="0" w:line="352" w:lineRule="exact"/>
        <w:rPr>
          <w:sz w:val="20"/>
          <w:szCs w:val="20"/>
          <w:color w:val="auto"/>
        </w:rPr>
      </w:pPr>
    </w:p>
    <w:p>
      <w:pPr>
        <w:ind w:left="160" w:right="280"/>
        <w:spacing w:after="0" w:line="264" w:lineRule="auto"/>
        <w:rPr>
          <w:sz w:val="20"/>
          <w:szCs w:val="20"/>
          <w:color w:val="auto"/>
        </w:rPr>
      </w:pPr>
      <w:r>
        <w:rPr>
          <w:rFonts w:ascii="Arial" w:cs="Arial" w:eastAsia="Arial" w:hAnsi="Arial"/>
          <w:sz w:val="20"/>
          <w:szCs w:val="20"/>
          <w:b w:val="1"/>
          <w:bCs w:val="1"/>
          <w:color w:val="050A54"/>
        </w:rPr>
        <w:t>Review, Approval or Ratification of Transactions with Related Persons</w:t>
      </w:r>
    </w:p>
    <w:p>
      <w:pPr>
        <w:spacing w:after="0" w:line="34"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In accordance with the charter of the Audit Committee and our written policy, the Audit Committee is responsible for reviewing and approving related party transactions. If it is not feasible to approve related party transactions in advance, the Audit Committee is permitted to ratify such transactions after the Company has entered into them, subject to the procedures and considerations described below.</w:t>
      </w:r>
    </w:p>
    <w:p>
      <w:pPr>
        <w:spacing w:after="0" w:line="181"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The policy with respect to related party transactions applies to any transaction, arrangement or relationship, or series of similar transactions, arrangements or relationships (including any indebtedness or guarantee of indebtedness) in which:</w:t>
      </w:r>
    </w:p>
    <w:p>
      <w:pPr>
        <w:spacing w:after="0" w:line="85" w:lineRule="exact"/>
        <w:rPr>
          <w:sz w:val="20"/>
          <w:szCs w:val="20"/>
          <w:color w:val="auto"/>
        </w:rPr>
      </w:pPr>
    </w:p>
    <w:p>
      <w:pPr>
        <w:ind w:left="520"/>
        <w:spacing w:after="0" w:line="265" w:lineRule="auto"/>
        <w:rPr>
          <w:sz w:val="20"/>
          <w:szCs w:val="20"/>
          <w:color w:val="auto"/>
        </w:rPr>
      </w:pPr>
      <w:r>
        <w:rPr>
          <w:rFonts w:ascii="Arial" w:cs="Arial" w:eastAsia="Arial" w:hAnsi="Arial"/>
          <w:sz w:val="18"/>
          <w:szCs w:val="18"/>
          <w:color w:val="auto"/>
        </w:rPr>
        <w:t>the aggregate amount involved exceeds or is expected to exceed $120,000;</w:t>
      </w:r>
    </w:p>
    <w:p>
      <w:pPr>
        <w:spacing w:after="0" w:line="64" w:lineRule="exact"/>
        <w:rPr>
          <w:sz w:val="20"/>
          <w:szCs w:val="20"/>
          <w:color w:val="auto"/>
        </w:rPr>
      </w:pPr>
    </w:p>
    <w:p>
      <w:pPr>
        <w:jc w:val="both"/>
        <w:ind w:left="160" w:right="160" w:firstLine="361"/>
        <w:spacing w:after="0" w:line="377" w:lineRule="auto"/>
        <w:rPr>
          <w:sz w:val="20"/>
          <w:szCs w:val="20"/>
          <w:color w:val="auto"/>
        </w:rPr>
      </w:pPr>
      <w:r>
        <w:rPr>
          <w:rFonts w:ascii="Arial" w:cs="Arial" w:eastAsia="Arial" w:hAnsi="Arial"/>
          <w:sz w:val="18"/>
          <w:szCs w:val="18"/>
          <w:color w:val="auto"/>
        </w:rPr>
        <w:t>the Company or any of its subsidiaries is a participant; and a related person has or will have a direct or indirect interest. A related person is:</w:t>
      </w:r>
    </w:p>
    <w:p>
      <w:pPr>
        <w:ind w:left="520"/>
        <w:spacing w:after="0" w:line="243" w:lineRule="auto"/>
        <w:rPr>
          <w:sz w:val="20"/>
          <w:szCs w:val="20"/>
          <w:color w:val="auto"/>
        </w:rPr>
      </w:pPr>
      <w:r>
        <w:rPr>
          <w:rFonts w:ascii="Arial" w:cs="Arial" w:eastAsia="Arial" w:hAnsi="Arial"/>
          <w:sz w:val="18"/>
          <w:szCs w:val="18"/>
          <w:color w:val="auto"/>
        </w:rPr>
        <w:t>any person who is, or at any time since the beginning of our last fiscal year was, a director or executive officer of the Company, or a nominee for election as a director of the Company;</w:t>
      </w:r>
    </w:p>
    <w:p>
      <w:pPr>
        <w:spacing w:after="0" w:line="84" w:lineRule="exact"/>
        <w:rPr>
          <w:sz w:val="20"/>
          <w:szCs w:val="20"/>
          <w:color w:val="auto"/>
        </w:rPr>
      </w:pPr>
    </w:p>
    <w:p>
      <w:pPr>
        <w:ind w:left="520" w:right="20"/>
        <w:spacing w:after="0" w:line="265" w:lineRule="auto"/>
        <w:rPr>
          <w:sz w:val="20"/>
          <w:szCs w:val="20"/>
          <w:color w:val="auto"/>
        </w:rPr>
      </w:pPr>
      <w:r>
        <w:rPr>
          <w:rFonts w:ascii="Arial" w:cs="Arial" w:eastAsia="Arial" w:hAnsi="Arial"/>
          <w:sz w:val="18"/>
          <w:szCs w:val="18"/>
          <w:color w:val="auto"/>
        </w:rPr>
        <w:t>any beneficial owner of more than five percent of our Common Stock; or</w:t>
      </w:r>
    </w:p>
    <w:p>
      <w:pPr>
        <w:spacing w:after="0" w:line="6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any immediate family member of the foregoing persons.</w:t>
      </w:r>
    </w:p>
    <w:p>
      <w:pPr>
        <w:spacing w:after="0" w:line="221"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The Audit Committee is provided with the material facts of all transactions that require the Audit Committee’s approval under the policy. In determining whether to approve or ratify a particular transaction, the Audit Committee will take into account, among other factors it deems appropriate, whether the transaction is on terms no less favorable than terms generally available to an unaffiliated third party under the same or similar circumstances and the extent of the related person’s interest in the transaction.</w:t>
      </w:r>
    </w:p>
    <w:p>
      <w:pPr>
        <w:spacing w:after="0" w:line="184"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Under the policy, a director is not permitted to participate in any discussion or approval of a transaction for which he or she (or an immediate family member) is the related person, and such director must provide the Audit Committee with all</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material information concerning the transaction. If an approved transaction is ongoing, the Audit Committee may establish guidelines for management to follow in its dealings with such person and will annually review and assess compliance with such guidelines, and whether the transaction remains appropriate for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050A54"/>
        </w:rPr>
        <w:t>Business Transactions with Certain Stockholders</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Janus Henderson Group PLC (“Janus Henderson”) considered itself the direct or indirect beneficial owner of more than five percent of our Common Stock during 2021. The Company has entered into certain agreements in the ordinary course of business with affiliates of Janus Henderson and during the year ended December 31, 2021 received revenue of approximately $5.7 million under such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2760" w:type="dxa"/>
        <w:tblCellMar>
          <w:top w:w="0" w:type="dxa"/>
          <w:left w:w="0" w:type="dxa"/>
          <w:bottom w:w="0" w:type="dxa"/>
          <w:right w:w="0" w:type="dxa"/>
        </w:tblCellMar>
      </w:tblPr>
      <w:tr>
        <w:trPr>
          <w:trHeight w:val="233"/>
        </w:trPr>
        <w:tc>
          <w:tcPr>
            <w:tcW w:w="2060" w:type="dxa"/>
            <w:vAlign w:val="bottom"/>
            <w:tcBorders>
              <w:right w:val="single" w:sz="8" w:color="050A54"/>
            </w:tcBorders>
          </w:tcPr>
          <w:p>
            <w:pPr>
              <w:spacing w:after="0"/>
              <w:rPr>
                <w:sz w:val="20"/>
                <w:szCs w:val="20"/>
                <w:color w:val="auto"/>
              </w:rPr>
            </w:pPr>
            <w:r>
              <w:rPr>
                <w:rFonts w:ascii="Arial" w:cs="Arial" w:eastAsia="Arial" w:hAnsi="Arial"/>
                <w:sz w:val="18"/>
                <w:szCs w:val="18"/>
                <w:b w:val="1"/>
                <w:bCs w:val="1"/>
                <w:color w:val="050A54"/>
              </w:rPr>
              <w:t>2022 Proxy Statement</w:t>
            </w:r>
          </w:p>
        </w:tc>
        <w:tc>
          <w:tcPr>
            <w:tcW w:w="520" w:type="dxa"/>
            <w:vAlign w:val="bottom"/>
          </w:tcPr>
          <w:p>
            <w:pPr>
              <w:jc w:val="right"/>
              <w:spacing w:after="0"/>
              <w:rPr>
                <w:sz w:val="20"/>
                <w:szCs w:val="20"/>
                <w:color w:val="auto"/>
              </w:rPr>
            </w:pPr>
            <w:r>
              <w:rPr>
                <w:rFonts w:ascii="Arial" w:cs="Arial" w:eastAsia="Arial" w:hAnsi="Arial"/>
                <w:sz w:val="18"/>
                <w:szCs w:val="18"/>
                <w:color w:val="050A54"/>
              </w:rPr>
              <w:t>65</w:t>
            </w:r>
          </w:p>
        </w:tc>
      </w:tr>
    </w:tbl>
    <w:p>
      <w:pPr>
        <w:sectPr>
          <w:pgSz w:w="11900" w:h="16838" w:orient="portrait"/>
          <w:cols w:equalWidth="0" w:num="2">
            <w:col w:w="5400" w:space="340"/>
            <w:col w:w="5340"/>
          </w:cols>
          <w:pgMar w:left="320" w:top="454" w:right="499" w:bottom="1440" w:gutter="0" w:footer="0" w:header="0"/>
          <w:type w:val="continuous"/>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right"/>
        <w:ind w:right="280"/>
        <w:spacing w:after="0"/>
        <w:rPr>
          <w:sz w:val="20"/>
          <w:szCs w:val="20"/>
          <w:color w:val="auto"/>
        </w:rPr>
      </w:pPr>
      <w:r>
        <w:rPr>
          <w:rFonts w:ascii="Arial" w:cs="Arial" w:eastAsia="Arial" w:hAnsi="Arial"/>
          <w:sz w:val="20"/>
          <w:szCs w:val="20"/>
          <w:b w:val="1"/>
          <w:bCs w:val="1"/>
          <w:color w:val="050A54"/>
        </w:rPr>
        <w:t>Proposal 2: Ratification of the Appointment of Deloitte &amp; Touche</w:t>
      </w:r>
    </w:p>
    <w:p>
      <w:pPr>
        <w:jc w:val="right"/>
        <w:ind w:right="220"/>
        <w:spacing w:after="0" w:line="227" w:lineRule="auto"/>
        <w:rPr>
          <w:sz w:val="20"/>
          <w:szCs w:val="20"/>
          <w:color w:val="auto"/>
        </w:rPr>
      </w:pPr>
      <w:r>
        <w:rPr>
          <w:rFonts w:ascii="Arial" w:cs="Arial" w:eastAsia="Arial" w:hAnsi="Arial"/>
          <w:sz w:val="20"/>
          <w:szCs w:val="20"/>
          <w:b w:val="1"/>
          <w:bCs w:val="1"/>
          <w:color w:val="050A54"/>
        </w:rPr>
        <w:t>LLP</w:t>
      </w:r>
    </w:p>
    <w:p>
      <w:pPr>
        <w:jc w:val="right"/>
        <w:ind w:right="220"/>
        <w:spacing w:after="0" w:line="223" w:lineRule="auto"/>
        <w:rPr>
          <w:sz w:val="20"/>
          <w:szCs w:val="20"/>
          <w:color w:val="auto"/>
        </w:rPr>
      </w:pPr>
      <w:r>
        <w:rPr>
          <w:rFonts w:ascii="Arial" w:cs="Arial" w:eastAsia="Arial" w:hAnsi="Arial"/>
          <w:sz w:val="20"/>
          <w:szCs w:val="20"/>
          <w:b w:val="1"/>
          <w:bCs w:val="1"/>
          <w:color w:val="050A54"/>
        </w:rPr>
        <w:t>by the Audit Committee of the Board of Directors as Our</w:t>
      </w:r>
    </w:p>
    <w:p>
      <w:pPr>
        <w:spacing w:after="0" w:line="1"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60325</wp:posOffset>
            </wp:positionV>
            <wp:extent cx="69297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33" w:lineRule="exact"/>
        <w:rPr>
          <w:sz w:val="20"/>
          <w:szCs w:val="20"/>
          <w:color w:val="auto"/>
        </w:rPr>
      </w:pPr>
    </w:p>
    <w:p>
      <w:pPr>
        <w:jc w:val="center"/>
        <w:ind w:right="-179"/>
        <w:spacing w:after="0"/>
        <w:rPr>
          <w:sz w:val="20"/>
          <w:szCs w:val="20"/>
          <w:color w:val="auto"/>
        </w:rPr>
      </w:pPr>
      <w:r>
        <w:rPr>
          <w:rFonts w:ascii="Arial" w:cs="Arial" w:eastAsia="Arial" w:hAnsi="Arial"/>
          <w:sz w:val="21"/>
          <w:szCs w:val="21"/>
          <w:b w:val="1"/>
          <w:bCs w:val="1"/>
          <w:color w:val="050A54"/>
        </w:rPr>
        <w:t>Proposal 2: Ratification of the Appointment of Deloitte &amp; Touche LLP</w:t>
      </w:r>
    </w:p>
    <w:p>
      <w:pPr>
        <w:spacing w:after="0" w:line="20" w:lineRule="exact"/>
        <w:rPr>
          <w:sz w:val="20"/>
          <w:szCs w:val="20"/>
          <w:color w:val="auto"/>
        </w:rPr>
      </w:pPr>
    </w:p>
    <w:p>
      <w:pPr>
        <w:ind w:left="2980"/>
        <w:spacing w:after="0"/>
        <w:rPr>
          <w:sz w:val="20"/>
          <w:szCs w:val="20"/>
          <w:color w:val="auto"/>
        </w:rPr>
      </w:pPr>
      <w:r>
        <w:rPr>
          <w:rFonts w:ascii="Arial" w:cs="Arial" w:eastAsia="Arial" w:hAnsi="Arial"/>
          <w:sz w:val="21"/>
          <w:szCs w:val="21"/>
          <w:b w:val="1"/>
          <w:bCs w:val="1"/>
          <w:color w:val="050A54"/>
        </w:rPr>
        <w:t>by the Audit Committee of the Board of Directors as</w:t>
      </w:r>
    </w:p>
    <w:p>
      <w:pPr>
        <w:ind w:left="2960"/>
        <w:spacing w:after="0"/>
        <w:rPr>
          <w:sz w:val="20"/>
          <w:szCs w:val="20"/>
          <w:color w:val="auto"/>
        </w:rPr>
      </w:pPr>
      <w:r>
        <w:rPr>
          <w:rFonts w:ascii="Arial" w:cs="Arial" w:eastAsia="Arial" w:hAnsi="Arial"/>
          <w:sz w:val="21"/>
          <w:szCs w:val="21"/>
          <w:b w:val="1"/>
          <w:bCs w:val="1"/>
          <w:color w:val="050A54"/>
        </w:rPr>
        <w:t>Our Independent Registered Public Accounting Firm</w:t>
      </w:r>
    </w:p>
    <w:p>
      <w:pPr>
        <w:sectPr>
          <w:pgSz w:w="11900" w:h="16838" w:orient="portrait"/>
          <w:cols w:equalWidth="0" w:num="1">
            <w:col w:w="11080"/>
          </w:cols>
          <w:pgMar w:left="320" w:top="454" w:right="499" w:bottom="1440" w:gutter="0" w:footer="0" w:header="0"/>
        </w:sectPr>
      </w:pPr>
    </w:p>
    <w:p>
      <w:pPr>
        <w:spacing w:after="0" w:line="281"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The Audit Committee has appointed Deloitte &amp; Touche LLP (“Deloitte”) as our independent registered public accounting firm for the fiscal year ending December 31, 2022, and the Board has directed that management submit the appointment of the independent registered public accounting firm for ratification by stockholders at the Annual Meeting. Deloitte has served as our independent registered public accounting firm since 2001.</w:t>
      </w:r>
    </w:p>
    <w:p>
      <w:pPr>
        <w:spacing w:after="0" w:line="181"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Although stockholder ratification of the selection of Deloitte is not required by our bylaws or otherwise, upon the recommendation of the Audit Committee, the Board is submitting the appointment of Deloitte to the stockholders for ratification as a matter of good corporate practice. The Board and the Audit Committee believe they have undertaken appropriate steps with respect to oversight of Deloitte’s</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independence and that the continued retention of Deloitte to serve as our independent registered public accounting firm is in the best interests of the Company and its stockholders.</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If the stockholders fail to ratify the appointment, the Audit Committee will reconsider the matter. Even if the appointment is ratified, the Audit Committee, in its discretion, may direct the appointment of a different independent registered public accounting firm at any time if it determines that such a change would be in the best interests of the Company and its stockholders.</w:t>
      </w:r>
    </w:p>
    <w:p>
      <w:pPr>
        <w:spacing w:after="0" w:line="16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Representatives of Deloitte are expected to be present at the Annual Meeting and will have the opportunity to make a statement and respond to appropriate questions from stockholders.</w:t>
      </w:r>
    </w:p>
    <w:p>
      <w:pPr>
        <w:spacing w:after="0" w:line="377" w:lineRule="exact"/>
        <w:rPr>
          <w:sz w:val="20"/>
          <w:szCs w:val="20"/>
          <w:color w:val="auto"/>
        </w:rPr>
      </w:pPr>
    </w:p>
    <w:p>
      <w:pPr>
        <w:sectPr>
          <w:pgSz w:w="11900" w:h="16838" w:orient="portrait"/>
          <w:cols w:equalWidth="0" w:num="2">
            <w:col w:w="5400" w:space="340"/>
            <w:col w:w="5340"/>
          </w:cols>
          <w:pgMar w:left="320" w:top="454" w:right="499" w:bottom="1440" w:gutter="0" w:footer="0" w:header="0"/>
          <w:type w:val="continuous"/>
        </w:sectPr>
      </w:pPr>
    </w:p>
    <w:p>
      <w:pPr>
        <w:spacing w:after="0" w:line="129"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F25900"/>
        </w:rPr>
        <w:t>THE BOARD OF DIRECTORS RECOMMENDS A VOTE “FOR” THIS PROPOSAL.</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Fees Paid to Independent Registered Public Accounting Firm</w:t>
      </w:r>
    </w:p>
    <w:p>
      <w:pPr>
        <w:spacing w:after="0" w:line="229" w:lineRule="exact"/>
        <w:rPr>
          <w:sz w:val="20"/>
          <w:szCs w:val="20"/>
          <w:color w:val="auto"/>
        </w:rPr>
      </w:pPr>
    </w:p>
    <w:p>
      <w:pPr>
        <w:ind w:left="160" w:right="20"/>
        <w:spacing w:after="0" w:line="265" w:lineRule="auto"/>
        <w:rPr>
          <w:sz w:val="20"/>
          <w:szCs w:val="20"/>
          <w:color w:val="auto"/>
        </w:rPr>
      </w:pPr>
      <w:r>
        <w:rPr>
          <w:rFonts w:ascii="Arial" w:cs="Arial" w:eastAsia="Arial" w:hAnsi="Arial"/>
          <w:sz w:val="18"/>
          <w:szCs w:val="18"/>
          <w:color w:val="auto"/>
        </w:rPr>
        <w:t>Aggregate fees for professional services rendered by Deloitte as of and for the years ended December 31, 2021 and 2020 were as follows:</w:t>
      </w:r>
    </w:p>
    <w:p>
      <w:pPr>
        <w:spacing w:after="0" w:line="168"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000" w:type="dxa"/>
            <w:vAlign w:val="bottom"/>
          </w:tcPr>
          <w:p>
            <w:pPr>
              <w:ind w:left="3440"/>
              <w:spacing w:after="0"/>
              <w:rPr>
                <w:sz w:val="20"/>
                <w:szCs w:val="20"/>
                <w:color w:val="auto"/>
              </w:rPr>
            </w:pPr>
            <w:r>
              <w:rPr>
                <w:rFonts w:ascii="Arial" w:cs="Arial" w:eastAsia="Arial" w:hAnsi="Arial"/>
                <w:sz w:val="14"/>
                <w:szCs w:val="14"/>
                <w:b w:val="1"/>
                <w:bCs w:val="1"/>
                <w:color w:val="050A54"/>
              </w:rPr>
              <w:t>Type of Services</w:t>
            </w:r>
          </w:p>
        </w:tc>
        <w:tc>
          <w:tcPr>
            <w:tcW w:w="360" w:type="dxa"/>
            <w:vAlign w:val="bottom"/>
          </w:tcPr>
          <w:p>
            <w:pPr>
              <w:spacing w:after="0"/>
              <w:rPr>
                <w:sz w:val="16"/>
                <w:szCs w:val="16"/>
                <w:color w:val="auto"/>
              </w:rPr>
            </w:pPr>
          </w:p>
        </w:tc>
        <w:tc>
          <w:tcPr>
            <w:tcW w:w="980" w:type="dxa"/>
            <w:vAlign w:val="bottom"/>
          </w:tcPr>
          <w:p>
            <w:pPr>
              <w:jc w:val="right"/>
              <w:ind w:right="402"/>
              <w:spacing w:after="0"/>
              <w:rPr>
                <w:sz w:val="20"/>
                <w:szCs w:val="20"/>
                <w:color w:val="auto"/>
              </w:rPr>
            </w:pPr>
            <w:r>
              <w:rPr>
                <w:rFonts w:ascii="Arial" w:cs="Arial" w:eastAsia="Arial" w:hAnsi="Arial"/>
                <w:sz w:val="14"/>
                <w:szCs w:val="14"/>
                <w:b w:val="1"/>
                <w:bCs w:val="1"/>
                <w:color w:val="050A54"/>
              </w:rPr>
              <w:t>2021</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jc w:val="right"/>
              <w:ind w:right="402"/>
              <w:spacing w:after="0"/>
              <w:rPr>
                <w:sz w:val="20"/>
                <w:szCs w:val="20"/>
                <w:color w:val="auto"/>
              </w:rPr>
            </w:pPr>
            <w:r>
              <w:rPr>
                <w:rFonts w:ascii="Arial" w:cs="Arial" w:eastAsia="Arial" w:hAnsi="Arial"/>
                <w:sz w:val="14"/>
                <w:szCs w:val="14"/>
                <w:b w:val="1"/>
                <w:bCs w:val="1"/>
                <w:color w:val="050A54"/>
              </w:rPr>
              <w:t>2020</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00" w:type="dxa"/>
            <w:vAlign w:val="bottom"/>
            <w:tcBorders>
              <w:bottom w:val="single" w:sz="8" w:color="050A54"/>
            </w:tcBorders>
          </w:tcPr>
          <w:p>
            <w:pPr>
              <w:spacing w:after="0"/>
              <w:rPr>
                <w:sz w:val="5"/>
                <w:szCs w:val="5"/>
                <w:color w:val="auto"/>
              </w:rPr>
            </w:pPr>
          </w:p>
        </w:tc>
        <w:tc>
          <w:tcPr>
            <w:tcW w:w="360" w:type="dxa"/>
            <w:vAlign w:val="bottom"/>
            <w:tcBorders>
              <w:bottom w:val="single" w:sz="8" w:color="050A54"/>
            </w:tcBorders>
          </w:tcPr>
          <w:p>
            <w:pPr>
              <w:spacing w:after="0"/>
              <w:rPr>
                <w:sz w:val="5"/>
                <w:szCs w:val="5"/>
                <w:color w:val="auto"/>
              </w:rPr>
            </w:pPr>
          </w:p>
        </w:tc>
        <w:tc>
          <w:tcPr>
            <w:tcW w:w="980" w:type="dxa"/>
            <w:vAlign w:val="bottom"/>
            <w:tcBorders>
              <w:bottom w:val="single" w:sz="8" w:color="050A54"/>
            </w:tcBorders>
          </w:tcPr>
          <w:p>
            <w:pPr>
              <w:spacing w:after="0"/>
              <w:rPr>
                <w:sz w:val="5"/>
                <w:szCs w:val="5"/>
                <w:color w:val="auto"/>
              </w:rPr>
            </w:pPr>
          </w:p>
        </w:tc>
        <w:tc>
          <w:tcPr>
            <w:tcW w:w="220" w:type="dxa"/>
            <w:vAlign w:val="bottom"/>
            <w:tcBorders>
              <w:bottom w:val="single" w:sz="8" w:color="050A54"/>
            </w:tcBorders>
          </w:tcPr>
          <w:p>
            <w:pPr>
              <w:spacing w:after="0"/>
              <w:rPr>
                <w:sz w:val="5"/>
                <w:szCs w:val="5"/>
                <w:color w:val="auto"/>
              </w:rPr>
            </w:pPr>
          </w:p>
        </w:tc>
        <w:tc>
          <w:tcPr>
            <w:tcW w:w="360" w:type="dxa"/>
            <w:vAlign w:val="bottom"/>
            <w:tcBorders>
              <w:bottom w:val="single" w:sz="8" w:color="050A54"/>
            </w:tcBorders>
          </w:tcPr>
          <w:p>
            <w:pPr>
              <w:spacing w:after="0"/>
              <w:rPr>
                <w:sz w:val="5"/>
                <w:szCs w:val="5"/>
                <w:color w:val="auto"/>
              </w:rPr>
            </w:pPr>
          </w:p>
        </w:tc>
        <w:tc>
          <w:tcPr>
            <w:tcW w:w="980" w:type="dxa"/>
            <w:vAlign w:val="bottom"/>
            <w:tcBorders>
              <w:bottom w:val="single" w:sz="8" w:color="050A54"/>
            </w:tcBorders>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00" w:type="dxa"/>
            <w:vAlign w:val="bottom"/>
            <w:tcBorders>
              <w:bottom w:val="single" w:sz="8" w:color="E8E8E8"/>
            </w:tcBorders>
            <w:shd w:val="clear" w:color="auto" w:fill="E8E8E8"/>
          </w:tcPr>
          <w:p>
            <w:pPr>
              <w:spacing w:after="0"/>
              <w:rPr>
                <w:sz w:val="20"/>
                <w:szCs w:val="20"/>
                <w:color w:val="auto"/>
              </w:rPr>
            </w:pPr>
            <w:r>
              <w:rPr>
                <w:rFonts w:ascii="Arial" w:cs="Arial" w:eastAsia="Arial" w:hAnsi="Arial"/>
                <w:sz w:val="16"/>
                <w:szCs w:val="16"/>
                <w:color w:val="auto"/>
              </w:rPr>
              <w:t>Audit Fees (1)</w:t>
            </w:r>
          </w:p>
        </w:tc>
        <w:tc>
          <w:tcPr>
            <w:tcW w:w="360" w:type="dxa"/>
            <w:vAlign w:val="bottom"/>
            <w:tcBorders>
              <w:bottom w:val="single" w:sz="8" w:color="E8E8E8"/>
            </w:tcBorders>
            <w:shd w:val="clear" w:color="auto" w:fill="E8E8E8"/>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3,963,000</w:t>
            </w:r>
          </w:p>
        </w:tc>
        <w:tc>
          <w:tcPr>
            <w:tcW w:w="220" w:type="dxa"/>
            <w:vAlign w:val="bottom"/>
            <w:tcBorders>
              <w:bottom w:val="single" w:sz="8" w:color="E8E8E8"/>
            </w:tcBorders>
            <w:shd w:val="clear" w:color="auto" w:fill="E8E8E8"/>
          </w:tcPr>
          <w:p>
            <w:pPr>
              <w:spacing w:after="0"/>
              <w:rPr>
                <w:sz w:val="18"/>
                <w:szCs w:val="18"/>
                <w:color w:val="auto"/>
              </w:rPr>
            </w:pPr>
          </w:p>
        </w:tc>
        <w:tc>
          <w:tcPr>
            <w:tcW w:w="360" w:type="dxa"/>
            <w:vAlign w:val="bottom"/>
            <w:tcBorders>
              <w:bottom w:val="single" w:sz="8" w:color="E8E8E8"/>
            </w:tcBorders>
            <w:shd w:val="clear" w:color="auto" w:fill="E8E8E8"/>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3,785,900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6"/>
                <w:szCs w:val="16"/>
                <w:color w:val="auto"/>
              </w:rPr>
              <w:t>Audit Related Fees (2)</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302,000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395,000</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vMerge w:val="continue"/>
          </w:tcPr>
          <w:p>
            <w:pPr>
              <w:spacing w:after="0"/>
              <w:rPr>
                <w:sz w:val="20"/>
                <w:szCs w:val="20"/>
                <w:color w:val="auto"/>
              </w:rPr>
            </w:pPr>
          </w:p>
        </w:tc>
        <w:tc>
          <w:tcPr>
            <w:tcW w:w="8000" w:type="dxa"/>
            <w:vAlign w:val="bottom"/>
            <w:tcBorders>
              <w:bottom w:val="single" w:sz="8" w:color="E8E8E8"/>
            </w:tcBorders>
            <w:shd w:val="clear" w:color="auto" w:fill="E8E8E8"/>
          </w:tcPr>
          <w:p>
            <w:pPr>
              <w:spacing w:after="0"/>
              <w:rPr>
                <w:sz w:val="20"/>
                <w:szCs w:val="20"/>
                <w:color w:val="auto"/>
              </w:rPr>
            </w:pPr>
            <w:r>
              <w:rPr>
                <w:rFonts w:ascii="Arial" w:cs="Arial" w:eastAsia="Arial" w:hAnsi="Arial"/>
                <w:sz w:val="16"/>
                <w:szCs w:val="16"/>
                <w:color w:val="auto"/>
              </w:rPr>
              <w:t>Tax Fees (3)</w:t>
            </w:r>
          </w:p>
        </w:tc>
        <w:tc>
          <w:tcPr>
            <w:tcW w:w="360" w:type="dxa"/>
            <w:vAlign w:val="bottom"/>
            <w:tcBorders>
              <w:bottom w:val="single" w:sz="8" w:color="E8E8E8"/>
            </w:tcBorders>
            <w:shd w:val="clear" w:color="auto" w:fill="E8E8E8"/>
          </w:tcPr>
          <w:p>
            <w:pPr>
              <w:spacing w:after="0"/>
              <w:rPr>
                <w:sz w:val="20"/>
                <w:szCs w:val="20"/>
                <w:color w:val="auto"/>
              </w:rPr>
            </w:pPr>
          </w:p>
        </w:tc>
        <w:tc>
          <w:tcPr>
            <w:tcW w:w="98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242,000</w:t>
            </w:r>
          </w:p>
        </w:tc>
        <w:tc>
          <w:tcPr>
            <w:tcW w:w="220" w:type="dxa"/>
            <w:vAlign w:val="bottom"/>
            <w:tcBorders>
              <w:bottom w:val="single" w:sz="8" w:color="E8E8E8"/>
            </w:tcBorders>
            <w:shd w:val="clear" w:color="auto" w:fill="E8E8E8"/>
          </w:tcPr>
          <w:p>
            <w:pPr>
              <w:spacing w:after="0"/>
              <w:rPr>
                <w:sz w:val="20"/>
                <w:szCs w:val="20"/>
                <w:color w:val="auto"/>
              </w:rPr>
            </w:pPr>
          </w:p>
        </w:tc>
        <w:tc>
          <w:tcPr>
            <w:tcW w:w="360" w:type="dxa"/>
            <w:vAlign w:val="bottom"/>
            <w:tcBorders>
              <w:bottom w:val="single" w:sz="8" w:color="E8E8E8"/>
            </w:tcBorders>
            <w:shd w:val="clear" w:color="auto" w:fill="E8E8E8"/>
          </w:tcPr>
          <w:p>
            <w:pPr>
              <w:spacing w:after="0"/>
              <w:rPr>
                <w:sz w:val="20"/>
                <w:szCs w:val="20"/>
                <w:color w:val="auto"/>
              </w:rPr>
            </w:pPr>
          </w:p>
        </w:tc>
        <w:tc>
          <w:tcPr>
            <w:tcW w:w="98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133,000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00" w:type="dxa"/>
            <w:vAlign w:val="bottom"/>
          </w:tcPr>
          <w:p>
            <w:pPr>
              <w:spacing w:after="0"/>
              <w:rPr>
                <w:sz w:val="20"/>
                <w:szCs w:val="20"/>
                <w:color w:val="auto"/>
              </w:rPr>
            </w:pPr>
            <w:r>
              <w:rPr>
                <w:rFonts w:ascii="Arial" w:cs="Arial" w:eastAsia="Arial" w:hAnsi="Arial"/>
                <w:sz w:val="16"/>
                <w:szCs w:val="16"/>
                <w:color w:val="auto"/>
              </w:rPr>
              <w:t>Total</w:t>
            </w:r>
          </w:p>
        </w:tc>
        <w:tc>
          <w:tcPr>
            <w:tcW w:w="3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4,507,000</w:t>
            </w:r>
          </w:p>
        </w:tc>
        <w:tc>
          <w:tcPr>
            <w:tcW w:w="220" w:type="dxa"/>
            <w:vAlign w:val="bottom"/>
          </w:tcPr>
          <w:p>
            <w:pPr>
              <w:spacing w:after="0"/>
              <w:rPr>
                <w:sz w:val="17"/>
                <w:szCs w:val="17"/>
                <w:color w:val="auto"/>
              </w:rPr>
            </w:pPr>
          </w:p>
        </w:tc>
        <w:tc>
          <w:tcPr>
            <w:tcW w:w="3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4,313,900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27305</wp:posOffset>
            </wp:positionV>
            <wp:extent cx="69297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89" w:lineRule="exact"/>
        <w:rPr>
          <w:sz w:val="20"/>
          <w:szCs w:val="20"/>
          <w:color w:val="auto"/>
        </w:rPr>
      </w:pPr>
    </w:p>
    <w:p>
      <w:pPr>
        <w:jc w:val="both"/>
        <w:ind w:left="600" w:hanging="433"/>
        <w:spacing w:after="0" w:line="256" w:lineRule="auto"/>
        <w:tabs>
          <w:tab w:leader="none" w:pos="6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These fees include services performed in connection with the audit of our annual consolidated financial statements included in our annual reports on Form 10-K; the review of our interim condensed consolidated financial statements as included in our quarterly reports on Form 10-Q; and services that are normally provided by Deloitte in connection with statutory and regulatory filings or engagements. The 2021 and 2020 columns include amounts billed in 2022 and 2021, respectively, related to 2021 and 2020 audit fees, respectively.</w:t>
      </w:r>
    </w:p>
    <w:p>
      <w:pPr>
        <w:spacing w:after="0" w:line="30" w:lineRule="exact"/>
        <w:rPr>
          <w:rFonts w:ascii="Arial" w:cs="Arial" w:eastAsia="Arial" w:hAnsi="Arial"/>
          <w:sz w:val="16"/>
          <w:szCs w:val="16"/>
          <w:color w:val="auto"/>
        </w:rPr>
      </w:pPr>
    </w:p>
    <w:p>
      <w:pPr>
        <w:jc w:val="both"/>
        <w:ind w:left="600" w:right="20" w:hanging="433"/>
        <w:spacing w:after="0" w:line="262" w:lineRule="auto"/>
        <w:tabs>
          <w:tab w:leader="none" w:pos="6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These fees are for services provided such as accounting consultations and any other audit and attestation services. The fees include amounts incurred by the Company and paid to Deloitte for services in connection with our financial intermediary compliance and controls assessment and attest report, comfort letters and consents.</w:t>
      </w:r>
    </w:p>
    <w:p>
      <w:pPr>
        <w:spacing w:after="0" w:line="26" w:lineRule="exact"/>
        <w:rPr>
          <w:rFonts w:ascii="Arial" w:cs="Arial" w:eastAsia="Arial" w:hAnsi="Arial"/>
          <w:sz w:val="16"/>
          <w:szCs w:val="16"/>
          <w:color w:val="auto"/>
        </w:rPr>
      </w:pPr>
    </w:p>
    <w:p>
      <w:pPr>
        <w:ind w:left="600" w:right="20" w:hanging="433"/>
        <w:spacing w:after="0" w:line="279" w:lineRule="auto"/>
        <w:tabs>
          <w:tab w:leader="none" w:pos="6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These fees include all services performed for non-audit related tax advice, planning and compliance services. The fees include amounts incurred by the Company and paid to Deloitte for tax compliance and advisory services.</w:t>
      </w:r>
    </w:p>
    <w:p>
      <w:pPr>
        <w:sectPr>
          <w:pgSz w:w="11900" w:h="16838" w:orient="portrait"/>
          <w:cols w:equalWidth="0" w:num="1">
            <w:col w:w="11080"/>
          </w:cols>
          <w:pgMar w:left="320" w:top="454" w:right="499" w:bottom="1440" w:gutter="0" w:footer="0" w:header="0"/>
          <w:type w:val="continuous"/>
        </w:sectPr>
      </w:pPr>
    </w:p>
    <w:p>
      <w:pPr>
        <w:spacing w:after="0" w:line="11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Pre-Approval Policies and Procedures</w:t>
      </w:r>
    </w:p>
    <w:p>
      <w:pPr>
        <w:spacing w:after="0" w:line="163"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The Audit Committee pre-approves all audit, audit-related and permissible non-audit services provided by our independent registered public accounting firm. The Audit Committee has also adopted policies and procedures that permit it to delegate its approval of certain engagements to its chair and to pre-approve certain permissible audit, audit-related and non-audit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related services (which include tax and consulting services) (“Pre-approved Services”) for a particular year. On an annual basis, the Audit Committee reviews and pre-approves the scope and dollar limits associated with the various Pre-approved Services, as well as an overall pre-approved dollar limit for all engagements with the auditors, for the fiscal year.</w:t>
      </w:r>
    </w:p>
    <w:p>
      <w:pPr>
        <w:spacing w:after="0" w:line="200" w:lineRule="exact"/>
        <w:rPr>
          <w:sz w:val="20"/>
          <w:szCs w:val="20"/>
          <w:color w:val="auto"/>
        </w:rPr>
      </w:pPr>
    </w:p>
    <w:p>
      <w:pPr>
        <w:sectPr>
          <w:pgSz w:w="11900" w:h="16838" w:orient="portrait"/>
          <w:cols w:equalWidth="0" w:num="2">
            <w:col w:w="5400" w:space="340"/>
            <w:col w:w="5340"/>
          </w:cols>
          <w:pgMar w:left="320" w:top="454" w:right="499" w:bottom="1440" w:gutter="0" w:footer="0" w:header="0"/>
          <w:type w:val="continuous"/>
        </w:sectPr>
      </w:pPr>
    </w:p>
    <w:p>
      <w:pPr>
        <w:spacing w:after="0" w:line="61" w:lineRule="exact"/>
        <w:rPr>
          <w:sz w:val="20"/>
          <w:szCs w:val="20"/>
          <w:color w:val="auto"/>
        </w:rPr>
      </w:pPr>
    </w:p>
    <w:p>
      <w:pPr>
        <w:ind w:left="1000" w:hanging="690"/>
        <w:spacing w:after="0"/>
        <w:tabs>
          <w:tab w:leader="none" w:pos="1000" w:val="left"/>
        </w:tabs>
        <w:numPr>
          <w:ilvl w:val="0"/>
          <w:numId w:val="112"/>
        </w:numPr>
        <w:rPr>
          <w:rFonts w:ascii="Arial" w:cs="Arial" w:eastAsia="Arial" w:hAnsi="Arial"/>
          <w:sz w:val="17"/>
          <w:szCs w:val="17"/>
          <w:color w:val="050A54"/>
        </w:rPr>
      </w:pPr>
      <w:r>
        <w:rPr>
          <w:rFonts w:ascii="Arial" w:cs="Arial" w:eastAsia="Arial" w:hAnsi="Arial"/>
          <w:sz w:val="17"/>
          <w:szCs w:val="17"/>
          <w:b w:val="1"/>
          <w:bCs w:val="1"/>
          <w:color w:val="050A54"/>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-111760</wp:posOffset>
            </wp:positionV>
            <wp:extent cx="8255" cy="135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right"/>
        <w:ind w:right="280"/>
        <w:spacing w:after="0"/>
        <w:rPr>
          <w:sz w:val="20"/>
          <w:szCs w:val="20"/>
          <w:color w:val="auto"/>
        </w:rPr>
      </w:pPr>
      <w:r>
        <w:rPr>
          <w:rFonts w:ascii="Arial" w:cs="Arial" w:eastAsia="Arial" w:hAnsi="Arial"/>
          <w:sz w:val="20"/>
          <w:szCs w:val="20"/>
          <w:b w:val="1"/>
          <w:bCs w:val="1"/>
          <w:color w:val="050A54"/>
        </w:rPr>
        <w:t>Proposal 2: Ratification of the Appointment of Deloitte &amp; Touche</w:t>
      </w:r>
    </w:p>
    <w:p>
      <w:pPr>
        <w:jc w:val="right"/>
        <w:ind w:right="220"/>
        <w:spacing w:after="0" w:line="227" w:lineRule="auto"/>
        <w:rPr>
          <w:sz w:val="20"/>
          <w:szCs w:val="20"/>
          <w:color w:val="auto"/>
        </w:rPr>
      </w:pPr>
      <w:r>
        <w:rPr>
          <w:rFonts w:ascii="Arial" w:cs="Arial" w:eastAsia="Arial" w:hAnsi="Arial"/>
          <w:sz w:val="20"/>
          <w:szCs w:val="20"/>
          <w:b w:val="1"/>
          <w:bCs w:val="1"/>
          <w:color w:val="050A54"/>
        </w:rPr>
        <w:t>LLP</w:t>
      </w:r>
    </w:p>
    <w:p>
      <w:pPr>
        <w:jc w:val="right"/>
        <w:ind w:right="220"/>
        <w:spacing w:after="0" w:line="223" w:lineRule="auto"/>
        <w:rPr>
          <w:sz w:val="20"/>
          <w:szCs w:val="20"/>
          <w:color w:val="auto"/>
        </w:rPr>
      </w:pPr>
      <w:r>
        <w:rPr>
          <w:rFonts w:ascii="Arial" w:cs="Arial" w:eastAsia="Arial" w:hAnsi="Arial"/>
          <w:sz w:val="20"/>
          <w:szCs w:val="20"/>
          <w:b w:val="1"/>
          <w:bCs w:val="1"/>
          <w:color w:val="050A54"/>
        </w:rPr>
        <w:t>by the Audit Committee of the Board of Directors as Our</w:t>
      </w:r>
    </w:p>
    <w:p>
      <w:pPr>
        <w:spacing w:after="0" w:line="1"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60325</wp:posOffset>
            </wp:positionV>
            <wp:extent cx="69297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316"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Under its policy, the Audit Committee may not delegate its pre-approval authority to management, and its full approval is required (and cannot be delegated) for:</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annual audit engagement;</w:t>
      </w:r>
    </w:p>
    <w:p>
      <w:pPr>
        <w:spacing w:after="0" w:line="247" w:lineRule="exact"/>
        <w:rPr>
          <w:sz w:val="20"/>
          <w:szCs w:val="20"/>
          <w:color w:val="auto"/>
        </w:rPr>
      </w:pPr>
    </w:p>
    <w:p>
      <w:pPr>
        <w:ind w:left="520" w:right="20"/>
        <w:spacing w:after="0" w:line="265" w:lineRule="auto"/>
        <w:rPr>
          <w:sz w:val="20"/>
          <w:szCs w:val="20"/>
          <w:color w:val="auto"/>
        </w:rPr>
      </w:pPr>
      <w:r>
        <w:rPr>
          <w:rFonts w:ascii="Arial" w:cs="Arial" w:eastAsia="Arial" w:hAnsi="Arial"/>
          <w:sz w:val="18"/>
          <w:szCs w:val="18"/>
          <w:color w:val="auto"/>
        </w:rPr>
        <w:t>any engagement for services with proposed fees expected to exceed $200,000; or</w:t>
      </w:r>
    </w:p>
    <w:p>
      <w:pPr>
        <w:spacing w:after="0" w:line="184" w:lineRule="exact"/>
        <w:rPr>
          <w:sz w:val="20"/>
          <w:szCs w:val="20"/>
          <w:color w:val="auto"/>
        </w:rPr>
      </w:pPr>
    </w:p>
    <w:p>
      <w:pPr>
        <w:ind w:left="520"/>
        <w:spacing w:after="0" w:line="265" w:lineRule="auto"/>
        <w:rPr>
          <w:sz w:val="20"/>
          <w:szCs w:val="20"/>
          <w:color w:val="auto"/>
        </w:rPr>
      </w:pPr>
      <w:r>
        <w:rPr>
          <w:rFonts w:ascii="Arial" w:cs="Arial" w:eastAsia="Arial" w:hAnsi="Arial"/>
          <w:sz w:val="18"/>
          <w:szCs w:val="18"/>
          <w:color w:val="auto"/>
        </w:rPr>
        <w:t>all engagements to assess the Company’s internal controls (regardless of expected cost).</w:t>
      </w:r>
    </w:p>
    <w:p>
      <w:pPr>
        <w:spacing w:after="0" w:line="158" w:lineRule="exact"/>
        <w:rPr>
          <w:sz w:val="20"/>
          <w:szCs w:val="20"/>
          <w:color w:val="auto"/>
        </w:rPr>
      </w:pPr>
    </w:p>
    <w:p>
      <w:pPr>
        <w:jc w:val="both"/>
        <w:ind w:left="160"/>
        <w:spacing w:after="0" w:line="262" w:lineRule="auto"/>
        <w:rPr>
          <w:sz w:val="20"/>
          <w:szCs w:val="20"/>
          <w:color w:val="auto"/>
        </w:rPr>
      </w:pPr>
      <w:r>
        <w:rPr>
          <w:rFonts w:ascii="Arial" w:cs="Arial" w:eastAsia="Arial" w:hAnsi="Arial"/>
          <w:sz w:val="17"/>
          <w:szCs w:val="17"/>
          <w:color w:val="auto"/>
        </w:rPr>
        <w:t>Any engagement of the independent auditors for a specific service that does not require pre-approval from the Audit Committee may be pre-approved by the chair of the Audit Committee. Aggregate engagements for services approved in a fiscal year</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shall be subject to the aggregate dollar limit, and any such engagements will be communicated to the Audit Committee at its next regular scheduled meeting.</w:t>
      </w:r>
    </w:p>
    <w:p>
      <w:pPr>
        <w:spacing w:after="0" w:line="17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policy also requires that prior to the provision of any tax services or engagements for internal controls, written documentation must be provided by the independent registered public accounting firm describing the scope and nature of the proposed engagement. In addition, the potential effects of the engagement on the auditors’ independence must be discussed with the Audit Committee. With respect to tax services engagements, the auditors must also provide descriptions of the fee structure and any other written agreement or amendment to an existing engagement letter relating to the provision of the tax service, and descriptions of the involvement of any third party.</w:t>
      </w:r>
    </w:p>
    <w:p>
      <w:pPr>
        <w:spacing w:after="0" w:line="200" w:lineRule="exact"/>
        <w:rPr>
          <w:sz w:val="20"/>
          <w:szCs w:val="20"/>
          <w:color w:val="auto"/>
        </w:rPr>
      </w:pPr>
    </w:p>
    <w:p>
      <w:pPr>
        <w:spacing w:after="0" w:line="396" w:lineRule="exact"/>
        <w:rPr>
          <w:sz w:val="20"/>
          <w:szCs w:val="20"/>
          <w:color w:val="auto"/>
        </w:rPr>
      </w:pPr>
    </w:p>
    <w:tbl>
      <w:tblPr>
        <w:tblLayout w:type="fixed"/>
        <w:tblInd w:w="2760" w:type="dxa"/>
        <w:tblCellMar>
          <w:top w:w="0" w:type="dxa"/>
          <w:left w:w="0" w:type="dxa"/>
          <w:bottom w:w="0" w:type="dxa"/>
          <w:right w:w="0" w:type="dxa"/>
        </w:tblCellMar>
      </w:tblPr>
      <w:tr>
        <w:trPr>
          <w:trHeight w:val="233"/>
        </w:trPr>
        <w:tc>
          <w:tcPr>
            <w:tcW w:w="2060" w:type="dxa"/>
            <w:vAlign w:val="bottom"/>
            <w:tcBorders>
              <w:right w:val="single" w:sz="8" w:color="050A54"/>
            </w:tcBorders>
          </w:tcPr>
          <w:p>
            <w:pPr>
              <w:spacing w:after="0"/>
              <w:rPr>
                <w:sz w:val="20"/>
                <w:szCs w:val="20"/>
                <w:color w:val="auto"/>
              </w:rPr>
            </w:pPr>
            <w:r>
              <w:rPr>
                <w:rFonts w:ascii="Arial" w:cs="Arial" w:eastAsia="Arial" w:hAnsi="Arial"/>
                <w:sz w:val="18"/>
                <w:szCs w:val="18"/>
                <w:b w:val="1"/>
                <w:bCs w:val="1"/>
                <w:color w:val="050A54"/>
              </w:rPr>
              <w:t>2022 Proxy Statement</w:t>
            </w:r>
          </w:p>
        </w:tc>
        <w:tc>
          <w:tcPr>
            <w:tcW w:w="520" w:type="dxa"/>
            <w:vAlign w:val="bottom"/>
          </w:tcPr>
          <w:p>
            <w:pPr>
              <w:jc w:val="right"/>
              <w:spacing w:after="0"/>
              <w:rPr>
                <w:sz w:val="20"/>
                <w:szCs w:val="20"/>
                <w:color w:val="auto"/>
              </w:rPr>
            </w:pPr>
            <w:r>
              <w:rPr>
                <w:rFonts w:ascii="Arial" w:cs="Arial" w:eastAsia="Arial" w:hAnsi="Arial"/>
                <w:sz w:val="18"/>
                <w:szCs w:val="18"/>
                <w:color w:val="050A54"/>
              </w:rPr>
              <w:t>67</w:t>
            </w:r>
          </w:p>
        </w:tc>
      </w:tr>
    </w:tbl>
    <w:p>
      <w:pPr>
        <w:sectPr>
          <w:pgSz w:w="11900" w:h="16838" w:orient="portrait"/>
          <w:cols w:equalWidth="0" w:num="2">
            <w:col w:w="5400" w:space="340"/>
            <w:col w:w="5340"/>
          </w:cols>
          <w:pgMar w:left="320" w:top="454" w:right="499" w:bottom="1440" w:gutter="0" w:footer="0" w:header="0"/>
          <w:type w:val="continuous"/>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660"/>
        <w:spacing w:after="0"/>
        <w:rPr>
          <w:sz w:val="20"/>
          <w:szCs w:val="20"/>
          <w:color w:val="auto"/>
        </w:rPr>
      </w:pPr>
      <w:r>
        <w:rPr>
          <w:rFonts w:ascii="Arial" w:cs="Arial" w:eastAsia="Arial" w:hAnsi="Arial"/>
          <w:sz w:val="20"/>
          <w:szCs w:val="20"/>
          <w:b w:val="1"/>
          <w:bCs w:val="1"/>
          <w:color w:val="050A54"/>
        </w:rPr>
        <w:t>Report of the Audit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3"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050A54"/>
        </w:rPr>
        <w:t>Report of the Audit Committee of the Board of Directors</w:t>
      </w:r>
    </w:p>
    <w:p>
      <w:pPr>
        <w:spacing w:after="0" w:line="223"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The Audit Committee of the Board of Directors (the “Audit Committee”) comprises the five directors named below. Each member of the Audit Committee is an independent director (as independence is defined in the listing standards of the Nasdaq Global Select Market and Rule 10A-3 under the Exchange Act with respect to membership on audit committees).</w:t>
      </w:r>
    </w:p>
    <w:p>
      <w:pPr>
        <w:spacing w:after="0" w:line="172"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The Audit Committee has adopted a written charter, which has been approved by the Board of Directors. The Audit Committee has reviewed and discussed the Company’s audited consolidated financial statements with management, which has primary responsibility for the consolidated financial statements, and with the Company’s independent registered public accounting firm. The Company’s independent registered public accounting firm is responsible for expressing opinions on the conformity of the Company’s audited consolidated financial statements with generally accepted accounting principles and on the Company’s internal control over financial reporting. The Audit Committee has discussed with the Company’s independent registered public accounting firm, which was Deloitte &amp; Touche LLP and the member firms of Deloitte Touche Tohmatsu (collectively referred to as “Deloitte”) for 2021 and 2020, the matters that are required to be discussed by applicable standards of the Public Company Accounting Oversight Board (“PCAOB”), including Auditing Standard 1301,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as adopted by the PCAOB, as well as Rule 2-07 of Regulation S-X of the SEC-- “</w:t>
      </w:r>
      <w:r>
        <w:rPr>
          <w:rFonts w:ascii="Arial" w:cs="Arial" w:eastAsia="Arial" w:hAnsi="Arial"/>
          <w:sz w:val="18"/>
          <w:szCs w:val="18"/>
          <w:i w:val="1"/>
          <w:iCs w:val="1"/>
          <w:color w:val="auto"/>
        </w:rPr>
        <w:t>Communication with Audit Committees</w:t>
      </w:r>
      <w:r>
        <w:rPr>
          <w:rFonts w:ascii="Arial" w:cs="Arial" w:eastAsia="Arial" w:hAnsi="Arial"/>
          <w:sz w:val="18"/>
          <w:szCs w:val="18"/>
          <w:color w:val="auto"/>
        </w:rPr>
        <w:t>.” Deloitte has also provided to the Audit Committee their communication required by PCAOB Ethics and Independence Rule 3526, “</w:t>
      </w:r>
      <w:r>
        <w:rPr>
          <w:rFonts w:ascii="Arial" w:cs="Arial" w:eastAsia="Arial" w:hAnsi="Arial"/>
          <w:sz w:val="18"/>
          <w:szCs w:val="18"/>
          <w:i w:val="1"/>
          <w:iCs w:val="1"/>
          <w:color w:val="auto"/>
        </w:rPr>
        <w:t>Communications with Audit Committees Concerning Independence</w:t>
      </w:r>
      <w:r>
        <w:rPr>
          <w:rFonts w:ascii="Arial" w:cs="Arial" w:eastAsia="Arial" w:hAnsi="Arial"/>
          <w:sz w:val="18"/>
          <w:szCs w:val="18"/>
          <w:color w:val="auto"/>
        </w:rPr>
        <w:t>,” and the Audit Committee discussed with Deloitte the firm’s independence. The Audit Committee also considered and determined that the provision by Deloitte of non-audit related services in 2021, which consisted of tax advisory services, is compatible with the independence standard. Based on the foregoing review and discussions, the Audit Committee recommended to the Board of Directors that the consolidated financial statements audited by Deloitte for 2021 and 2020 be included in the Company’s Annual Report on Form 10-K for 2021, and the Audit Committee has appointed Deloitte as the Company’s independent registered public accounting firm for 2022.</w:t>
      </w:r>
    </w:p>
    <w:p>
      <w:pPr>
        <w:spacing w:after="0" w:line="208" w:lineRule="exact"/>
        <w:rPr>
          <w:sz w:val="20"/>
          <w:szCs w:val="20"/>
          <w:color w:val="auto"/>
        </w:rPr>
      </w:pPr>
    </w:p>
    <w:p>
      <w:pPr>
        <w:jc w:val="center"/>
        <w:ind w:left="7640"/>
        <w:spacing w:after="0"/>
        <w:rPr>
          <w:sz w:val="20"/>
          <w:szCs w:val="20"/>
          <w:color w:val="auto"/>
        </w:rPr>
      </w:pPr>
      <w:r>
        <w:rPr>
          <w:rFonts w:ascii="Arial" w:cs="Arial" w:eastAsia="Arial" w:hAnsi="Arial"/>
          <w:sz w:val="18"/>
          <w:szCs w:val="18"/>
          <w:color w:val="auto"/>
        </w:rPr>
        <w:t>H. Paulett Eberhart, Chair</w:t>
      </w:r>
    </w:p>
    <w:p>
      <w:pPr>
        <w:spacing w:after="0" w:line="5" w:lineRule="exact"/>
        <w:rPr>
          <w:sz w:val="20"/>
          <w:szCs w:val="20"/>
          <w:color w:val="auto"/>
        </w:rPr>
      </w:pPr>
    </w:p>
    <w:p>
      <w:pPr>
        <w:jc w:val="center"/>
        <w:ind w:left="7640"/>
        <w:spacing w:after="0"/>
        <w:rPr>
          <w:sz w:val="20"/>
          <w:szCs w:val="20"/>
          <w:color w:val="auto"/>
        </w:rPr>
      </w:pPr>
      <w:r>
        <w:rPr>
          <w:rFonts w:ascii="Arial" w:cs="Arial" w:eastAsia="Arial" w:hAnsi="Arial"/>
          <w:sz w:val="18"/>
          <w:szCs w:val="18"/>
          <w:color w:val="auto"/>
        </w:rPr>
        <w:t>Edward C. Bernard</w:t>
      </w:r>
    </w:p>
    <w:p>
      <w:pPr>
        <w:jc w:val="center"/>
        <w:ind w:left="7640"/>
        <w:spacing w:after="0" w:line="232" w:lineRule="auto"/>
        <w:rPr>
          <w:sz w:val="20"/>
          <w:szCs w:val="20"/>
          <w:color w:val="auto"/>
        </w:rPr>
      </w:pPr>
      <w:r>
        <w:rPr>
          <w:rFonts w:ascii="Arial" w:cs="Arial" w:eastAsia="Arial" w:hAnsi="Arial"/>
          <w:sz w:val="18"/>
          <w:szCs w:val="18"/>
          <w:color w:val="auto"/>
        </w:rPr>
        <w:t>William F. Glavin, Jr.</w:t>
      </w:r>
    </w:p>
    <w:p>
      <w:pPr>
        <w:jc w:val="center"/>
        <w:ind w:left="7640"/>
        <w:spacing w:after="0" w:line="233" w:lineRule="auto"/>
        <w:rPr>
          <w:sz w:val="20"/>
          <w:szCs w:val="20"/>
          <w:color w:val="auto"/>
        </w:rPr>
      </w:pPr>
      <w:r>
        <w:rPr>
          <w:rFonts w:ascii="Arial" w:cs="Arial" w:eastAsia="Arial" w:hAnsi="Arial"/>
          <w:sz w:val="18"/>
          <w:szCs w:val="18"/>
          <w:color w:val="auto"/>
        </w:rPr>
        <w:t>Richard P. Schifter</w:t>
      </w:r>
    </w:p>
    <w:p>
      <w:pPr>
        <w:jc w:val="center"/>
        <w:ind w:left="7640"/>
        <w:spacing w:after="0"/>
        <w:rPr>
          <w:sz w:val="20"/>
          <w:szCs w:val="20"/>
          <w:color w:val="auto"/>
        </w:rPr>
      </w:pPr>
      <w:r>
        <w:rPr>
          <w:rFonts w:ascii="Arial" w:cs="Arial" w:eastAsia="Arial" w:hAnsi="Arial"/>
          <w:sz w:val="18"/>
          <w:szCs w:val="18"/>
          <w:color w:val="auto"/>
        </w:rPr>
        <w:t>Corey E. Thomas</w:t>
      </w:r>
    </w:p>
    <w:p>
      <w:pPr>
        <w:spacing w:after="0" w:line="203" w:lineRule="exact"/>
        <w:rPr>
          <w:sz w:val="20"/>
          <w:szCs w:val="20"/>
          <w:color w:val="auto"/>
        </w:rPr>
      </w:pPr>
    </w:p>
    <w:p>
      <w:pPr>
        <w:ind w:left="8940"/>
        <w:spacing w:after="0"/>
        <w:rPr>
          <w:sz w:val="20"/>
          <w:szCs w:val="20"/>
          <w:color w:val="auto"/>
        </w:rPr>
      </w:pPr>
      <w:r>
        <w:rPr>
          <w:rFonts w:ascii="Arial" w:cs="Arial" w:eastAsia="Arial" w:hAnsi="Arial"/>
          <w:sz w:val="18"/>
          <w:szCs w:val="18"/>
          <w:color w:val="auto"/>
        </w:rPr>
        <w:t>April 8, 2022</w:t>
      </w:r>
    </w:p>
    <w:p>
      <w:pPr>
        <w:spacing w:after="0" w:line="141" w:lineRule="exact"/>
        <w:rPr>
          <w:sz w:val="20"/>
          <w:szCs w:val="20"/>
          <w:color w:val="auto"/>
        </w:rPr>
      </w:pPr>
    </w:p>
    <w:p>
      <w:pPr>
        <w:ind w:left="1000" w:hanging="690"/>
        <w:spacing w:after="0"/>
        <w:tabs>
          <w:tab w:leader="none" w:pos="1000" w:val="left"/>
        </w:tabs>
        <w:numPr>
          <w:ilvl w:val="0"/>
          <w:numId w:val="114"/>
        </w:numPr>
        <w:rPr>
          <w:rFonts w:ascii="Arial" w:cs="Arial" w:eastAsia="Arial" w:hAnsi="Arial"/>
          <w:sz w:val="18"/>
          <w:szCs w:val="18"/>
          <w:color w:val="050A54"/>
        </w:rPr>
      </w:pPr>
      <w:r>
        <w:rPr>
          <w:rFonts w:ascii="Arial" w:cs="Arial" w:eastAsia="Arial" w:hAnsi="Arial"/>
          <w:sz w:val="18"/>
          <w:szCs w:val="18"/>
          <w:b w:val="1"/>
          <w:bCs w:val="1"/>
          <w:color w:val="050A54"/>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-118745</wp:posOffset>
            </wp:positionV>
            <wp:extent cx="8255" cy="135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11"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Proposal 3: Approval, in an Advisory Vote, of the</w:t>
      </w:r>
    </w:p>
    <w:p>
      <w:pPr>
        <w:spacing w:after="0" w:line="4"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Compensation Paid to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60325</wp:posOffset>
            </wp:positionV>
            <wp:extent cx="69297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33"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050A54"/>
        </w:rPr>
        <w:t>Proposal 3: Approval, in an Advisory Vote, of the Compensation Paid to Our Named Executive Officers</w:t>
      </w:r>
    </w:p>
    <w:p>
      <w:pPr>
        <w:spacing w:after="0" w:line="223"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 xml:space="preserve">The Compensation Discussion and Analysis beginning on page 30 of this proxy statement describes our executive compensation program and the compensation decisions that the Compensation Committee and Board of Directors made in 2021 with respect to the compensation of our NEOs. The Board of Directors is asking stockholders to cast a non-binding, advisory vote </w:t>
      </w:r>
      <w:r>
        <w:rPr>
          <w:rFonts w:ascii="Arial" w:cs="Arial" w:eastAsia="Arial" w:hAnsi="Arial"/>
          <w:sz w:val="18"/>
          <w:szCs w:val="18"/>
          <w:b w:val="1"/>
          <w:bCs w:val="1"/>
          <w:color w:val="2360D1"/>
        </w:rPr>
        <w:t>“FOR”</w:t>
      </w:r>
      <w:r>
        <w:rPr>
          <w:rFonts w:ascii="Arial" w:cs="Arial" w:eastAsia="Arial" w:hAnsi="Arial"/>
          <w:sz w:val="18"/>
          <w:szCs w:val="18"/>
          <w:color w:val="auto"/>
        </w:rPr>
        <w:t xml:space="preserve"> the following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142240</wp:posOffset>
            </wp:positionV>
            <wp:extent cx="6929755" cy="7556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29755" cy="75565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420" w:right="660"/>
        <w:spacing w:after="0" w:line="257" w:lineRule="auto"/>
        <w:rPr>
          <w:sz w:val="20"/>
          <w:szCs w:val="20"/>
          <w:color w:val="auto"/>
        </w:rPr>
      </w:pPr>
      <w:r>
        <w:rPr>
          <w:rFonts w:ascii="Arial" w:cs="Arial" w:eastAsia="Arial" w:hAnsi="Arial"/>
          <w:sz w:val="17"/>
          <w:szCs w:val="17"/>
          <w:b w:val="1"/>
          <w:bCs w:val="1"/>
          <w:color w:val="FFFFFF"/>
        </w:rPr>
        <w:t>RESOLVED</w:t>
      </w:r>
      <w:r>
        <w:rPr>
          <w:rFonts w:ascii="Arial" w:cs="Arial" w:eastAsia="Arial" w:hAnsi="Arial"/>
          <w:sz w:val="17"/>
          <w:szCs w:val="17"/>
          <w:color w:val="FFFFFF"/>
        </w:rPr>
        <w:t>, that the compensation paid to the Company’s named executive officers, as disclosed pursuant to Item 402 of</w:t>
      </w:r>
      <w:r>
        <w:rPr>
          <w:rFonts w:ascii="Arial" w:cs="Arial" w:eastAsia="Arial" w:hAnsi="Arial"/>
          <w:sz w:val="17"/>
          <w:szCs w:val="17"/>
          <w:b w:val="1"/>
          <w:bCs w:val="1"/>
          <w:color w:val="FFFFFF"/>
        </w:rPr>
        <w:t xml:space="preserve"> </w:t>
      </w:r>
      <w:r>
        <w:rPr>
          <w:rFonts w:ascii="Arial" w:cs="Arial" w:eastAsia="Arial" w:hAnsi="Arial"/>
          <w:sz w:val="17"/>
          <w:szCs w:val="17"/>
          <w:color w:val="FFFFFF"/>
        </w:rPr>
        <w:t>Regulation S-K, including the Compensation Discussion and Analysis, compensation tables and narrative discussion, is hereby</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FFFFFF"/>
        </w:rPr>
        <w:t>APPROVED</w:t>
      </w:r>
      <w:r>
        <w:rPr>
          <w:rFonts w:ascii="Arial" w:cs="Arial" w:eastAsia="Arial" w:hAnsi="Arial"/>
          <w:sz w:val="18"/>
          <w:szCs w:val="18"/>
          <w:color w:val="FFFFFF"/>
        </w:rPr>
        <w:t>.</w:t>
      </w:r>
    </w:p>
    <w:p>
      <w:pPr>
        <w:spacing w:after="0" w:line="200" w:lineRule="exact"/>
        <w:rPr>
          <w:sz w:val="20"/>
          <w:szCs w:val="20"/>
          <w:color w:val="auto"/>
        </w:rPr>
      </w:pPr>
    </w:p>
    <w:p>
      <w:pPr>
        <w:spacing w:after="0" w:line="257"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As we describe in the Compensation Discussion and Analysis, our NEO compensation is designed to closely align the interests of our NEOs with those of our stockholders on both a short-term and long-term basis, and to attract and retain key executives critical to our success.</w:t>
      </w:r>
    </w:p>
    <w:p>
      <w:pPr>
        <w:spacing w:after="0" w:line="172"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We urge stockholders to read the Compensation Discussion and Analysis beginning on page 30 of this proxy statement and to review the 2021 Summary Compensation Table and related compensation tables and discussion, appearing on pages 50 through 62, which provide detailed information on the Company’s compensation policies and practices. We believe stockholders should focus on the following areas when reviewing our NEO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142240</wp:posOffset>
            </wp:positionV>
            <wp:extent cx="6929755" cy="36093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29755" cy="3609340"/>
                    </a:xfrm>
                    <a:prstGeom prst="rect">
                      <a:avLst/>
                    </a:prstGeom>
                    <a:noFill/>
                  </pic:spPr>
                </pic:pic>
              </a:graphicData>
            </a:graphic>
          </wp:anchor>
        </w:drawing>
      </w:r>
    </w:p>
    <w:p>
      <w:pPr>
        <w:spacing w:after="0" w:line="366" w:lineRule="exact"/>
        <w:rPr>
          <w:sz w:val="20"/>
          <w:szCs w:val="20"/>
          <w:color w:val="auto"/>
        </w:rPr>
      </w:pPr>
    </w:p>
    <w:p>
      <w:pPr>
        <w:ind w:left="540"/>
        <w:spacing w:after="0"/>
        <w:rPr>
          <w:sz w:val="20"/>
          <w:szCs w:val="20"/>
          <w:color w:val="auto"/>
        </w:rPr>
      </w:pPr>
      <w:r>
        <w:rPr>
          <w:rFonts w:ascii="Arial" w:cs="Arial" w:eastAsia="Arial" w:hAnsi="Arial"/>
          <w:sz w:val="19"/>
          <w:szCs w:val="19"/>
          <w:b w:val="1"/>
          <w:bCs w:val="1"/>
          <w:i w:val="1"/>
          <w:iCs w:val="1"/>
          <w:color w:val="050A54"/>
        </w:rPr>
        <w:t>Pay for Performance</w:t>
      </w:r>
    </w:p>
    <w:p>
      <w:pPr>
        <w:spacing w:after="0" w:line="122" w:lineRule="exact"/>
        <w:rPr>
          <w:sz w:val="20"/>
          <w:szCs w:val="20"/>
          <w:color w:val="auto"/>
        </w:rPr>
      </w:pPr>
    </w:p>
    <w:p>
      <w:pPr>
        <w:jc w:val="both"/>
        <w:ind w:left="520" w:right="360"/>
        <w:spacing w:after="0" w:line="237" w:lineRule="auto"/>
        <w:rPr>
          <w:sz w:val="20"/>
          <w:szCs w:val="20"/>
          <w:color w:val="auto"/>
        </w:rPr>
      </w:pPr>
      <w:r>
        <w:rPr>
          <w:rFonts w:ascii="Arial" w:cs="Arial" w:eastAsia="Arial" w:hAnsi="Arial"/>
          <w:sz w:val="18"/>
          <w:szCs w:val="18"/>
          <w:i w:val="1"/>
          <w:iCs w:val="1"/>
          <w:color w:val="F25900"/>
        </w:rPr>
        <w:t xml:space="preserve">Annual Cash Bonus Opportunities. </w:t>
      </w:r>
      <w:r>
        <w:rPr>
          <w:rFonts w:ascii="Arial" w:cs="Arial" w:eastAsia="Arial" w:hAnsi="Arial"/>
          <w:sz w:val="18"/>
          <w:szCs w:val="18"/>
          <w:color w:val="000000"/>
        </w:rPr>
        <w:t>We provide annual cash bonus awards in order to tie a significant portion of the overall cash</w:t>
      </w:r>
      <w:r>
        <w:rPr>
          <w:rFonts w:ascii="Arial" w:cs="Arial" w:eastAsia="Arial" w:hAnsi="Arial"/>
          <w:sz w:val="18"/>
          <w:szCs w:val="18"/>
          <w:i w:val="1"/>
          <w:iCs w:val="1"/>
          <w:color w:val="F25900"/>
        </w:rPr>
        <w:t xml:space="preserve"> </w:t>
      </w:r>
      <w:r>
        <w:rPr>
          <w:rFonts w:ascii="Arial" w:cs="Arial" w:eastAsia="Arial" w:hAnsi="Arial"/>
          <w:sz w:val="18"/>
          <w:szCs w:val="18"/>
          <w:color w:val="000000"/>
        </w:rPr>
        <w:t>compensation of each of our NEOs to the achievement of annually established, key short-term corporate objectives and financial goals of the Company, as well as to recognize individual performance. At the beginning of 2021, the Compensation Committee established a bonus funding framework based on an objective financial performance target and the collective achievement of the Company’s five corporate goals for 2021. Each NEO’s individual target award amount was set by the Compensation Committee by reference to market compensation for comparable positions within our peer group as well as the nature of the NEO’s role and responsibilities. By emphasizing executives’ contributions to the Company’s overall performance rather than focusing only on their individual business or function, we believe that these cash bonuses provided a significant incentive to our NEOs to work towards achieving our overall Company objectives.</w:t>
      </w:r>
    </w:p>
    <w:p>
      <w:pPr>
        <w:spacing w:after="0" w:line="140" w:lineRule="exact"/>
        <w:rPr>
          <w:sz w:val="20"/>
          <w:szCs w:val="20"/>
          <w:color w:val="auto"/>
        </w:rPr>
      </w:pPr>
    </w:p>
    <w:p>
      <w:pPr>
        <w:jc w:val="both"/>
        <w:ind w:left="520" w:right="360"/>
        <w:spacing w:after="0" w:line="238" w:lineRule="auto"/>
        <w:rPr>
          <w:sz w:val="20"/>
          <w:szCs w:val="20"/>
          <w:color w:val="auto"/>
        </w:rPr>
      </w:pPr>
      <w:r>
        <w:rPr>
          <w:rFonts w:ascii="Arial" w:cs="Arial" w:eastAsia="Arial" w:hAnsi="Arial"/>
          <w:sz w:val="18"/>
          <w:szCs w:val="18"/>
          <w:i w:val="1"/>
          <w:iCs w:val="1"/>
          <w:color w:val="F25900"/>
        </w:rPr>
        <w:t xml:space="preserve">Long-Term Incentives. </w:t>
      </w:r>
      <w:r>
        <w:rPr>
          <w:rFonts w:ascii="Arial" w:cs="Arial" w:eastAsia="Arial" w:hAnsi="Arial"/>
          <w:sz w:val="18"/>
          <w:szCs w:val="18"/>
          <w:color w:val="000000"/>
        </w:rPr>
        <w:t>The purposes of our long-term equity incentive program are to promote achievement of corporate goals</w:t>
      </w:r>
      <w:r>
        <w:rPr>
          <w:rFonts w:ascii="Arial" w:cs="Arial" w:eastAsia="Arial" w:hAnsi="Arial"/>
          <w:sz w:val="18"/>
          <w:szCs w:val="18"/>
          <w:i w:val="1"/>
          <w:iCs w:val="1"/>
          <w:color w:val="F25900"/>
        </w:rPr>
        <w:t xml:space="preserve"> </w:t>
      </w:r>
      <w:r>
        <w:rPr>
          <w:rFonts w:ascii="Arial" w:cs="Arial" w:eastAsia="Arial" w:hAnsi="Arial"/>
          <w:sz w:val="18"/>
          <w:szCs w:val="18"/>
          <w:color w:val="000000"/>
        </w:rPr>
        <w:t>that drive long-term stockholder value, to align the interests of our executive officers and other key employees with our stakeholders and to retain key executives. We provide stock-based, long-term compensation to our NEOs through equity awards under our stockholder-approved equity plans. We believe this long-term incentive compensation, which includes performance stock units keyed to our total shareholder return relative to a predetermined comparator group over a three-year performance period, motivates our NEOs to sustain longer-term financial operational performance and rewards them when such efforts lead to increases in stockholder value.</w:t>
      </w:r>
    </w:p>
    <w:p>
      <w:pPr>
        <w:spacing w:after="0" w:line="82" w:lineRule="exact"/>
        <w:rPr>
          <w:sz w:val="20"/>
          <w:szCs w:val="20"/>
          <w:color w:val="auto"/>
        </w:rPr>
      </w:pPr>
    </w:p>
    <w:p>
      <w:pPr>
        <w:ind w:left="540"/>
        <w:spacing w:after="0"/>
        <w:rPr>
          <w:sz w:val="20"/>
          <w:szCs w:val="20"/>
          <w:color w:val="auto"/>
        </w:rPr>
      </w:pPr>
      <w:r>
        <w:rPr>
          <w:rFonts w:ascii="Arial" w:cs="Arial" w:eastAsia="Arial" w:hAnsi="Arial"/>
          <w:sz w:val="19"/>
          <w:szCs w:val="19"/>
          <w:b w:val="1"/>
          <w:bCs w:val="1"/>
          <w:i w:val="1"/>
          <w:iCs w:val="1"/>
          <w:color w:val="050A54"/>
        </w:rPr>
        <w:t>Alignment with Long-Term Stakeholder Interests</w:t>
      </w:r>
    </w:p>
    <w:p>
      <w:pPr>
        <w:spacing w:after="0" w:line="122" w:lineRule="exact"/>
        <w:rPr>
          <w:sz w:val="20"/>
          <w:szCs w:val="20"/>
          <w:color w:val="auto"/>
        </w:rPr>
      </w:pPr>
    </w:p>
    <w:p>
      <w:pPr>
        <w:jc w:val="both"/>
        <w:ind w:left="520" w:right="360"/>
        <w:spacing w:after="0" w:line="265" w:lineRule="auto"/>
        <w:rPr>
          <w:sz w:val="20"/>
          <w:szCs w:val="20"/>
          <w:color w:val="auto"/>
        </w:rPr>
      </w:pPr>
      <w:r>
        <w:rPr>
          <w:rFonts w:ascii="Arial" w:cs="Arial" w:eastAsia="Arial" w:hAnsi="Arial"/>
          <w:sz w:val="18"/>
          <w:szCs w:val="18"/>
          <w:color w:val="auto"/>
        </w:rPr>
        <w:t>Our executive compensation is weighted towards variable, at-risk pay in the form of annual and long-term incentives, with a large portion of executive compensation tied to long-term performance. In addition, we have adopted:</w:t>
      </w:r>
    </w:p>
    <w:p>
      <w:pPr>
        <w:spacing w:after="0" w:line="158" w:lineRule="exact"/>
        <w:rPr>
          <w:sz w:val="20"/>
          <w:szCs w:val="20"/>
          <w:color w:val="auto"/>
        </w:rPr>
      </w:pPr>
    </w:p>
    <w:p>
      <w:pPr>
        <w:jc w:val="both"/>
        <w:ind w:left="520" w:right="360"/>
        <w:spacing w:after="0" w:line="265" w:lineRule="auto"/>
        <w:rPr>
          <w:sz w:val="20"/>
          <w:szCs w:val="20"/>
          <w:color w:val="auto"/>
        </w:rPr>
      </w:pPr>
      <w:r>
        <w:rPr>
          <w:rFonts w:ascii="Arial" w:cs="Arial" w:eastAsia="Arial" w:hAnsi="Arial"/>
          <w:sz w:val="18"/>
          <w:szCs w:val="18"/>
          <w:i w:val="1"/>
          <w:iCs w:val="1"/>
          <w:color w:val="F25900"/>
        </w:rPr>
        <w:t xml:space="preserve">Equity Ownership Guidelines. </w:t>
      </w:r>
      <w:r>
        <w:rPr>
          <w:rFonts w:ascii="Arial" w:cs="Arial" w:eastAsia="Arial" w:hAnsi="Arial"/>
          <w:sz w:val="18"/>
          <w:szCs w:val="18"/>
          <w:color w:val="000000"/>
        </w:rPr>
        <w:t>We focus our executives on long-term stockholder value by requiring that all executive officers own</w:t>
      </w:r>
      <w:r>
        <w:rPr>
          <w:rFonts w:ascii="Arial" w:cs="Arial" w:eastAsia="Arial" w:hAnsi="Arial"/>
          <w:sz w:val="18"/>
          <w:szCs w:val="18"/>
          <w:i w:val="1"/>
          <w:iCs w:val="1"/>
          <w:color w:val="F25900"/>
        </w:rPr>
        <w:t xml:space="preserve"> </w:t>
      </w:r>
      <w:r>
        <w:rPr>
          <w:rFonts w:ascii="Arial" w:cs="Arial" w:eastAsia="Arial" w:hAnsi="Arial"/>
          <w:sz w:val="18"/>
          <w:szCs w:val="18"/>
          <w:color w:val="000000"/>
        </w:rPr>
        <w:t>a significant amount of our equity.</w:t>
      </w:r>
    </w:p>
    <w:p>
      <w:pPr>
        <w:spacing w:after="0" w:line="399" w:lineRule="exact"/>
        <w:rPr>
          <w:sz w:val="20"/>
          <w:szCs w:val="20"/>
          <w:color w:val="auto"/>
        </w:rPr>
      </w:pPr>
    </w:p>
    <w:tbl>
      <w:tblPr>
        <w:tblLayout w:type="fixed"/>
        <w:tblInd w:w="8500" w:type="dxa"/>
        <w:tblCellMar>
          <w:top w:w="0" w:type="dxa"/>
          <w:left w:w="0" w:type="dxa"/>
          <w:bottom w:w="0" w:type="dxa"/>
          <w:right w:w="0" w:type="dxa"/>
        </w:tblCellMar>
      </w:tblPr>
      <w:tr>
        <w:trPr>
          <w:trHeight w:val="233"/>
        </w:trPr>
        <w:tc>
          <w:tcPr>
            <w:tcW w:w="2060" w:type="dxa"/>
            <w:vAlign w:val="bottom"/>
            <w:tcBorders>
              <w:right w:val="single" w:sz="8" w:color="050A54"/>
            </w:tcBorders>
          </w:tcPr>
          <w:p>
            <w:pPr>
              <w:spacing w:after="0"/>
              <w:rPr>
                <w:sz w:val="20"/>
                <w:szCs w:val="20"/>
                <w:color w:val="auto"/>
              </w:rPr>
            </w:pPr>
            <w:r>
              <w:rPr>
                <w:rFonts w:ascii="Arial" w:cs="Arial" w:eastAsia="Arial" w:hAnsi="Arial"/>
                <w:sz w:val="18"/>
                <w:szCs w:val="18"/>
                <w:b w:val="1"/>
                <w:bCs w:val="1"/>
                <w:color w:val="050A54"/>
              </w:rPr>
              <w:t>2022 Proxy Statement</w:t>
            </w:r>
          </w:p>
        </w:tc>
        <w:tc>
          <w:tcPr>
            <w:tcW w:w="520" w:type="dxa"/>
            <w:vAlign w:val="bottom"/>
          </w:tcPr>
          <w:p>
            <w:pPr>
              <w:jc w:val="right"/>
              <w:spacing w:after="0"/>
              <w:rPr>
                <w:sz w:val="20"/>
                <w:szCs w:val="20"/>
                <w:color w:val="auto"/>
              </w:rPr>
            </w:pPr>
            <w:r>
              <w:rPr>
                <w:rFonts w:ascii="Arial" w:cs="Arial" w:eastAsia="Arial" w:hAnsi="Arial"/>
                <w:sz w:val="18"/>
                <w:szCs w:val="18"/>
                <w:color w:val="050A54"/>
              </w:rPr>
              <w:t>69</w:t>
            </w:r>
          </w:p>
        </w:tc>
      </w:tr>
    </w:tbl>
    <w:p>
      <w:pPr>
        <w:sectPr>
          <w:pgSz w:w="11900" w:h="16838" w:orient="portrait"/>
          <w:cols w:equalWidth="0" w:num="1">
            <w:col w:w="11080"/>
          </w:cols>
          <w:pgMar w:left="320" w:top="454" w:right="49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050A54"/>
        </w:rPr>
        <w:t>Proposal 3: Approval, in an Advisory Vote, of the</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050A54"/>
        </w:rPr>
        <w:t>Compensation Paid to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60325</wp:posOffset>
            </wp:positionV>
            <wp:extent cx="6929755" cy="383857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29755" cy="383857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both"/>
        <w:ind w:left="520" w:right="140"/>
        <w:spacing w:after="0"/>
        <w:rPr>
          <w:sz w:val="20"/>
          <w:szCs w:val="20"/>
          <w:color w:val="auto"/>
        </w:rPr>
      </w:pPr>
      <w:r>
        <w:rPr>
          <w:rFonts w:ascii="Arial" w:cs="Arial" w:eastAsia="Arial" w:hAnsi="Arial"/>
          <w:sz w:val="18"/>
          <w:szCs w:val="18"/>
          <w:i w:val="1"/>
          <w:iCs w:val="1"/>
          <w:color w:val="F25900"/>
        </w:rPr>
        <w:t xml:space="preserve">Performance-Based Annual LTI Awards. </w:t>
      </w:r>
      <w:r>
        <w:rPr>
          <w:rFonts w:ascii="Arial" w:cs="Arial" w:eastAsia="Arial" w:hAnsi="Arial"/>
          <w:sz w:val="18"/>
          <w:szCs w:val="18"/>
          <w:color w:val="000000"/>
        </w:rPr>
        <w:t>In 2021, our annual equity grants to our chief executive officer consisted of 70% PSUs</w:t>
      </w:r>
      <w:r>
        <w:rPr>
          <w:rFonts w:ascii="Arial" w:cs="Arial" w:eastAsia="Arial" w:hAnsi="Arial"/>
          <w:sz w:val="18"/>
          <w:szCs w:val="18"/>
          <w:i w:val="1"/>
          <w:iCs w:val="1"/>
          <w:color w:val="F25900"/>
        </w:rPr>
        <w:t xml:space="preserve"> </w:t>
      </w:r>
      <w:r>
        <w:rPr>
          <w:rFonts w:ascii="Arial" w:cs="Arial" w:eastAsia="Arial" w:hAnsi="Arial"/>
          <w:sz w:val="18"/>
          <w:szCs w:val="18"/>
          <w:color w:val="000000"/>
        </w:rPr>
        <w:t>and 30% RSUs (by grant date value), and our annual equity grants to our other NEOs consisted of 60% PSUs and 40% RSUs (excluding any sign-on equity grant). We believe that this blended approach aligned with our pay-for-performance principles and provided appropriate incentives for long-term stockholder value creation while also serving as a retention tool for the Company. The use of PSUs puts appropriate focus on long-term alignment and pay relative both to market peers and stockholder returns.</w:t>
      </w:r>
    </w:p>
    <w:p>
      <w:pPr>
        <w:spacing w:after="0" w:line="182" w:lineRule="exact"/>
        <w:rPr>
          <w:sz w:val="20"/>
          <w:szCs w:val="20"/>
          <w:color w:val="auto"/>
        </w:rPr>
      </w:pPr>
    </w:p>
    <w:p>
      <w:pPr>
        <w:jc w:val="both"/>
        <w:ind w:left="520" w:right="140"/>
        <w:spacing w:after="0" w:line="237" w:lineRule="auto"/>
        <w:rPr>
          <w:sz w:val="20"/>
          <w:szCs w:val="20"/>
          <w:color w:val="auto"/>
        </w:rPr>
      </w:pPr>
      <w:r>
        <w:rPr>
          <w:rFonts w:ascii="Arial" w:cs="Arial" w:eastAsia="Arial" w:hAnsi="Arial"/>
          <w:sz w:val="18"/>
          <w:szCs w:val="18"/>
          <w:i w:val="1"/>
          <w:iCs w:val="1"/>
          <w:color w:val="F25900"/>
        </w:rPr>
        <w:t xml:space="preserve">Recoupment Policy. </w:t>
      </w:r>
      <w:r>
        <w:rPr>
          <w:rFonts w:ascii="Arial" w:cs="Arial" w:eastAsia="Arial" w:hAnsi="Arial"/>
          <w:sz w:val="18"/>
          <w:szCs w:val="18"/>
          <w:color w:val="000000"/>
        </w:rPr>
        <w:t>We have adopted a recoupment policy that permits the Compensation Committee, in the event of a</w:t>
      </w:r>
      <w:r>
        <w:rPr>
          <w:rFonts w:ascii="Arial" w:cs="Arial" w:eastAsia="Arial" w:hAnsi="Arial"/>
          <w:sz w:val="18"/>
          <w:szCs w:val="18"/>
          <w:i w:val="1"/>
          <w:iCs w:val="1"/>
          <w:color w:val="F25900"/>
        </w:rPr>
        <w:t xml:space="preserve"> </w:t>
      </w:r>
      <w:r>
        <w:rPr>
          <w:rFonts w:ascii="Arial" w:cs="Arial" w:eastAsia="Arial" w:hAnsi="Arial"/>
          <w:sz w:val="18"/>
          <w:szCs w:val="18"/>
          <w:color w:val="000000"/>
        </w:rPr>
        <w:t>restatement of the Company’s financial statements due to material noncompliance with financial reporting requirements under the securities laws, to review the annual cash bonuses, performance-based compensation and time-based equity and equity-based awards awarded or paid to executive officers during the three-year period preceding the announcement by the Company of its obligation to restate its financial statements. If the amount of the annual cash bonuses or performance-based compensation received would have been lower had the level of achievement of applicable financial performance goals been calculated based on such restated financial results, the Compensation Committee may seek reimbursement from any of the covered executives in the amount of the excess compensation awarded or paid.</w:t>
      </w:r>
    </w:p>
    <w:p>
      <w:pPr>
        <w:spacing w:after="0" w:line="184" w:lineRule="exact"/>
        <w:rPr>
          <w:sz w:val="20"/>
          <w:szCs w:val="20"/>
          <w:color w:val="auto"/>
        </w:rPr>
      </w:pPr>
    </w:p>
    <w:p>
      <w:pPr>
        <w:jc w:val="both"/>
        <w:ind w:left="520" w:right="140"/>
        <w:spacing w:after="0" w:line="237" w:lineRule="auto"/>
        <w:rPr>
          <w:sz w:val="20"/>
          <w:szCs w:val="20"/>
          <w:color w:val="auto"/>
        </w:rPr>
      </w:pPr>
      <w:r>
        <w:rPr>
          <w:rFonts w:ascii="Arial" w:cs="Arial" w:eastAsia="Arial" w:hAnsi="Arial"/>
          <w:sz w:val="18"/>
          <w:szCs w:val="18"/>
          <w:i w:val="1"/>
          <w:iCs w:val="1"/>
          <w:color w:val="F25900"/>
        </w:rPr>
        <w:t xml:space="preserve">Anti-Hedging and Anti-Pledging Policy. </w:t>
      </w:r>
      <w:r>
        <w:rPr>
          <w:rFonts w:ascii="Arial" w:cs="Arial" w:eastAsia="Arial" w:hAnsi="Arial"/>
          <w:sz w:val="18"/>
          <w:szCs w:val="18"/>
          <w:color w:val="000000"/>
        </w:rPr>
        <w:t>We believe that hedging transactions may permit executives to own Company securities</w:t>
      </w:r>
      <w:r>
        <w:rPr>
          <w:rFonts w:ascii="Arial" w:cs="Arial" w:eastAsia="Arial" w:hAnsi="Arial"/>
          <w:sz w:val="18"/>
          <w:szCs w:val="18"/>
          <w:i w:val="1"/>
          <w:iCs w:val="1"/>
          <w:color w:val="F25900"/>
        </w:rPr>
        <w:t xml:space="preserve"> </w:t>
      </w:r>
      <w:r>
        <w:rPr>
          <w:rFonts w:ascii="Arial" w:cs="Arial" w:eastAsia="Arial" w:hAnsi="Arial"/>
          <w:sz w:val="18"/>
          <w:szCs w:val="18"/>
          <w:color w:val="000000"/>
        </w:rPr>
        <w:t>obtained through our executive compensation program or otherwise without the full risks and rewards of ownership. When that occurs, an executive may no longer have the same objectives as the Company’s other stockholders. As a result, we have adopted a policy, included within our Insider Trading Policy and applicable to all employees, officers, directors and consultants of the Company, which prohibits short sales, hedging or engaging in monetization transactions, including through the use of puts and call options, collars, exchange funds, prepaid variable forwards, and equity swaps. The policy also prohibits holding Company securities in a margin account or pledging Company securities as collateral for a loan, because a margin or foreclosure sale may occur when an executive is aware of material nonpublic information or otherwise not permitted to trade.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F25900"/>
        </w:rPr>
        <w:t>THE BOARD OF DIRECTORS RECOMMENDS A VOTE “FOR” THIS PROPOSAL.</w:t>
      </w:r>
    </w:p>
    <w:p>
      <w:pPr>
        <w:spacing w:after="0" w:line="141" w:lineRule="exact"/>
        <w:rPr>
          <w:sz w:val="20"/>
          <w:szCs w:val="20"/>
          <w:color w:val="auto"/>
        </w:rPr>
      </w:pPr>
    </w:p>
    <w:p>
      <w:pPr>
        <w:ind w:left="1000" w:hanging="690"/>
        <w:spacing w:after="0"/>
        <w:tabs>
          <w:tab w:leader="none" w:pos="1000" w:val="left"/>
        </w:tabs>
        <w:numPr>
          <w:ilvl w:val="0"/>
          <w:numId w:val="115"/>
        </w:numPr>
        <w:rPr>
          <w:rFonts w:ascii="Arial" w:cs="Arial" w:eastAsia="Arial" w:hAnsi="Arial"/>
          <w:sz w:val="18"/>
          <w:szCs w:val="18"/>
          <w:color w:val="050A54"/>
        </w:rPr>
      </w:pPr>
      <w:r>
        <w:rPr>
          <w:rFonts w:ascii="Arial" w:cs="Arial" w:eastAsia="Arial" w:hAnsi="Arial"/>
          <w:sz w:val="18"/>
          <w:szCs w:val="18"/>
          <w:b w:val="1"/>
          <w:bCs w:val="1"/>
          <w:color w:val="050A54"/>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-118745</wp:posOffset>
            </wp:positionV>
            <wp:extent cx="8255" cy="135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0860"/>
          </w:cols>
          <w:pgMar w:left="320" w:top="454" w:right="71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980"/>
        <w:spacing w:after="0"/>
        <w:rPr>
          <w:sz w:val="20"/>
          <w:szCs w:val="20"/>
          <w:color w:val="auto"/>
        </w:rPr>
      </w:pPr>
      <w:r>
        <w:rPr>
          <w:rFonts w:ascii="Arial" w:cs="Arial" w:eastAsia="Arial" w:hAnsi="Arial"/>
          <w:sz w:val="19"/>
          <w:szCs w:val="19"/>
          <w:b w:val="1"/>
          <w:bCs w:val="1"/>
          <w:color w:val="050A54"/>
        </w:rPr>
        <w:t>Stockholder Proposals and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80010</wp:posOffset>
            </wp:positionV>
            <wp:extent cx="69297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5" w:lineRule="exact"/>
        <w:rPr>
          <w:sz w:val="20"/>
          <w:szCs w:val="20"/>
          <w:color w:val="auto"/>
        </w:rPr>
      </w:pPr>
    </w:p>
    <w:p>
      <w:pPr>
        <w:jc w:val="center"/>
        <w:ind w:right="-179"/>
        <w:spacing w:after="0"/>
        <w:rPr>
          <w:sz w:val="20"/>
          <w:szCs w:val="20"/>
          <w:color w:val="auto"/>
        </w:rPr>
      </w:pPr>
      <w:r>
        <w:rPr>
          <w:rFonts w:ascii="Arial" w:cs="Arial" w:eastAsia="Arial" w:hAnsi="Arial"/>
          <w:sz w:val="21"/>
          <w:szCs w:val="21"/>
          <w:b w:val="1"/>
          <w:bCs w:val="1"/>
          <w:color w:val="050A54"/>
        </w:rPr>
        <w:t>Stockholder Proposals and Other Matters</w:t>
      </w:r>
    </w:p>
    <w:p>
      <w:pPr>
        <w:sectPr>
          <w:pgSz w:w="11900" w:h="16838" w:orient="portrait"/>
          <w:cols w:equalWidth="0" w:num="1">
            <w:col w:w="11080"/>
          </w:cols>
          <w:pgMar w:left="320" w:top="454" w:right="499" w:bottom="1440" w:gutter="0" w:footer="0" w:header="0"/>
        </w:sectPr>
      </w:pPr>
    </w:p>
    <w:p>
      <w:pPr>
        <w:spacing w:after="0" w:line="298" w:lineRule="exact"/>
        <w:rPr>
          <w:sz w:val="20"/>
          <w:szCs w:val="20"/>
          <w:color w:val="auto"/>
        </w:rPr>
      </w:pPr>
    </w:p>
    <w:p>
      <w:pPr>
        <w:ind w:left="160" w:right="540"/>
        <w:spacing w:after="0" w:line="264" w:lineRule="auto"/>
        <w:rPr>
          <w:sz w:val="20"/>
          <w:szCs w:val="20"/>
          <w:color w:val="auto"/>
        </w:rPr>
      </w:pPr>
      <w:r>
        <w:rPr>
          <w:rFonts w:ascii="Arial" w:cs="Arial" w:eastAsia="Arial" w:hAnsi="Arial"/>
          <w:sz w:val="20"/>
          <w:szCs w:val="20"/>
          <w:b w:val="1"/>
          <w:bCs w:val="1"/>
          <w:color w:val="050A54"/>
        </w:rPr>
        <w:t>Stockholder Proposals for Inclusion in 2023 Proxy Materials</w:t>
      </w:r>
    </w:p>
    <w:p>
      <w:pPr>
        <w:spacing w:after="0" w:line="141"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To be eligible for inclusion in the proxy materials for our 2023 annual meeting, stockholder proposals must be received by our corporate secretary no later than Friday, December 9, 2022. Proposals should be sent to the Board of Directors, care of Corporate Secretary, LPL Financial Holdings Inc., 75 State Street, 22nd Floor, Boston, MA 02109, and follow the procedures required by SEC Rule 14a-8.</w:t>
      </w:r>
    </w:p>
    <w:p>
      <w:pPr>
        <w:spacing w:after="0" w:line="284" w:lineRule="exact"/>
        <w:rPr>
          <w:sz w:val="20"/>
          <w:szCs w:val="20"/>
          <w:color w:val="auto"/>
        </w:rPr>
      </w:pPr>
    </w:p>
    <w:p>
      <w:pPr>
        <w:ind w:left="160" w:right="100"/>
        <w:spacing w:after="0" w:line="264" w:lineRule="auto"/>
        <w:rPr>
          <w:sz w:val="20"/>
          <w:szCs w:val="20"/>
          <w:color w:val="auto"/>
        </w:rPr>
      </w:pPr>
      <w:r>
        <w:rPr>
          <w:rFonts w:ascii="Arial" w:cs="Arial" w:eastAsia="Arial" w:hAnsi="Arial"/>
          <w:sz w:val="20"/>
          <w:szCs w:val="20"/>
          <w:b w:val="1"/>
          <w:bCs w:val="1"/>
          <w:color w:val="050A54"/>
        </w:rPr>
        <w:t>Stockholder Director Nominations for Inclusion in 2023 Proxy Materials Using Proxy Access</w:t>
      </w:r>
    </w:p>
    <w:p>
      <w:pPr>
        <w:spacing w:after="0" w:line="141"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Our bylaws provide for proxy access by permitting a stockholder, or a group of up to 20 stockholders, that has owned at least three percent of our Common Stock continuously for three years to nominate and include in the Company’s annual meeting proxy materials the greater of two directors or twenty percent of the Board, provided that the stockholders and nominees satisfy the requirements specified in the bylaws. In accordance with our bylaws, a stockholder or group of stockholders that wishes to nominate any director candidates using proxy access must provide a notice of proxy access nomination (containing the information specified in our bylaws regarding the stockholder and the nominee or nominees) to our corporate secretary:</w:t>
      </w:r>
    </w:p>
    <w:p>
      <w:pPr>
        <w:spacing w:after="0" w:line="216" w:lineRule="exact"/>
        <w:rPr>
          <w:sz w:val="20"/>
          <w:szCs w:val="20"/>
          <w:color w:val="auto"/>
        </w:rPr>
      </w:pPr>
    </w:p>
    <w:p>
      <w:pPr>
        <w:ind w:left="520"/>
        <w:spacing w:after="0" w:line="243" w:lineRule="auto"/>
        <w:rPr>
          <w:sz w:val="20"/>
          <w:szCs w:val="20"/>
          <w:color w:val="auto"/>
        </w:rPr>
      </w:pPr>
      <w:r>
        <w:rPr>
          <w:rFonts w:ascii="Arial" w:cs="Arial" w:eastAsia="Arial" w:hAnsi="Arial"/>
          <w:sz w:val="18"/>
          <w:szCs w:val="18"/>
          <w:color w:val="auto"/>
        </w:rPr>
        <w:t>not less than 90 nor more than 120 days prior to the anniversary of the date that the Company issued its proxy statement for the previous year’s annual meeting of stockholders; or</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the date of the annual meeting of stockholders is more than 30 days earlier or more than 60 days later than the anniversary date of the most recent annual meeting of stockholders, then not later than the close of business on the 10th day after public announcement of the meeting date.</w:t>
      </w:r>
    </w:p>
    <w:p>
      <w:pPr>
        <w:spacing w:after="0" w:line="182"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Accordingly, to comply with the above requirements and the SEC’s universal proxy rules and therefore be eligible for inclusion in the proxy materials for our 2023 annual meeting, a notice of proxy access nomination must be received no earlier than Monday, December 9, 2022 and no later than Saturday, January 8, 2023.</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line="263" w:lineRule="auto"/>
        <w:rPr>
          <w:sz w:val="20"/>
          <w:szCs w:val="20"/>
          <w:color w:val="auto"/>
        </w:rPr>
      </w:pPr>
      <w:r>
        <w:rPr>
          <w:rFonts w:ascii="Arial" w:cs="Arial" w:eastAsia="Arial" w:hAnsi="Arial"/>
          <w:sz w:val="19"/>
          <w:szCs w:val="19"/>
          <w:b w:val="1"/>
          <w:bCs w:val="1"/>
          <w:color w:val="050A54"/>
        </w:rPr>
        <w:t>Stockholder Director Nominations and Other Stockholder Proposals for Presentation at the 2023 Annual Meeting, but not for Inclusion in Proxy Statement</w:t>
      </w:r>
    </w:p>
    <w:p>
      <w:pPr>
        <w:spacing w:after="0" w:line="142"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In accordance with our bylaws, written notice of stockholder nominations to the Board of Directors and any other business proposed by a stockholder that is not to be included in the proxy statement must be delivered to our corporate secretary not less than 90 nor more than 120 days prior to the anniversary of the preceding year’s annual meeting. Accordingly, to comply with these requirements and the SEC’s universal proxy rules, any stockholder who wishes to have a director nomination or other business considered at the 2023 annual meeting that is not to be included in the proxy statement must deliver a written notice (containing the information specified in our bylaws regarding the stockholder and the proposed action) to our corporate secretary between Wednesday, January 18, 2023 and Friday, February 17, 2023.</w:t>
      </w:r>
    </w:p>
    <w:p>
      <w:pPr>
        <w:spacing w:after="0" w:line="17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SEC rules permit management to vote proxies in its discretion with respect to such matters if we advise stockholders how management intends to vote. Management knows of no matter to be brought before the Annual Meeting that is not referred to in the Notice. If any other matters properly come before the Annual Meeting, we intend that the shares represented by proxy will be voted with respect thereto in accordance with the judgment of the persons voting them.</w:t>
      </w:r>
    </w:p>
    <w:p>
      <w:pPr>
        <w:spacing w:after="0" w:line="286" w:lineRule="exact"/>
        <w:rPr>
          <w:sz w:val="20"/>
          <w:szCs w:val="20"/>
          <w:color w:val="auto"/>
        </w:rPr>
      </w:pPr>
    </w:p>
    <w:p>
      <w:pPr>
        <w:ind w:right="500"/>
        <w:spacing w:after="0" w:line="243" w:lineRule="auto"/>
        <w:rPr>
          <w:sz w:val="20"/>
          <w:szCs w:val="20"/>
          <w:color w:val="auto"/>
        </w:rPr>
      </w:pPr>
      <w:r>
        <w:rPr>
          <w:rFonts w:ascii="Arial" w:cs="Arial" w:eastAsia="Arial" w:hAnsi="Arial"/>
          <w:sz w:val="20"/>
          <w:szCs w:val="20"/>
          <w:b w:val="1"/>
          <w:bCs w:val="1"/>
          <w:color w:val="050A54"/>
        </w:rPr>
        <w:t>Policy with Respect to the Consideration of Director Candidates Recommended or Nominated by Stockholders</w:t>
      </w:r>
    </w:p>
    <w:p>
      <w:pPr>
        <w:spacing w:after="0" w:line="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Nominating and Governance Committee will consider director candidates recommended by stockholders in accordance with our bylaws. For a stockholder to make any nomination for election to the Board of Directors at an annual meeting, the stockholder must provide notice and certain information about the recommending stockholder and the nominee to the Company, which notice must be delivered to, or mailed and received at, the Company’s principal executive offices:</w:t>
      </w:r>
    </w:p>
    <w:p>
      <w:pPr>
        <w:spacing w:after="0" w:line="90" w:lineRule="exact"/>
        <w:rPr>
          <w:sz w:val="20"/>
          <w:szCs w:val="20"/>
          <w:color w:val="auto"/>
        </w:rPr>
      </w:pPr>
    </w:p>
    <w:p>
      <w:pPr>
        <w:ind w:left="360" w:right="20"/>
        <w:spacing w:after="0" w:line="249" w:lineRule="auto"/>
        <w:rPr>
          <w:sz w:val="20"/>
          <w:szCs w:val="20"/>
          <w:color w:val="auto"/>
        </w:rPr>
      </w:pPr>
      <w:r>
        <w:rPr>
          <w:rFonts w:ascii="Arial" w:cs="Arial" w:eastAsia="Arial" w:hAnsi="Arial"/>
          <w:sz w:val="18"/>
          <w:szCs w:val="18"/>
          <w:color w:val="auto"/>
        </w:rPr>
        <w:t>no later than the close of business on the 90</w:t>
      </w:r>
      <w:r>
        <w:rPr>
          <w:rFonts w:ascii="Arial" w:cs="Arial" w:eastAsia="Arial" w:hAnsi="Arial"/>
          <w:sz w:val="15"/>
          <w:szCs w:val="15"/>
          <w:color w:val="auto"/>
        </w:rPr>
        <w:t>th</w:t>
      </w:r>
      <w:r>
        <w:rPr>
          <w:rFonts w:ascii="Arial" w:cs="Arial" w:eastAsia="Arial" w:hAnsi="Arial"/>
          <w:sz w:val="18"/>
          <w:szCs w:val="18"/>
          <w:color w:val="auto"/>
        </w:rPr>
        <w:t xml:space="preserve"> calendar day nor earlier than the close of business on the 120</w:t>
      </w:r>
      <w:r>
        <w:rPr>
          <w:rFonts w:ascii="Arial" w:cs="Arial" w:eastAsia="Arial" w:hAnsi="Arial"/>
          <w:sz w:val="15"/>
          <w:szCs w:val="15"/>
          <w:color w:val="auto"/>
        </w:rPr>
        <w:t>th</w:t>
      </w:r>
      <w:r>
        <w:rPr>
          <w:rFonts w:ascii="Arial" w:cs="Arial" w:eastAsia="Arial" w:hAnsi="Arial"/>
          <w:sz w:val="18"/>
          <w:szCs w:val="18"/>
          <w:color w:val="auto"/>
        </w:rPr>
        <w:t xml:space="preserve"> calendar day, prior to the</w:t>
      </w:r>
    </w:p>
    <w:p>
      <w:pPr>
        <w:spacing w:after="0" w:line="200" w:lineRule="exact"/>
        <w:rPr>
          <w:sz w:val="20"/>
          <w:szCs w:val="20"/>
          <w:color w:val="auto"/>
        </w:rPr>
      </w:pPr>
    </w:p>
    <w:p>
      <w:pPr>
        <w:spacing w:after="0" w:line="373" w:lineRule="exact"/>
        <w:rPr>
          <w:sz w:val="20"/>
          <w:szCs w:val="20"/>
          <w:color w:val="auto"/>
        </w:rPr>
      </w:pPr>
    </w:p>
    <w:tbl>
      <w:tblPr>
        <w:tblLayout w:type="fixed"/>
        <w:tblInd w:w="2760" w:type="dxa"/>
        <w:tblCellMar>
          <w:top w:w="0" w:type="dxa"/>
          <w:left w:w="0" w:type="dxa"/>
          <w:bottom w:w="0" w:type="dxa"/>
          <w:right w:w="0" w:type="dxa"/>
        </w:tblCellMar>
      </w:tblPr>
      <w:tr>
        <w:trPr>
          <w:trHeight w:val="233"/>
        </w:trPr>
        <w:tc>
          <w:tcPr>
            <w:tcW w:w="2060" w:type="dxa"/>
            <w:vAlign w:val="bottom"/>
            <w:tcBorders>
              <w:right w:val="single" w:sz="8" w:color="050A54"/>
            </w:tcBorders>
          </w:tcPr>
          <w:p>
            <w:pPr>
              <w:spacing w:after="0"/>
              <w:rPr>
                <w:sz w:val="20"/>
                <w:szCs w:val="20"/>
                <w:color w:val="auto"/>
              </w:rPr>
            </w:pPr>
            <w:r>
              <w:rPr>
                <w:rFonts w:ascii="Arial" w:cs="Arial" w:eastAsia="Arial" w:hAnsi="Arial"/>
                <w:sz w:val="18"/>
                <w:szCs w:val="18"/>
                <w:b w:val="1"/>
                <w:bCs w:val="1"/>
                <w:color w:val="050A54"/>
              </w:rPr>
              <w:t>2022 Proxy Statement</w:t>
            </w:r>
          </w:p>
        </w:tc>
        <w:tc>
          <w:tcPr>
            <w:tcW w:w="520" w:type="dxa"/>
            <w:vAlign w:val="bottom"/>
          </w:tcPr>
          <w:p>
            <w:pPr>
              <w:jc w:val="right"/>
              <w:spacing w:after="0"/>
              <w:rPr>
                <w:sz w:val="20"/>
                <w:szCs w:val="20"/>
                <w:color w:val="auto"/>
              </w:rPr>
            </w:pPr>
            <w:r>
              <w:rPr>
                <w:rFonts w:ascii="Arial" w:cs="Arial" w:eastAsia="Arial" w:hAnsi="Arial"/>
                <w:sz w:val="18"/>
                <w:szCs w:val="18"/>
                <w:color w:val="050A54"/>
              </w:rPr>
              <w:t>71</w:t>
            </w:r>
          </w:p>
        </w:tc>
      </w:tr>
    </w:tbl>
    <w:p>
      <w:pPr>
        <w:sectPr>
          <w:pgSz w:w="11900" w:h="16838" w:orient="portrait"/>
          <w:cols w:equalWidth="0" w:num="2">
            <w:col w:w="5400" w:space="340"/>
            <w:col w:w="5340"/>
          </w:cols>
          <w:pgMar w:left="320" w:top="454" w:right="499" w:bottom="1440" w:gutter="0" w:footer="0" w:header="0"/>
          <w:type w:val="continuous"/>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Stockholder Proposals and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33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anniversary date of the prior year’s annual meeting; or</w:t>
      </w:r>
    </w:p>
    <w:p>
      <w:pPr>
        <w:spacing w:after="0" w:line="114" w:lineRule="exact"/>
        <w:rPr>
          <w:sz w:val="20"/>
          <w:szCs w:val="20"/>
          <w:color w:val="auto"/>
        </w:rPr>
      </w:pPr>
    </w:p>
    <w:p>
      <w:pPr>
        <w:ind w:left="520"/>
        <w:spacing w:after="0" w:line="239" w:lineRule="auto"/>
        <w:rPr>
          <w:sz w:val="20"/>
          <w:szCs w:val="20"/>
          <w:color w:val="auto"/>
        </w:rPr>
      </w:pPr>
      <w:r>
        <w:rPr>
          <w:rFonts w:ascii="Arial" w:cs="Arial" w:eastAsia="Arial" w:hAnsi="Arial"/>
          <w:sz w:val="18"/>
          <w:szCs w:val="18"/>
          <w:color w:val="auto"/>
        </w:rPr>
        <w:t>if there was no annual meeting in the prior year or if the date of the current year’s annual meeting is more than 30 days before or after the anniversary date of the prior year’s annual meeting, on or before 10 days after the day on which the date of the current year’s annual meeting is first disclosed in a public announcement.</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Submissions must be in writing and addressed to the Nominating and Governance Committee, care of Corporate Secretary, LPL Financial Holdings Inc., 75 State Street, 22nd Floor, Boston, Massachusetts 02109. Electronic submissions will not be considered.</w:t>
      </w:r>
    </w:p>
    <w:p>
      <w:pPr>
        <w:spacing w:after="0" w:line="722" w:lineRule="exact"/>
        <w:rPr>
          <w:sz w:val="20"/>
          <w:szCs w:val="20"/>
          <w:color w:val="auto"/>
        </w:rPr>
      </w:pPr>
    </w:p>
    <w:p>
      <w:pPr>
        <w:sectPr>
          <w:pgSz w:w="11900" w:h="16838" w:orient="portrait"/>
          <w:cols w:equalWidth="0" w:num="2">
            <w:col w:w="5400" w:space="340"/>
            <w:col w:w="5340"/>
          </w:cols>
          <w:pgMar w:left="320" w:top="454" w:right="499" w:bottom="1440" w:gutter="0" w:footer="0" w:header="0"/>
          <w:type w:val="continuous"/>
        </w:sectPr>
      </w:pPr>
    </w:p>
    <w:p>
      <w:pPr>
        <w:spacing w:after="0" w:line="61" w:lineRule="exact"/>
        <w:rPr>
          <w:sz w:val="20"/>
          <w:szCs w:val="20"/>
          <w:color w:val="auto"/>
        </w:rPr>
      </w:pPr>
    </w:p>
    <w:p>
      <w:pPr>
        <w:ind w:left="1000" w:hanging="690"/>
        <w:spacing w:after="0"/>
        <w:tabs>
          <w:tab w:leader="none" w:pos="1000" w:val="left"/>
        </w:tabs>
        <w:numPr>
          <w:ilvl w:val="0"/>
          <w:numId w:val="119"/>
        </w:numPr>
        <w:rPr>
          <w:rFonts w:ascii="Arial" w:cs="Arial" w:eastAsia="Arial" w:hAnsi="Arial"/>
          <w:sz w:val="17"/>
          <w:szCs w:val="17"/>
          <w:color w:val="050A54"/>
        </w:rPr>
      </w:pPr>
      <w:r>
        <w:rPr>
          <w:rFonts w:ascii="Arial" w:cs="Arial" w:eastAsia="Arial" w:hAnsi="Arial"/>
          <w:sz w:val="17"/>
          <w:szCs w:val="17"/>
          <w:b w:val="1"/>
          <w:bCs w:val="1"/>
          <w:color w:val="050A54"/>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-111760</wp:posOffset>
            </wp:positionV>
            <wp:extent cx="8255" cy="135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9200"/>
        <w:spacing w:after="0"/>
        <w:rPr>
          <w:sz w:val="20"/>
          <w:szCs w:val="20"/>
          <w:color w:val="auto"/>
        </w:rPr>
      </w:pPr>
      <w:r>
        <w:rPr>
          <w:rFonts w:ascii="Arial" w:cs="Arial" w:eastAsia="Arial" w:hAnsi="Arial"/>
          <w:sz w:val="20"/>
          <w:szCs w:val="20"/>
          <w:b w:val="1"/>
          <w:bCs w:val="1"/>
          <w:color w:val="050A54"/>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3"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050A54"/>
        </w:rPr>
        <w:t>Other Information</w:t>
      </w:r>
    </w:p>
    <w:p>
      <w:pPr>
        <w:spacing w:after="0" w:line="223"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Copies of our annual reports on Form 10-K, quarterly reports on Form 10-Q and current reports on Form 8-K, including the financial statements and financial statement schedules, and amendments to those reports filed or furnished pursuant to Section 13(a) or 15(d) of the Exchange Act, are available on our website at www.lpl.com or on the website maintained by the SEC at www.sec.gov</w:t>
      </w:r>
      <w:r>
        <w:rPr>
          <w:rFonts w:ascii="Arial" w:cs="Arial" w:eastAsia="Arial" w:hAnsi="Arial"/>
          <w:sz w:val="18"/>
          <w:szCs w:val="18"/>
          <w:i w:val="1"/>
          <w:iCs w:val="1"/>
          <w:color w:val="auto"/>
        </w:rPr>
        <w:t>.</w:t>
      </w:r>
      <w:r>
        <w:rPr>
          <w:rFonts w:ascii="Arial" w:cs="Arial" w:eastAsia="Arial" w:hAnsi="Arial"/>
          <w:sz w:val="18"/>
          <w:szCs w:val="18"/>
          <w:color w:val="auto"/>
        </w:rPr>
        <w:t xml:space="preserve"> Printed copies of these materials are available free of charge (except for the costs of duplication and mailing in the case of exhibits to such documents) to stockholders who request them in writing from our corporate secretary at LPL Financial Holdings Inc., 75 State Street, 22nd Floor, Boston, Massachusetts 02109, or by calling our offices at (617) 423-3644, extension 4574. Information on our website or hyperlinked to it is not incorporated by reference into this proxy statement.</w:t>
      </w:r>
    </w:p>
    <w:p>
      <w:pPr>
        <w:spacing w:after="0" w:line="115" w:lineRule="exact"/>
        <w:rPr>
          <w:sz w:val="20"/>
          <w:szCs w:val="20"/>
          <w:color w:val="auto"/>
        </w:rPr>
      </w:pPr>
    </w:p>
    <w:tbl>
      <w:tblPr>
        <w:tblLayout w:type="fixed"/>
        <w:tblInd w:w="8500" w:type="dxa"/>
        <w:tblCellMar>
          <w:top w:w="0" w:type="dxa"/>
          <w:left w:w="0" w:type="dxa"/>
          <w:bottom w:w="0" w:type="dxa"/>
          <w:right w:w="0" w:type="dxa"/>
        </w:tblCellMar>
      </w:tblPr>
      <w:tr>
        <w:trPr>
          <w:trHeight w:val="233"/>
        </w:trPr>
        <w:tc>
          <w:tcPr>
            <w:tcW w:w="2060" w:type="dxa"/>
            <w:vAlign w:val="bottom"/>
            <w:tcBorders>
              <w:right w:val="single" w:sz="8" w:color="050A54"/>
            </w:tcBorders>
          </w:tcPr>
          <w:p>
            <w:pPr>
              <w:spacing w:after="0"/>
              <w:rPr>
                <w:sz w:val="20"/>
                <w:szCs w:val="20"/>
                <w:color w:val="auto"/>
              </w:rPr>
            </w:pPr>
            <w:r>
              <w:rPr>
                <w:rFonts w:ascii="Arial" w:cs="Arial" w:eastAsia="Arial" w:hAnsi="Arial"/>
                <w:sz w:val="18"/>
                <w:szCs w:val="18"/>
                <w:b w:val="1"/>
                <w:bCs w:val="1"/>
                <w:color w:val="050A54"/>
              </w:rPr>
              <w:t>2022 Proxy Statement</w:t>
            </w:r>
          </w:p>
        </w:tc>
        <w:tc>
          <w:tcPr>
            <w:tcW w:w="520" w:type="dxa"/>
            <w:vAlign w:val="bottom"/>
          </w:tcPr>
          <w:p>
            <w:pPr>
              <w:jc w:val="right"/>
              <w:spacing w:after="0"/>
              <w:rPr>
                <w:sz w:val="20"/>
                <w:szCs w:val="20"/>
                <w:color w:val="auto"/>
              </w:rPr>
            </w:pPr>
            <w:r>
              <w:rPr>
                <w:rFonts w:ascii="Arial" w:cs="Arial" w:eastAsia="Arial" w:hAnsi="Arial"/>
                <w:sz w:val="18"/>
                <w:szCs w:val="18"/>
                <w:color w:val="050A54"/>
              </w:rPr>
              <w:t>73</w:t>
            </w:r>
          </w:p>
        </w:tc>
      </w:tr>
    </w:tbl>
    <w:p>
      <w:pPr>
        <w:sectPr>
          <w:pgSz w:w="11900" w:h="16838" w:orient="portrait"/>
          <w:cols w:equalWidth="0" w:num="1">
            <w:col w:w="11080"/>
          </w:cols>
          <w:pgMar w:left="320" w:top="454" w:right="49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Appendix A: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33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0A54"/>
        </w:rPr>
        <w:t>Non-GAAP Financial Measures</w:t>
      </w:r>
    </w:p>
    <w:p>
      <w:pPr>
        <w:spacing w:after="0" w:line="206"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We believe that presenting certain non-GAAP measures by excluding or including certain items can be helpful to investors and analysts who may wish to use some or all of this information to analyze the Company’s current performance, prospects, and valuation. We use this non-GAAP information internally to evaluate operating performance and to formulate the budget for future periods. We believe that the non-GAAP measures and metrics discussed below are appropriate for evaluating the performance of the Company for compensation-related purposes.</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0A54"/>
        </w:rPr>
        <w:t>Gross Profit</w:t>
      </w:r>
    </w:p>
    <w:p>
      <w:pPr>
        <w:spacing w:after="0" w:line="206"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Gross profit is defined as total revenue less advisory and commission expense and brokerage, clearing and exchange expense. All other expense categories, including depreciation and amortization of property and equipment and amortization of other intangibles, are considered by management to be general and administrative in nature. Because the Company’s gross profit amounts do not include any depreciation and amortization expense, the Company considers its gross profit amounts to be non-GAAP financial measures that may not be comparable to those of others in its industry. We believe that gross profit amounts can provide investors with useful insight into the Company’s core operating performance before indirect costs that are general and administrative in nature. Set forth below is a reconciliation of the Company’s Gross Profit for the years ended December 31, 2021, 2020 and 2019.</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0A54"/>
        </w:rPr>
        <w:t>Core G&amp;A</w:t>
      </w:r>
    </w:p>
    <w:p>
      <w:pPr>
        <w:spacing w:after="0" w:line="206"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Core G&amp;A is defined as total expense, which was $7.1 billion for the year ended December 31, 2021, excluding the following expenses: advisory and commission; depreciation and amortization; interest expense on borrowings; brokerage, clearing and exchange; amortization of other intangibles; loss on extinguishment of debt; promotional; acquisition</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costs; employee share-based compensation; and regulatory charges. Management presents Core G&amp;A because it believes Core G&amp;A reflects the corporate expense categories over which management can generally exercise a measure of control, compared with expense items over which management either cannot exercise control, such as advisory and commission expense, or which management views as a promotional expense necessary to support advisor growth and retention, including conferences and transition assistance. Core G&amp;A is not a measure of the Company’s total expense as calculated in accordance with GAAP. Set forth below is a reconciliation of the Company’s total expense to Core G&amp;A for the years ended December 31, 2021, 2020, and 2019.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50A54"/>
        </w:rPr>
        <w:t>EBITDA</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EBITDA is defined as net income plus interest expense on borrowings, provision for income taxes, depreciation and amortization, and amortization of other intangibles. We believe that EBITDA can be a useful financial metric in understanding the Company’s earnings from operations. EBITDA is not a measure of the Company’s financial performance under GAAP and should not be considered as an alternative to net income or any other performance measure derived in accordance with GAAP. Set forth below is a reconciliation of the Company’s net income to EBITDA for the years ended December 31, 2021, 2020 and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50A54"/>
        </w:rPr>
        <w:t>Adjusted EBITDA</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Adjusted EBITDA is defined as EBITDA, further adjusted to exclude certain non-cash charges. We believe that Adjusted EBITDA can be a useful financial metric in assessing our historical operating performance from period to period by excluding certain items that we believe are not representative of our core business. Set forth below is a reconciliation of the Company’s net income to Adjusted EBITDA for the years ended December 31, 2021, 2020 and 2019.</w:t>
      </w:r>
    </w:p>
    <w:p>
      <w:pPr>
        <w:spacing w:after="0" w:line="603" w:lineRule="exact"/>
        <w:rPr>
          <w:sz w:val="20"/>
          <w:szCs w:val="20"/>
          <w:color w:val="auto"/>
        </w:rPr>
      </w:pPr>
    </w:p>
    <w:p>
      <w:pPr>
        <w:sectPr>
          <w:pgSz w:w="11900" w:h="16838" w:orient="portrait"/>
          <w:cols w:equalWidth="0" w:num="2">
            <w:col w:w="5400" w:space="340"/>
            <w:col w:w="5340"/>
          </w:cols>
          <w:pgMar w:left="320" w:top="454" w:right="499" w:bottom="1440" w:gutter="0" w:footer="0" w:header="0"/>
          <w:type w:val="continuous"/>
        </w:sectPr>
      </w:pPr>
    </w:p>
    <w:p>
      <w:pPr>
        <w:spacing w:after="0" w:line="15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Set forth below is a reconciliation of Gross Profit for the periods presented (in thousands):</w:t>
      </w:r>
    </w:p>
    <w:p>
      <w:pPr>
        <w:spacing w:after="0" w:line="244"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6900" w:type="dxa"/>
            <w:vAlign w:val="bottom"/>
          </w:tcPr>
          <w:p>
            <w:pPr>
              <w:spacing w:after="0"/>
              <w:rPr>
                <w:sz w:val="14"/>
                <w:szCs w:val="14"/>
                <w:color w:val="auto"/>
              </w:rPr>
            </w:pPr>
          </w:p>
        </w:tc>
        <w:tc>
          <w:tcPr>
            <w:tcW w:w="100" w:type="dxa"/>
            <w:vAlign w:val="bottom"/>
            <w:tcBorders>
              <w:bottom w:val="single" w:sz="8" w:color="050A54"/>
            </w:tcBorders>
          </w:tcPr>
          <w:p>
            <w:pPr>
              <w:spacing w:after="0"/>
              <w:rPr>
                <w:sz w:val="14"/>
                <w:szCs w:val="14"/>
                <w:color w:val="auto"/>
              </w:rPr>
            </w:pPr>
          </w:p>
        </w:tc>
        <w:tc>
          <w:tcPr>
            <w:tcW w:w="180" w:type="dxa"/>
            <w:vAlign w:val="bottom"/>
            <w:tcBorders>
              <w:bottom w:val="single" w:sz="8" w:color="050A54"/>
            </w:tcBorders>
          </w:tcPr>
          <w:p>
            <w:pPr>
              <w:spacing w:after="0"/>
              <w:rPr>
                <w:sz w:val="14"/>
                <w:szCs w:val="14"/>
                <w:color w:val="auto"/>
              </w:rPr>
            </w:pPr>
          </w:p>
        </w:tc>
        <w:tc>
          <w:tcPr>
            <w:tcW w:w="820" w:type="dxa"/>
            <w:vAlign w:val="bottom"/>
            <w:tcBorders>
              <w:bottom w:val="single" w:sz="8" w:color="050A54"/>
            </w:tcBorders>
          </w:tcPr>
          <w:p>
            <w:pPr>
              <w:spacing w:after="0"/>
              <w:rPr>
                <w:sz w:val="14"/>
                <w:szCs w:val="14"/>
                <w:color w:val="auto"/>
              </w:rPr>
            </w:pPr>
          </w:p>
        </w:tc>
        <w:tc>
          <w:tcPr>
            <w:tcW w:w="1820" w:type="dxa"/>
            <w:vAlign w:val="bottom"/>
            <w:tcBorders>
              <w:bottom w:val="single" w:sz="8" w:color="050A54"/>
            </w:tcBorders>
            <w:gridSpan w:val="4"/>
          </w:tcPr>
          <w:p>
            <w:pPr>
              <w:spacing w:after="0"/>
              <w:rPr>
                <w:sz w:val="20"/>
                <w:szCs w:val="20"/>
                <w:color w:val="auto"/>
              </w:rPr>
            </w:pPr>
            <w:r>
              <w:rPr>
                <w:rFonts w:ascii="Arial" w:cs="Arial" w:eastAsia="Arial" w:hAnsi="Arial"/>
                <w:sz w:val="14"/>
                <w:szCs w:val="14"/>
                <w:b w:val="1"/>
                <w:bCs w:val="1"/>
                <w:color w:val="050A54"/>
              </w:rPr>
              <w:t>Years Ended December 31,</w:t>
            </w:r>
          </w:p>
        </w:tc>
        <w:tc>
          <w:tcPr>
            <w:tcW w:w="180" w:type="dxa"/>
            <w:vAlign w:val="bottom"/>
            <w:tcBorders>
              <w:bottom w:val="single" w:sz="8" w:color="050A54"/>
            </w:tcBorders>
          </w:tcPr>
          <w:p>
            <w:pPr>
              <w:spacing w:after="0"/>
              <w:rPr>
                <w:sz w:val="14"/>
                <w:szCs w:val="14"/>
                <w:color w:val="auto"/>
              </w:rPr>
            </w:pPr>
          </w:p>
        </w:tc>
        <w:tc>
          <w:tcPr>
            <w:tcW w:w="820" w:type="dxa"/>
            <w:vAlign w:val="bottom"/>
            <w:tcBorders>
              <w:bottom w:val="single" w:sz="8" w:color="050A54"/>
            </w:tcBorders>
          </w:tcPr>
          <w:p>
            <w:pPr>
              <w:spacing w:after="0"/>
              <w:rPr>
                <w:sz w:val="14"/>
                <w:szCs w:val="14"/>
                <w:color w:val="auto"/>
              </w:rPr>
            </w:pPr>
          </w:p>
        </w:tc>
        <w:tc>
          <w:tcPr>
            <w:tcW w:w="100" w:type="dxa"/>
            <w:vAlign w:val="bottom"/>
            <w:tcBorders>
              <w:bottom w:val="single" w:sz="8" w:color="050A54"/>
            </w:tcBorders>
          </w:tcPr>
          <w:p>
            <w:pPr>
              <w:spacing w:after="0"/>
              <w:rPr>
                <w:sz w:val="14"/>
                <w:szCs w:val="14"/>
                <w:color w:val="auto"/>
              </w:rPr>
            </w:pPr>
          </w:p>
        </w:tc>
      </w:tr>
      <w:tr>
        <w:trPr>
          <w:trHeight w:val="154"/>
        </w:trPr>
        <w:tc>
          <w:tcPr>
            <w:tcW w:w="6900" w:type="dxa"/>
            <w:vAlign w:val="bottom"/>
            <w:tcBorders>
              <w:bottom w:val="single" w:sz="8" w:color="050A54"/>
            </w:tcBorders>
          </w:tcPr>
          <w:p>
            <w:pPr>
              <w:spacing w:after="0"/>
              <w:rPr>
                <w:sz w:val="13"/>
                <w:szCs w:val="13"/>
                <w:color w:val="auto"/>
              </w:rPr>
            </w:pPr>
          </w:p>
        </w:tc>
        <w:tc>
          <w:tcPr>
            <w:tcW w:w="100" w:type="dxa"/>
            <w:vAlign w:val="bottom"/>
            <w:tcBorders>
              <w:bottom w:val="single" w:sz="8" w:color="050A54"/>
            </w:tcBorders>
          </w:tcPr>
          <w:p>
            <w:pPr>
              <w:spacing w:after="0"/>
              <w:rPr>
                <w:sz w:val="13"/>
                <w:szCs w:val="13"/>
                <w:color w:val="auto"/>
              </w:rPr>
            </w:pPr>
          </w:p>
        </w:tc>
        <w:tc>
          <w:tcPr>
            <w:tcW w:w="180" w:type="dxa"/>
            <w:vAlign w:val="bottom"/>
            <w:tcBorders>
              <w:bottom w:val="single" w:sz="8" w:color="050A54"/>
            </w:tcBorders>
          </w:tcPr>
          <w:p>
            <w:pPr>
              <w:spacing w:after="0"/>
              <w:rPr>
                <w:sz w:val="13"/>
                <w:szCs w:val="13"/>
                <w:color w:val="auto"/>
              </w:rPr>
            </w:pPr>
          </w:p>
        </w:tc>
        <w:tc>
          <w:tcPr>
            <w:tcW w:w="820" w:type="dxa"/>
            <w:vAlign w:val="bottom"/>
            <w:tcBorders>
              <w:bottom w:val="single" w:sz="8" w:color="050A54"/>
            </w:tcBorders>
          </w:tcPr>
          <w:p>
            <w:pPr>
              <w:jc w:val="right"/>
              <w:ind w:right="262"/>
              <w:spacing w:after="0" w:line="154" w:lineRule="exact"/>
              <w:rPr>
                <w:sz w:val="20"/>
                <w:szCs w:val="20"/>
                <w:color w:val="auto"/>
              </w:rPr>
            </w:pPr>
            <w:r>
              <w:rPr>
                <w:rFonts w:ascii="Arial" w:cs="Arial" w:eastAsia="Arial" w:hAnsi="Arial"/>
                <w:sz w:val="14"/>
                <w:szCs w:val="14"/>
                <w:b w:val="1"/>
                <w:bCs w:val="1"/>
                <w:color w:val="050A54"/>
              </w:rPr>
              <w:t>2021</w:t>
            </w:r>
          </w:p>
        </w:tc>
        <w:tc>
          <w:tcPr>
            <w:tcW w:w="420" w:type="dxa"/>
            <w:vAlign w:val="bottom"/>
            <w:tcBorders>
              <w:bottom w:val="single" w:sz="8" w:color="050A54"/>
            </w:tcBorders>
          </w:tcPr>
          <w:p>
            <w:pPr>
              <w:spacing w:after="0"/>
              <w:rPr>
                <w:sz w:val="13"/>
                <w:szCs w:val="13"/>
                <w:color w:val="auto"/>
              </w:rPr>
            </w:pPr>
          </w:p>
        </w:tc>
        <w:tc>
          <w:tcPr>
            <w:tcW w:w="180" w:type="dxa"/>
            <w:vAlign w:val="bottom"/>
            <w:tcBorders>
              <w:bottom w:val="single" w:sz="8" w:color="050A54"/>
            </w:tcBorders>
          </w:tcPr>
          <w:p>
            <w:pPr>
              <w:spacing w:after="0"/>
              <w:rPr>
                <w:sz w:val="13"/>
                <w:szCs w:val="13"/>
                <w:color w:val="auto"/>
              </w:rPr>
            </w:pPr>
          </w:p>
        </w:tc>
        <w:tc>
          <w:tcPr>
            <w:tcW w:w="800" w:type="dxa"/>
            <w:vAlign w:val="bottom"/>
            <w:tcBorders>
              <w:bottom w:val="single" w:sz="8" w:color="050A54"/>
            </w:tcBorders>
          </w:tcPr>
          <w:p>
            <w:pPr>
              <w:jc w:val="right"/>
              <w:ind w:right="242"/>
              <w:spacing w:after="0" w:line="154" w:lineRule="exact"/>
              <w:rPr>
                <w:sz w:val="20"/>
                <w:szCs w:val="20"/>
                <w:color w:val="auto"/>
              </w:rPr>
            </w:pPr>
            <w:r>
              <w:rPr>
                <w:rFonts w:ascii="Arial" w:cs="Arial" w:eastAsia="Arial" w:hAnsi="Arial"/>
                <w:sz w:val="14"/>
                <w:szCs w:val="14"/>
                <w:b w:val="1"/>
                <w:bCs w:val="1"/>
                <w:color w:val="050A54"/>
              </w:rPr>
              <w:t>2020</w:t>
            </w:r>
          </w:p>
        </w:tc>
        <w:tc>
          <w:tcPr>
            <w:tcW w:w="420" w:type="dxa"/>
            <w:vAlign w:val="bottom"/>
            <w:tcBorders>
              <w:bottom w:val="single" w:sz="8" w:color="050A54"/>
            </w:tcBorders>
          </w:tcPr>
          <w:p>
            <w:pPr>
              <w:spacing w:after="0"/>
              <w:rPr>
                <w:sz w:val="13"/>
                <w:szCs w:val="13"/>
                <w:color w:val="auto"/>
              </w:rPr>
            </w:pPr>
          </w:p>
        </w:tc>
        <w:tc>
          <w:tcPr>
            <w:tcW w:w="180" w:type="dxa"/>
            <w:vAlign w:val="bottom"/>
            <w:tcBorders>
              <w:bottom w:val="single" w:sz="8" w:color="050A54"/>
            </w:tcBorders>
          </w:tcPr>
          <w:p>
            <w:pPr>
              <w:spacing w:after="0"/>
              <w:rPr>
                <w:sz w:val="13"/>
                <w:szCs w:val="13"/>
                <w:color w:val="auto"/>
              </w:rPr>
            </w:pPr>
          </w:p>
        </w:tc>
        <w:tc>
          <w:tcPr>
            <w:tcW w:w="820" w:type="dxa"/>
            <w:vAlign w:val="bottom"/>
            <w:tcBorders>
              <w:bottom w:val="single" w:sz="8" w:color="050A54"/>
            </w:tcBorders>
          </w:tcPr>
          <w:p>
            <w:pPr>
              <w:jc w:val="right"/>
              <w:ind w:right="262"/>
              <w:spacing w:after="0" w:line="154" w:lineRule="exact"/>
              <w:rPr>
                <w:sz w:val="20"/>
                <w:szCs w:val="20"/>
                <w:color w:val="auto"/>
              </w:rPr>
            </w:pPr>
            <w:r>
              <w:rPr>
                <w:rFonts w:ascii="Arial" w:cs="Arial" w:eastAsia="Arial" w:hAnsi="Arial"/>
                <w:sz w:val="14"/>
                <w:szCs w:val="14"/>
                <w:b w:val="1"/>
                <w:bCs w:val="1"/>
                <w:color w:val="050A54"/>
              </w:rPr>
              <w:t>2019</w:t>
            </w:r>
          </w:p>
        </w:tc>
        <w:tc>
          <w:tcPr>
            <w:tcW w:w="100" w:type="dxa"/>
            <w:vAlign w:val="bottom"/>
            <w:tcBorders>
              <w:bottom w:val="single" w:sz="8" w:color="050A54"/>
            </w:tcBorders>
          </w:tcPr>
          <w:p>
            <w:pPr>
              <w:spacing w:after="0"/>
              <w:rPr>
                <w:sz w:val="13"/>
                <w:szCs w:val="13"/>
                <w:color w:val="auto"/>
              </w:rPr>
            </w:pPr>
          </w:p>
        </w:tc>
      </w:tr>
      <w:tr>
        <w:trPr>
          <w:trHeight w:val="181"/>
        </w:trPr>
        <w:tc>
          <w:tcPr>
            <w:tcW w:w="7000" w:type="dxa"/>
            <w:vAlign w:val="bottom"/>
            <w:gridSpan w:val="2"/>
            <w:shd w:val="clear" w:color="auto" w:fill="E8E8E8"/>
          </w:tcPr>
          <w:p>
            <w:pPr>
              <w:ind w:left="220"/>
              <w:spacing w:after="0" w:line="181" w:lineRule="exact"/>
              <w:rPr>
                <w:sz w:val="20"/>
                <w:szCs w:val="20"/>
                <w:color w:val="auto"/>
              </w:rPr>
            </w:pPr>
            <w:r>
              <w:rPr>
                <w:rFonts w:ascii="Arial" w:cs="Arial" w:eastAsia="Arial" w:hAnsi="Arial"/>
                <w:sz w:val="16"/>
                <w:szCs w:val="16"/>
                <w:color w:val="auto"/>
              </w:rPr>
              <w:t>Total revenue</w:t>
            </w:r>
          </w:p>
        </w:tc>
        <w:tc>
          <w:tcPr>
            <w:tcW w:w="180" w:type="dxa"/>
            <w:vAlign w:val="bottom"/>
            <w:shd w:val="clear" w:color="auto" w:fill="E8E8E8"/>
          </w:tcPr>
          <w:p>
            <w:pPr>
              <w:jc w:val="right"/>
              <w:spacing w:after="0" w:line="181" w:lineRule="exact"/>
              <w:rPr>
                <w:sz w:val="20"/>
                <w:szCs w:val="20"/>
                <w:color w:val="auto"/>
              </w:rPr>
            </w:pPr>
            <w:r>
              <w:rPr>
                <w:rFonts w:ascii="Arial" w:cs="Arial" w:eastAsia="Arial" w:hAnsi="Arial"/>
                <w:sz w:val="16"/>
                <w:szCs w:val="16"/>
                <w:color w:val="auto"/>
                <w:w w:val="89"/>
              </w:rPr>
              <w:t>$</w:t>
            </w:r>
          </w:p>
        </w:tc>
        <w:tc>
          <w:tcPr>
            <w:tcW w:w="820" w:type="dxa"/>
            <w:vAlign w:val="bottom"/>
            <w:shd w:val="clear" w:color="auto" w:fill="E8E8E8"/>
          </w:tcPr>
          <w:p>
            <w:pPr>
              <w:jc w:val="right"/>
              <w:spacing w:after="0" w:line="181" w:lineRule="exact"/>
              <w:rPr>
                <w:sz w:val="20"/>
                <w:szCs w:val="20"/>
                <w:color w:val="auto"/>
              </w:rPr>
            </w:pPr>
            <w:r>
              <w:rPr>
                <w:rFonts w:ascii="Arial" w:cs="Arial" w:eastAsia="Arial" w:hAnsi="Arial"/>
                <w:sz w:val="16"/>
                <w:szCs w:val="16"/>
                <w:color w:val="auto"/>
              </w:rPr>
              <w:t>7,720,830</w:t>
            </w:r>
          </w:p>
        </w:tc>
        <w:tc>
          <w:tcPr>
            <w:tcW w:w="600" w:type="dxa"/>
            <w:vAlign w:val="bottom"/>
            <w:gridSpan w:val="2"/>
            <w:shd w:val="clear" w:color="auto" w:fill="E8E8E8"/>
          </w:tcPr>
          <w:p>
            <w:pPr>
              <w:jc w:val="right"/>
              <w:ind w:right="25"/>
              <w:spacing w:after="0" w:line="181" w:lineRule="exact"/>
              <w:rPr>
                <w:sz w:val="20"/>
                <w:szCs w:val="20"/>
                <w:color w:val="auto"/>
              </w:rPr>
            </w:pPr>
            <w:r>
              <w:rPr>
                <w:rFonts w:ascii="Arial" w:cs="Arial" w:eastAsia="Arial" w:hAnsi="Arial"/>
                <w:sz w:val="16"/>
                <w:szCs w:val="16"/>
                <w:color w:val="auto"/>
              </w:rPr>
              <w:t>$</w:t>
            </w:r>
          </w:p>
        </w:tc>
        <w:tc>
          <w:tcPr>
            <w:tcW w:w="800" w:type="dxa"/>
            <w:vAlign w:val="bottom"/>
            <w:shd w:val="clear" w:color="auto" w:fill="E8E8E8"/>
          </w:tcPr>
          <w:p>
            <w:pPr>
              <w:jc w:val="right"/>
              <w:spacing w:after="0" w:line="181" w:lineRule="exact"/>
              <w:rPr>
                <w:sz w:val="20"/>
                <w:szCs w:val="20"/>
                <w:color w:val="auto"/>
              </w:rPr>
            </w:pPr>
            <w:r>
              <w:rPr>
                <w:rFonts w:ascii="Arial" w:cs="Arial" w:eastAsia="Arial" w:hAnsi="Arial"/>
                <w:sz w:val="16"/>
                <w:szCs w:val="16"/>
                <w:color w:val="auto"/>
              </w:rPr>
              <w:t>5,871,640</w:t>
            </w:r>
          </w:p>
        </w:tc>
        <w:tc>
          <w:tcPr>
            <w:tcW w:w="420" w:type="dxa"/>
            <w:vAlign w:val="bottom"/>
            <w:shd w:val="clear" w:color="auto" w:fill="E8E8E8"/>
          </w:tcPr>
          <w:p>
            <w:pPr>
              <w:spacing w:after="0"/>
              <w:rPr>
                <w:sz w:val="15"/>
                <w:szCs w:val="15"/>
                <w:color w:val="auto"/>
              </w:rPr>
            </w:pPr>
          </w:p>
        </w:tc>
        <w:tc>
          <w:tcPr>
            <w:tcW w:w="180" w:type="dxa"/>
            <w:vAlign w:val="bottom"/>
            <w:shd w:val="clear" w:color="auto" w:fill="E8E8E8"/>
          </w:tcPr>
          <w:p>
            <w:pPr>
              <w:jc w:val="right"/>
              <w:spacing w:after="0" w:line="181" w:lineRule="exact"/>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E8E8E8"/>
          </w:tcPr>
          <w:p>
            <w:pPr>
              <w:jc w:val="right"/>
              <w:ind w:right="100"/>
              <w:spacing w:after="0" w:line="181" w:lineRule="exact"/>
              <w:rPr>
                <w:sz w:val="20"/>
                <w:szCs w:val="20"/>
                <w:color w:val="auto"/>
              </w:rPr>
            </w:pPr>
            <w:r>
              <w:rPr>
                <w:rFonts w:ascii="Arial" w:cs="Arial" w:eastAsia="Arial" w:hAnsi="Arial"/>
                <w:sz w:val="16"/>
                <w:szCs w:val="16"/>
                <w:color w:val="auto"/>
              </w:rPr>
              <w:t>5,624,856</w:t>
            </w:r>
          </w:p>
        </w:tc>
      </w:tr>
      <w:tr>
        <w:trPr>
          <w:trHeight w:val="187"/>
        </w:trPr>
        <w:tc>
          <w:tcPr>
            <w:tcW w:w="7000" w:type="dxa"/>
            <w:vAlign w:val="bottom"/>
            <w:gridSpan w:val="2"/>
          </w:tcPr>
          <w:p>
            <w:pPr>
              <w:ind w:left="220"/>
              <w:spacing w:after="0"/>
              <w:rPr>
                <w:sz w:val="20"/>
                <w:szCs w:val="20"/>
                <w:color w:val="auto"/>
              </w:rPr>
            </w:pPr>
            <w:r>
              <w:rPr>
                <w:rFonts w:ascii="Arial" w:cs="Arial" w:eastAsia="Arial" w:hAnsi="Arial"/>
                <w:sz w:val="16"/>
                <w:szCs w:val="16"/>
                <w:color w:val="auto"/>
              </w:rPr>
              <w:t>Advisory and commission expense</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5,180,090</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3,697,147</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3,388,186</w:t>
            </w:r>
          </w:p>
        </w:tc>
      </w:tr>
      <w:tr>
        <w:trPr>
          <w:trHeight w:val="187"/>
        </w:trPr>
        <w:tc>
          <w:tcPr>
            <w:tcW w:w="7000" w:type="dxa"/>
            <w:vAlign w:val="bottom"/>
            <w:gridSpan w:val="2"/>
            <w:shd w:val="clear" w:color="auto" w:fill="E8E8E8"/>
          </w:tcPr>
          <w:p>
            <w:pPr>
              <w:ind w:left="220"/>
              <w:spacing w:after="0"/>
              <w:rPr>
                <w:sz w:val="20"/>
                <w:szCs w:val="20"/>
                <w:color w:val="auto"/>
              </w:rPr>
            </w:pPr>
            <w:r>
              <w:rPr>
                <w:rFonts w:ascii="Arial" w:cs="Arial" w:eastAsia="Arial" w:hAnsi="Arial"/>
                <w:sz w:val="16"/>
                <w:szCs w:val="16"/>
                <w:color w:val="auto"/>
              </w:rPr>
              <w:t>Brokerage, clearing and exchange expense</w:t>
            </w:r>
          </w:p>
        </w:tc>
        <w:tc>
          <w:tcPr>
            <w:tcW w:w="180" w:type="dxa"/>
            <w:vAlign w:val="bottom"/>
            <w:tcBorders>
              <w:bottom w:val="single" w:sz="8" w:color="auto"/>
            </w:tcBorders>
            <w:shd w:val="clear" w:color="auto" w:fill="E8E8E8"/>
          </w:tcPr>
          <w:p>
            <w:pPr>
              <w:spacing w:after="0"/>
              <w:rPr>
                <w:sz w:val="16"/>
                <w:szCs w:val="16"/>
                <w:color w:val="auto"/>
              </w:rPr>
            </w:pPr>
          </w:p>
        </w:tc>
        <w:tc>
          <w:tcPr>
            <w:tcW w:w="820" w:type="dxa"/>
            <w:vAlign w:val="bottom"/>
            <w:tcBorders>
              <w:bottom w:val="single" w:sz="8" w:color="auto"/>
            </w:tcBorders>
            <w:shd w:val="clear" w:color="auto" w:fill="E8E8E8"/>
          </w:tcPr>
          <w:p>
            <w:pPr>
              <w:jc w:val="right"/>
              <w:spacing w:after="0"/>
              <w:rPr>
                <w:sz w:val="20"/>
                <w:szCs w:val="20"/>
                <w:color w:val="auto"/>
              </w:rPr>
            </w:pPr>
            <w:r>
              <w:rPr>
                <w:rFonts w:ascii="Arial" w:cs="Arial" w:eastAsia="Arial" w:hAnsi="Arial"/>
                <w:sz w:val="16"/>
                <w:szCs w:val="16"/>
                <w:color w:val="auto"/>
              </w:rPr>
              <w:t>86,023</w:t>
            </w:r>
          </w:p>
        </w:tc>
        <w:tc>
          <w:tcPr>
            <w:tcW w:w="420" w:type="dxa"/>
            <w:vAlign w:val="bottom"/>
            <w:shd w:val="clear" w:color="auto" w:fill="E8E8E8"/>
          </w:tcPr>
          <w:p>
            <w:pPr>
              <w:spacing w:after="0"/>
              <w:rPr>
                <w:sz w:val="16"/>
                <w:szCs w:val="16"/>
                <w:color w:val="auto"/>
              </w:rPr>
            </w:pPr>
          </w:p>
        </w:tc>
        <w:tc>
          <w:tcPr>
            <w:tcW w:w="180" w:type="dxa"/>
            <w:vAlign w:val="bottom"/>
            <w:tcBorders>
              <w:bottom w:val="single" w:sz="8" w:color="auto"/>
            </w:tcBorders>
            <w:shd w:val="clear" w:color="auto" w:fill="E8E8E8"/>
          </w:tcPr>
          <w:p>
            <w:pPr>
              <w:spacing w:after="0"/>
              <w:rPr>
                <w:sz w:val="16"/>
                <w:szCs w:val="16"/>
                <w:color w:val="auto"/>
              </w:rPr>
            </w:pPr>
          </w:p>
        </w:tc>
        <w:tc>
          <w:tcPr>
            <w:tcW w:w="800" w:type="dxa"/>
            <w:vAlign w:val="bottom"/>
            <w:tcBorders>
              <w:bottom w:val="single" w:sz="8" w:color="auto"/>
            </w:tcBorders>
            <w:shd w:val="clear" w:color="auto" w:fill="E8E8E8"/>
          </w:tcPr>
          <w:p>
            <w:pPr>
              <w:jc w:val="right"/>
              <w:spacing w:after="0"/>
              <w:rPr>
                <w:sz w:val="20"/>
                <w:szCs w:val="20"/>
                <w:color w:val="auto"/>
              </w:rPr>
            </w:pPr>
            <w:r>
              <w:rPr>
                <w:rFonts w:ascii="Arial" w:cs="Arial" w:eastAsia="Arial" w:hAnsi="Arial"/>
                <w:sz w:val="16"/>
                <w:szCs w:val="16"/>
                <w:color w:val="auto"/>
              </w:rPr>
              <w:t>71,185</w:t>
            </w:r>
          </w:p>
        </w:tc>
        <w:tc>
          <w:tcPr>
            <w:tcW w:w="420" w:type="dxa"/>
            <w:vAlign w:val="bottom"/>
            <w:shd w:val="clear" w:color="auto" w:fill="E8E8E8"/>
          </w:tcPr>
          <w:p>
            <w:pPr>
              <w:spacing w:after="0"/>
              <w:rPr>
                <w:sz w:val="16"/>
                <w:szCs w:val="16"/>
                <w:color w:val="auto"/>
              </w:rPr>
            </w:pPr>
          </w:p>
        </w:tc>
        <w:tc>
          <w:tcPr>
            <w:tcW w:w="180" w:type="dxa"/>
            <w:vAlign w:val="bottom"/>
            <w:tcBorders>
              <w:bottom w:val="single" w:sz="8" w:color="auto"/>
            </w:tcBorders>
            <w:shd w:val="clear" w:color="auto" w:fill="E8E8E8"/>
          </w:tcPr>
          <w:p>
            <w:pPr>
              <w:spacing w:after="0"/>
              <w:rPr>
                <w:sz w:val="16"/>
                <w:szCs w:val="16"/>
                <w:color w:val="auto"/>
              </w:rPr>
            </w:pPr>
          </w:p>
        </w:tc>
        <w:tc>
          <w:tcPr>
            <w:tcW w:w="820" w:type="dxa"/>
            <w:vAlign w:val="bottom"/>
            <w:tcBorders>
              <w:bottom w:val="single" w:sz="8" w:color="auto"/>
            </w:tcBorders>
            <w:shd w:val="clear" w:color="auto" w:fill="E8E8E8"/>
          </w:tcPr>
          <w:p>
            <w:pPr>
              <w:jc w:val="right"/>
              <w:spacing w:after="0"/>
              <w:rPr>
                <w:sz w:val="20"/>
                <w:szCs w:val="20"/>
                <w:color w:val="auto"/>
              </w:rPr>
            </w:pPr>
            <w:r>
              <w:rPr>
                <w:rFonts w:ascii="Arial" w:cs="Arial" w:eastAsia="Arial" w:hAnsi="Arial"/>
                <w:sz w:val="16"/>
                <w:szCs w:val="16"/>
                <w:color w:val="auto"/>
              </w:rPr>
              <w:t>64,445</w:t>
            </w:r>
          </w:p>
        </w:tc>
        <w:tc>
          <w:tcPr>
            <w:tcW w:w="100" w:type="dxa"/>
            <w:vAlign w:val="bottom"/>
            <w:shd w:val="clear" w:color="auto" w:fill="E8E8E8"/>
          </w:tcPr>
          <w:p>
            <w:pPr>
              <w:spacing w:after="0"/>
              <w:rPr>
                <w:sz w:val="16"/>
                <w:szCs w:val="16"/>
                <w:color w:val="auto"/>
              </w:rPr>
            </w:pPr>
          </w:p>
        </w:tc>
      </w:tr>
      <w:tr>
        <w:trPr>
          <w:trHeight w:val="194"/>
        </w:trPr>
        <w:tc>
          <w:tcPr>
            <w:tcW w:w="7000" w:type="dxa"/>
            <w:vAlign w:val="bottom"/>
            <w:tcBorders>
              <w:bottom w:val="single" w:sz="8" w:color="050A54"/>
            </w:tcBorders>
            <w:gridSpan w:val="2"/>
          </w:tcPr>
          <w:p>
            <w:pPr>
              <w:spacing w:after="0"/>
              <w:rPr>
                <w:sz w:val="20"/>
                <w:szCs w:val="20"/>
                <w:color w:val="auto"/>
              </w:rPr>
            </w:pPr>
            <w:r>
              <w:rPr>
                <w:rFonts w:ascii="Arial" w:cs="Arial" w:eastAsia="Arial" w:hAnsi="Arial"/>
                <w:sz w:val="16"/>
                <w:szCs w:val="16"/>
                <w:b w:val="1"/>
                <w:bCs w:val="1"/>
                <w:color w:val="auto"/>
              </w:rPr>
              <w:t>Gross Profit</w:t>
            </w:r>
          </w:p>
        </w:tc>
        <w:tc>
          <w:tcPr>
            <w:tcW w:w="180" w:type="dxa"/>
            <w:vAlign w:val="bottom"/>
            <w:tcBorders>
              <w:bottom w:val="single" w:sz="8" w:color="050A54"/>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050A54"/>
            </w:tcBorders>
          </w:tcPr>
          <w:p>
            <w:pPr>
              <w:jc w:val="right"/>
              <w:spacing w:after="0"/>
              <w:rPr>
                <w:sz w:val="20"/>
                <w:szCs w:val="20"/>
                <w:color w:val="auto"/>
              </w:rPr>
            </w:pPr>
            <w:r>
              <w:rPr>
                <w:rFonts w:ascii="Arial" w:cs="Arial" w:eastAsia="Arial" w:hAnsi="Arial"/>
                <w:sz w:val="16"/>
                <w:szCs w:val="16"/>
                <w:color w:val="auto"/>
              </w:rPr>
              <w:t>2,454,717</w:t>
            </w:r>
          </w:p>
        </w:tc>
        <w:tc>
          <w:tcPr>
            <w:tcW w:w="420" w:type="dxa"/>
            <w:vAlign w:val="bottom"/>
            <w:tcBorders>
              <w:bottom w:val="single" w:sz="8" w:color="050A54"/>
            </w:tcBorders>
          </w:tcPr>
          <w:p>
            <w:pPr>
              <w:spacing w:after="0"/>
              <w:rPr>
                <w:sz w:val="16"/>
                <w:szCs w:val="16"/>
                <w:color w:val="auto"/>
              </w:rPr>
            </w:pPr>
          </w:p>
        </w:tc>
        <w:tc>
          <w:tcPr>
            <w:tcW w:w="180" w:type="dxa"/>
            <w:vAlign w:val="bottom"/>
            <w:tcBorders>
              <w:bottom w:val="single" w:sz="8" w:color="050A54"/>
            </w:tcBorders>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050A54"/>
            </w:tcBorders>
          </w:tcPr>
          <w:p>
            <w:pPr>
              <w:jc w:val="right"/>
              <w:spacing w:after="0"/>
              <w:rPr>
                <w:sz w:val="20"/>
                <w:szCs w:val="20"/>
                <w:color w:val="auto"/>
              </w:rPr>
            </w:pPr>
            <w:r>
              <w:rPr>
                <w:rFonts w:ascii="Arial" w:cs="Arial" w:eastAsia="Arial" w:hAnsi="Arial"/>
                <w:sz w:val="16"/>
                <w:szCs w:val="16"/>
                <w:color w:val="auto"/>
              </w:rPr>
              <w:t>2,103,308</w:t>
            </w:r>
          </w:p>
        </w:tc>
        <w:tc>
          <w:tcPr>
            <w:tcW w:w="420" w:type="dxa"/>
            <w:vAlign w:val="bottom"/>
            <w:tcBorders>
              <w:bottom w:val="single" w:sz="8" w:color="050A54"/>
            </w:tcBorders>
          </w:tcPr>
          <w:p>
            <w:pPr>
              <w:spacing w:after="0"/>
              <w:rPr>
                <w:sz w:val="16"/>
                <w:szCs w:val="16"/>
                <w:color w:val="auto"/>
              </w:rPr>
            </w:pPr>
          </w:p>
        </w:tc>
        <w:tc>
          <w:tcPr>
            <w:tcW w:w="180" w:type="dxa"/>
            <w:vAlign w:val="bottom"/>
            <w:tcBorders>
              <w:bottom w:val="single" w:sz="8" w:color="050A54"/>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050A54"/>
            </w:tcBorders>
          </w:tcPr>
          <w:p>
            <w:pPr>
              <w:jc w:val="right"/>
              <w:spacing w:after="0"/>
              <w:rPr>
                <w:sz w:val="20"/>
                <w:szCs w:val="20"/>
                <w:color w:val="auto"/>
              </w:rPr>
            </w:pPr>
            <w:r>
              <w:rPr>
                <w:rFonts w:ascii="Arial" w:cs="Arial" w:eastAsia="Arial" w:hAnsi="Arial"/>
                <w:sz w:val="16"/>
                <w:szCs w:val="16"/>
                <w:color w:val="auto"/>
              </w:rPr>
              <w:t>2,172,225</w:t>
            </w:r>
          </w:p>
        </w:tc>
        <w:tc>
          <w:tcPr>
            <w:tcW w:w="100" w:type="dxa"/>
            <w:vAlign w:val="bottom"/>
            <w:tcBorders>
              <w:bottom w:val="single" w:sz="8" w:color="050A54"/>
            </w:tcBorders>
          </w:tcPr>
          <w:p>
            <w:pPr>
              <w:spacing w:after="0"/>
              <w:rPr>
                <w:sz w:val="16"/>
                <w:szCs w:val="16"/>
                <w:color w:val="auto"/>
              </w:rPr>
            </w:pPr>
          </w:p>
        </w:tc>
      </w:tr>
    </w:tbl>
    <w:p>
      <w:pPr>
        <w:spacing w:after="0" w:line="128" w:lineRule="exact"/>
        <w:rPr>
          <w:sz w:val="20"/>
          <w:szCs w:val="20"/>
          <w:color w:val="auto"/>
        </w:rPr>
      </w:pPr>
    </w:p>
    <w:p>
      <w:pPr>
        <w:ind w:left="1000" w:hanging="690"/>
        <w:spacing w:after="0"/>
        <w:tabs>
          <w:tab w:leader="none" w:pos="1000" w:val="left"/>
        </w:tabs>
        <w:numPr>
          <w:ilvl w:val="0"/>
          <w:numId w:val="120"/>
        </w:numPr>
        <w:rPr>
          <w:rFonts w:ascii="Arial" w:cs="Arial" w:eastAsia="Arial" w:hAnsi="Arial"/>
          <w:sz w:val="18"/>
          <w:szCs w:val="18"/>
          <w:color w:val="050A54"/>
        </w:rPr>
      </w:pPr>
      <w:r>
        <w:rPr>
          <w:rFonts w:ascii="Arial" w:cs="Arial" w:eastAsia="Arial" w:hAnsi="Arial"/>
          <w:sz w:val="18"/>
          <w:szCs w:val="18"/>
          <w:b w:val="1"/>
          <w:bCs w:val="1"/>
          <w:color w:val="050A54"/>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-118745</wp:posOffset>
            </wp:positionV>
            <wp:extent cx="8255" cy="135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680"/>
        <w:spacing w:after="0"/>
        <w:rPr>
          <w:sz w:val="20"/>
          <w:szCs w:val="20"/>
          <w:color w:val="auto"/>
        </w:rPr>
      </w:pPr>
      <w:r>
        <w:rPr>
          <w:rFonts w:ascii="Arial" w:cs="Arial" w:eastAsia="Arial" w:hAnsi="Arial"/>
          <w:sz w:val="20"/>
          <w:szCs w:val="20"/>
          <w:b w:val="1"/>
          <w:bCs w:val="1"/>
          <w:color w:val="050A54"/>
        </w:rPr>
        <w:t>Appendix A: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Set forth below is a reconciliation of the Company’s total expense to Core G&amp;A for the periods presented (in thousands):</w:t>
      </w:r>
    </w:p>
    <w:p>
      <w:pPr>
        <w:spacing w:after="0" w:line="244"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00" w:type="dxa"/>
            <w:vAlign w:val="bottom"/>
            <w:tcBorders>
              <w:bottom w:val="single" w:sz="8" w:color="050A54"/>
            </w:tcBorders>
          </w:tcPr>
          <w:p>
            <w:pPr>
              <w:spacing w:after="0"/>
              <w:rPr>
                <w:sz w:val="14"/>
                <w:szCs w:val="14"/>
                <w:color w:val="auto"/>
              </w:rPr>
            </w:pPr>
          </w:p>
        </w:tc>
        <w:tc>
          <w:tcPr>
            <w:tcW w:w="200" w:type="dxa"/>
            <w:vAlign w:val="bottom"/>
            <w:tcBorders>
              <w:bottom w:val="single" w:sz="8" w:color="050A54"/>
            </w:tcBorders>
          </w:tcPr>
          <w:p>
            <w:pPr>
              <w:spacing w:after="0"/>
              <w:rPr>
                <w:sz w:val="14"/>
                <w:szCs w:val="14"/>
                <w:color w:val="auto"/>
              </w:rPr>
            </w:pPr>
          </w:p>
        </w:tc>
        <w:tc>
          <w:tcPr>
            <w:tcW w:w="2520" w:type="dxa"/>
            <w:vAlign w:val="bottom"/>
            <w:tcBorders>
              <w:bottom w:val="single" w:sz="8" w:color="050A54"/>
            </w:tcBorders>
            <w:gridSpan w:val="5"/>
          </w:tcPr>
          <w:p>
            <w:pPr>
              <w:jc w:val="right"/>
              <w:ind w:right="20"/>
              <w:spacing w:after="0"/>
              <w:rPr>
                <w:sz w:val="20"/>
                <w:szCs w:val="20"/>
                <w:color w:val="auto"/>
              </w:rPr>
            </w:pPr>
            <w:r>
              <w:rPr>
                <w:rFonts w:ascii="Arial" w:cs="Arial" w:eastAsia="Arial" w:hAnsi="Arial"/>
                <w:sz w:val="14"/>
                <w:szCs w:val="14"/>
                <w:b w:val="1"/>
                <w:bCs w:val="1"/>
                <w:color w:val="050A54"/>
              </w:rPr>
              <w:t>Years Ended December 31,</w:t>
            </w:r>
          </w:p>
        </w:tc>
        <w:tc>
          <w:tcPr>
            <w:tcW w:w="100" w:type="dxa"/>
            <w:vAlign w:val="bottom"/>
            <w:tcBorders>
              <w:bottom w:val="single" w:sz="8" w:color="050A54"/>
            </w:tcBorders>
          </w:tcPr>
          <w:p>
            <w:pPr>
              <w:spacing w:after="0"/>
              <w:rPr>
                <w:sz w:val="14"/>
                <w:szCs w:val="14"/>
                <w:color w:val="auto"/>
              </w:rPr>
            </w:pPr>
          </w:p>
        </w:tc>
        <w:tc>
          <w:tcPr>
            <w:tcW w:w="740" w:type="dxa"/>
            <w:vAlign w:val="bottom"/>
            <w:tcBorders>
              <w:bottom w:val="single" w:sz="8" w:color="050A54"/>
            </w:tcBorders>
          </w:tcPr>
          <w:p>
            <w:pPr>
              <w:spacing w:after="0"/>
              <w:rPr>
                <w:sz w:val="14"/>
                <w:szCs w:val="14"/>
                <w:color w:val="auto"/>
              </w:rPr>
            </w:pPr>
          </w:p>
        </w:tc>
        <w:tc>
          <w:tcPr>
            <w:tcW w:w="60" w:type="dxa"/>
            <w:vAlign w:val="bottom"/>
            <w:tcBorders>
              <w:bottom w:val="single" w:sz="8" w:color="050A54"/>
            </w:tcBorders>
          </w:tcPr>
          <w:p>
            <w:pPr>
              <w:spacing w:after="0"/>
              <w:rPr>
                <w:sz w:val="14"/>
                <w:szCs w:val="14"/>
                <w:color w:val="auto"/>
              </w:rPr>
            </w:pPr>
          </w:p>
        </w:tc>
      </w:tr>
      <w:tr>
        <w:trPr>
          <w:trHeight w:val="154"/>
        </w:trPr>
        <w:tc>
          <w:tcPr>
            <w:tcW w:w="20" w:type="dxa"/>
            <w:vAlign w:val="bottom"/>
          </w:tcPr>
          <w:p>
            <w:pPr>
              <w:spacing w:after="0"/>
              <w:rPr>
                <w:sz w:val="13"/>
                <w:szCs w:val="13"/>
                <w:color w:val="auto"/>
              </w:rPr>
            </w:pPr>
          </w:p>
        </w:tc>
        <w:tc>
          <w:tcPr>
            <w:tcW w:w="7180" w:type="dxa"/>
            <w:vAlign w:val="bottom"/>
            <w:tcBorders>
              <w:bottom w:val="single" w:sz="8" w:color="050A54"/>
            </w:tcBorders>
          </w:tcPr>
          <w:p>
            <w:pPr>
              <w:spacing w:after="0"/>
              <w:rPr>
                <w:sz w:val="13"/>
                <w:szCs w:val="13"/>
                <w:color w:val="auto"/>
              </w:rPr>
            </w:pPr>
          </w:p>
        </w:tc>
        <w:tc>
          <w:tcPr>
            <w:tcW w:w="100" w:type="dxa"/>
            <w:vAlign w:val="bottom"/>
            <w:tcBorders>
              <w:bottom w:val="single" w:sz="8" w:color="050A54"/>
            </w:tcBorders>
          </w:tcPr>
          <w:p>
            <w:pPr>
              <w:spacing w:after="0"/>
              <w:rPr>
                <w:sz w:val="13"/>
                <w:szCs w:val="13"/>
                <w:color w:val="auto"/>
              </w:rPr>
            </w:pPr>
          </w:p>
        </w:tc>
        <w:tc>
          <w:tcPr>
            <w:tcW w:w="200" w:type="dxa"/>
            <w:vAlign w:val="bottom"/>
            <w:tcBorders>
              <w:bottom w:val="single" w:sz="8" w:color="050A54"/>
            </w:tcBorders>
          </w:tcPr>
          <w:p>
            <w:pPr>
              <w:spacing w:after="0"/>
              <w:rPr>
                <w:sz w:val="13"/>
                <w:szCs w:val="13"/>
                <w:color w:val="auto"/>
              </w:rPr>
            </w:pPr>
          </w:p>
        </w:tc>
        <w:tc>
          <w:tcPr>
            <w:tcW w:w="800" w:type="dxa"/>
            <w:vAlign w:val="bottom"/>
            <w:tcBorders>
              <w:bottom w:val="single" w:sz="8" w:color="050A54"/>
            </w:tcBorders>
          </w:tcPr>
          <w:p>
            <w:pPr>
              <w:jc w:val="right"/>
              <w:ind w:right="261"/>
              <w:spacing w:after="0" w:line="154" w:lineRule="exact"/>
              <w:rPr>
                <w:sz w:val="20"/>
                <w:szCs w:val="20"/>
                <w:color w:val="auto"/>
              </w:rPr>
            </w:pPr>
            <w:r>
              <w:rPr>
                <w:rFonts w:ascii="Arial" w:cs="Arial" w:eastAsia="Arial" w:hAnsi="Arial"/>
                <w:sz w:val="14"/>
                <w:szCs w:val="14"/>
                <w:b w:val="1"/>
                <w:bCs w:val="1"/>
                <w:color w:val="050A54"/>
              </w:rPr>
              <w:t>2021</w:t>
            </w:r>
          </w:p>
        </w:tc>
        <w:tc>
          <w:tcPr>
            <w:tcW w:w="420" w:type="dxa"/>
            <w:vAlign w:val="bottom"/>
            <w:tcBorders>
              <w:bottom w:val="single" w:sz="8" w:color="050A54"/>
            </w:tcBorders>
          </w:tcPr>
          <w:p>
            <w:pPr>
              <w:spacing w:after="0"/>
              <w:rPr>
                <w:sz w:val="13"/>
                <w:szCs w:val="13"/>
                <w:color w:val="auto"/>
              </w:rPr>
            </w:pPr>
          </w:p>
        </w:tc>
        <w:tc>
          <w:tcPr>
            <w:tcW w:w="120" w:type="dxa"/>
            <w:vAlign w:val="bottom"/>
            <w:tcBorders>
              <w:bottom w:val="single" w:sz="8" w:color="050A54"/>
            </w:tcBorders>
          </w:tcPr>
          <w:p>
            <w:pPr>
              <w:spacing w:after="0"/>
              <w:rPr>
                <w:sz w:val="13"/>
                <w:szCs w:val="13"/>
                <w:color w:val="auto"/>
              </w:rPr>
            </w:pPr>
          </w:p>
        </w:tc>
        <w:tc>
          <w:tcPr>
            <w:tcW w:w="740" w:type="dxa"/>
            <w:vAlign w:val="bottom"/>
            <w:tcBorders>
              <w:bottom w:val="single" w:sz="8" w:color="050A54"/>
            </w:tcBorders>
          </w:tcPr>
          <w:p>
            <w:pPr>
              <w:jc w:val="right"/>
              <w:ind w:right="180"/>
              <w:spacing w:after="0" w:line="154" w:lineRule="exact"/>
              <w:rPr>
                <w:sz w:val="20"/>
                <w:szCs w:val="20"/>
                <w:color w:val="auto"/>
              </w:rPr>
            </w:pPr>
            <w:r>
              <w:rPr>
                <w:rFonts w:ascii="Arial" w:cs="Arial" w:eastAsia="Arial" w:hAnsi="Arial"/>
                <w:sz w:val="14"/>
                <w:szCs w:val="14"/>
                <w:b w:val="1"/>
                <w:bCs w:val="1"/>
                <w:color w:val="050A54"/>
              </w:rPr>
              <w:t>2020</w:t>
            </w:r>
          </w:p>
        </w:tc>
        <w:tc>
          <w:tcPr>
            <w:tcW w:w="440" w:type="dxa"/>
            <w:vAlign w:val="bottom"/>
            <w:tcBorders>
              <w:bottom w:val="single" w:sz="8" w:color="050A54"/>
            </w:tcBorders>
          </w:tcPr>
          <w:p>
            <w:pPr>
              <w:spacing w:after="0"/>
              <w:rPr>
                <w:sz w:val="13"/>
                <w:szCs w:val="13"/>
                <w:color w:val="auto"/>
              </w:rPr>
            </w:pPr>
          </w:p>
        </w:tc>
        <w:tc>
          <w:tcPr>
            <w:tcW w:w="100" w:type="dxa"/>
            <w:vAlign w:val="bottom"/>
            <w:tcBorders>
              <w:bottom w:val="single" w:sz="8" w:color="050A54"/>
            </w:tcBorders>
          </w:tcPr>
          <w:p>
            <w:pPr>
              <w:spacing w:after="0"/>
              <w:rPr>
                <w:sz w:val="13"/>
                <w:szCs w:val="13"/>
                <w:color w:val="auto"/>
              </w:rPr>
            </w:pPr>
          </w:p>
        </w:tc>
        <w:tc>
          <w:tcPr>
            <w:tcW w:w="740" w:type="dxa"/>
            <w:vAlign w:val="bottom"/>
            <w:tcBorders>
              <w:bottom w:val="single" w:sz="8" w:color="050A54"/>
            </w:tcBorders>
          </w:tcPr>
          <w:p>
            <w:pPr>
              <w:jc w:val="right"/>
              <w:ind w:right="180"/>
              <w:spacing w:after="0" w:line="154" w:lineRule="exact"/>
              <w:rPr>
                <w:sz w:val="20"/>
                <w:szCs w:val="20"/>
                <w:color w:val="auto"/>
              </w:rPr>
            </w:pPr>
            <w:r>
              <w:rPr>
                <w:rFonts w:ascii="Arial" w:cs="Arial" w:eastAsia="Arial" w:hAnsi="Arial"/>
                <w:sz w:val="14"/>
                <w:szCs w:val="14"/>
                <w:b w:val="1"/>
                <w:bCs w:val="1"/>
                <w:color w:val="050A54"/>
              </w:rPr>
              <w:t>2019</w:t>
            </w:r>
          </w:p>
        </w:tc>
        <w:tc>
          <w:tcPr>
            <w:tcW w:w="60" w:type="dxa"/>
            <w:vAlign w:val="bottom"/>
            <w:tcBorders>
              <w:bottom w:val="single" w:sz="8" w:color="050A54"/>
            </w:tcBorders>
          </w:tcPr>
          <w:p>
            <w:pPr>
              <w:spacing w:after="0"/>
              <w:rPr>
                <w:sz w:val="13"/>
                <w:szCs w:val="13"/>
                <w:color w:val="auto"/>
              </w:rPr>
            </w:pPr>
          </w:p>
        </w:tc>
      </w:tr>
      <w:tr>
        <w:trPr>
          <w:trHeight w:val="181"/>
        </w:trPr>
        <w:tc>
          <w:tcPr>
            <w:tcW w:w="20" w:type="dxa"/>
            <w:vAlign w:val="bottom"/>
          </w:tcPr>
          <w:p>
            <w:pPr>
              <w:spacing w:after="0"/>
              <w:rPr>
                <w:sz w:val="15"/>
                <w:szCs w:val="15"/>
                <w:color w:val="auto"/>
              </w:rPr>
            </w:pPr>
          </w:p>
        </w:tc>
        <w:tc>
          <w:tcPr>
            <w:tcW w:w="7280" w:type="dxa"/>
            <w:vAlign w:val="bottom"/>
            <w:gridSpan w:val="2"/>
            <w:shd w:val="clear" w:color="auto" w:fill="E8E8E8"/>
          </w:tcPr>
          <w:p>
            <w:pPr>
              <w:spacing w:after="0" w:line="181" w:lineRule="exact"/>
              <w:rPr>
                <w:sz w:val="20"/>
                <w:szCs w:val="20"/>
                <w:color w:val="auto"/>
              </w:rPr>
            </w:pPr>
            <w:r>
              <w:rPr>
                <w:rFonts w:ascii="Arial" w:cs="Arial" w:eastAsia="Arial" w:hAnsi="Arial"/>
                <w:sz w:val="16"/>
                <w:szCs w:val="16"/>
                <w:color w:val="auto"/>
              </w:rPr>
              <w:t>Total expense</w:t>
            </w:r>
          </w:p>
        </w:tc>
        <w:tc>
          <w:tcPr>
            <w:tcW w:w="200" w:type="dxa"/>
            <w:vAlign w:val="bottom"/>
            <w:shd w:val="clear" w:color="auto" w:fill="E8E8E8"/>
          </w:tcPr>
          <w:p>
            <w:pPr>
              <w:jc w:val="right"/>
              <w:ind w:right="20"/>
              <w:spacing w:after="0" w:line="181" w:lineRule="exact"/>
              <w:rPr>
                <w:sz w:val="20"/>
                <w:szCs w:val="20"/>
                <w:color w:val="auto"/>
              </w:rPr>
            </w:pPr>
            <w:r>
              <w:rPr>
                <w:rFonts w:ascii="Arial" w:cs="Arial" w:eastAsia="Arial" w:hAnsi="Arial"/>
                <w:sz w:val="16"/>
                <w:szCs w:val="16"/>
                <w:color w:val="auto"/>
                <w:w w:val="89"/>
              </w:rPr>
              <w:t>$</w:t>
            </w:r>
          </w:p>
        </w:tc>
        <w:tc>
          <w:tcPr>
            <w:tcW w:w="800" w:type="dxa"/>
            <w:vAlign w:val="bottom"/>
            <w:shd w:val="clear" w:color="auto" w:fill="E8E8E8"/>
          </w:tcPr>
          <w:p>
            <w:pPr>
              <w:jc w:val="right"/>
              <w:spacing w:after="0" w:line="181" w:lineRule="exact"/>
              <w:rPr>
                <w:sz w:val="20"/>
                <w:szCs w:val="20"/>
                <w:color w:val="auto"/>
              </w:rPr>
            </w:pPr>
            <w:r>
              <w:rPr>
                <w:rFonts w:ascii="Arial" w:cs="Arial" w:eastAsia="Arial" w:hAnsi="Arial"/>
                <w:sz w:val="16"/>
                <w:szCs w:val="16"/>
                <w:color w:val="auto"/>
              </w:rPr>
              <w:t>7,119,501</w:t>
            </w:r>
          </w:p>
        </w:tc>
        <w:tc>
          <w:tcPr>
            <w:tcW w:w="540" w:type="dxa"/>
            <w:vAlign w:val="bottom"/>
            <w:gridSpan w:val="2"/>
            <w:shd w:val="clear" w:color="auto" w:fill="E8E8E8"/>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1180" w:type="dxa"/>
            <w:vAlign w:val="bottom"/>
            <w:gridSpan w:val="2"/>
            <w:shd w:val="clear" w:color="auto" w:fill="E8E8E8"/>
          </w:tcPr>
          <w:p>
            <w:pPr>
              <w:jc w:val="right"/>
              <w:ind w:right="440"/>
              <w:spacing w:after="0" w:line="181" w:lineRule="exact"/>
              <w:rPr>
                <w:sz w:val="20"/>
                <w:szCs w:val="20"/>
                <w:color w:val="auto"/>
              </w:rPr>
            </w:pPr>
            <w:r>
              <w:rPr>
                <w:rFonts w:ascii="Arial" w:cs="Arial" w:eastAsia="Arial" w:hAnsi="Arial"/>
                <w:sz w:val="16"/>
                <w:szCs w:val="16"/>
                <w:color w:val="auto"/>
              </w:rPr>
              <w:t>5,245,567</w:t>
            </w:r>
          </w:p>
        </w:tc>
        <w:tc>
          <w:tcPr>
            <w:tcW w:w="100" w:type="dxa"/>
            <w:vAlign w:val="bottom"/>
            <w:shd w:val="clear" w:color="auto" w:fill="E8E8E8"/>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E8E8E8"/>
          </w:tcPr>
          <w:p>
            <w:pPr>
              <w:jc w:val="right"/>
              <w:spacing w:after="0" w:line="181" w:lineRule="exact"/>
              <w:rPr>
                <w:sz w:val="20"/>
                <w:szCs w:val="20"/>
                <w:color w:val="auto"/>
              </w:rPr>
            </w:pPr>
            <w:r>
              <w:rPr>
                <w:rFonts w:ascii="Arial" w:cs="Arial" w:eastAsia="Arial" w:hAnsi="Arial"/>
                <w:sz w:val="16"/>
                <w:szCs w:val="16"/>
                <w:color w:val="auto"/>
              </w:rPr>
              <w:t>4,883,021</w:t>
            </w:r>
          </w:p>
        </w:tc>
        <w:tc>
          <w:tcPr>
            <w:tcW w:w="60" w:type="dxa"/>
            <w:vAlign w:val="bottom"/>
            <w:shd w:val="clear" w:color="auto" w:fill="E8E8E8"/>
          </w:tcPr>
          <w:p>
            <w:pPr>
              <w:spacing w:after="0"/>
              <w:rPr>
                <w:sz w:val="15"/>
                <w:szCs w:val="15"/>
                <w:color w:val="auto"/>
              </w:rPr>
            </w:pPr>
          </w:p>
        </w:tc>
      </w:tr>
      <w:tr>
        <w:trPr>
          <w:trHeight w:val="187"/>
        </w:trPr>
        <w:tc>
          <w:tcPr>
            <w:tcW w:w="20" w:type="dxa"/>
            <w:vAlign w:val="bottom"/>
          </w:tcPr>
          <w:p>
            <w:pPr>
              <w:spacing w:after="0"/>
              <w:rPr>
                <w:sz w:val="16"/>
                <w:szCs w:val="16"/>
                <w:color w:val="auto"/>
              </w:rPr>
            </w:pPr>
          </w:p>
        </w:tc>
        <w:tc>
          <w:tcPr>
            <w:tcW w:w="7280" w:type="dxa"/>
            <w:vAlign w:val="bottom"/>
            <w:gridSpan w:val="2"/>
          </w:tcPr>
          <w:p>
            <w:pPr>
              <w:ind w:left="200"/>
              <w:spacing w:after="0"/>
              <w:rPr>
                <w:sz w:val="20"/>
                <w:szCs w:val="20"/>
                <w:color w:val="auto"/>
              </w:rPr>
            </w:pPr>
            <w:r>
              <w:rPr>
                <w:rFonts w:ascii="Arial" w:cs="Arial" w:eastAsia="Arial" w:hAnsi="Arial"/>
                <w:sz w:val="16"/>
                <w:szCs w:val="16"/>
                <w:color w:val="auto"/>
              </w:rPr>
              <w:t>Advisory and commission</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5,180,090</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6"/>
                <w:szCs w:val="16"/>
                <w:color w:val="auto"/>
              </w:rPr>
              <w:t>3,697,147</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3,388,186</w:t>
            </w:r>
          </w:p>
        </w:tc>
        <w:tc>
          <w:tcPr>
            <w:tcW w:w="6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7280" w:type="dxa"/>
            <w:vAlign w:val="bottom"/>
            <w:gridSpan w:val="2"/>
            <w:shd w:val="clear" w:color="auto" w:fill="E8E8E8"/>
          </w:tcPr>
          <w:p>
            <w:pPr>
              <w:ind w:left="200"/>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E8E8E8"/>
          </w:tcPr>
          <w:p>
            <w:pPr>
              <w:spacing w:after="0"/>
              <w:rPr>
                <w:sz w:val="16"/>
                <w:szCs w:val="16"/>
                <w:color w:val="auto"/>
              </w:rPr>
            </w:pPr>
          </w:p>
        </w:tc>
        <w:tc>
          <w:tcPr>
            <w:tcW w:w="800" w:type="dxa"/>
            <w:vAlign w:val="bottom"/>
            <w:shd w:val="clear" w:color="auto" w:fill="E8E8E8"/>
          </w:tcPr>
          <w:p>
            <w:pPr>
              <w:jc w:val="right"/>
              <w:spacing w:after="0"/>
              <w:rPr>
                <w:sz w:val="20"/>
                <w:szCs w:val="20"/>
                <w:color w:val="auto"/>
              </w:rPr>
            </w:pPr>
            <w:r>
              <w:rPr>
                <w:rFonts w:ascii="Arial" w:cs="Arial" w:eastAsia="Arial" w:hAnsi="Arial"/>
                <w:sz w:val="16"/>
                <w:szCs w:val="16"/>
                <w:color w:val="auto"/>
              </w:rPr>
              <w:t>151,428</w:t>
            </w:r>
          </w:p>
        </w:tc>
        <w:tc>
          <w:tcPr>
            <w:tcW w:w="420" w:type="dxa"/>
            <w:vAlign w:val="bottom"/>
            <w:shd w:val="clear" w:color="auto" w:fill="E8E8E8"/>
          </w:tcPr>
          <w:p>
            <w:pPr>
              <w:spacing w:after="0"/>
              <w:rPr>
                <w:sz w:val="16"/>
                <w:szCs w:val="16"/>
                <w:color w:val="auto"/>
              </w:rPr>
            </w:pPr>
          </w:p>
        </w:tc>
        <w:tc>
          <w:tcPr>
            <w:tcW w:w="120" w:type="dxa"/>
            <w:vAlign w:val="bottom"/>
            <w:shd w:val="clear" w:color="auto" w:fill="E8E8E8"/>
          </w:tcPr>
          <w:p>
            <w:pPr>
              <w:spacing w:after="0"/>
              <w:rPr>
                <w:sz w:val="16"/>
                <w:szCs w:val="16"/>
                <w:color w:val="auto"/>
              </w:rPr>
            </w:pPr>
          </w:p>
        </w:tc>
        <w:tc>
          <w:tcPr>
            <w:tcW w:w="740" w:type="dxa"/>
            <w:vAlign w:val="bottom"/>
            <w:shd w:val="clear" w:color="auto" w:fill="E8E8E8"/>
          </w:tcPr>
          <w:p>
            <w:pPr>
              <w:jc w:val="right"/>
              <w:spacing w:after="0"/>
              <w:rPr>
                <w:sz w:val="20"/>
                <w:szCs w:val="20"/>
                <w:color w:val="auto"/>
              </w:rPr>
            </w:pPr>
            <w:r>
              <w:rPr>
                <w:rFonts w:ascii="Arial" w:cs="Arial" w:eastAsia="Arial" w:hAnsi="Arial"/>
                <w:sz w:val="16"/>
                <w:szCs w:val="16"/>
                <w:color w:val="auto"/>
              </w:rPr>
              <w:t>109,732</w:t>
            </w:r>
          </w:p>
        </w:tc>
        <w:tc>
          <w:tcPr>
            <w:tcW w:w="440" w:type="dxa"/>
            <w:vAlign w:val="bottom"/>
            <w:shd w:val="clear" w:color="auto" w:fill="E8E8E8"/>
          </w:tcPr>
          <w:p>
            <w:pPr>
              <w:spacing w:after="0"/>
              <w:rPr>
                <w:sz w:val="16"/>
                <w:szCs w:val="16"/>
                <w:color w:val="auto"/>
              </w:rPr>
            </w:pPr>
          </w:p>
        </w:tc>
        <w:tc>
          <w:tcPr>
            <w:tcW w:w="100" w:type="dxa"/>
            <w:vAlign w:val="bottom"/>
            <w:shd w:val="clear" w:color="auto" w:fill="E8E8E8"/>
          </w:tcPr>
          <w:p>
            <w:pPr>
              <w:spacing w:after="0"/>
              <w:rPr>
                <w:sz w:val="16"/>
                <w:szCs w:val="16"/>
                <w:color w:val="auto"/>
              </w:rPr>
            </w:pPr>
          </w:p>
        </w:tc>
        <w:tc>
          <w:tcPr>
            <w:tcW w:w="740" w:type="dxa"/>
            <w:vAlign w:val="bottom"/>
            <w:shd w:val="clear" w:color="auto" w:fill="E8E8E8"/>
          </w:tcPr>
          <w:p>
            <w:pPr>
              <w:jc w:val="right"/>
              <w:spacing w:after="0"/>
              <w:rPr>
                <w:sz w:val="20"/>
                <w:szCs w:val="20"/>
                <w:color w:val="auto"/>
              </w:rPr>
            </w:pPr>
            <w:r>
              <w:rPr>
                <w:rFonts w:ascii="Arial" w:cs="Arial" w:eastAsia="Arial" w:hAnsi="Arial"/>
                <w:sz w:val="16"/>
                <w:szCs w:val="16"/>
                <w:color w:val="auto"/>
              </w:rPr>
              <w:t>95,779</w:t>
            </w:r>
          </w:p>
        </w:tc>
        <w:tc>
          <w:tcPr>
            <w:tcW w:w="60" w:type="dxa"/>
            <w:vAlign w:val="bottom"/>
            <w:shd w:val="clear" w:color="auto" w:fill="E8E8E8"/>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7280" w:type="dxa"/>
            <w:vAlign w:val="bottom"/>
            <w:gridSpan w:val="2"/>
          </w:tcPr>
          <w:p>
            <w:pPr>
              <w:ind w:left="200"/>
              <w:spacing w:after="0"/>
              <w:rPr>
                <w:sz w:val="20"/>
                <w:szCs w:val="20"/>
                <w:color w:val="auto"/>
              </w:rPr>
            </w:pPr>
            <w:r>
              <w:rPr>
                <w:rFonts w:ascii="Arial" w:cs="Arial" w:eastAsia="Arial" w:hAnsi="Arial"/>
                <w:sz w:val="16"/>
                <w:szCs w:val="16"/>
                <w:color w:val="auto"/>
              </w:rPr>
              <w:t>Interest expense on borrowings</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104,414</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105,765</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130,001</w:t>
            </w:r>
          </w:p>
        </w:tc>
        <w:tc>
          <w:tcPr>
            <w:tcW w:w="6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7280" w:type="dxa"/>
            <w:vAlign w:val="bottom"/>
            <w:gridSpan w:val="2"/>
            <w:shd w:val="clear" w:color="auto" w:fill="E8E8E8"/>
          </w:tcPr>
          <w:p>
            <w:pPr>
              <w:ind w:left="200"/>
              <w:spacing w:after="0"/>
              <w:rPr>
                <w:sz w:val="20"/>
                <w:szCs w:val="20"/>
                <w:color w:val="auto"/>
              </w:rPr>
            </w:pPr>
            <w:r>
              <w:rPr>
                <w:rFonts w:ascii="Arial" w:cs="Arial" w:eastAsia="Arial" w:hAnsi="Arial"/>
                <w:sz w:val="16"/>
                <w:szCs w:val="16"/>
                <w:color w:val="auto"/>
              </w:rPr>
              <w:t>Brokerage, clearing and exchange</w:t>
            </w:r>
          </w:p>
        </w:tc>
        <w:tc>
          <w:tcPr>
            <w:tcW w:w="200" w:type="dxa"/>
            <w:vAlign w:val="bottom"/>
            <w:shd w:val="clear" w:color="auto" w:fill="E8E8E8"/>
          </w:tcPr>
          <w:p>
            <w:pPr>
              <w:spacing w:after="0"/>
              <w:rPr>
                <w:sz w:val="16"/>
                <w:szCs w:val="16"/>
                <w:color w:val="auto"/>
              </w:rPr>
            </w:pPr>
          </w:p>
        </w:tc>
        <w:tc>
          <w:tcPr>
            <w:tcW w:w="800" w:type="dxa"/>
            <w:vAlign w:val="bottom"/>
            <w:shd w:val="clear" w:color="auto" w:fill="E8E8E8"/>
          </w:tcPr>
          <w:p>
            <w:pPr>
              <w:jc w:val="right"/>
              <w:spacing w:after="0"/>
              <w:rPr>
                <w:sz w:val="20"/>
                <w:szCs w:val="20"/>
                <w:color w:val="auto"/>
              </w:rPr>
            </w:pPr>
            <w:r>
              <w:rPr>
                <w:rFonts w:ascii="Arial" w:cs="Arial" w:eastAsia="Arial" w:hAnsi="Arial"/>
                <w:sz w:val="16"/>
                <w:szCs w:val="16"/>
                <w:color w:val="auto"/>
              </w:rPr>
              <w:t>86,023</w:t>
            </w:r>
          </w:p>
        </w:tc>
        <w:tc>
          <w:tcPr>
            <w:tcW w:w="420" w:type="dxa"/>
            <w:vAlign w:val="bottom"/>
            <w:shd w:val="clear" w:color="auto" w:fill="E8E8E8"/>
          </w:tcPr>
          <w:p>
            <w:pPr>
              <w:spacing w:after="0"/>
              <w:rPr>
                <w:sz w:val="16"/>
                <w:szCs w:val="16"/>
                <w:color w:val="auto"/>
              </w:rPr>
            </w:pPr>
          </w:p>
        </w:tc>
        <w:tc>
          <w:tcPr>
            <w:tcW w:w="120" w:type="dxa"/>
            <w:vAlign w:val="bottom"/>
            <w:shd w:val="clear" w:color="auto" w:fill="E8E8E8"/>
          </w:tcPr>
          <w:p>
            <w:pPr>
              <w:spacing w:after="0"/>
              <w:rPr>
                <w:sz w:val="16"/>
                <w:szCs w:val="16"/>
                <w:color w:val="auto"/>
              </w:rPr>
            </w:pPr>
          </w:p>
        </w:tc>
        <w:tc>
          <w:tcPr>
            <w:tcW w:w="740" w:type="dxa"/>
            <w:vAlign w:val="bottom"/>
            <w:shd w:val="clear" w:color="auto" w:fill="E8E8E8"/>
          </w:tcPr>
          <w:p>
            <w:pPr>
              <w:jc w:val="right"/>
              <w:spacing w:after="0"/>
              <w:rPr>
                <w:sz w:val="20"/>
                <w:szCs w:val="20"/>
                <w:color w:val="auto"/>
              </w:rPr>
            </w:pPr>
            <w:r>
              <w:rPr>
                <w:rFonts w:ascii="Arial" w:cs="Arial" w:eastAsia="Arial" w:hAnsi="Arial"/>
                <w:sz w:val="16"/>
                <w:szCs w:val="16"/>
                <w:color w:val="auto"/>
              </w:rPr>
              <w:t>71,185</w:t>
            </w:r>
          </w:p>
        </w:tc>
        <w:tc>
          <w:tcPr>
            <w:tcW w:w="440" w:type="dxa"/>
            <w:vAlign w:val="bottom"/>
            <w:shd w:val="clear" w:color="auto" w:fill="E8E8E8"/>
          </w:tcPr>
          <w:p>
            <w:pPr>
              <w:spacing w:after="0"/>
              <w:rPr>
                <w:sz w:val="16"/>
                <w:szCs w:val="16"/>
                <w:color w:val="auto"/>
              </w:rPr>
            </w:pPr>
          </w:p>
        </w:tc>
        <w:tc>
          <w:tcPr>
            <w:tcW w:w="100" w:type="dxa"/>
            <w:vAlign w:val="bottom"/>
            <w:shd w:val="clear" w:color="auto" w:fill="E8E8E8"/>
          </w:tcPr>
          <w:p>
            <w:pPr>
              <w:spacing w:after="0"/>
              <w:rPr>
                <w:sz w:val="16"/>
                <w:szCs w:val="16"/>
                <w:color w:val="auto"/>
              </w:rPr>
            </w:pPr>
          </w:p>
        </w:tc>
        <w:tc>
          <w:tcPr>
            <w:tcW w:w="740" w:type="dxa"/>
            <w:vAlign w:val="bottom"/>
            <w:shd w:val="clear" w:color="auto" w:fill="E8E8E8"/>
          </w:tcPr>
          <w:p>
            <w:pPr>
              <w:jc w:val="right"/>
              <w:spacing w:after="0"/>
              <w:rPr>
                <w:sz w:val="20"/>
                <w:szCs w:val="20"/>
                <w:color w:val="auto"/>
              </w:rPr>
            </w:pPr>
            <w:r>
              <w:rPr>
                <w:rFonts w:ascii="Arial" w:cs="Arial" w:eastAsia="Arial" w:hAnsi="Arial"/>
                <w:sz w:val="16"/>
                <w:szCs w:val="16"/>
                <w:color w:val="auto"/>
              </w:rPr>
              <w:t>64,445</w:t>
            </w:r>
          </w:p>
        </w:tc>
        <w:tc>
          <w:tcPr>
            <w:tcW w:w="60" w:type="dxa"/>
            <w:vAlign w:val="bottom"/>
            <w:shd w:val="clear" w:color="auto" w:fill="E8E8E8"/>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7280" w:type="dxa"/>
            <w:vAlign w:val="bottom"/>
            <w:gridSpan w:val="2"/>
          </w:tcPr>
          <w:p>
            <w:pPr>
              <w:ind w:left="200"/>
              <w:spacing w:after="0"/>
              <w:rPr>
                <w:sz w:val="20"/>
                <w:szCs w:val="20"/>
                <w:color w:val="auto"/>
              </w:rPr>
            </w:pPr>
            <w:r>
              <w:rPr>
                <w:rFonts w:ascii="Arial" w:cs="Arial" w:eastAsia="Arial" w:hAnsi="Arial"/>
                <w:sz w:val="16"/>
                <w:szCs w:val="16"/>
                <w:color w:val="auto"/>
              </w:rPr>
              <w:t>Amortization of other intangibles</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79,260</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67,358</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65,334</w:t>
            </w:r>
          </w:p>
        </w:tc>
        <w:tc>
          <w:tcPr>
            <w:tcW w:w="6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7280" w:type="dxa"/>
            <w:vAlign w:val="bottom"/>
            <w:gridSpan w:val="2"/>
            <w:shd w:val="clear" w:color="auto" w:fill="E8E8E8"/>
          </w:tcPr>
          <w:p>
            <w:pPr>
              <w:ind w:left="200"/>
              <w:spacing w:after="0"/>
              <w:rPr>
                <w:sz w:val="20"/>
                <w:szCs w:val="20"/>
                <w:color w:val="auto"/>
              </w:rPr>
            </w:pPr>
            <w:r>
              <w:rPr>
                <w:rFonts w:ascii="Arial" w:cs="Arial" w:eastAsia="Arial" w:hAnsi="Arial"/>
                <w:sz w:val="16"/>
                <w:szCs w:val="16"/>
                <w:color w:val="auto"/>
              </w:rPr>
              <w:t>Loss on extinguishment of debt</w:t>
            </w:r>
          </w:p>
        </w:tc>
        <w:tc>
          <w:tcPr>
            <w:tcW w:w="200" w:type="dxa"/>
            <w:vAlign w:val="bottom"/>
            <w:shd w:val="clear" w:color="auto" w:fill="E8E8E8"/>
          </w:tcPr>
          <w:p>
            <w:pPr>
              <w:spacing w:after="0"/>
              <w:rPr>
                <w:sz w:val="16"/>
                <w:szCs w:val="16"/>
                <w:color w:val="auto"/>
              </w:rPr>
            </w:pPr>
          </w:p>
        </w:tc>
        <w:tc>
          <w:tcPr>
            <w:tcW w:w="800" w:type="dxa"/>
            <w:vAlign w:val="bottom"/>
            <w:shd w:val="clear" w:color="auto" w:fill="E8E8E8"/>
          </w:tcPr>
          <w:p>
            <w:pPr>
              <w:jc w:val="right"/>
              <w:spacing w:after="0"/>
              <w:rPr>
                <w:sz w:val="20"/>
                <w:szCs w:val="20"/>
                <w:color w:val="auto"/>
              </w:rPr>
            </w:pPr>
            <w:r>
              <w:rPr>
                <w:rFonts w:ascii="Arial" w:cs="Arial" w:eastAsia="Arial" w:hAnsi="Arial"/>
                <w:sz w:val="16"/>
                <w:szCs w:val="16"/>
                <w:color w:val="auto"/>
              </w:rPr>
              <w:t>24,400</w:t>
            </w:r>
          </w:p>
        </w:tc>
        <w:tc>
          <w:tcPr>
            <w:tcW w:w="420" w:type="dxa"/>
            <w:vAlign w:val="bottom"/>
            <w:shd w:val="clear" w:color="auto" w:fill="E8E8E8"/>
          </w:tcPr>
          <w:p>
            <w:pPr>
              <w:spacing w:after="0"/>
              <w:rPr>
                <w:sz w:val="16"/>
                <w:szCs w:val="16"/>
                <w:color w:val="auto"/>
              </w:rPr>
            </w:pPr>
          </w:p>
        </w:tc>
        <w:tc>
          <w:tcPr>
            <w:tcW w:w="120" w:type="dxa"/>
            <w:vAlign w:val="bottom"/>
            <w:shd w:val="clear" w:color="auto" w:fill="E8E8E8"/>
          </w:tcPr>
          <w:p>
            <w:pPr>
              <w:spacing w:after="0"/>
              <w:rPr>
                <w:sz w:val="16"/>
                <w:szCs w:val="16"/>
                <w:color w:val="auto"/>
              </w:rPr>
            </w:pPr>
          </w:p>
        </w:tc>
        <w:tc>
          <w:tcPr>
            <w:tcW w:w="1180" w:type="dxa"/>
            <w:vAlign w:val="bottom"/>
            <w:gridSpan w:val="2"/>
            <w:shd w:val="clear" w:color="auto" w:fill="E8E8E8"/>
          </w:tcPr>
          <w:p>
            <w:pPr>
              <w:jc w:val="right"/>
              <w:ind w:right="440"/>
              <w:spacing w:after="0"/>
              <w:rPr>
                <w:sz w:val="20"/>
                <w:szCs w:val="20"/>
                <w:color w:val="auto"/>
              </w:rPr>
            </w:pPr>
            <w:r>
              <w:rPr>
                <w:rFonts w:ascii="Arial" w:cs="Arial" w:eastAsia="Arial" w:hAnsi="Arial"/>
                <w:sz w:val="16"/>
                <w:szCs w:val="16"/>
                <w:color w:val="auto"/>
              </w:rPr>
              <w:t>—</w:t>
            </w:r>
          </w:p>
        </w:tc>
        <w:tc>
          <w:tcPr>
            <w:tcW w:w="100" w:type="dxa"/>
            <w:vAlign w:val="bottom"/>
            <w:shd w:val="clear" w:color="auto" w:fill="E8E8E8"/>
          </w:tcPr>
          <w:p>
            <w:pPr>
              <w:spacing w:after="0"/>
              <w:rPr>
                <w:sz w:val="16"/>
                <w:szCs w:val="16"/>
                <w:color w:val="auto"/>
              </w:rPr>
            </w:pPr>
          </w:p>
        </w:tc>
        <w:tc>
          <w:tcPr>
            <w:tcW w:w="800" w:type="dxa"/>
            <w:vAlign w:val="bottom"/>
            <w:gridSpan w:val="2"/>
            <w:shd w:val="clear" w:color="auto" w:fill="E8E8E8"/>
          </w:tcPr>
          <w:p>
            <w:pPr>
              <w:jc w:val="right"/>
              <w:ind w:right="60"/>
              <w:spacing w:after="0"/>
              <w:rPr>
                <w:sz w:val="20"/>
                <w:szCs w:val="20"/>
                <w:color w:val="auto"/>
              </w:rPr>
            </w:pPr>
            <w:r>
              <w:rPr>
                <w:rFonts w:ascii="Arial" w:cs="Arial" w:eastAsia="Arial" w:hAnsi="Arial"/>
                <w:sz w:val="16"/>
                <w:szCs w:val="16"/>
                <w:color w:val="auto"/>
              </w:rPr>
              <w:t>3,156</w:t>
            </w:r>
          </w:p>
        </w:tc>
      </w:tr>
      <w:tr>
        <w:trPr>
          <w:trHeight w:val="201"/>
        </w:trPr>
        <w:tc>
          <w:tcPr>
            <w:tcW w:w="20" w:type="dxa"/>
            <w:vAlign w:val="bottom"/>
          </w:tcPr>
          <w:p>
            <w:pPr>
              <w:spacing w:after="0"/>
              <w:rPr>
                <w:sz w:val="17"/>
                <w:szCs w:val="17"/>
                <w:color w:val="auto"/>
              </w:rPr>
            </w:pPr>
          </w:p>
        </w:tc>
        <w:tc>
          <w:tcPr>
            <w:tcW w:w="7280" w:type="dxa"/>
            <w:vAlign w:val="bottom"/>
            <w:gridSpan w:val="2"/>
          </w:tcPr>
          <w:p>
            <w:pPr>
              <w:ind w:left="320"/>
              <w:spacing w:after="0"/>
              <w:rPr>
                <w:sz w:val="20"/>
                <w:szCs w:val="20"/>
                <w:color w:val="auto"/>
              </w:rPr>
            </w:pPr>
            <w:r>
              <w:rPr>
                <w:rFonts w:ascii="Arial" w:cs="Arial" w:eastAsia="Arial" w:hAnsi="Arial"/>
                <w:sz w:val="16"/>
                <w:szCs w:val="16"/>
                <w:color w:val="auto"/>
              </w:rPr>
              <w:t>Total general and administrative expense</w:t>
            </w:r>
          </w:p>
        </w:tc>
        <w:tc>
          <w:tcPr>
            <w:tcW w:w="2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1,493,886</w:t>
            </w:r>
          </w:p>
        </w:tc>
        <w:tc>
          <w:tcPr>
            <w:tcW w:w="4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1,194,380</w:t>
            </w:r>
          </w:p>
        </w:tc>
        <w:tc>
          <w:tcPr>
            <w:tcW w:w="4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1,136,120</w:t>
            </w:r>
          </w:p>
        </w:tc>
        <w:tc>
          <w:tcPr>
            <w:tcW w:w="60" w:type="dxa"/>
            <w:vAlign w:val="bottom"/>
          </w:tcPr>
          <w:p>
            <w:pPr>
              <w:spacing w:after="0"/>
              <w:rPr>
                <w:sz w:val="17"/>
                <w:szCs w:val="17"/>
                <w:color w:val="auto"/>
              </w:rPr>
            </w:pPr>
          </w:p>
        </w:tc>
      </w:tr>
      <w:tr>
        <w:trPr>
          <w:trHeight w:val="187"/>
        </w:trPr>
        <w:tc>
          <w:tcPr>
            <w:tcW w:w="20" w:type="dxa"/>
            <w:vAlign w:val="bottom"/>
          </w:tcPr>
          <w:p>
            <w:pPr>
              <w:spacing w:after="0"/>
              <w:rPr>
                <w:sz w:val="16"/>
                <w:szCs w:val="16"/>
                <w:color w:val="auto"/>
              </w:rPr>
            </w:pPr>
          </w:p>
        </w:tc>
        <w:tc>
          <w:tcPr>
            <w:tcW w:w="7280" w:type="dxa"/>
            <w:vAlign w:val="bottom"/>
            <w:gridSpan w:val="2"/>
            <w:shd w:val="clear" w:color="auto" w:fill="E8E8E8"/>
          </w:tcPr>
          <w:p>
            <w:pPr>
              <w:ind w:left="200"/>
              <w:spacing w:after="0"/>
              <w:rPr>
                <w:sz w:val="20"/>
                <w:szCs w:val="20"/>
                <w:color w:val="auto"/>
              </w:rPr>
            </w:pPr>
            <w:r>
              <w:rPr>
                <w:rFonts w:ascii="Arial" w:cs="Arial" w:eastAsia="Arial" w:hAnsi="Arial"/>
                <w:sz w:val="16"/>
                <w:szCs w:val="16"/>
                <w:color w:val="auto"/>
              </w:rPr>
              <w:t>Promotional</w:t>
            </w:r>
          </w:p>
        </w:tc>
        <w:tc>
          <w:tcPr>
            <w:tcW w:w="200" w:type="dxa"/>
            <w:vAlign w:val="bottom"/>
            <w:shd w:val="clear" w:color="auto" w:fill="E8E8E8"/>
          </w:tcPr>
          <w:p>
            <w:pPr>
              <w:spacing w:after="0"/>
              <w:rPr>
                <w:sz w:val="16"/>
                <w:szCs w:val="16"/>
                <w:color w:val="auto"/>
              </w:rPr>
            </w:pPr>
          </w:p>
        </w:tc>
        <w:tc>
          <w:tcPr>
            <w:tcW w:w="800" w:type="dxa"/>
            <w:vAlign w:val="bottom"/>
            <w:shd w:val="clear" w:color="auto" w:fill="E8E8E8"/>
          </w:tcPr>
          <w:p>
            <w:pPr>
              <w:jc w:val="right"/>
              <w:spacing w:after="0"/>
              <w:rPr>
                <w:sz w:val="20"/>
                <w:szCs w:val="20"/>
                <w:color w:val="auto"/>
              </w:rPr>
            </w:pPr>
            <w:r>
              <w:rPr>
                <w:rFonts w:ascii="Arial" w:cs="Arial" w:eastAsia="Arial" w:hAnsi="Arial"/>
                <w:sz w:val="16"/>
                <w:szCs w:val="16"/>
                <w:color w:val="auto"/>
              </w:rPr>
              <w:t>288,016</w:t>
            </w:r>
          </w:p>
        </w:tc>
        <w:tc>
          <w:tcPr>
            <w:tcW w:w="420" w:type="dxa"/>
            <w:vAlign w:val="bottom"/>
            <w:shd w:val="clear" w:color="auto" w:fill="E8E8E8"/>
          </w:tcPr>
          <w:p>
            <w:pPr>
              <w:spacing w:after="0"/>
              <w:rPr>
                <w:sz w:val="16"/>
                <w:szCs w:val="16"/>
                <w:color w:val="auto"/>
              </w:rPr>
            </w:pPr>
          </w:p>
        </w:tc>
        <w:tc>
          <w:tcPr>
            <w:tcW w:w="120" w:type="dxa"/>
            <w:vAlign w:val="bottom"/>
            <w:shd w:val="clear" w:color="auto" w:fill="E8E8E8"/>
          </w:tcPr>
          <w:p>
            <w:pPr>
              <w:spacing w:after="0"/>
              <w:rPr>
                <w:sz w:val="16"/>
                <w:szCs w:val="16"/>
                <w:color w:val="auto"/>
              </w:rPr>
            </w:pPr>
          </w:p>
        </w:tc>
        <w:tc>
          <w:tcPr>
            <w:tcW w:w="740" w:type="dxa"/>
            <w:vAlign w:val="bottom"/>
            <w:shd w:val="clear" w:color="auto" w:fill="E8E8E8"/>
          </w:tcPr>
          <w:p>
            <w:pPr>
              <w:jc w:val="right"/>
              <w:spacing w:after="0"/>
              <w:rPr>
                <w:sz w:val="20"/>
                <w:szCs w:val="20"/>
                <w:color w:val="auto"/>
              </w:rPr>
            </w:pPr>
            <w:r>
              <w:rPr>
                <w:rFonts w:ascii="Arial" w:cs="Arial" w:eastAsia="Arial" w:hAnsi="Arial"/>
                <w:sz w:val="16"/>
                <w:szCs w:val="16"/>
                <w:color w:val="auto"/>
              </w:rPr>
              <w:t>208,250</w:t>
            </w:r>
          </w:p>
        </w:tc>
        <w:tc>
          <w:tcPr>
            <w:tcW w:w="440" w:type="dxa"/>
            <w:vAlign w:val="bottom"/>
            <w:shd w:val="clear" w:color="auto" w:fill="E8E8E8"/>
          </w:tcPr>
          <w:p>
            <w:pPr>
              <w:spacing w:after="0"/>
              <w:rPr>
                <w:sz w:val="16"/>
                <w:szCs w:val="16"/>
                <w:color w:val="auto"/>
              </w:rPr>
            </w:pPr>
          </w:p>
        </w:tc>
        <w:tc>
          <w:tcPr>
            <w:tcW w:w="100" w:type="dxa"/>
            <w:vAlign w:val="bottom"/>
            <w:shd w:val="clear" w:color="auto" w:fill="E8E8E8"/>
          </w:tcPr>
          <w:p>
            <w:pPr>
              <w:spacing w:after="0"/>
              <w:rPr>
                <w:sz w:val="16"/>
                <w:szCs w:val="16"/>
                <w:color w:val="auto"/>
              </w:rPr>
            </w:pPr>
          </w:p>
        </w:tc>
        <w:tc>
          <w:tcPr>
            <w:tcW w:w="740" w:type="dxa"/>
            <w:vAlign w:val="bottom"/>
            <w:shd w:val="clear" w:color="auto" w:fill="E8E8E8"/>
          </w:tcPr>
          <w:p>
            <w:pPr>
              <w:jc w:val="right"/>
              <w:spacing w:after="0"/>
              <w:rPr>
                <w:sz w:val="20"/>
                <w:szCs w:val="20"/>
                <w:color w:val="auto"/>
              </w:rPr>
            </w:pPr>
            <w:r>
              <w:rPr>
                <w:rFonts w:ascii="Arial" w:cs="Arial" w:eastAsia="Arial" w:hAnsi="Arial"/>
                <w:sz w:val="16"/>
                <w:szCs w:val="16"/>
                <w:color w:val="auto"/>
              </w:rPr>
              <w:t>205,537</w:t>
            </w:r>
          </w:p>
        </w:tc>
        <w:tc>
          <w:tcPr>
            <w:tcW w:w="60" w:type="dxa"/>
            <w:vAlign w:val="bottom"/>
            <w:shd w:val="clear" w:color="auto" w:fill="E8E8E8"/>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7280" w:type="dxa"/>
            <w:vAlign w:val="bottom"/>
            <w:gridSpan w:val="2"/>
          </w:tcPr>
          <w:p>
            <w:pPr>
              <w:ind w:left="200"/>
              <w:spacing w:after="0"/>
              <w:rPr>
                <w:sz w:val="20"/>
                <w:szCs w:val="20"/>
                <w:color w:val="auto"/>
              </w:rPr>
            </w:pPr>
            <w:r>
              <w:rPr>
                <w:rFonts w:ascii="Arial" w:cs="Arial" w:eastAsia="Arial" w:hAnsi="Arial"/>
                <w:sz w:val="16"/>
                <w:szCs w:val="16"/>
                <w:color w:val="auto"/>
              </w:rPr>
              <w:t>Acquisition costs</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76,388</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87"/>
        </w:trPr>
        <w:tc>
          <w:tcPr>
            <w:tcW w:w="20" w:type="dxa"/>
            <w:vAlign w:val="bottom"/>
          </w:tcPr>
          <w:p>
            <w:pPr>
              <w:spacing w:after="0"/>
              <w:rPr>
                <w:sz w:val="16"/>
                <w:szCs w:val="16"/>
                <w:color w:val="auto"/>
              </w:rPr>
            </w:pPr>
          </w:p>
        </w:tc>
        <w:tc>
          <w:tcPr>
            <w:tcW w:w="7280" w:type="dxa"/>
            <w:vAlign w:val="bottom"/>
            <w:gridSpan w:val="2"/>
            <w:shd w:val="clear" w:color="auto" w:fill="E8E8E8"/>
          </w:tcPr>
          <w:p>
            <w:pPr>
              <w:ind w:left="200"/>
              <w:spacing w:after="0"/>
              <w:rPr>
                <w:sz w:val="20"/>
                <w:szCs w:val="20"/>
                <w:color w:val="auto"/>
              </w:rPr>
            </w:pPr>
            <w:r>
              <w:rPr>
                <w:rFonts w:ascii="Arial" w:cs="Arial" w:eastAsia="Arial" w:hAnsi="Arial"/>
                <w:sz w:val="16"/>
                <w:szCs w:val="16"/>
                <w:color w:val="auto"/>
              </w:rPr>
              <w:t>Employee share-based compensation</w:t>
            </w:r>
          </w:p>
        </w:tc>
        <w:tc>
          <w:tcPr>
            <w:tcW w:w="200" w:type="dxa"/>
            <w:vAlign w:val="bottom"/>
            <w:shd w:val="clear" w:color="auto" w:fill="E8E8E8"/>
          </w:tcPr>
          <w:p>
            <w:pPr>
              <w:spacing w:after="0"/>
              <w:rPr>
                <w:sz w:val="16"/>
                <w:szCs w:val="16"/>
                <w:color w:val="auto"/>
              </w:rPr>
            </w:pPr>
          </w:p>
        </w:tc>
        <w:tc>
          <w:tcPr>
            <w:tcW w:w="800" w:type="dxa"/>
            <w:vAlign w:val="bottom"/>
            <w:shd w:val="clear" w:color="auto" w:fill="E8E8E8"/>
          </w:tcPr>
          <w:p>
            <w:pPr>
              <w:jc w:val="right"/>
              <w:spacing w:after="0"/>
              <w:rPr>
                <w:sz w:val="20"/>
                <w:szCs w:val="20"/>
                <w:color w:val="auto"/>
              </w:rPr>
            </w:pPr>
            <w:r>
              <w:rPr>
                <w:rFonts w:ascii="Arial" w:cs="Arial" w:eastAsia="Arial" w:hAnsi="Arial"/>
                <w:sz w:val="16"/>
                <w:szCs w:val="16"/>
                <w:color w:val="auto"/>
              </w:rPr>
              <w:t>41,844</w:t>
            </w:r>
          </w:p>
        </w:tc>
        <w:tc>
          <w:tcPr>
            <w:tcW w:w="420" w:type="dxa"/>
            <w:vAlign w:val="bottom"/>
            <w:shd w:val="clear" w:color="auto" w:fill="E8E8E8"/>
          </w:tcPr>
          <w:p>
            <w:pPr>
              <w:spacing w:after="0"/>
              <w:rPr>
                <w:sz w:val="16"/>
                <w:szCs w:val="16"/>
                <w:color w:val="auto"/>
              </w:rPr>
            </w:pPr>
          </w:p>
        </w:tc>
        <w:tc>
          <w:tcPr>
            <w:tcW w:w="120" w:type="dxa"/>
            <w:vAlign w:val="bottom"/>
            <w:shd w:val="clear" w:color="auto" w:fill="E8E8E8"/>
          </w:tcPr>
          <w:p>
            <w:pPr>
              <w:spacing w:after="0"/>
              <w:rPr>
                <w:sz w:val="16"/>
                <w:szCs w:val="16"/>
                <w:color w:val="auto"/>
              </w:rPr>
            </w:pPr>
          </w:p>
        </w:tc>
        <w:tc>
          <w:tcPr>
            <w:tcW w:w="740" w:type="dxa"/>
            <w:vAlign w:val="bottom"/>
            <w:shd w:val="clear" w:color="auto" w:fill="E8E8E8"/>
          </w:tcPr>
          <w:p>
            <w:pPr>
              <w:jc w:val="right"/>
              <w:spacing w:after="0"/>
              <w:rPr>
                <w:sz w:val="20"/>
                <w:szCs w:val="20"/>
                <w:color w:val="auto"/>
              </w:rPr>
            </w:pPr>
            <w:r>
              <w:rPr>
                <w:rFonts w:ascii="Arial" w:cs="Arial" w:eastAsia="Arial" w:hAnsi="Arial"/>
                <w:sz w:val="16"/>
                <w:szCs w:val="16"/>
                <w:color w:val="auto"/>
              </w:rPr>
              <w:t>31,650</w:t>
            </w:r>
          </w:p>
        </w:tc>
        <w:tc>
          <w:tcPr>
            <w:tcW w:w="440" w:type="dxa"/>
            <w:vAlign w:val="bottom"/>
            <w:shd w:val="clear" w:color="auto" w:fill="E8E8E8"/>
          </w:tcPr>
          <w:p>
            <w:pPr>
              <w:spacing w:after="0"/>
              <w:rPr>
                <w:sz w:val="16"/>
                <w:szCs w:val="16"/>
                <w:color w:val="auto"/>
              </w:rPr>
            </w:pPr>
          </w:p>
        </w:tc>
        <w:tc>
          <w:tcPr>
            <w:tcW w:w="100" w:type="dxa"/>
            <w:vAlign w:val="bottom"/>
            <w:shd w:val="clear" w:color="auto" w:fill="E8E8E8"/>
          </w:tcPr>
          <w:p>
            <w:pPr>
              <w:spacing w:after="0"/>
              <w:rPr>
                <w:sz w:val="16"/>
                <w:szCs w:val="16"/>
                <w:color w:val="auto"/>
              </w:rPr>
            </w:pPr>
          </w:p>
        </w:tc>
        <w:tc>
          <w:tcPr>
            <w:tcW w:w="740" w:type="dxa"/>
            <w:vAlign w:val="bottom"/>
            <w:shd w:val="clear" w:color="auto" w:fill="E8E8E8"/>
          </w:tcPr>
          <w:p>
            <w:pPr>
              <w:jc w:val="right"/>
              <w:spacing w:after="0"/>
              <w:rPr>
                <w:sz w:val="20"/>
                <w:szCs w:val="20"/>
                <w:color w:val="auto"/>
              </w:rPr>
            </w:pPr>
            <w:r>
              <w:rPr>
                <w:rFonts w:ascii="Arial" w:cs="Arial" w:eastAsia="Arial" w:hAnsi="Arial"/>
                <w:sz w:val="16"/>
                <w:szCs w:val="16"/>
                <w:color w:val="auto"/>
              </w:rPr>
              <w:t>29,866</w:t>
            </w:r>
          </w:p>
        </w:tc>
        <w:tc>
          <w:tcPr>
            <w:tcW w:w="60" w:type="dxa"/>
            <w:vAlign w:val="bottom"/>
            <w:shd w:val="clear" w:color="auto" w:fill="E8E8E8"/>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280" w:type="dxa"/>
            <w:vAlign w:val="bottom"/>
            <w:gridSpan w:val="2"/>
          </w:tcPr>
          <w:p>
            <w:pPr>
              <w:ind w:left="200"/>
              <w:spacing w:after="0"/>
              <w:rPr>
                <w:sz w:val="20"/>
                <w:szCs w:val="20"/>
                <w:color w:val="auto"/>
              </w:rPr>
            </w:pPr>
            <w:r>
              <w:rPr>
                <w:rFonts w:ascii="Arial" w:cs="Arial" w:eastAsia="Arial" w:hAnsi="Arial"/>
                <w:sz w:val="16"/>
                <w:szCs w:val="16"/>
                <w:color w:val="auto"/>
              </w:rPr>
              <w:t>Regulatory charges</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29,430</w:t>
            </w:r>
          </w:p>
        </w:tc>
        <w:tc>
          <w:tcPr>
            <w:tcW w:w="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29,373</w:t>
            </w:r>
          </w:p>
        </w:tc>
        <w:tc>
          <w:tcPr>
            <w:tcW w:w="4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32,304</w:t>
            </w:r>
          </w:p>
        </w:tc>
        <w:tc>
          <w:tcPr>
            <w:tcW w:w="6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7280" w:type="dxa"/>
            <w:vAlign w:val="bottom"/>
            <w:tcBorders>
              <w:bottom w:val="single" w:sz="8" w:color="050A54"/>
            </w:tcBorders>
            <w:gridSpan w:val="2"/>
            <w:shd w:val="clear" w:color="auto" w:fill="E8E8E8"/>
          </w:tcPr>
          <w:p>
            <w:pPr>
              <w:spacing w:after="0"/>
              <w:rPr>
                <w:sz w:val="20"/>
                <w:szCs w:val="20"/>
                <w:color w:val="auto"/>
              </w:rPr>
            </w:pPr>
            <w:r>
              <w:rPr>
                <w:rFonts w:ascii="Arial" w:cs="Arial" w:eastAsia="Arial" w:hAnsi="Arial"/>
                <w:sz w:val="16"/>
                <w:szCs w:val="16"/>
                <w:b w:val="1"/>
                <w:bCs w:val="1"/>
                <w:color w:val="auto"/>
              </w:rPr>
              <w:t>Core G&amp;A</w:t>
            </w:r>
          </w:p>
        </w:tc>
        <w:tc>
          <w:tcPr>
            <w:tcW w:w="200" w:type="dxa"/>
            <w:vAlign w:val="bottom"/>
            <w:tcBorders>
              <w:bottom w:val="single" w:sz="8" w:color="050A54"/>
            </w:tcBorders>
            <w:shd w:val="clear" w:color="auto" w:fill="E8E8E8"/>
          </w:tcPr>
          <w:p>
            <w:pPr>
              <w:jc w:val="right"/>
              <w:ind w:right="2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050A54"/>
            </w:tcBorders>
            <w:shd w:val="clear" w:color="auto" w:fill="E8E8E8"/>
          </w:tcPr>
          <w:p>
            <w:pPr>
              <w:jc w:val="right"/>
              <w:spacing w:after="0"/>
              <w:rPr>
                <w:sz w:val="20"/>
                <w:szCs w:val="20"/>
                <w:color w:val="auto"/>
              </w:rPr>
            </w:pPr>
            <w:r>
              <w:rPr>
                <w:rFonts w:ascii="Arial" w:cs="Arial" w:eastAsia="Arial" w:hAnsi="Arial"/>
                <w:sz w:val="16"/>
                <w:szCs w:val="16"/>
                <w:color w:val="auto"/>
              </w:rPr>
              <w:t>1,058,208</w:t>
            </w:r>
          </w:p>
        </w:tc>
        <w:tc>
          <w:tcPr>
            <w:tcW w:w="540" w:type="dxa"/>
            <w:vAlign w:val="bottom"/>
            <w:tcBorders>
              <w:bottom w:val="single" w:sz="8" w:color="050A54"/>
            </w:tcBorders>
            <w:gridSpan w:val="2"/>
            <w:shd w:val="clear" w:color="auto" w:fill="E8E8E8"/>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050A54"/>
            </w:tcBorders>
            <w:gridSpan w:val="2"/>
            <w:shd w:val="clear" w:color="auto" w:fill="E8E8E8"/>
          </w:tcPr>
          <w:p>
            <w:pPr>
              <w:jc w:val="right"/>
              <w:ind w:right="440"/>
              <w:spacing w:after="0"/>
              <w:rPr>
                <w:sz w:val="20"/>
                <w:szCs w:val="20"/>
                <w:color w:val="auto"/>
              </w:rPr>
            </w:pPr>
            <w:r>
              <w:rPr>
                <w:rFonts w:ascii="Arial" w:cs="Arial" w:eastAsia="Arial" w:hAnsi="Arial"/>
                <w:sz w:val="16"/>
                <w:szCs w:val="16"/>
                <w:color w:val="auto"/>
              </w:rPr>
              <w:t>925,107</w:t>
            </w:r>
          </w:p>
        </w:tc>
        <w:tc>
          <w:tcPr>
            <w:tcW w:w="100" w:type="dxa"/>
            <w:vAlign w:val="bottom"/>
            <w:tcBorders>
              <w:bottom w:val="single" w:sz="8" w:color="050A54"/>
            </w:tcBorders>
            <w:shd w:val="clear" w:color="auto" w:fill="E8E8E8"/>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050A54"/>
            </w:tcBorders>
            <w:gridSpan w:val="2"/>
            <w:shd w:val="clear" w:color="auto" w:fill="E8E8E8"/>
          </w:tcPr>
          <w:p>
            <w:pPr>
              <w:jc w:val="right"/>
              <w:ind w:right="60"/>
              <w:spacing w:after="0"/>
              <w:rPr>
                <w:sz w:val="20"/>
                <w:szCs w:val="20"/>
                <w:color w:val="auto"/>
              </w:rPr>
            </w:pPr>
            <w:r>
              <w:rPr>
                <w:rFonts w:ascii="Arial" w:cs="Arial" w:eastAsia="Arial" w:hAnsi="Arial"/>
                <w:sz w:val="16"/>
                <w:szCs w:val="16"/>
                <w:color w:val="auto"/>
              </w:rPr>
              <w:t>868,413</w:t>
            </w:r>
          </w:p>
        </w:tc>
      </w:tr>
    </w:tbl>
    <w:p>
      <w:pPr>
        <w:spacing w:after="0" w:line="19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Set forth below is a reconciliation of the Company’s net income to EBITDA and Adjusted EBITDA for the periods presented (in thousands):</w:t>
      </w:r>
    </w:p>
    <w:p>
      <w:pPr>
        <w:spacing w:after="0" w:line="255"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00" w:type="dxa"/>
            <w:vAlign w:val="bottom"/>
            <w:tcBorders>
              <w:bottom w:val="single" w:sz="8" w:color="050A54"/>
            </w:tcBorders>
          </w:tcPr>
          <w:p>
            <w:pPr>
              <w:spacing w:after="0"/>
              <w:rPr>
                <w:sz w:val="14"/>
                <w:szCs w:val="14"/>
                <w:color w:val="auto"/>
              </w:rPr>
            </w:pPr>
          </w:p>
        </w:tc>
        <w:tc>
          <w:tcPr>
            <w:tcW w:w="200" w:type="dxa"/>
            <w:vAlign w:val="bottom"/>
            <w:tcBorders>
              <w:bottom w:val="single" w:sz="8" w:color="050A54"/>
            </w:tcBorders>
          </w:tcPr>
          <w:p>
            <w:pPr>
              <w:spacing w:after="0"/>
              <w:rPr>
                <w:sz w:val="14"/>
                <w:szCs w:val="14"/>
                <w:color w:val="auto"/>
              </w:rPr>
            </w:pPr>
          </w:p>
        </w:tc>
        <w:tc>
          <w:tcPr>
            <w:tcW w:w="2680" w:type="dxa"/>
            <w:vAlign w:val="bottom"/>
            <w:tcBorders>
              <w:bottom w:val="single" w:sz="8" w:color="050A54"/>
            </w:tcBorders>
            <w:gridSpan w:val="7"/>
          </w:tcPr>
          <w:p>
            <w:pPr>
              <w:jc w:val="right"/>
              <w:ind w:right="45"/>
              <w:spacing w:after="0"/>
              <w:rPr>
                <w:sz w:val="20"/>
                <w:szCs w:val="20"/>
                <w:color w:val="auto"/>
              </w:rPr>
            </w:pPr>
            <w:r>
              <w:rPr>
                <w:rFonts w:ascii="Arial" w:cs="Arial" w:eastAsia="Arial" w:hAnsi="Arial"/>
                <w:sz w:val="14"/>
                <w:szCs w:val="14"/>
                <w:b w:val="1"/>
                <w:bCs w:val="1"/>
                <w:color w:val="050A54"/>
              </w:rPr>
              <w:t>Years Ended December 31,</w:t>
            </w:r>
          </w:p>
        </w:tc>
        <w:tc>
          <w:tcPr>
            <w:tcW w:w="800" w:type="dxa"/>
            <w:vAlign w:val="bottom"/>
            <w:tcBorders>
              <w:bottom w:val="single" w:sz="8" w:color="050A54"/>
            </w:tcBorders>
          </w:tcPr>
          <w:p>
            <w:pPr>
              <w:spacing w:after="0"/>
              <w:rPr>
                <w:sz w:val="14"/>
                <w:szCs w:val="14"/>
                <w:color w:val="auto"/>
              </w:rPr>
            </w:pPr>
          </w:p>
        </w:tc>
        <w:tc>
          <w:tcPr>
            <w:tcW w:w="60" w:type="dxa"/>
            <w:vAlign w:val="bottom"/>
            <w:tcBorders>
              <w:bottom w:val="single" w:sz="8" w:color="050A54"/>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60" w:type="dxa"/>
            <w:vAlign w:val="bottom"/>
            <w:tcBorders>
              <w:bottom w:val="single" w:sz="8" w:color="050A54"/>
            </w:tcBorders>
          </w:tcPr>
          <w:p>
            <w:pPr>
              <w:spacing w:after="0"/>
              <w:rPr>
                <w:sz w:val="13"/>
                <w:szCs w:val="13"/>
                <w:color w:val="auto"/>
              </w:rPr>
            </w:pPr>
          </w:p>
        </w:tc>
        <w:tc>
          <w:tcPr>
            <w:tcW w:w="100" w:type="dxa"/>
            <w:vAlign w:val="bottom"/>
            <w:tcBorders>
              <w:bottom w:val="single" w:sz="8" w:color="050A54"/>
            </w:tcBorders>
          </w:tcPr>
          <w:p>
            <w:pPr>
              <w:spacing w:after="0"/>
              <w:rPr>
                <w:sz w:val="13"/>
                <w:szCs w:val="13"/>
                <w:color w:val="auto"/>
              </w:rPr>
            </w:pPr>
          </w:p>
        </w:tc>
        <w:tc>
          <w:tcPr>
            <w:tcW w:w="200" w:type="dxa"/>
            <w:vAlign w:val="bottom"/>
            <w:tcBorders>
              <w:bottom w:val="single" w:sz="8" w:color="050A54"/>
            </w:tcBorders>
          </w:tcPr>
          <w:p>
            <w:pPr>
              <w:spacing w:after="0"/>
              <w:rPr>
                <w:sz w:val="13"/>
                <w:szCs w:val="13"/>
                <w:color w:val="auto"/>
              </w:rPr>
            </w:pPr>
          </w:p>
        </w:tc>
        <w:tc>
          <w:tcPr>
            <w:tcW w:w="800" w:type="dxa"/>
            <w:vAlign w:val="bottom"/>
            <w:tcBorders>
              <w:bottom w:val="single" w:sz="8" w:color="050A54"/>
            </w:tcBorders>
          </w:tcPr>
          <w:p>
            <w:pPr>
              <w:jc w:val="right"/>
              <w:ind w:right="261"/>
              <w:spacing w:after="0" w:line="154" w:lineRule="exact"/>
              <w:rPr>
                <w:sz w:val="20"/>
                <w:szCs w:val="20"/>
                <w:color w:val="auto"/>
              </w:rPr>
            </w:pPr>
            <w:r>
              <w:rPr>
                <w:rFonts w:ascii="Arial" w:cs="Arial" w:eastAsia="Arial" w:hAnsi="Arial"/>
                <w:sz w:val="14"/>
                <w:szCs w:val="14"/>
                <w:b w:val="1"/>
                <w:bCs w:val="1"/>
                <w:color w:val="050A54"/>
              </w:rPr>
              <w:t>2021</w:t>
            </w:r>
          </w:p>
        </w:tc>
        <w:tc>
          <w:tcPr>
            <w:tcW w:w="220" w:type="dxa"/>
            <w:vAlign w:val="bottom"/>
            <w:tcBorders>
              <w:bottom w:val="single" w:sz="8" w:color="050A54"/>
            </w:tcBorders>
          </w:tcPr>
          <w:p>
            <w:pPr>
              <w:spacing w:after="0"/>
              <w:rPr>
                <w:sz w:val="13"/>
                <w:szCs w:val="13"/>
                <w:color w:val="auto"/>
              </w:rPr>
            </w:pPr>
          </w:p>
        </w:tc>
        <w:tc>
          <w:tcPr>
            <w:tcW w:w="200" w:type="dxa"/>
            <w:vAlign w:val="bottom"/>
            <w:tcBorders>
              <w:bottom w:val="single" w:sz="8" w:color="050A54"/>
            </w:tcBorders>
          </w:tcPr>
          <w:p>
            <w:pPr>
              <w:spacing w:after="0"/>
              <w:rPr>
                <w:sz w:val="13"/>
                <w:szCs w:val="13"/>
                <w:color w:val="auto"/>
              </w:rPr>
            </w:pPr>
          </w:p>
        </w:tc>
        <w:tc>
          <w:tcPr>
            <w:tcW w:w="180" w:type="dxa"/>
            <w:vAlign w:val="bottom"/>
            <w:tcBorders>
              <w:bottom w:val="single" w:sz="8" w:color="050A54"/>
            </w:tcBorders>
          </w:tcPr>
          <w:p>
            <w:pPr>
              <w:spacing w:after="0"/>
              <w:rPr>
                <w:sz w:val="13"/>
                <w:szCs w:val="13"/>
                <w:color w:val="auto"/>
              </w:rPr>
            </w:pPr>
          </w:p>
        </w:tc>
        <w:tc>
          <w:tcPr>
            <w:tcW w:w="680" w:type="dxa"/>
            <w:vAlign w:val="bottom"/>
            <w:tcBorders>
              <w:bottom w:val="single" w:sz="8" w:color="050A54"/>
            </w:tcBorders>
          </w:tcPr>
          <w:p>
            <w:pPr>
              <w:jc w:val="right"/>
              <w:ind w:right="181"/>
              <w:spacing w:after="0" w:line="154" w:lineRule="exact"/>
              <w:rPr>
                <w:sz w:val="20"/>
                <w:szCs w:val="20"/>
                <w:color w:val="auto"/>
              </w:rPr>
            </w:pPr>
            <w:r>
              <w:rPr>
                <w:rFonts w:ascii="Arial" w:cs="Arial" w:eastAsia="Arial" w:hAnsi="Arial"/>
                <w:sz w:val="14"/>
                <w:szCs w:val="14"/>
                <w:b w:val="1"/>
                <w:bCs w:val="1"/>
                <w:color w:val="050A54"/>
              </w:rPr>
              <w:t>2020</w:t>
            </w:r>
          </w:p>
        </w:tc>
        <w:tc>
          <w:tcPr>
            <w:tcW w:w="440" w:type="dxa"/>
            <w:vAlign w:val="bottom"/>
            <w:tcBorders>
              <w:bottom w:val="single" w:sz="8" w:color="050A54"/>
            </w:tcBorders>
          </w:tcPr>
          <w:p>
            <w:pPr>
              <w:spacing w:after="0"/>
              <w:rPr>
                <w:sz w:val="13"/>
                <w:szCs w:val="13"/>
                <w:color w:val="auto"/>
              </w:rPr>
            </w:pPr>
          </w:p>
        </w:tc>
        <w:tc>
          <w:tcPr>
            <w:tcW w:w="160" w:type="dxa"/>
            <w:vAlign w:val="bottom"/>
            <w:tcBorders>
              <w:bottom w:val="single" w:sz="8" w:color="050A54"/>
            </w:tcBorders>
          </w:tcPr>
          <w:p>
            <w:pPr>
              <w:spacing w:after="0"/>
              <w:rPr>
                <w:sz w:val="13"/>
                <w:szCs w:val="13"/>
                <w:color w:val="auto"/>
              </w:rPr>
            </w:pPr>
          </w:p>
        </w:tc>
        <w:tc>
          <w:tcPr>
            <w:tcW w:w="800" w:type="dxa"/>
            <w:vAlign w:val="bottom"/>
            <w:tcBorders>
              <w:bottom w:val="single" w:sz="8" w:color="050A54"/>
            </w:tcBorders>
          </w:tcPr>
          <w:p>
            <w:pPr>
              <w:jc w:val="right"/>
              <w:ind w:right="241"/>
              <w:spacing w:after="0" w:line="154" w:lineRule="exact"/>
              <w:rPr>
                <w:sz w:val="20"/>
                <w:szCs w:val="20"/>
                <w:color w:val="auto"/>
              </w:rPr>
            </w:pPr>
            <w:r>
              <w:rPr>
                <w:rFonts w:ascii="Arial" w:cs="Arial" w:eastAsia="Arial" w:hAnsi="Arial"/>
                <w:sz w:val="14"/>
                <w:szCs w:val="14"/>
                <w:b w:val="1"/>
                <w:bCs w:val="1"/>
                <w:color w:val="050A54"/>
              </w:rPr>
              <w:t>2019</w:t>
            </w:r>
          </w:p>
        </w:tc>
        <w:tc>
          <w:tcPr>
            <w:tcW w:w="60" w:type="dxa"/>
            <w:vAlign w:val="bottom"/>
            <w:tcBorders>
              <w:bottom w:val="single" w:sz="8" w:color="050A54"/>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60" w:type="dxa"/>
            <w:vAlign w:val="bottom"/>
            <w:shd w:val="clear" w:color="auto" w:fill="E8E8E8"/>
          </w:tcPr>
          <w:p>
            <w:pPr>
              <w:spacing w:after="0" w:line="181" w:lineRule="exact"/>
              <w:rPr>
                <w:sz w:val="20"/>
                <w:szCs w:val="20"/>
                <w:color w:val="auto"/>
              </w:rPr>
            </w:pPr>
            <w:r>
              <w:rPr>
                <w:rFonts w:ascii="Arial" w:cs="Arial" w:eastAsia="Arial" w:hAnsi="Arial"/>
                <w:sz w:val="16"/>
                <w:szCs w:val="16"/>
                <w:color w:val="auto"/>
              </w:rPr>
              <w:t>Net income</w:t>
            </w:r>
          </w:p>
        </w:tc>
        <w:tc>
          <w:tcPr>
            <w:tcW w:w="300" w:type="dxa"/>
            <w:vAlign w:val="bottom"/>
            <w:gridSpan w:val="2"/>
            <w:shd w:val="clear" w:color="auto" w:fill="E8E8E8"/>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800" w:type="dxa"/>
            <w:vAlign w:val="bottom"/>
            <w:shd w:val="clear" w:color="auto" w:fill="E8E8E8"/>
          </w:tcPr>
          <w:p>
            <w:pPr>
              <w:jc w:val="right"/>
              <w:spacing w:after="0" w:line="181" w:lineRule="exact"/>
              <w:rPr>
                <w:sz w:val="20"/>
                <w:szCs w:val="20"/>
                <w:color w:val="auto"/>
              </w:rPr>
            </w:pPr>
            <w:r>
              <w:rPr>
                <w:rFonts w:ascii="Arial" w:cs="Arial" w:eastAsia="Arial" w:hAnsi="Arial"/>
                <w:sz w:val="16"/>
                <w:szCs w:val="16"/>
                <w:color w:val="auto"/>
              </w:rPr>
              <w:t>459,866</w:t>
            </w:r>
          </w:p>
        </w:tc>
        <w:tc>
          <w:tcPr>
            <w:tcW w:w="220" w:type="dxa"/>
            <w:vAlign w:val="bottom"/>
            <w:shd w:val="clear" w:color="auto" w:fill="E8E8E8"/>
          </w:tcPr>
          <w:p>
            <w:pPr>
              <w:spacing w:after="0"/>
              <w:rPr>
                <w:sz w:val="15"/>
                <w:szCs w:val="15"/>
                <w:color w:val="auto"/>
              </w:rPr>
            </w:pPr>
          </w:p>
        </w:tc>
        <w:tc>
          <w:tcPr>
            <w:tcW w:w="380" w:type="dxa"/>
            <w:vAlign w:val="bottom"/>
            <w:gridSpan w:val="2"/>
            <w:shd w:val="clear" w:color="auto" w:fill="E8E8E8"/>
          </w:tcPr>
          <w:p>
            <w:pPr>
              <w:jc w:val="right"/>
              <w:spacing w:after="0" w:line="181" w:lineRule="exact"/>
              <w:rPr>
                <w:sz w:val="20"/>
                <w:szCs w:val="20"/>
                <w:color w:val="auto"/>
              </w:rPr>
            </w:pPr>
            <w:r>
              <w:rPr>
                <w:rFonts w:ascii="Arial" w:cs="Arial" w:eastAsia="Arial" w:hAnsi="Arial"/>
                <w:sz w:val="16"/>
                <w:szCs w:val="16"/>
                <w:color w:val="auto"/>
              </w:rPr>
              <w:t>$</w:t>
            </w:r>
          </w:p>
        </w:tc>
        <w:tc>
          <w:tcPr>
            <w:tcW w:w="680" w:type="dxa"/>
            <w:vAlign w:val="bottom"/>
            <w:shd w:val="clear" w:color="auto" w:fill="E8E8E8"/>
          </w:tcPr>
          <w:p>
            <w:pPr>
              <w:jc w:val="right"/>
              <w:spacing w:after="0" w:line="181" w:lineRule="exact"/>
              <w:rPr>
                <w:sz w:val="20"/>
                <w:szCs w:val="20"/>
                <w:color w:val="auto"/>
              </w:rPr>
            </w:pPr>
            <w:r>
              <w:rPr>
                <w:rFonts w:ascii="Arial" w:cs="Arial" w:eastAsia="Arial" w:hAnsi="Arial"/>
                <w:sz w:val="16"/>
                <w:szCs w:val="16"/>
                <w:color w:val="auto"/>
              </w:rPr>
              <w:t>472,640</w:t>
            </w:r>
          </w:p>
        </w:tc>
        <w:tc>
          <w:tcPr>
            <w:tcW w:w="440" w:type="dxa"/>
            <w:vAlign w:val="bottom"/>
            <w:shd w:val="clear" w:color="auto" w:fill="E8E8E8"/>
          </w:tcPr>
          <w:p>
            <w:pPr>
              <w:spacing w:after="0"/>
              <w:rPr>
                <w:sz w:val="15"/>
                <w:szCs w:val="15"/>
                <w:color w:val="auto"/>
              </w:rPr>
            </w:pPr>
          </w:p>
        </w:tc>
        <w:tc>
          <w:tcPr>
            <w:tcW w:w="160" w:type="dxa"/>
            <w:vAlign w:val="bottom"/>
            <w:shd w:val="clear" w:color="auto" w:fill="E8E8E8"/>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E8E8E8"/>
          </w:tcPr>
          <w:p>
            <w:pPr>
              <w:jc w:val="right"/>
              <w:spacing w:after="0" w:line="181" w:lineRule="exact"/>
              <w:rPr>
                <w:sz w:val="20"/>
                <w:szCs w:val="20"/>
                <w:color w:val="auto"/>
              </w:rPr>
            </w:pPr>
            <w:r>
              <w:rPr>
                <w:rFonts w:ascii="Arial" w:cs="Arial" w:eastAsia="Arial" w:hAnsi="Arial"/>
                <w:sz w:val="16"/>
                <w:szCs w:val="16"/>
                <w:color w:val="auto"/>
              </w:rPr>
              <w:t>559,880</w:t>
            </w:r>
          </w:p>
        </w:tc>
        <w:tc>
          <w:tcPr>
            <w:tcW w:w="60" w:type="dxa"/>
            <w:vAlign w:val="bottom"/>
            <w:shd w:val="clear" w:color="auto" w:fill="E8E8E8"/>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60" w:type="dxa"/>
            <w:vAlign w:val="bottom"/>
          </w:tcPr>
          <w:p>
            <w:pPr>
              <w:ind w:left="200"/>
              <w:spacing w:after="0"/>
              <w:rPr>
                <w:sz w:val="20"/>
                <w:szCs w:val="20"/>
                <w:color w:val="auto"/>
              </w:rPr>
            </w:pPr>
            <w:r>
              <w:rPr>
                <w:rFonts w:ascii="Arial" w:cs="Arial" w:eastAsia="Arial" w:hAnsi="Arial"/>
                <w:sz w:val="16"/>
                <w:szCs w:val="16"/>
                <w:color w:val="auto"/>
              </w:rPr>
              <w:t>Interest expense on borrowings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104,414</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105,765</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130,001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60" w:type="dxa"/>
            <w:vAlign w:val="bottom"/>
            <w:shd w:val="clear" w:color="auto" w:fill="E8E8E8"/>
          </w:tcPr>
          <w:p>
            <w:pPr>
              <w:ind w:left="200"/>
              <w:spacing w:after="0"/>
              <w:rPr>
                <w:sz w:val="20"/>
                <w:szCs w:val="20"/>
                <w:color w:val="auto"/>
              </w:rPr>
            </w:pPr>
            <w:r>
              <w:rPr>
                <w:rFonts w:ascii="Arial" w:cs="Arial" w:eastAsia="Arial" w:hAnsi="Arial"/>
                <w:sz w:val="16"/>
                <w:szCs w:val="16"/>
                <w:color w:val="auto"/>
              </w:rPr>
              <w:t>Provision for income taxes</w:t>
            </w:r>
          </w:p>
        </w:tc>
        <w:tc>
          <w:tcPr>
            <w:tcW w:w="100" w:type="dxa"/>
            <w:vAlign w:val="bottom"/>
            <w:shd w:val="clear" w:color="auto" w:fill="E8E8E8"/>
          </w:tcPr>
          <w:p>
            <w:pPr>
              <w:spacing w:after="0"/>
              <w:rPr>
                <w:sz w:val="16"/>
                <w:szCs w:val="16"/>
                <w:color w:val="auto"/>
              </w:rPr>
            </w:pPr>
          </w:p>
        </w:tc>
        <w:tc>
          <w:tcPr>
            <w:tcW w:w="200" w:type="dxa"/>
            <w:vAlign w:val="bottom"/>
            <w:shd w:val="clear" w:color="auto" w:fill="E8E8E8"/>
          </w:tcPr>
          <w:p>
            <w:pPr>
              <w:spacing w:after="0"/>
              <w:rPr>
                <w:sz w:val="16"/>
                <w:szCs w:val="16"/>
                <w:color w:val="auto"/>
              </w:rPr>
            </w:pPr>
          </w:p>
        </w:tc>
        <w:tc>
          <w:tcPr>
            <w:tcW w:w="800" w:type="dxa"/>
            <w:vAlign w:val="bottom"/>
            <w:shd w:val="clear" w:color="auto" w:fill="E8E8E8"/>
          </w:tcPr>
          <w:p>
            <w:pPr>
              <w:jc w:val="right"/>
              <w:spacing w:after="0"/>
              <w:rPr>
                <w:sz w:val="20"/>
                <w:szCs w:val="20"/>
                <w:color w:val="auto"/>
              </w:rPr>
            </w:pPr>
            <w:r>
              <w:rPr>
                <w:rFonts w:ascii="Arial" w:cs="Arial" w:eastAsia="Arial" w:hAnsi="Arial"/>
                <w:sz w:val="16"/>
                <w:szCs w:val="16"/>
                <w:color w:val="auto"/>
              </w:rPr>
              <w:t>141,463</w:t>
            </w:r>
          </w:p>
        </w:tc>
        <w:tc>
          <w:tcPr>
            <w:tcW w:w="220" w:type="dxa"/>
            <w:vAlign w:val="bottom"/>
            <w:shd w:val="clear" w:color="auto" w:fill="E8E8E8"/>
          </w:tcPr>
          <w:p>
            <w:pPr>
              <w:spacing w:after="0"/>
              <w:rPr>
                <w:sz w:val="16"/>
                <w:szCs w:val="16"/>
                <w:color w:val="auto"/>
              </w:rPr>
            </w:pPr>
          </w:p>
        </w:tc>
        <w:tc>
          <w:tcPr>
            <w:tcW w:w="200" w:type="dxa"/>
            <w:vAlign w:val="bottom"/>
            <w:shd w:val="clear" w:color="auto" w:fill="E8E8E8"/>
          </w:tcPr>
          <w:p>
            <w:pPr>
              <w:spacing w:after="0"/>
              <w:rPr>
                <w:sz w:val="16"/>
                <w:szCs w:val="16"/>
                <w:color w:val="auto"/>
              </w:rPr>
            </w:pPr>
          </w:p>
        </w:tc>
        <w:tc>
          <w:tcPr>
            <w:tcW w:w="180" w:type="dxa"/>
            <w:vAlign w:val="bottom"/>
            <w:shd w:val="clear" w:color="auto" w:fill="E8E8E8"/>
          </w:tcPr>
          <w:p>
            <w:pPr>
              <w:spacing w:after="0"/>
              <w:rPr>
                <w:sz w:val="16"/>
                <w:szCs w:val="16"/>
                <w:color w:val="auto"/>
              </w:rPr>
            </w:pPr>
          </w:p>
        </w:tc>
        <w:tc>
          <w:tcPr>
            <w:tcW w:w="680" w:type="dxa"/>
            <w:vAlign w:val="bottom"/>
            <w:shd w:val="clear" w:color="auto" w:fill="E8E8E8"/>
          </w:tcPr>
          <w:p>
            <w:pPr>
              <w:jc w:val="right"/>
              <w:spacing w:after="0"/>
              <w:rPr>
                <w:sz w:val="20"/>
                <w:szCs w:val="20"/>
                <w:color w:val="auto"/>
              </w:rPr>
            </w:pPr>
            <w:r>
              <w:rPr>
                <w:rFonts w:ascii="Arial" w:cs="Arial" w:eastAsia="Arial" w:hAnsi="Arial"/>
                <w:sz w:val="16"/>
                <w:szCs w:val="16"/>
                <w:color w:val="auto"/>
              </w:rPr>
              <w:t>153,433</w:t>
            </w:r>
          </w:p>
        </w:tc>
        <w:tc>
          <w:tcPr>
            <w:tcW w:w="440" w:type="dxa"/>
            <w:vAlign w:val="bottom"/>
            <w:shd w:val="clear" w:color="auto" w:fill="E8E8E8"/>
          </w:tcPr>
          <w:p>
            <w:pPr>
              <w:spacing w:after="0"/>
              <w:rPr>
                <w:sz w:val="16"/>
                <w:szCs w:val="16"/>
                <w:color w:val="auto"/>
              </w:rPr>
            </w:pPr>
          </w:p>
        </w:tc>
        <w:tc>
          <w:tcPr>
            <w:tcW w:w="160" w:type="dxa"/>
            <w:vAlign w:val="bottom"/>
            <w:shd w:val="clear" w:color="auto" w:fill="E8E8E8"/>
          </w:tcPr>
          <w:p>
            <w:pPr>
              <w:spacing w:after="0"/>
              <w:rPr>
                <w:sz w:val="16"/>
                <w:szCs w:val="16"/>
                <w:color w:val="auto"/>
              </w:rPr>
            </w:pPr>
          </w:p>
        </w:tc>
        <w:tc>
          <w:tcPr>
            <w:tcW w:w="800" w:type="dxa"/>
            <w:vAlign w:val="bottom"/>
            <w:shd w:val="clear" w:color="auto" w:fill="E8E8E8"/>
          </w:tcPr>
          <w:p>
            <w:pPr>
              <w:jc w:val="right"/>
              <w:spacing w:after="0"/>
              <w:rPr>
                <w:sz w:val="20"/>
                <w:szCs w:val="20"/>
                <w:color w:val="auto"/>
              </w:rPr>
            </w:pPr>
            <w:r>
              <w:rPr>
                <w:rFonts w:ascii="Arial" w:cs="Arial" w:eastAsia="Arial" w:hAnsi="Arial"/>
                <w:sz w:val="16"/>
                <w:szCs w:val="16"/>
                <w:color w:val="auto"/>
              </w:rPr>
              <w:t>181,955</w:t>
            </w:r>
          </w:p>
        </w:tc>
        <w:tc>
          <w:tcPr>
            <w:tcW w:w="60" w:type="dxa"/>
            <w:vAlign w:val="bottom"/>
            <w:shd w:val="clear" w:color="auto" w:fill="E8E8E8"/>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6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151,428</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109,732</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95,779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60" w:type="dxa"/>
            <w:vAlign w:val="bottom"/>
            <w:shd w:val="clear" w:color="auto" w:fill="E8E8E8"/>
          </w:tcPr>
          <w:p>
            <w:pPr>
              <w:ind w:left="200"/>
              <w:spacing w:after="0"/>
              <w:rPr>
                <w:sz w:val="20"/>
                <w:szCs w:val="20"/>
                <w:color w:val="auto"/>
              </w:rPr>
            </w:pPr>
            <w:r>
              <w:rPr>
                <w:rFonts w:ascii="Arial" w:cs="Arial" w:eastAsia="Arial" w:hAnsi="Arial"/>
                <w:sz w:val="16"/>
                <w:szCs w:val="16"/>
                <w:color w:val="auto"/>
              </w:rPr>
              <w:t>Amortization of intangible assets</w:t>
            </w:r>
          </w:p>
        </w:tc>
        <w:tc>
          <w:tcPr>
            <w:tcW w:w="100" w:type="dxa"/>
            <w:vAlign w:val="bottom"/>
            <w:shd w:val="clear" w:color="auto" w:fill="E8E8E8"/>
          </w:tcPr>
          <w:p>
            <w:pPr>
              <w:spacing w:after="0"/>
              <w:rPr>
                <w:sz w:val="16"/>
                <w:szCs w:val="16"/>
                <w:color w:val="auto"/>
              </w:rPr>
            </w:pPr>
          </w:p>
        </w:tc>
        <w:tc>
          <w:tcPr>
            <w:tcW w:w="200" w:type="dxa"/>
            <w:vAlign w:val="bottom"/>
            <w:tcBorders>
              <w:bottom w:val="single" w:sz="8" w:color="auto"/>
            </w:tcBorders>
            <w:shd w:val="clear" w:color="auto" w:fill="E8E8E8"/>
          </w:tcPr>
          <w:p>
            <w:pPr>
              <w:spacing w:after="0"/>
              <w:rPr>
                <w:sz w:val="16"/>
                <w:szCs w:val="16"/>
                <w:color w:val="auto"/>
              </w:rPr>
            </w:pPr>
          </w:p>
        </w:tc>
        <w:tc>
          <w:tcPr>
            <w:tcW w:w="800" w:type="dxa"/>
            <w:vAlign w:val="bottom"/>
            <w:tcBorders>
              <w:bottom w:val="single" w:sz="8" w:color="auto"/>
            </w:tcBorders>
            <w:shd w:val="clear" w:color="auto" w:fill="E8E8E8"/>
          </w:tcPr>
          <w:p>
            <w:pPr>
              <w:jc w:val="right"/>
              <w:spacing w:after="0"/>
              <w:rPr>
                <w:sz w:val="20"/>
                <w:szCs w:val="20"/>
                <w:color w:val="auto"/>
              </w:rPr>
            </w:pPr>
            <w:r>
              <w:rPr>
                <w:rFonts w:ascii="Arial" w:cs="Arial" w:eastAsia="Arial" w:hAnsi="Arial"/>
                <w:sz w:val="16"/>
                <w:szCs w:val="16"/>
                <w:color w:val="auto"/>
              </w:rPr>
              <w:t>79,260</w:t>
            </w:r>
          </w:p>
        </w:tc>
        <w:tc>
          <w:tcPr>
            <w:tcW w:w="220" w:type="dxa"/>
            <w:vAlign w:val="bottom"/>
            <w:shd w:val="clear" w:color="auto" w:fill="E8E8E8"/>
          </w:tcPr>
          <w:p>
            <w:pPr>
              <w:spacing w:after="0"/>
              <w:rPr>
                <w:sz w:val="16"/>
                <w:szCs w:val="16"/>
                <w:color w:val="auto"/>
              </w:rPr>
            </w:pPr>
          </w:p>
        </w:tc>
        <w:tc>
          <w:tcPr>
            <w:tcW w:w="200" w:type="dxa"/>
            <w:vAlign w:val="bottom"/>
            <w:shd w:val="clear" w:color="auto" w:fill="E8E8E8"/>
          </w:tcPr>
          <w:p>
            <w:pPr>
              <w:spacing w:after="0"/>
              <w:rPr>
                <w:sz w:val="16"/>
                <w:szCs w:val="16"/>
                <w:color w:val="auto"/>
              </w:rPr>
            </w:pPr>
          </w:p>
        </w:tc>
        <w:tc>
          <w:tcPr>
            <w:tcW w:w="180" w:type="dxa"/>
            <w:vAlign w:val="bottom"/>
            <w:tcBorders>
              <w:bottom w:val="single" w:sz="8" w:color="auto"/>
            </w:tcBorders>
            <w:shd w:val="clear" w:color="auto" w:fill="E8E8E8"/>
          </w:tcPr>
          <w:p>
            <w:pPr>
              <w:spacing w:after="0"/>
              <w:rPr>
                <w:sz w:val="16"/>
                <w:szCs w:val="16"/>
                <w:color w:val="auto"/>
              </w:rPr>
            </w:pPr>
          </w:p>
        </w:tc>
        <w:tc>
          <w:tcPr>
            <w:tcW w:w="680" w:type="dxa"/>
            <w:vAlign w:val="bottom"/>
            <w:tcBorders>
              <w:bottom w:val="single" w:sz="8" w:color="auto"/>
            </w:tcBorders>
            <w:shd w:val="clear" w:color="auto" w:fill="E8E8E8"/>
          </w:tcPr>
          <w:p>
            <w:pPr>
              <w:jc w:val="right"/>
              <w:spacing w:after="0"/>
              <w:rPr>
                <w:sz w:val="20"/>
                <w:szCs w:val="20"/>
                <w:color w:val="auto"/>
              </w:rPr>
            </w:pPr>
            <w:r>
              <w:rPr>
                <w:rFonts w:ascii="Arial" w:cs="Arial" w:eastAsia="Arial" w:hAnsi="Arial"/>
                <w:sz w:val="16"/>
                <w:szCs w:val="16"/>
                <w:color w:val="auto"/>
              </w:rPr>
              <w:t>67,358</w:t>
            </w:r>
          </w:p>
        </w:tc>
        <w:tc>
          <w:tcPr>
            <w:tcW w:w="440" w:type="dxa"/>
            <w:vAlign w:val="bottom"/>
            <w:shd w:val="clear" w:color="auto" w:fill="E8E8E8"/>
          </w:tcPr>
          <w:p>
            <w:pPr>
              <w:spacing w:after="0"/>
              <w:rPr>
                <w:sz w:val="16"/>
                <w:szCs w:val="16"/>
                <w:color w:val="auto"/>
              </w:rPr>
            </w:pPr>
          </w:p>
        </w:tc>
        <w:tc>
          <w:tcPr>
            <w:tcW w:w="160" w:type="dxa"/>
            <w:vAlign w:val="bottom"/>
            <w:tcBorders>
              <w:bottom w:val="single" w:sz="8" w:color="auto"/>
            </w:tcBorders>
            <w:shd w:val="clear" w:color="auto" w:fill="E8E8E8"/>
          </w:tcPr>
          <w:p>
            <w:pPr>
              <w:spacing w:after="0"/>
              <w:rPr>
                <w:sz w:val="16"/>
                <w:szCs w:val="16"/>
                <w:color w:val="auto"/>
              </w:rPr>
            </w:pPr>
          </w:p>
        </w:tc>
        <w:tc>
          <w:tcPr>
            <w:tcW w:w="800" w:type="dxa"/>
            <w:vAlign w:val="bottom"/>
            <w:tcBorders>
              <w:bottom w:val="single" w:sz="8" w:color="auto"/>
            </w:tcBorders>
            <w:shd w:val="clear" w:color="auto" w:fill="E8E8E8"/>
          </w:tcPr>
          <w:p>
            <w:pPr>
              <w:jc w:val="right"/>
              <w:spacing w:after="0"/>
              <w:rPr>
                <w:sz w:val="20"/>
                <w:szCs w:val="20"/>
                <w:color w:val="auto"/>
              </w:rPr>
            </w:pPr>
            <w:r>
              <w:rPr>
                <w:rFonts w:ascii="Arial" w:cs="Arial" w:eastAsia="Arial" w:hAnsi="Arial"/>
                <w:sz w:val="16"/>
                <w:szCs w:val="16"/>
                <w:color w:val="auto"/>
              </w:rPr>
              <w:t>65,334</w:t>
            </w:r>
          </w:p>
        </w:tc>
        <w:tc>
          <w:tcPr>
            <w:tcW w:w="60" w:type="dxa"/>
            <w:vAlign w:val="bottom"/>
            <w:shd w:val="clear" w:color="auto" w:fill="E8E8E8"/>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060" w:type="dxa"/>
            <w:vAlign w:val="bottom"/>
          </w:tcPr>
          <w:p>
            <w:pPr>
              <w:ind w:left="320"/>
              <w:spacing w:after="0"/>
              <w:rPr>
                <w:sz w:val="20"/>
                <w:szCs w:val="20"/>
                <w:color w:val="auto"/>
              </w:rPr>
            </w:pPr>
            <w:r>
              <w:rPr>
                <w:rFonts w:ascii="Arial" w:cs="Arial" w:eastAsia="Arial" w:hAnsi="Arial"/>
                <w:sz w:val="16"/>
                <w:szCs w:val="16"/>
                <w:color w:val="auto"/>
              </w:rPr>
              <w:t>EBITDA</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936,431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908,928</w:t>
            </w:r>
          </w:p>
        </w:tc>
        <w:tc>
          <w:tcPr>
            <w:tcW w:w="4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1,032,949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60" w:type="dxa"/>
            <w:vAlign w:val="bottom"/>
            <w:shd w:val="clear" w:color="auto" w:fill="E8E8E8"/>
          </w:tcPr>
          <w:p>
            <w:pPr>
              <w:ind w:left="200"/>
              <w:spacing w:after="0"/>
              <w:rPr>
                <w:sz w:val="20"/>
                <w:szCs w:val="20"/>
                <w:color w:val="auto"/>
              </w:rPr>
            </w:pPr>
            <w:r>
              <w:rPr>
                <w:rFonts w:ascii="Arial" w:cs="Arial" w:eastAsia="Arial" w:hAnsi="Arial"/>
                <w:sz w:val="16"/>
                <w:szCs w:val="16"/>
                <w:color w:val="auto"/>
              </w:rPr>
              <w:t>Employee share-based compensation (1)</w:t>
            </w:r>
          </w:p>
        </w:tc>
        <w:tc>
          <w:tcPr>
            <w:tcW w:w="100" w:type="dxa"/>
            <w:vAlign w:val="bottom"/>
            <w:shd w:val="clear" w:color="auto" w:fill="E8E8E8"/>
          </w:tcPr>
          <w:p>
            <w:pPr>
              <w:spacing w:after="0"/>
              <w:rPr>
                <w:sz w:val="16"/>
                <w:szCs w:val="16"/>
                <w:color w:val="auto"/>
              </w:rPr>
            </w:pPr>
          </w:p>
        </w:tc>
        <w:tc>
          <w:tcPr>
            <w:tcW w:w="200" w:type="dxa"/>
            <w:vAlign w:val="bottom"/>
            <w:shd w:val="clear" w:color="auto" w:fill="E8E8E8"/>
          </w:tcPr>
          <w:p>
            <w:pPr>
              <w:spacing w:after="0"/>
              <w:rPr>
                <w:sz w:val="16"/>
                <w:szCs w:val="16"/>
                <w:color w:val="auto"/>
              </w:rPr>
            </w:pPr>
          </w:p>
        </w:tc>
        <w:tc>
          <w:tcPr>
            <w:tcW w:w="800" w:type="dxa"/>
            <w:vAlign w:val="bottom"/>
            <w:shd w:val="clear" w:color="auto" w:fill="E8E8E8"/>
          </w:tcPr>
          <w:p>
            <w:pPr>
              <w:jc w:val="right"/>
              <w:spacing w:after="0"/>
              <w:rPr>
                <w:sz w:val="20"/>
                <w:szCs w:val="20"/>
                <w:color w:val="auto"/>
              </w:rPr>
            </w:pPr>
            <w:r>
              <w:rPr>
                <w:rFonts w:ascii="Arial" w:cs="Arial" w:eastAsia="Arial" w:hAnsi="Arial"/>
                <w:sz w:val="16"/>
                <w:szCs w:val="16"/>
                <w:color w:val="auto"/>
              </w:rPr>
              <w:t>41,844</w:t>
            </w:r>
          </w:p>
        </w:tc>
        <w:tc>
          <w:tcPr>
            <w:tcW w:w="220" w:type="dxa"/>
            <w:vAlign w:val="bottom"/>
            <w:shd w:val="clear" w:color="auto" w:fill="E8E8E8"/>
          </w:tcPr>
          <w:p>
            <w:pPr>
              <w:spacing w:after="0"/>
              <w:rPr>
                <w:sz w:val="16"/>
                <w:szCs w:val="16"/>
                <w:color w:val="auto"/>
              </w:rPr>
            </w:pPr>
          </w:p>
        </w:tc>
        <w:tc>
          <w:tcPr>
            <w:tcW w:w="200" w:type="dxa"/>
            <w:vAlign w:val="bottom"/>
            <w:shd w:val="clear" w:color="auto" w:fill="E8E8E8"/>
          </w:tcPr>
          <w:p>
            <w:pPr>
              <w:spacing w:after="0"/>
              <w:rPr>
                <w:sz w:val="16"/>
                <w:szCs w:val="16"/>
                <w:color w:val="auto"/>
              </w:rPr>
            </w:pPr>
          </w:p>
        </w:tc>
        <w:tc>
          <w:tcPr>
            <w:tcW w:w="180" w:type="dxa"/>
            <w:vAlign w:val="bottom"/>
            <w:shd w:val="clear" w:color="auto" w:fill="E8E8E8"/>
          </w:tcPr>
          <w:p>
            <w:pPr>
              <w:spacing w:after="0"/>
              <w:rPr>
                <w:sz w:val="16"/>
                <w:szCs w:val="16"/>
                <w:color w:val="auto"/>
              </w:rPr>
            </w:pPr>
          </w:p>
        </w:tc>
        <w:tc>
          <w:tcPr>
            <w:tcW w:w="680" w:type="dxa"/>
            <w:vAlign w:val="bottom"/>
            <w:shd w:val="clear" w:color="auto" w:fill="E8E8E8"/>
          </w:tcPr>
          <w:p>
            <w:pPr>
              <w:jc w:val="right"/>
              <w:spacing w:after="0"/>
              <w:rPr>
                <w:sz w:val="20"/>
                <w:szCs w:val="20"/>
                <w:color w:val="auto"/>
              </w:rPr>
            </w:pPr>
            <w:r>
              <w:rPr>
                <w:rFonts w:ascii="Arial" w:cs="Arial" w:eastAsia="Arial" w:hAnsi="Arial"/>
                <w:sz w:val="16"/>
                <w:szCs w:val="16"/>
                <w:color w:val="auto"/>
              </w:rPr>
              <w:t>31,650</w:t>
            </w:r>
          </w:p>
        </w:tc>
        <w:tc>
          <w:tcPr>
            <w:tcW w:w="440" w:type="dxa"/>
            <w:vAlign w:val="bottom"/>
            <w:shd w:val="clear" w:color="auto" w:fill="E8E8E8"/>
          </w:tcPr>
          <w:p>
            <w:pPr>
              <w:spacing w:after="0"/>
              <w:rPr>
                <w:sz w:val="16"/>
                <w:szCs w:val="16"/>
                <w:color w:val="auto"/>
              </w:rPr>
            </w:pPr>
          </w:p>
        </w:tc>
        <w:tc>
          <w:tcPr>
            <w:tcW w:w="160" w:type="dxa"/>
            <w:vAlign w:val="bottom"/>
            <w:shd w:val="clear" w:color="auto" w:fill="E8E8E8"/>
          </w:tcPr>
          <w:p>
            <w:pPr>
              <w:spacing w:after="0"/>
              <w:rPr>
                <w:sz w:val="16"/>
                <w:szCs w:val="16"/>
                <w:color w:val="auto"/>
              </w:rPr>
            </w:pPr>
          </w:p>
        </w:tc>
        <w:tc>
          <w:tcPr>
            <w:tcW w:w="800" w:type="dxa"/>
            <w:vAlign w:val="bottom"/>
            <w:shd w:val="clear" w:color="auto" w:fill="E8E8E8"/>
          </w:tcPr>
          <w:p>
            <w:pPr>
              <w:jc w:val="right"/>
              <w:spacing w:after="0"/>
              <w:rPr>
                <w:sz w:val="20"/>
                <w:szCs w:val="20"/>
                <w:color w:val="auto"/>
              </w:rPr>
            </w:pPr>
            <w:r>
              <w:rPr>
                <w:rFonts w:ascii="Arial" w:cs="Arial" w:eastAsia="Arial" w:hAnsi="Arial"/>
                <w:sz w:val="16"/>
                <w:szCs w:val="16"/>
                <w:color w:val="auto"/>
              </w:rPr>
              <w:t>29,872</w:t>
            </w:r>
          </w:p>
        </w:tc>
        <w:tc>
          <w:tcPr>
            <w:tcW w:w="60" w:type="dxa"/>
            <w:vAlign w:val="bottom"/>
            <w:shd w:val="clear" w:color="auto" w:fill="E8E8E8"/>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60" w:type="dxa"/>
            <w:vAlign w:val="bottom"/>
          </w:tcPr>
          <w:p>
            <w:pPr>
              <w:ind w:left="200"/>
              <w:spacing w:after="0"/>
              <w:rPr>
                <w:sz w:val="20"/>
                <w:szCs w:val="20"/>
                <w:color w:val="auto"/>
              </w:rPr>
            </w:pPr>
            <w:r>
              <w:rPr>
                <w:rFonts w:ascii="Arial" w:cs="Arial" w:eastAsia="Arial" w:hAnsi="Arial"/>
                <w:sz w:val="16"/>
                <w:szCs w:val="16"/>
                <w:color w:val="auto"/>
              </w:rPr>
              <w:t>Other (2)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68,662</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6"/>
                <w:szCs w:val="16"/>
                <w:color w:val="auto"/>
              </w:rPr>
              <w:t>5,716</w:t>
            </w:r>
          </w:p>
        </w:tc>
        <w:tc>
          <w:tcPr>
            <w:tcW w:w="16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6,289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7060" w:type="dxa"/>
            <w:vAlign w:val="bottom"/>
            <w:tcBorders>
              <w:bottom w:val="single" w:sz="8" w:color="050A54"/>
            </w:tcBorders>
            <w:shd w:val="clear" w:color="auto" w:fill="E8E8E8"/>
          </w:tcPr>
          <w:p>
            <w:pPr>
              <w:spacing w:after="0"/>
              <w:rPr>
                <w:sz w:val="20"/>
                <w:szCs w:val="20"/>
                <w:color w:val="auto"/>
              </w:rPr>
            </w:pPr>
            <w:r>
              <w:rPr>
                <w:rFonts w:ascii="Arial" w:cs="Arial" w:eastAsia="Arial" w:hAnsi="Arial"/>
                <w:sz w:val="16"/>
                <w:szCs w:val="16"/>
                <w:b w:val="1"/>
                <w:bCs w:val="1"/>
                <w:color w:val="auto"/>
              </w:rPr>
              <w:t>Adjusted EBITDA</w:t>
            </w:r>
          </w:p>
        </w:tc>
        <w:tc>
          <w:tcPr>
            <w:tcW w:w="100" w:type="dxa"/>
            <w:vAlign w:val="bottom"/>
            <w:tcBorders>
              <w:bottom w:val="single" w:sz="8" w:color="050A54"/>
            </w:tcBorders>
            <w:shd w:val="clear" w:color="auto" w:fill="E8E8E8"/>
          </w:tcPr>
          <w:p>
            <w:pPr>
              <w:spacing w:after="0"/>
              <w:rPr>
                <w:sz w:val="16"/>
                <w:szCs w:val="16"/>
                <w:color w:val="auto"/>
              </w:rPr>
            </w:pPr>
          </w:p>
        </w:tc>
        <w:tc>
          <w:tcPr>
            <w:tcW w:w="200" w:type="dxa"/>
            <w:vAlign w:val="bottom"/>
            <w:tcBorders>
              <w:bottom w:val="single" w:sz="8" w:color="050A54"/>
            </w:tcBorders>
            <w:shd w:val="clear" w:color="auto" w:fill="E8E8E8"/>
          </w:tcPr>
          <w:p>
            <w:pPr>
              <w:jc w:val="right"/>
              <w:ind w:right="2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050A54"/>
            </w:tcBorders>
            <w:shd w:val="clear" w:color="auto" w:fill="E8E8E8"/>
          </w:tcPr>
          <w:p>
            <w:pPr>
              <w:jc w:val="right"/>
              <w:spacing w:after="0"/>
              <w:rPr>
                <w:sz w:val="20"/>
                <w:szCs w:val="20"/>
                <w:color w:val="auto"/>
              </w:rPr>
            </w:pPr>
            <w:r>
              <w:rPr>
                <w:rFonts w:ascii="Arial" w:cs="Arial" w:eastAsia="Arial" w:hAnsi="Arial"/>
                <w:sz w:val="16"/>
                <w:szCs w:val="16"/>
                <w:color w:val="auto"/>
              </w:rPr>
              <w:t>1,046,937</w:t>
            </w:r>
          </w:p>
        </w:tc>
        <w:tc>
          <w:tcPr>
            <w:tcW w:w="220" w:type="dxa"/>
            <w:vAlign w:val="bottom"/>
            <w:tcBorders>
              <w:bottom w:val="single" w:sz="8" w:color="050A54"/>
            </w:tcBorders>
            <w:shd w:val="clear" w:color="auto" w:fill="E8E8E8"/>
          </w:tcPr>
          <w:p>
            <w:pPr>
              <w:spacing w:after="0"/>
              <w:rPr>
                <w:sz w:val="16"/>
                <w:szCs w:val="16"/>
                <w:color w:val="auto"/>
              </w:rPr>
            </w:pPr>
          </w:p>
        </w:tc>
        <w:tc>
          <w:tcPr>
            <w:tcW w:w="200" w:type="dxa"/>
            <w:vAlign w:val="bottom"/>
            <w:tcBorders>
              <w:bottom w:val="single" w:sz="8" w:color="050A54"/>
            </w:tcBorders>
            <w:shd w:val="clear" w:color="auto" w:fill="E8E8E8"/>
          </w:tcPr>
          <w:p>
            <w:pPr>
              <w:spacing w:after="0"/>
              <w:rPr>
                <w:sz w:val="16"/>
                <w:szCs w:val="16"/>
                <w:color w:val="auto"/>
              </w:rPr>
            </w:pPr>
          </w:p>
        </w:tc>
        <w:tc>
          <w:tcPr>
            <w:tcW w:w="180" w:type="dxa"/>
            <w:vAlign w:val="bottom"/>
            <w:tcBorders>
              <w:bottom w:val="single" w:sz="8" w:color="050A54"/>
            </w:tcBorders>
            <w:shd w:val="clear" w:color="auto" w:fill="E8E8E8"/>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050A54"/>
            </w:tcBorders>
            <w:gridSpan w:val="2"/>
            <w:shd w:val="clear" w:color="auto" w:fill="E8E8E8"/>
          </w:tcPr>
          <w:p>
            <w:pPr>
              <w:jc w:val="right"/>
              <w:ind w:right="440"/>
              <w:spacing w:after="0"/>
              <w:rPr>
                <w:sz w:val="20"/>
                <w:szCs w:val="20"/>
                <w:color w:val="auto"/>
              </w:rPr>
            </w:pPr>
            <w:r>
              <w:rPr>
                <w:rFonts w:ascii="Arial" w:cs="Arial" w:eastAsia="Arial" w:hAnsi="Arial"/>
                <w:sz w:val="16"/>
                <w:szCs w:val="16"/>
                <w:color w:val="auto"/>
              </w:rPr>
              <w:t>946,294</w:t>
            </w:r>
          </w:p>
        </w:tc>
        <w:tc>
          <w:tcPr>
            <w:tcW w:w="160" w:type="dxa"/>
            <w:vAlign w:val="bottom"/>
            <w:tcBorders>
              <w:bottom w:val="single" w:sz="8" w:color="050A54"/>
            </w:tcBorders>
            <w:shd w:val="clear" w:color="auto" w:fill="E8E8E8"/>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050A54"/>
            </w:tcBorders>
            <w:shd w:val="clear" w:color="auto" w:fill="E8E8E8"/>
          </w:tcPr>
          <w:p>
            <w:pPr>
              <w:jc w:val="right"/>
              <w:spacing w:after="0"/>
              <w:rPr>
                <w:sz w:val="20"/>
                <w:szCs w:val="20"/>
                <w:color w:val="auto"/>
              </w:rPr>
            </w:pPr>
            <w:r>
              <w:rPr>
                <w:rFonts w:ascii="Arial" w:cs="Arial" w:eastAsia="Arial" w:hAnsi="Arial"/>
                <w:sz w:val="16"/>
                <w:szCs w:val="16"/>
                <w:color w:val="auto"/>
              </w:rPr>
              <w:t>1,069,110</w:t>
            </w:r>
          </w:p>
        </w:tc>
        <w:tc>
          <w:tcPr>
            <w:tcW w:w="60" w:type="dxa"/>
            <w:vAlign w:val="bottom"/>
            <w:tcBorders>
              <w:bottom w:val="single" w:sz="8" w:color="050A54"/>
            </w:tcBorders>
            <w:shd w:val="clear" w:color="auto" w:fill="E8E8E8"/>
          </w:tcPr>
          <w:p>
            <w:pPr>
              <w:spacing w:after="0"/>
              <w:rPr>
                <w:sz w:val="16"/>
                <w:szCs w:val="16"/>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600" w:hanging="433"/>
        <w:spacing w:after="0" w:line="279" w:lineRule="auto"/>
        <w:tabs>
          <w:tab w:leader="none" w:pos="6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Represents share-based compensation expense for equity awards granted to employees, officers, and directors. Such awards are measured based on the grant-date fair value and recognized over the requisite service period of the individual awards, which generally equals the vesting period.</w:t>
      </w:r>
    </w:p>
    <w:p>
      <w:pPr>
        <w:spacing w:after="0" w:line="13" w:lineRule="exact"/>
        <w:rPr>
          <w:rFonts w:ascii="Arial" w:cs="Arial" w:eastAsia="Arial" w:hAnsi="Arial"/>
          <w:sz w:val="16"/>
          <w:szCs w:val="16"/>
          <w:color w:val="auto"/>
        </w:rPr>
      </w:pPr>
    </w:p>
    <w:p>
      <w:pPr>
        <w:ind w:left="600" w:right="20" w:hanging="433"/>
        <w:spacing w:after="0" w:line="279" w:lineRule="auto"/>
        <w:tabs>
          <w:tab w:leader="none" w:pos="6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Other includes acquisition costs incurred to setup, onboard and integrate acquired entities; the loss on extinguishment of debt; and adjustments to exclude the impact of the Waddell &amp; Reed Acquisition and costs to integrate CUNA Brokerage Services, Inc.</w:t>
      </w:r>
    </w:p>
    <w:p>
      <w:pPr>
        <w:spacing w:after="0" w:line="89" w:lineRule="exact"/>
        <w:rPr>
          <w:sz w:val="20"/>
          <w:szCs w:val="20"/>
          <w:color w:val="auto"/>
        </w:rPr>
      </w:pPr>
    </w:p>
    <w:tbl>
      <w:tblPr>
        <w:tblLayout w:type="fixed"/>
        <w:tblInd w:w="8500" w:type="dxa"/>
        <w:tblCellMar>
          <w:top w:w="0" w:type="dxa"/>
          <w:left w:w="0" w:type="dxa"/>
          <w:bottom w:w="0" w:type="dxa"/>
          <w:right w:w="0" w:type="dxa"/>
        </w:tblCellMar>
      </w:tblPr>
      <w:tr>
        <w:trPr>
          <w:trHeight w:val="233"/>
        </w:trPr>
        <w:tc>
          <w:tcPr>
            <w:tcW w:w="2060" w:type="dxa"/>
            <w:vAlign w:val="bottom"/>
            <w:tcBorders>
              <w:right w:val="single" w:sz="8" w:color="050A54"/>
            </w:tcBorders>
          </w:tcPr>
          <w:p>
            <w:pPr>
              <w:spacing w:after="0"/>
              <w:rPr>
                <w:sz w:val="20"/>
                <w:szCs w:val="20"/>
                <w:color w:val="auto"/>
              </w:rPr>
            </w:pPr>
            <w:r>
              <w:rPr>
                <w:rFonts w:ascii="Arial" w:cs="Arial" w:eastAsia="Arial" w:hAnsi="Arial"/>
                <w:sz w:val="18"/>
                <w:szCs w:val="18"/>
                <w:b w:val="1"/>
                <w:bCs w:val="1"/>
                <w:color w:val="050A54"/>
              </w:rPr>
              <w:t>2022 Proxy Statement</w:t>
            </w:r>
          </w:p>
        </w:tc>
        <w:tc>
          <w:tcPr>
            <w:tcW w:w="520" w:type="dxa"/>
            <w:vAlign w:val="bottom"/>
          </w:tcPr>
          <w:p>
            <w:pPr>
              <w:jc w:val="right"/>
              <w:spacing w:after="0"/>
              <w:rPr>
                <w:sz w:val="20"/>
                <w:szCs w:val="20"/>
                <w:color w:val="auto"/>
              </w:rPr>
            </w:pPr>
            <w:r>
              <w:rPr>
                <w:rFonts w:ascii="Arial" w:cs="Arial" w:eastAsia="Arial" w:hAnsi="Arial"/>
                <w:sz w:val="18"/>
                <w:szCs w:val="18"/>
                <w:color w:val="050A54"/>
              </w:rPr>
              <w:t>75</w:t>
            </w:r>
          </w:p>
        </w:tc>
      </w:tr>
    </w:tbl>
    <w:p>
      <w:pPr>
        <w:sectPr>
          <w:pgSz w:w="11900" w:h="16838" w:orient="portrait"/>
          <w:cols w:equalWidth="0" w:num="1">
            <w:col w:w="11080"/>
          </w:cols>
          <w:pgMar w:left="320" w:top="454" w:right="499" w:bottom="1440" w:gutter="0" w:footer="0" w:header="0"/>
        </w:sectPr>
      </w:pPr>
    </w:p>
    <w:bookmarkStart w:id="81" w:name="page82"/>
    <w:bookmarkEnd w:id="8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683895</wp:posOffset>
            </wp:positionH>
            <wp:positionV relativeFrom="paragraph">
              <wp:posOffset>210820</wp:posOffset>
            </wp:positionV>
            <wp:extent cx="5774690" cy="74733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774690" cy="7473315"/>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82" w:name="page83"/>
    <w:bookmarkEnd w:id="8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683895</wp:posOffset>
            </wp:positionH>
            <wp:positionV relativeFrom="paragraph">
              <wp:posOffset>210820</wp:posOffset>
            </wp:positionV>
            <wp:extent cx="5774690" cy="74733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774690" cy="7473315"/>
                    </a:xfrm>
                    <a:prstGeom prst="rect">
                      <a:avLst/>
                    </a:prstGeom>
                    <a:noFill/>
                  </pic:spPr>
                </pic:pic>
              </a:graphicData>
            </a:graphic>
          </wp:anchor>
        </w:drawing>
      </w:r>
    </w:p>
    <w:sectPr>
      <w:pgSz w:w="11900" w:h="16838" w:orient="portrait"/>
      <w:cols w:equalWidth="0" w:num="1">
        <w:col w:w="10139"/>
      </w:cols>
      <w:pgMar w:left="320" w:top="45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233C99"/>
    <w:multiLevelType w:val="hybridMultilevel"/>
    <w:lvl w:ilvl="0">
      <w:lvlJc w:val="left"/>
      <w:lvlText w:val="☐"/>
      <w:numFmt w:val="bullet"/>
      <w:start w:val="1"/>
    </w:lvl>
  </w:abstractNum>
  <w:abstractNum w:abstractNumId="1">
    <w:nsid w:val="3F6AB60F"/>
    <w:multiLevelType w:val="hybridMultilevel"/>
    <w:lvl w:ilvl="0">
      <w:lvlJc w:val="left"/>
      <w:lvlText w:val="☒"/>
      <w:numFmt w:val="bullet"/>
      <w:start w:val="1"/>
    </w:lvl>
  </w:abstractNum>
  <w:abstractNum w:abstractNumId="2">
    <w:nsid w:val="61574095"/>
    <w:multiLevelType w:val="hybridMultilevel"/>
    <w:lvl w:ilvl="0">
      <w:lvlJc w:val="left"/>
      <w:lvlText w:val="☐"/>
      <w:numFmt w:val="bullet"/>
      <w:start w:val="1"/>
    </w:lvl>
  </w:abstractNum>
  <w:abstractNum w:abstractNumId="3">
    <w:nsid w:val="7E0C57B1"/>
    <w:multiLevelType w:val="hybridMultilevel"/>
    <w:lvl w:ilvl="0">
      <w:lvlJc w:val="left"/>
      <w:lvlText w:val=" "/>
      <w:numFmt w:val="bullet"/>
      <w:start w:val="1"/>
    </w:lvl>
  </w:abstractNum>
  <w:abstractNum w:abstractNumId="4">
    <w:nsid w:val="77AE35EB"/>
    <w:multiLevelType w:val="hybridMultilevel"/>
    <w:lvl w:ilvl="0">
      <w:lvlJc w:val="left"/>
      <w:lvlText w:val="2"/>
      <w:numFmt w:val="bullet"/>
      <w:start w:val="1"/>
    </w:lvl>
  </w:abstractNum>
  <w:abstractNum w:abstractNumId="5">
    <w:nsid w:val="579BE4F1"/>
    <w:multiLevelType w:val="hybridMultilevel"/>
    <w:lvl w:ilvl="0">
      <w:lvlJc w:val="left"/>
      <w:lvlText w:val="4"/>
      <w:numFmt w:val="bullet"/>
      <w:start w:val="1"/>
    </w:lvl>
  </w:abstractNum>
  <w:abstractNum w:abstractNumId="6">
    <w:nsid w:val="310C50B3"/>
    <w:multiLevelType w:val="hybridMultilevel"/>
    <w:lvl w:ilvl="0">
      <w:lvlJc w:val="left"/>
      <w:lvlText w:val="•"/>
      <w:numFmt w:val="bullet"/>
      <w:start w:val="1"/>
    </w:lvl>
  </w:abstractNum>
  <w:abstractNum w:abstractNumId="7">
    <w:nsid w:val="5FF87E05"/>
    <w:multiLevelType w:val="hybridMultilevel"/>
    <w:lvl w:ilvl="0">
      <w:lvlJc w:val="left"/>
      <w:lvlText w:val="6"/>
      <w:numFmt w:val="bullet"/>
      <w:start w:val="1"/>
    </w:lvl>
  </w:abstractNum>
  <w:abstractNum w:abstractNumId="8">
    <w:nsid w:val="2F305DEF"/>
    <w:multiLevelType w:val="hybridMultilevel"/>
    <w:lvl w:ilvl="0">
      <w:lvlJc w:val="left"/>
      <w:lvlText w:val="•"/>
      <w:numFmt w:val="bullet"/>
      <w:start w:val="1"/>
    </w:lvl>
  </w:abstractNum>
  <w:abstractNum w:abstractNumId="9">
    <w:nsid w:val="25A70BF7"/>
    <w:multiLevelType w:val="hybridMultilevel"/>
    <w:lvl w:ilvl="0">
      <w:lvlJc w:val="left"/>
      <w:lvlText w:val="•"/>
      <w:numFmt w:val="bullet"/>
      <w:start w:val="1"/>
    </w:lvl>
  </w:abstractNum>
  <w:abstractNum w:abstractNumId="10">
    <w:nsid w:val="1DBABF00"/>
    <w:multiLevelType w:val="hybridMultilevel"/>
    <w:lvl w:ilvl="0">
      <w:lvlJc w:val="left"/>
      <w:lvlText w:val="%1"/>
      <w:numFmt w:val="decimal"/>
      <w:start w:val="10"/>
    </w:lvl>
  </w:abstractNum>
  <w:abstractNum w:abstractNumId="11">
    <w:nsid w:val="4AD084E9"/>
    <w:multiLevelType w:val="hybridMultilevel"/>
    <w:lvl w:ilvl="0">
      <w:lvlJc w:val="left"/>
      <w:lvlText w:val="%1"/>
      <w:numFmt w:val="decimal"/>
      <w:start w:val="12"/>
    </w:lvl>
  </w:abstractNum>
  <w:abstractNum w:abstractNumId="12">
    <w:nsid w:val="1F48EAA1"/>
    <w:multiLevelType w:val="hybridMultilevel"/>
    <w:lvl w:ilvl="0">
      <w:lvlJc w:val="left"/>
      <w:lvlText w:val="%1"/>
      <w:numFmt w:val="decimal"/>
      <w:start w:val="14"/>
    </w:lvl>
  </w:abstractNum>
  <w:abstractNum w:abstractNumId="13">
    <w:nsid w:val="1381823A"/>
    <w:multiLevelType w:val="hybridMultilevel"/>
    <w:lvl w:ilvl="0">
      <w:lvlJc w:val="left"/>
      <w:lvlText w:val=" "/>
      <w:numFmt w:val="bullet"/>
      <w:start w:val="1"/>
    </w:lvl>
  </w:abstractNum>
  <w:abstractNum w:abstractNumId="14">
    <w:nsid w:val="5DB70AE5"/>
    <w:multiLevelType w:val="hybridMultilevel"/>
    <w:lvl w:ilvl="0">
      <w:lvlJc w:val="left"/>
      <w:lvlText w:val="%1"/>
      <w:numFmt w:val="decimal"/>
      <w:start w:val="16"/>
    </w:lvl>
  </w:abstractNum>
  <w:abstractNum w:abstractNumId="15">
    <w:nsid w:val="100F8FCA"/>
    <w:multiLevelType w:val="hybridMultilevel"/>
    <w:lvl w:ilvl="0">
      <w:lvlJc w:val="left"/>
      <w:lvlText w:val="•"/>
      <w:numFmt w:val="bullet"/>
      <w:start w:val="1"/>
    </w:lvl>
  </w:abstractNum>
  <w:abstractNum w:abstractNumId="16">
    <w:nsid w:val="6590700B"/>
    <w:multiLevelType w:val="hybridMultilevel"/>
    <w:lvl w:ilvl="0">
      <w:lvlJc w:val="left"/>
      <w:lvlText w:val=" "/>
      <w:numFmt w:val="bullet"/>
      <w:start w:val="1"/>
    </w:lvl>
  </w:abstractNum>
  <w:abstractNum w:abstractNumId="17">
    <w:nsid w:val="15014ACB"/>
    <w:multiLevelType w:val="hybridMultilevel"/>
    <w:lvl w:ilvl="0">
      <w:lvlJc w:val="left"/>
      <w:lvlText w:val="%1"/>
      <w:numFmt w:val="decimal"/>
      <w:start w:val="18"/>
    </w:lvl>
  </w:abstractNum>
  <w:abstractNum w:abstractNumId="18">
    <w:nsid w:val="5F5E7FD0"/>
    <w:multiLevelType w:val="hybridMultilevel"/>
    <w:lvl w:ilvl="0">
      <w:lvlJc w:val="left"/>
      <w:lvlText w:val="•"/>
      <w:numFmt w:val="bullet"/>
      <w:start w:val="1"/>
    </w:lvl>
  </w:abstractNum>
  <w:abstractNum w:abstractNumId="19">
    <w:nsid w:val="98A3148"/>
    <w:multiLevelType w:val="hybridMultilevel"/>
    <w:lvl w:ilvl="0">
      <w:lvlJc w:val="left"/>
      <w:lvlText w:val="•"/>
      <w:numFmt w:val="bullet"/>
      <w:start w:val="1"/>
    </w:lvl>
  </w:abstractNum>
  <w:abstractNum w:abstractNumId="20">
    <w:nsid w:val="799D0247"/>
    <w:multiLevelType w:val="hybridMultilevel"/>
    <w:lvl w:ilvl="0">
      <w:lvlJc w:val="left"/>
      <w:lvlText w:val="•"/>
      <w:numFmt w:val="bullet"/>
      <w:start w:val="1"/>
    </w:lvl>
  </w:abstractNum>
  <w:abstractNum w:abstractNumId="21">
    <w:nsid w:val="6B94764"/>
    <w:multiLevelType w:val="hybridMultilevel"/>
    <w:lvl w:ilvl="0">
      <w:lvlJc w:val="left"/>
      <w:lvlText w:val="•"/>
      <w:numFmt w:val="bullet"/>
      <w:start w:val="1"/>
    </w:lvl>
  </w:abstractNum>
  <w:abstractNum w:abstractNumId="22">
    <w:nsid w:val="42C296BD"/>
    <w:multiLevelType w:val="hybridMultilevel"/>
    <w:lvl w:ilvl="0">
      <w:lvlJc w:val="left"/>
      <w:lvlText w:val="•"/>
      <w:numFmt w:val="bullet"/>
      <w:start w:val="1"/>
    </w:lvl>
  </w:abstractNum>
  <w:abstractNum w:abstractNumId="23">
    <w:nsid w:val="168E121F"/>
    <w:multiLevelType w:val="hybridMultilevel"/>
    <w:lvl w:ilvl="0">
      <w:lvlJc w:val="left"/>
      <w:lvlText w:val="•"/>
      <w:numFmt w:val="bullet"/>
      <w:start w:val="1"/>
    </w:lvl>
  </w:abstractNum>
  <w:abstractNum w:abstractNumId="24">
    <w:nsid w:val="1EBA5D23"/>
    <w:multiLevelType w:val="hybridMultilevel"/>
    <w:lvl w:ilvl="0">
      <w:lvlJc w:val="left"/>
      <w:lvlText w:val="%1"/>
      <w:numFmt w:val="decimal"/>
      <w:start w:val="20"/>
    </w:lvl>
  </w:abstractNum>
  <w:abstractNum w:abstractNumId="25">
    <w:nsid w:val="661E3F1E"/>
    <w:multiLevelType w:val="hybridMultilevel"/>
    <w:lvl w:ilvl="0">
      <w:lvlJc w:val="left"/>
      <w:lvlText w:val="•"/>
      <w:numFmt w:val="bullet"/>
      <w:start w:val="1"/>
    </w:lvl>
  </w:abstractNum>
  <w:abstractNum w:abstractNumId="26">
    <w:nsid w:val="5DC79EA8"/>
    <w:multiLevelType w:val="hybridMultilevel"/>
    <w:lvl w:ilvl="0">
      <w:lvlJc w:val="left"/>
      <w:lvlText w:val="\emdash "/>
      <w:numFmt w:val="bullet"/>
      <w:start w:val="1"/>
    </w:lvl>
  </w:abstractNum>
  <w:abstractNum w:abstractNumId="27">
    <w:nsid w:val="540A471C"/>
    <w:multiLevelType w:val="hybridMultilevel"/>
    <w:lvl w:ilvl="0">
      <w:lvlJc w:val="left"/>
      <w:lvlText w:val="%1"/>
      <w:numFmt w:val="decimal"/>
      <w:start w:val="22"/>
    </w:lvl>
  </w:abstractNum>
  <w:abstractNum w:abstractNumId="28">
    <w:nsid w:val="7BD3EE7B"/>
    <w:multiLevelType w:val="hybridMultilevel"/>
    <w:lvl w:ilvl="0">
      <w:lvlJc w:val="left"/>
      <w:lvlText w:val="•"/>
      <w:numFmt w:val="bullet"/>
      <w:start w:val="1"/>
    </w:lvl>
  </w:abstractNum>
  <w:abstractNum w:abstractNumId="29">
    <w:nsid w:val="51D9C564"/>
    <w:multiLevelType w:val="hybridMultilevel"/>
    <w:lvl w:ilvl="0">
      <w:lvlJc w:val="left"/>
      <w:lvlText w:val="•"/>
      <w:numFmt w:val="bullet"/>
      <w:start w:val="1"/>
    </w:lvl>
  </w:abstractNum>
  <w:abstractNum w:abstractNumId="30">
    <w:nsid w:val="613EFDC5"/>
    <w:multiLevelType w:val="hybridMultilevel"/>
    <w:lvl w:ilvl="0">
      <w:lvlJc w:val="left"/>
      <w:lvlText w:val="•"/>
      <w:numFmt w:val="bullet"/>
      <w:start w:val="1"/>
    </w:lvl>
  </w:abstractNum>
  <w:abstractNum w:abstractNumId="31">
    <w:nsid w:val="BF72B14"/>
    <w:multiLevelType w:val="hybridMultilevel"/>
    <w:lvl w:ilvl="0">
      <w:lvlJc w:val="left"/>
      <w:lvlText w:val="§"/>
      <w:numFmt w:val="bullet"/>
      <w:start w:val="1"/>
    </w:lvl>
  </w:abstractNum>
  <w:abstractNum w:abstractNumId="32">
    <w:nsid w:val="11447B73"/>
    <w:multiLevelType w:val="hybridMultilevel"/>
    <w:lvl w:ilvl="0">
      <w:lvlJc w:val="left"/>
      <w:lvlText w:val="%1"/>
      <w:numFmt w:val="decimal"/>
      <w:start w:val="24"/>
    </w:lvl>
  </w:abstractNum>
  <w:abstractNum w:abstractNumId="33">
    <w:nsid w:val="42963E5A"/>
    <w:multiLevelType w:val="hybridMultilevel"/>
    <w:lvl w:ilvl="0">
      <w:lvlJc w:val="left"/>
      <w:lvlText w:val="§"/>
      <w:numFmt w:val="bullet"/>
      <w:start w:val="1"/>
    </w:lvl>
  </w:abstractNum>
  <w:abstractNum w:abstractNumId="34">
    <w:nsid w:val="A0382C5"/>
    <w:multiLevelType w:val="hybridMultilevel"/>
    <w:lvl w:ilvl="0">
      <w:lvlJc w:val="left"/>
      <w:lvlText w:val="§"/>
      <w:numFmt w:val="bullet"/>
      <w:start w:val="1"/>
    </w:lvl>
  </w:abstractNum>
  <w:abstractNum w:abstractNumId="35">
    <w:nsid w:val="8F2B15E"/>
    <w:multiLevelType w:val="hybridMultilevel"/>
    <w:lvl w:ilvl="0">
      <w:lvlJc w:val="left"/>
      <w:lvlText w:val="•"/>
      <w:numFmt w:val="bullet"/>
      <w:start w:val="1"/>
    </w:lvl>
  </w:abstractNum>
  <w:abstractNum w:abstractNumId="36">
    <w:nsid w:val="1A32234B"/>
    <w:multiLevelType w:val="hybridMultilevel"/>
    <w:lvl w:ilvl="0">
      <w:lvlJc w:val="left"/>
      <w:lvlText w:val="%1"/>
      <w:numFmt w:val="decimal"/>
      <w:start w:val="26"/>
    </w:lvl>
  </w:abstractNum>
  <w:abstractNum w:abstractNumId="37">
    <w:nsid w:val="3B0FD379"/>
    <w:multiLevelType w:val="hybridMultilevel"/>
    <w:lvl w:ilvl="0">
      <w:lvlJc w:val="left"/>
      <w:lvlText w:val=" "/>
      <w:numFmt w:val="bullet"/>
      <w:start w:val="1"/>
    </w:lvl>
  </w:abstractNum>
  <w:abstractNum w:abstractNumId="38">
    <w:nsid w:val="68EB2F63"/>
    <w:multiLevelType w:val="hybridMultilevel"/>
    <w:lvl w:ilvl="0">
      <w:lvlJc w:val="left"/>
      <w:lvlText w:val=" "/>
      <w:numFmt w:val="bullet"/>
      <w:start w:val="1"/>
    </w:lvl>
  </w:abstractNum>
  <w:abstractNum w:abstractNumId="39">
    <w:nsid w:val="4962813B"/>
    <w:multiLevelType w:val="hybridMultilevel"/>
    <w:lvl w:ilvl="0">
      <w:lvlJc w:val="left"/>
      <w:lvlText w:val=" "/>
      <w:numFmt w:val="bullet"/>
      <w:start w:val="1"/>
    </w:lvl>
  </w:abstractNum>
  <w:abstractNum w:abstractNumId="40">
    <w:nsid w:val="60B6DF70"/>
    <w:multiLevelType w:val="hybridMultilevel"/>
    <w:lvl w:ilvl="0">
      <w:lvlJc w:val="left"/>
      <w:lvlText w:val="%1"/>
      <w:numFmt w:val="decimal"/>
      <w:start w:val="28"/>
    </w:lvl>
  </w:abstractNum>
  <w:abstractNum w:abstractNumId="41">
    <w:nsid w:val="6A5EE64"/>
    <w:multiLevelType w:val="hybridMultilevel"/>
    <w:lvl w:ilvl="0">
      <w:lvlJc w:val="left"/>
      <w:lvlText w:val="(%1)"/>
      <w:numFmt w:val="decimal"/>
      <w:start w:val="1"/>
    </w:lvl>
  </w:abstractNum>
  <w:abstractNum w:abstractNumId="42">
    <w:nsid w:val="14330624"/>
    <w:multiLevelType w:val="hybridMultilevel"/>
    <w:lvl w:ilvl="0">
      <w:lvlJc w:val="left"/>
      <w:lvlText w:val="(%1)"/>
      <w:numFmt w:val="decimal"/>
      <w:start w:val="3"/>
    </w:lvl>
  </w:abstractNum>
  <w:abstractNum w:abstractNumId="43">
    <w:nsid w:val="7FFFCA11"/>
    <w:multiLevelType w:val="hybridMultilevel"/>
    <w:lvl w:ilvl="0">
      <w:lvlJc w:val="left"/>
      <w:lvlText w:val="(%1)"/>
      <w:numFmt w:val="decimal"/>
      <w:start w:val="1"/>
    </w:lvl>
  </w:abstractNum>
  <w:abstractNum w:abstractNumId="44">
    <w:nsid w:val="1A27709E"/>
    <w:multiLevelType w:val="hybridMultilevel"/>
    <w:lvl w:ilvl="0">
      <w:lvlJc w:val="left"/>
      <w:lvlText w:val="%1"/>
      <w:numFmt w:val="decimal"/>
      <w:start w:val="30"/>
    </w:lvl>
  </w:abstractNum>
  <w:abstractNum w:abstractNumId="45">
    <w:nsid w:val="71EA1109"/>
    <w:multiLevelType w:val="hybridMultilevel"/>
    <w:lvl w:ilvl="0">
      <w:lvlJc w:val="left"/>
      <w:lvlText w:val=" "/>
      <w:numFmt w:val="bullet"/>
      <w:start w:val="1"/>
    </w:lvl>
  </w:abstractNum>
  <w:abstractNum w:abstractNumId="46">
    <w:nsid w:val="100F59DC"/>
    <w:multiLevelType w:val="hybridMultilevel"/>
    <w:lvl w:ilvl="0">
      <w:lvlJc w:val="left"/>
      <w:lvlText w:val=" "/>
      <w:numFmt w:val="bullet"/>
      <w:start w:val="1"/>
    </w:lvl>
  </w:abstractNum>
  <w:abstractNum w:abstractNumId="47">
    <w:nsid w:val="7FB7E0AA"/>
    <w:multiLevelType w:val="hybridMultilevel"/>
    <w:lvl w:ilvl="0">
      <w:lvlJc w:val="left"/>
      <w:lvlText w:val="%1"/>
      <w:numFmt w:val="decimal"/>
      <w:start w:val="32"/>
    </w:lvl>
  </w:abstractNum>
  <w:abstractNum w:abstractNumId="48">
    <w:nsid w:val="6EB5BD4"/>
    <w:multiLevelType w:val="hybridMultilevel"/>
    <w:lvl w:ilvl="0">
      <w:lvlJc w:val="left"/>
      <w:lvlText w:val="✓"/>
      <w:numFmt w:val="bullet"/>
      <w:start w:val="1"/>
    </w:lvl>
  </w:abstractNum>
  <w:abstractNum w:abstractNumId="49">
    <w:nsid w:val="6F6DD9AC"/>
    <w:multiLevelType w:val="hybridMultilevel"/>
    <w:lvl w:ilvl="0">
      <w:lvlJc w:val="left"/>
      <w:lvlText w:val="✘"/>
      <w:numFmt w:val="bullet"/>
      <w:start w:val="1"/>
    </w:lvl>
  </w:abstractNum>
  <w:abstractNum w:abstractNumId="50">
    <w:nsid w:val="94211F2"/>
    <w:multiLevelType w:val="hybridMultilevel"/>
    <w:lvl w:ilvl="0">
      <w:lvlJc w:val="left"/>
      <w:lvlText w:val=" "/>
      <w:numFmt w:val="bullet"/>
      <w:start w:val="1"/>
    </w:lvl>
  </w:abstractNum>
  <w:abstractNum w:abstractNumId="51">
    <w:nsid w:val="885E1B"/>
    <w:multiLevelType w:val="hybridMultilevel"/>
    <w:lvl w:ilvl="0">
      <w:lvlJc w:val="left"/>
      <w:lvlText w:val=" "/>
      <w:numFmt w:val="bullet"/>
      <w:start w:val="1"/>
    </w:lvl>
  </w:abstractNum>
  <w:abstractNum w:abstractNumId="52">
    <w:nsid w:val="76272110"/>
    <w:multiLevelType w:val="hybridMultilevel"/>
    <w:lvl w:ilvl="0">
      <w:lvlJc w:val="left"/>
      <w:lvlText w:val="%1"/>
      <w:numFmt w:val="decimal"/>
      <w:start w:val="34"/>
    </w:lvl>
  </w:abstractNum>
  <w:abstractNum w:abstractNumId="53">
    <w:nsid w:val="4C04A8AF"/>
    <w:multiLevelType w:val="hybridMultilevel"/>
    <w:lvl w:ilvl="0">
      <w:lvlJc w:val="left"/>
      <w:lvlText w:val=" "/>
      <w:numFmt w:val="bullet"/>
      <w:start w:val="1"/>
    </w:lvl>
  </w:abstractNum>
  <w:abstractNum w:abstractNumId="54">
    <w:nsid w:val="1716703B"/>
    <w:multiLevelType w:val="hybridMultilevel"/>
    <w:lvl w:ilvl="0">
      <w:lvlJc w:val="left"/>
      <w:lvlText w:val=" "/>
      <w:numFmt w:val="bullet"/>
      <w:start w:val="1"/>
    </w:lvl>
  </w:abstractNum>
  <w:abstractNum w:abstractNumId="55">
    <w:nsid w:val="14E17E33"/>
    <w:multiLevelType w:val="hybridMultilevel"/>
    <w:lvl w:ilvl="0">
      <w:lvlJc w:val="left"/>
      <w:lvlText w:val=" "/>
      <w:numFmt w:val="bullet"/>
      <w:start w:val="1"/>
    </w:lvl>
  </w:abstractNum>
  <w:abstractNum w:abstractNumId="56">
    <w:nsid w:val="3222E7CD"/>
    <w:multiLevelType w:val="hybridMultilevel"/>
    <w:lvl w:ilvl="0">
      <w:lvlJc w:val="left"/>
      <w:lvlText w:val="%1"/>
      <w:numFmt w:val="decimal"/>
      <w:start w:val="36"/>
    </w:lvl>
  </w:abstractNum>
  <w:abstractNum w:abstractNumId="57">
    <w:nsid w:val="74DE0EE3"/>
    <w:multiLevelType w:val="hybridMultilevel"/>
    <w:lvl w:ilvl="0">
      <w:lvlJc w:val="left"/>
      <w:lvlText w:val="•"/>
      <w:numFmt w:val="bullet"/>
      <w:start w:val="1"/>
    </w:lvl>
  </w:abstractNum>
  <w:abstractNum w:abstractNumId="58">
    <w:nsid w:val="68EBC550"/>
    <w:multiLevelType w:val="hybridMultilevel"/>
    <w:lvl w:ilvl="0">
      <w:lvlJc w:val="left"/>
      <w:lvlText w:val="•"/>
      <w:numFmt w:val="bullet"/>
      <w:start w:val="1"/>
    </w:lvl>
  </w:abstractNum>
  <w:abstractNum w:abstractNumId="59">
    <w:nsid w:val="2DF6D648"/>
    <w:multiLevelType w:val="hybridMultilevel"/>
    <w:lvl w:ilvl="0">
      <w:lvlJc w:val="left"/>
      <w:lvlText w:val="%1"/>
      <w:numFmt w:val="decimal"/>
      <w:start w:val="38"/>
    </w:lvl>
  </w:abstractNum>
  <w:abstractNum w:abstractNumId="60">
    <w:nsid w:val="46B7D447"/>
    <w:multiLevelType w:val="hybridMultilevel"/>
    <w:lvl w:ilvl="0">
      <w:lvlJc w:val="left"/>
      <w:lvlText w:val="(%1)"/>
      <w:numFmt w:val="decimal"/>
      <w:start w:val="1"/>
    </w:lvl>
  </w:abstractNum>
  <w:abstractNum w:abstractNumId="61">
    <w:nsid w:val="4A2AC315"/>
    <w:multiLevelType w:val="hybridMultilevel"/>
    <w:lvl w:ilvl="0">
      <w:lvlJc w:val="left"/>
      <w:lvlText w:val="•"/>
      <w:numFmt w:val="bullet"/>
      <w:start w:val="1"/>
    </w:lvl>
  </w:abstractNum>
  <w:abstractNum w:abstractNumId="62">
    <w:nsid w:val="39EE015C"/>
    <w:multiLevelType w:val="hybridMultilevel"/>
    <w:lvl w:ilvl="0">
      <w:lvlJc w:val="left"/>
      <w:lvlText w:val="(%1)"/>
      <w:numFmt w:val="decimal"/>
      <w:start w:val="1"/>
    </w:lvl>
  </w:abstractNum>
  <w:abstractNum w:abstractNumId="63">
    <w:nsid w:val="57FC4FBB"/>
    <w:multiLevelType w:val="hybridMultilevel"/>
    <w:lvl w:ilvl="0">
      <w:lvlJc w:val="left"/>
      <w:lvlText w:val="%1"/>
      <w:numFmt w:val="decimal"/>
      <w:start w:val="40"/>
    </w:lvl>
  </w:abstractNum>
  <w:abstractNum w:abstractNumId="64">
    <w:nsid w:val="CC1016F"/>
    <w:multiLevelType w:val="hybridMultilevel"/>
    <w:lvl w:ilvl="0">
      <w:lvlJc w:val="left"/>
      <w:lvlText w:val="(%1)"/>
      <w:numFmt w:val="decimal"/>
      <w:start w:val="1"/>
    </w:lvl>
  </w:abstractNum>
  <w:abstractNum w:abstractNumId="65">
    <w:nsid w:val="43F18422"/>
    <w:multiLevelType w:val="hybridMultilevel"/>
    <w:lvl w:ilvl="0">
      <w:lvlJc w:val="left"/>
      <w:lvlText w:val=" "/>
      <w:numFmt w:val="bullet"/>
      <w:start w:val="1"/>
    </w:lvl>
  </w:abstractNum>
  <w:abstractNum w:abstractNumId="66">
    <w:nsid w:val="60EF0119"/>
    <w:multiLevelType w:val="hybridMultilevel"/>
    <w:lvl w:ilvl="0">
      <w:lvlJc w:val="left"/>
      <w:lvlText w:val="%1"/>
      <w:numFmt w:val="decimal"/>
      <w:start w:val="42"/>
    </w:lvl>
  </w:abstractNum>
  <w:abstractNum w:abstractNumId="67">
    <w:nsid w:val="26F324BA"/>
    <w:multiLevelType w:val="hybridMultilevel"/>
    <w:lvl w:ilvl="0">
      <w:lvlJc w:val="left"/>
      <w:lvlText w:val=" "/>
      <w:numFmt w:val="bullet"/>
      <w:start w:val="1"/>
    </w:lvl>
  </w:abstractNum>
  <w:abstractNum w:abstractNumId="68">
    <w:nsid w:val="7F01579B"/>
    <w:multiLevelType w:val="hybridMultilevel"/>
    <w:lvl w:ilvl="0">
      <w:lvlJc w:val="left"/>
      <w:lvlText w:val="%1"/>
      <w:numFmt w:val="decimal"/>
      <w:start w:val="44"/>
    </w:lvl>
  </w:abstractNum>
  <w:abstractNum w:abstractNumId="69">
    <w:nsid w:val="49DA307D"/>
    <w:multiLevelType w:val="hybridMultilevel"/>
    <w:lvl w:ilvl="0">
      <w:lvlJc w:val="left"/>
      <w:lvlText w:val="%1"/>
      <w:numFmt w:val="decimal"/>
      <w:start w:val="46"/>
    </w:lvl>
  </w:abstractNum>
  <w:abstractNum w:abstractNumId="70">
    <w:nsid w:val="7055A5F5"/>
    <w:multiLevelType w:val="hybridMultilevel"/>
    <w:lvl w:ilvl="0">
      <w:lvlJc w:val="left"/>
      <w:lvlText w:val=" "/>
      <w:numFmt w:val="bullet"/>
      <w:start w:val="1"/>
    </w:lvl>
  </w:abstractNum>
  <w:abstractNum w:abstractNumId="71">
    <w:nsid w:val="5FB8370B"/>
    <w:multiLevelType w:val="hybridMultilevel"/>
    <w:lvl w:ilvl="0">
      <w:lvlJc w:val="left"/>
      <w:lvlText w:val=" "/>
      <w:numFmt w:val="bullet"/>
      <w:start w:val="1"/>
    </w:lvl>
  </w:abstractNum>
  <w:abstractNum w:abstractNumId="72">
    <w:nsid w:val="50801EE1"/>
    <w:multiLevelType w:val="hybridMultilevel"/>
    <w:lvl w:ilvl="0">
      <w:lvlJc w:val="left"/>
      <w:lvlText w:val="%1"/>
      <w:numFmt w:val="decimal"/>
      <w:start w:val="48"/>
    </w:lvl>
  </w:abstractNum>
  <w:abstractNum w:abstractNumId="73">
    <w:nsid w:val="488AC1A"/>
    <w:multiLevelType w:val="hybridMultilevel"/>
    <w:lvl w:ilvl="0">
      <w:lvlJc w:val="left"/>
      <w:lvlText w:val="(%1)"/>
      <w:numFmt w:val="decimal"/>
      <w:start w:val="1"/>
    </w:lvl>
  </w:abstractNum>
  <w:abstractNum w:abstractNumId="74">
    <w:nsid w:val="5FB8011C"/>
    <w:multiLevelType w:val="hybridMultilevel"/>
    <w:lvl w:ilvl="0">
      <w:lvlJc w:val="left"/>
      <w:lvlText w:val="%1"/>
      <w:numFmt w:val="decimal"/>
      <w:start w:val="50"/>
    </w:lvl>
  </w:abstractNum>
  <w:abstractNum w:abstractNumId="75">
    <w:nsid w:val="6AA78F7F"/>
    <w:multiLevelType w:val="hybridMultilevel"/>
    <w:lvl w:ilvl="0">
      <w:lvlJc w:val="left"/>
      <w:lvlText w:val="(%1)"/>
      <w:numFmt w:val="decimal"/>
      <w:start w:val="2"/>
    </w:lvl>
  </w:abstractNum>
  <w:abstractNum w:abstractNumId="76">
    <w:nsid w:val="7672BD23"/>
    <w:multiLevelType w:val="hybridMultilevel"/>
    <w:lvl w:ilvl="0">
      <w:lvlJc w:val="left"/>
      <w:lvlText w:val="(%1)"/>
      <w:numFmt w:val="decimal"/>
      <w:start w:val="1"/>
    </w:lvl>
  </w:abstractNum>
  <w:abstractNum w:abstractNumId="77">
    <w:nsid w:val="6FC75AF8"/>
    <w:multiLevelType w:val="hybridMultilevel"/>
    <w:lvl w:ilvl="0">
      <w:lvlJc w:val="left"/>
      <w:lvlText w:val="(%1)"/>
      <w:numFmt w:val="decimal"/>
      <w:start w:val="4"/>
    </w:lvl>
  </w:abstractNum>
  <w:abstractNum w:abstractNumId="78">
    <w:nsid w:val="6A5F7029"/>
    <w:multiLevelType w:val="hybridMultilevel"/>
    <w:lvl w:ilvl="0">
      <w:lvlJc w:val="left"/>
      <w:lvlText w:val="(%1)"/>
      <w:numFmt w:val="decimal"/>
      <w:start w:val="1"/>
    </w:lvl>
  </w:abstractNum>
  <w:abstractNum w:abstractNumId="79">
    <w:nsid w:val="7D5E18F8"/>
    <w:multiLevelType w:val="hybridMultilevel"/>
    <w:lvl w:ilvl="0">
      <w:lvlJc w:val="left"/>
      <w:lvlText w:val="%1"/>
      <w:numFmt w:val="decimal"/>
      <w:start w:val="52"/>
    </w:lvl>
  </w:abstractNum>
  <w:abstractNum w:abstractNumId="80">
    <w:nsid w:val="5F3534A4"/>
    <w:multiLevelType w:val="hybridMultilevel"/>
    <w:lvl w:ilvl="0">
      <w:lvlJc w:val="left"/>
      <w:lvlText w:val="(%1)"/>
      <w:numFmt w:val="decimal"/>
      <w:start w:val="3"/>
    </w:lvl>
  </w:abstractNum>
  <w:abstractNum w:abstractNumId="81">
    <w:nsid w:val="73A1821B"/>
    <w:multiLevelType w:val="hybridMultilevel"/>
    <w:lvl w:ilvl="0">
      <w:lvlJc w:val="left"/>
      <w:lvlText w:val="(%1)"/>
      <w:numFmt w:val="decimal"/>
      <w:start w:val="1"/>
    </w:lvl>
  </w:abstractNum>
  <w:abstractNum w:abstractNumId="82">
    <w:nsid w:val="7DE67713"/>
    <w:multiLevelType w:val="hybridMultilevel"/>
    <w:lvl w:ilvl="0">
      <w:lvlJc w:val="left"/>
      <w:lvlText w:val="%1"/>
      <w:numFmt w:val="decimal"/>
      <w:start w:val="54"/>
    </w:lvl>
  </w:abstractNum>
  <w:abstractNum w:abstractNumId="83">
    <w:nsid w:val="555C55B5"/>
    <w:multiLevelType w:val="hybridMultilevel"/>
    <w:lvl w:ilvl="0">
      <w:lvlJc w:val="left"/>
      <w:lvlText w:val="(%1)"/>
      <w:numFmt w:val="decimal"/>
      <w:start w:val="13"/>
    </w:lvl>
  </w:abstractNum>
  <w:abstractNum w:abstractNumId="84">
    <w:nsid w:val="3FA62ACA"/>
    <w:multiLevelType w:val="hybridMultilevel"/>
    <w:lvl w:ilvl="0">
      <w:lvlJc w:val="left"/>
      <w:lvlText w:val="(%1)"/>
      <w:numFmt w:val="decimal"/>
      <w:start w:val="1"/>
    </w:lvl>
  </w:abstractNum>
  <w:abstractNum w:abstractNumId="85">
    <w:nsid w:val="14FCE74E"/>
    <w:multiLevelType w:val="hybridMultilevel"/>
    <w:lvl w:ilvl="0">
      <w:lvlJc w:val="left"/>
      <w:lvlText w:val="(%1)"/>
      <w:numFmt w:val="decimal"/>
      <w:start w:val="1"/>
    </w:lvl>
  </w:abstractNum>
  <w:abstractNum w:abstractNumId="86">
    <w:nsid w:val="6A3DD3E8"/>
    <w:multiLevelType w:val="hybridMultilevel"/>
    <w:lvl w:ilvl="0">
      <w:lvlJc w:val="left"/>
      <w:lvlText w:val="%1"/>
      <w:numFmt w:val="decimal"/>
      <w:start w:val="56"/>
    </w:lvl>
  </w:abstractNum>
  <w:abstractNum w:abstractNumId="87">
    <w:nsid w:val="71C91298"/>
    <w:multiLevelType w:val="hybridMultilevel"/>
    <w:lvl w:ilvl="0">
      <w:lvlJc w:val="left"/>
      <w:lvlText w:val="(%1)"/>
      <w:numFmt w:val="decimal"/>
      <w:start w:val="1"/>
    </w:lvl>
  </w:abstractNum>
  <w:abstractNum w:abstractNumId="88">
    <w:nsid w:val="9DAF632"/>
    <w:multiLevelType w:val="hybridMultilevel"/>
    <w:lvl w:ilvl="0">
      <w:lvlJc w:val="left"/>
      <w:lvlText w:val="%1"/>
      <w:numFmt w:val="decimal"/>
      <w:start w:val="58"/>
    </w:lvl>
  </w:abstractNum>
  <w:abstractNum w:abstractNumId="89">
    <w:nsid w:val="53299938"/>
    <w:multiLevelType w:val="hybridMultilevel"/>
    <w:lvl w:ilvl="0">
      <w:lvlJc w:val="left"/>
      <w:lvlText w:val=" "/>
      <w:numFmt w:val="bullet"/>
      <w:start w:val="1"/>
    </w:lvl>
  </w:abstractNum>
  <w:abstractNum w:abstractNumId="90">
    <w:nsid w:val="1FBFE8E0"/>
    <w:multiLevelType w:val="hybridMultilevel"/>
    <w:lvl w:ilvl="0">
      <w:lvlJc w:val="left"/>
      <w:lvlText w:val=" "/>
      <w:numFmt w:val="bullet"/>
      <w:start w:val="1"/>
    </w:lvl>
  </w:abstractNum>
  <w:abstractNum w:abstractNumId="91">
    <w:nsid w:val="5092CA79"/>
    <w:multiLevelType w:val="hybridMultilevel"/>
    <w:lvl w:ilvl="0">
      <w:lvlJc w:val="left"/>
      <w:lvlText w:val=" "/>
      <w:numFmt w:val="bullet"/>
      <w:start w:val="1"/>
    </w:lvl>
  </w:abstractNum>
  <w:abstractNum w:abstractNumId="92">
    <w:nsid w:val="1D545C4D"/>
    <w:multiLevelType w:val="hybridMultilevel"/>
    <w:lvl w:ilvl="0">
      <w:lvlJc w:val="left"/>
      <w:lvlText w:val=" "/>
      <w:numFmt w:val="bullet"/>
      <w:start w:val="1"/>
    </w:lvl>
  </w:abstractNum>
  <w:abstractNum w:abstractNumId="93">
    <w:nsid w:val="59ADEA3D"/>
    <w:multiLevelType w:val="hybridMultilevel"/>
    <w:lvl w:ilvl="0">
      <w:lvlJc w:val="left"/>
      <w:lvlText w:val="%1"/>
      <w:numFmt w:val="decimal"/>
      <w:start w:val="60"/>
    </w:lvl>
  </w:abstractNum>
  <w:abstractNum w:abstractNumId="94">
    <w:nsid w:val="288F1A34"/>
    <w:multiLevelType w:val="hybridMultilevel"/>
    <w:lvl w:ilvl="0">
      <w:lvlJc w:val="left"/>
      <w:lvlText w:val=" "/>
      <w:numFmt w:val="bullet"/>
      <w:start w:val="1"/>
    </w:lvl>
  </w:abstractNum>
  <w:abstractNum w:abstractNumId="95">
    <w:nsid w:val="2A155DBC"/>
    <w:multiLevelType w:val="hybridMultilevel"/>
    <w:lvl w:ilvl="0">
      <w:lvlJc w:val="left"/>
      <w:lvlText w:val=" "/>
      <w:numFmt w:val="bullet"/>
      <w:start w:val="1"/>
    </w:lvl>
  </w:abstractNum>
  <w:abstractNum w:abstractNumId="96">
    <w:nsid w:val="1D9F6E5F"/>
    <w:multiLevelType w:val="hybridMultilevel"/>
    <w:lvl w:ilvl="0">
      <w:lvlJc w:val="left"/>
      <w:lvlText w:val=" "/>
      <w:numFmt w:val="bullet"/>
      <w:start w:val="1"/>
    </w:lvl>
  </w:abstractNum>
  <w:abstractNum w:abstractNumId="97">
    <w:nsid w:val="97E1B4E"/>
    <w:multiLevelType w:val="hybridMultilevel"/>
    <w:lvl w:ilvl="0">
      <w:lvlJc w:val="left"/>
      <w:lvlText w:val="(%1)"/>
      <w:numFmt w:val="decimal"/>
      <w:start w:val="1"/>
    </w:lvl>
  </w:abstractNum>
  <w:abstractNum w:abstractNumId="98">
    <w:nsid w:val="51088277"/>
    <w:multiLevelType w:val="hybridMultilevel"/>
    <w:lvl w:ilvl="0">
      <w:lvlJc w:val="left"/>
      <w:lvlText w:val=" "/>
      <w:numFmt w:val="bullet"/>
      <w:start w:val="1"/>
    </w:lvl>
  </w:abstractNum>
  <w:abstractNum w:abstractNumId="99">
    <w:nsid w:val="1CA0C5FA"/>
    <w:multiLevelType w:val="hybridMultilevel"/>
    <w:lvl w:ilvl="0">
      <w:lvlJc w:val="left"/>
      <w:lvlText w:val=" "/>
      <w:numFmt w:val="bullet"/>
      <w:start w:val="1"/>
    </w:lvl>
  </w:abstractNum>
  <w:abstractNum w:abstractNumId="100">
    <w:nsid w:val="53584BCB"/>
    <w:multiLevelType w:val="hybridMultilevel"/>
    <w:lvl w:ilvl="0">
      <w:lvlJc w:val="left"/>
      <w:lvlText w:val=" "/>
      <w:numFmt w:val="bullet"/>
      <w:start w:val="1"/>
    </w:lvl>
  </w:abstractNum>
  <w:abstractNum w:abstractNumId="101">
    <w:nsid w:val="415E286C"/>
    <w:multiLevelType w:val="hybridMultilevel"/>
    <w:lvl w:ilvl="0">
      <w:lvlJc w:val="left"/>
      <w:lvlText w:val=" "/>
      <w:numFmt w:val="bullet"/>
      <w:start w:val="1"/>
    </w:lvl>
  </w:abstractNum>
  <w:abstractNum w:abstractNumId="102">
    <w:nsid w:val="7C58FD05"/>
    <w:multiLevelType w:val="hybridMultilevel"/>
    <w:lvl w:ilvl="0">
      <w:lvlJc w:val="left"/>
      <w:lvlText w:val="•"/>
      <w:numFmt w:val="bullet"/>
      <w:start w:val="1"/>
    </w:lvl>
  </w:abstractNum>
  <w:abstractNum w:abstractNumId="103">
    <w:nsid w:val="23D86AAC"/>
    <w:multiLevelType w:val="hybridMultilevel"/>
    <w:lvl w:ilvl="0">
      <w:lvlJc w:val="left"/>
      <w:lvlText w:val=" "/>
      <w:numFmt w:val="bullet"/>
      <w:start w:val="1"/>
    </w:lvl>
  </w:abstractNum>
  <w:abstractNum w:abstractNumId="104">
    <w:nsid w:val="45E6D486"/>
    <w:multiLevelType w:val="hybridMultilevel"/>
    <w:lvl w:ilvl="0">
      <w:lvlJc w:val="left"/>
      <w:lvlText w:val="%1"/>
      <w:numFmt w:val="decimal"/>
      <w:start w:val="62"/>
    </w:lvl>
  </w:abstractNum>
  <w:abstractNum w:abstractNumId="105">
    <w:nsid w:val="5C10FE21"/>
    <w:multiLevelType w:val="hybridMultilevel"/>
    <w:lvl w:ilvl="0">
      <w:lvlJc w:val="left"/>
      <w:lvlText w:val=" "/>
      <w:numFmt w:val="bullet"/>
      <w:start w:val="1"/>
    </w:lvl>
  </w:abstractNum>
  <w:abstractNum w:abstractNumId="106">
    <w:nsid w:val="E7FFA2B"/>
    <w:multiLevelType w:val="hybridMultilevel"/>
    <w:lvl w:ilvl="0">
      <w:lvlJc w:val="left"/>
      <w:lvlText w:val="(%1)"/>
      <w:numFmt w:val="decimal"/>
      <w:start w:val="1"/>
    </w:lvl>
  </w:abstractNum>
  <w:abstractNum w:abstractNumId="107">
    <w:nsid w:val="3C5991AA"/>
    <w:multiLevelType w:val="hybridMultilevel"/>
    <w:lvl w:ilvl="0">
      <w:lvlJc w:val="left"/>
      <w:lvlText w:val="(%1)"/>
      <w:numFmt w:val="decimal"/>
      <w:start w:val="2"/>
    </w:lvl>
  </w:abstractNum>
  <w:abstractNum w:abstractNumId="108">
    <w:nsid w:val="4BD8591A"/>
    <w:multiLevelType w:val="hybridMultilevel"/>
    <w:lvl w:ilvl="0">
      <w:lvlJc w:val="left"/>
      <w:lvlText w:val="%1"/>
      <w:numFmt w:val="decimal"/>
      <w:start w:val="64"/>
    </w:lvl>
  </w:abstractNum>
  <w:abstractNum w:abstractNumId="109">
    <w:nsid w:val="78DF6A55"/>
    <w:multiLevelType w:val="hybridMultilevel"/>
    <w:lvl w:ilvl="0">
      <w:lvlJc w:val="left"/>
      <w:lvlText w:val=" "/>
      <w:numFmt w:val="bullet"/>
      <w:start w:val="1"/>
    </w:lvl>
  </w:abstractNum>
  <w:abstractNum w:abstractNumId="110">
    <w:nsid w:val="39B7AAA2"/>
    <w:multiLevelType w:val="hybridMultilevel"/>
    <w:lvl w:ilvl="0">
      <w:lvlJc w:val="left"/>
      <w:lvlText w:val="(%1)"/>
      <w:numFmt w:val="decimal"/>
      <w:start w:val="1"/>
    </w:lvl>
  </w:abstractNum>
  <w:abstractNum w:abstractNumId="111">
    <w:nsid w:val="2B0D8DBE"/>
    <w:multiLevelType w:val="hybridMultilevel"/>
    <w:lvl w:ilvl="0">
      <w:lvlJc w:val="left"/>
      <w:lvlText w:val="%1"/>
      <w:numFmt w:val="decimal"/>
      <w:start w:val="66"/>
    </w:lvl>
  </w:abstractNum>
  <w:abstractNum w:abstractNumId="112">
    <w:nsid w:val="6C80EC70"/>
    <w:multiLevelType w:val="hybridMultilevel"/>
    <w:lvl w:ilvl="0">
      <w:lvlJc w:val="left"/>
      <w:lvlText w:val=" "/>
      <w:numFmt w:val="bullet"/>
      <w:start w:val="1"/>
    </w:lvl>
  </w:abstractNum>
  <w:abstractNum w:abstractNumId="113">
    <w:nsid w:val="379E21B5"/>
    <w:multiLevelType w:val="hybridMultilevel"/>
    <w:lvl w:ilvl="0">
      <w:lvlJc w:val="left"/>
      <w:lvlText w:val="%1"/>
      <w:numFmt w:val="decimal"/>
      <w:start w:val="68"/>
    </w:lvl>
  </w:abstractNum>
  <w:abstractNum w:abstractNumId="114">
    <w:nsid w:val="69E373"/>
    <w:multiLevelType w:val="hybridMultilevel"/>
    <w:lvl w:ilvl="0">
      <w:lvlJc w:val="left"/>
      <w:lvlText w:val="%1"/>
      <w:numFmt w:val="decimal"/>
      <w:start w:val="70"/>
    </w:lvl>
  </w:abstractNum>
  <w:abstractNum w:abstractNumId="115">
    <w:nsid w:val="2C27173B"/>
    <w:multiLevelType w:val="hybridMultilevel"/>
    <w:lvl w:ilvl="0">
      <w:lvlJc w:val="left"/>
      <w:lvlText w:val=" "/>
      <w:numFmt w:val="bullet"/>
      <w:start w:val="1"/>
    </w:lvl>
  </w:abstractNum>
  <w:abstractNum w:abstractNumId="116">
    <w:nsid w:val="4C9B0904"/>
    <w:multiLevelType w:val="hybridMultilevel"/>
    <w:lvl w:ilvl="0">
      <w:lvlJc w:val="left"/>
      <w:lvlText w:val=" "/>
      <w:numFmt w:val="bullet"/>
      <w:start w:val="1"/>
    </w:lvl>
  </w:abstractNum>
  <w:abstractNum w:abstractNumId="117">
    <w:nsid w:val="6AA7B75C"/>
    <w:multiLevelType w:val="hybridMultilevel"/>
    <w:lvl w:ilvl="0">
      <w:lvlJc w:val="left"/>
      <w:lvlText w:val=" "/>
      <w:numFmt w:val="bullet"/>
      <w:start w:val="1"/>
    </w:lvl>
  </w:abstractNum>
  <w:abstractNum w:abstractNumId="118">
    <w:nsid w:val="1DF029D3"/>
    <w:multiLevelType w:val="hybridMultilevel"/>
    <w:lvl w:ilvl="0">
      <w:lvlJc w:val="left"/>
      <w:lvlText w:val="%1"/>
      <w:numFmt w:val="decimal"/>
      <w:start w:val="72"/>
    </w:lvl>
  </w:abstractNum>
  <w:abstractNum w:abstractNumId="119">
    <w:nsid w:val="5675FF36"/>
    <w:multiLevelType w:val="hybridMultilevel"/>
    <w:lvl w:ilvl="0">
      <w:lvlJc w:val="left"/>
      <w:lvlText w:val="%1"/>
      <w:numFmt w:val="decimal"/>
      <w:start w:val="74"/>
    </w:lvl>
  </w:abstractNum>
  <w:abstractNum w:abstractNumId="120">
    <w:nsid w:val="3DD150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2022-04-08T15:09:26Z</dcterms:created>
  <dcterms:modified xsi:type="dcterms:W3CDTF">2022-04-08T15:09:26Z</dcterms:modified>
</cp:coreProperties>
</file>