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231140</wp:posOffset>
            </wp:positionH>
            <wp:positionV relativeFrom="page">
              <wp:posOffset>494665</wp:posOffset>
            </wp:positionV>
            <wp:extent cx="708660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1143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27"/>
        <w:spacing w:after="0"/>
        <w:rPr>
          <w:sz w:val="20"/>
          <w:szCs w:val="20"/>
          <w:color w:val="auto"/>
        </w:rPr>
      </w:pPr>
      <w:r>
        <w:rPr>
          <w:rFonts w:ascii="Arial" w:cs="Arial" w:eastAsia="Arial" w:hAnsi="Arial"/>
          <w:sz w:val="14"/>
          <w:szCs w:val="14"/>
          <w:b w:val="1"/>
          <w:bCs w:val="1"/>
          <w:color w:val="auto"/>
        </w:rPr>
        <w:t>Washington, D.C. 20549</w:t>
      </w:r>
    </w:p>
    <w:p>
      <w:pPr>
        <w:spacing w:after="0" w:line="58"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Form 10-Q</w:t>
      </w:r>
    </w:p>
    <w:p>
      <w:pPr>
        <w:spacing w:after="0" w:line="29" w:lineRule="exact"/>
        <w:rPr>
          <w:sz w:val="24"/>
          <w:szCs w:val="24"/>
          <w:color w:val="auto"/>
        </w:rPr>
      </w:pPr>
    </w:p>
    <w:p>
      <w:pPr>
        <w:ind w:left="8"/>
        <w:spacing w:after="0"/>
        <w:rPr>
          <w:sz w:val="20"/>
          <w:szCs w:val="20"/>
          <w:color w:val="auto"/>
        </w:rPr>
      </w:pPr>
      <w:r>
        <w:rPr>
          <w:rFonts w:ascii="Arial" w:cs="Arial" w:eastAsia="Arial" w:hAnsi="Arial"/>
          <w:sz w:val="11"/>
          <w:szCs w:val="11"/>
          <w:color w:val="auto"/>
        </w:rPr>
        <w:t>(Mark One)</w:t>
      </w:r>
    </w:p>
    <w:p>
      <w:pPr>
        <w:spacing w:after="0" w:line="99" w:lineRule="exact"/>
        <w:rPr>
          <w:sz w:val="24"/>
          <w:szCs w:val="24"/>
          <w:color w:val="auto"/>
        </w:rPr>
      </w:pPr>
    </w:p>
    <w:p>
      <w:pPr>
        <w:ind w:left="408" w:hanging="264"/>
        <w:spacing w:after="0"/>
        <w:tabs>
          <w:tab w:leader="none" w:pos="408" w:val="left"/>
        </w:tabs>
        <w:numPr>
          <w:ilvl w:val="0"/>
          <w:numId w:val="1"/>
        </w:numPr>
        <w:rPr>
          <w:rFonts w:ascii="MS PGothic" w:cs="MS PGothic" w:eastAsia="MS PGothic" w:hAnsi="MS PGothic"/>
          <w:sz w:val="12"/>
          <w:szCs w:val="12"/>
          <w:color w:val="auto"/>
        </w:rPr>
      </w:pPr>
      <w:r>
        <w:rPr>
          <w:rFonts w:ascii="Arial" w:cs="Arial" w:eastAsia="Arial" w:hAnsi="Arial"/>
          <w:sz w:val="10"/>
          <w:szCs w:val="10"/>
          <w:b w:val="1"/>
          <w:bCs w:val="1"/>
          <w:color w:val="auto"/>
        </w:rPr>
        <w:t>QUARTERLY REPORT PURSUANT TO SECTION 13 OR 15(d) OF THE SECURITIES EXCHANGE ACT OF 1934</w:t>
      </w:r>
    </w:p>
    <w:p>
      <w:pPr>
        <w:spacing w:after="0" w:line="86" w:lineRule="exact"/>
        <w:rPr>
          <w:sz w:val="24"/>
          <w:szCs w:val="24"/>
          <w:color w:val="auto"/>
        </w:rPr>
      </w:pPr>
    </w:p>
    <w:p>
      <w:pPr>
        <w:jc w:val="center"/>
        <w:ind w:right="-27"/>
        <w:spacing w:after="0"/>
        <w:rPr>
          <w:sz w:val="20"/>
          <w:szCs w:val="20"/>
          <w:color w:val="auto"/>
        </w:rPr>
      </w:pPr>
      <w:r>
        <w:rPr>
          <w:rFonts w:ascii="Arial" w:cs="Arial" w:eastAsia="Arial" w:hAnsi="Arial"/>
          <w:sz w:val="12"/>
          <w:szCs w:val="12"/>
          <w:b w:val="1"/>
          <w:bCs w:val="1"/>
          <w:color w:val="auto"/>
        </w:rPr>
        <w:t>For the quarterly period ended September 30, 2026</w:t>
      </w:r>
    </w:p>
    <w:p>
      <w:pPr>
        <w:spacing w:after="0" w:line="9" w:lineRule="exact"/>
        <w:rPr>
          <w:sz w:val="24"/>
          <w:szCs w:val="24"/>
          <w:color w:val="auto"/>
        </w:rPr>
      </w:pPr>
    </w:p>
    <w:p>
      <w:pPr>
        <w:jc w:val="center"/>
        <w:ind w:right="-27"/>
        <w:spacing w:after="0"/>
        <w:rPr>
          <w:sz w:val="20"/>
          <w:szCs w:val="20"/>
          <w:color w:val="auto"/>
        </w:rPr>
      </w:pPr>
      <w:r>
        <w:rPr>
          <w:rFonts w:ascii="Arial" w:cs="Arial" w:eastAsia="Arial" w:hAnsi="Arial"/>
          <w:sz w:val="12"/>
          <w:szCs w:val="12"/>
          <w:b w:val="1"/>
          <w:bCs w:val="1"/>
          <w:color w:val="auto"/>
        </w:rPr>
        <w:t>OR</w:t>
      </w:r>
    </w:p>
    <w:p>
      <w:pPr>
        <w:spacing w:after="0" w:line="90" w:lineRule="exact"/>
        <w:rPr>
          <w:sz w:val="24"/>
          <w:szCs w:val="24"/>
          <w:color w:val="auto"/>
        </w:rPr>
      </w:pPr>
    </w:p>
    <w:p>
      <w:pPr>
        <w:ind w:left="408" w:hanging="264"/>
        <w:spacing w:after="0"/>
        <w:tabs>
          <w:tab w:leader="none" w:pos="408" w:val="left"/>
        </w:tabs>
        <w:numPr>
          <w:ilvl w:val="0"/>
          <w:numId w:val="2"/>
        </w:numPr>
        <w:rPr>
          <w:rFonts w:ascii="MS PGothic" w:cs="MS PGothic" w:eastAsia="MS PGothic" w:hAnsi="MS PGothic"/>
          <w:sz w:val="12"/>
          <w:szCs w:val="12"/>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3440" w:type="dxa"/>
            <w:vAlign w:val="bottom"/>
          </w:tcPr>
          <w:p>
            <w:pPr>
              <w:spacing w:after="0"/>
              <w:rPr>
                <w:sz w:val="13"/>
                <w:szCs w:val="13"/>
                <w:color w:val="auto"/>
              </w:rPr>
            </w:pPr>
          </w:p>
        </w:tc>
        <w:tc>
          <w:tcPr>
            <w:tcW w:w="3180" w:type="dxa"/>
            <w:vAlign w:val="bottom"/>
          </w:tcPr>
          <w:p>
            <w:pPr>
              <w:ind w:left="1100"/>
              <w:spacing w:after="0"/>
              <w:rPr>
                <w:sz w:val="20"/>
                <w:szCs w:val="20"/>
                <w:color w:val="auto"/>
              </w:rPr>
            </w:pPr>
            <w:r>
              <w:rPr>
                <w:rFonts w:ascii="Arial" w:cs="Arial" w:eastAsia="Arial" w:hAnsi="Arial"/>
                <w:sz w:val="12"/>
                <w:szCs w:val="12"/>
                <w:b w:val="1"/>
                <w:bCs w:val="1"/>
                <w:color w:val="auto"/>
              </w:rPr>
              <w:t>For the transition period from</w:t>
            </w:r>
          </w:p>
        </w:tc>
        <w:tc>
          <w:tcPr>
            <w:tcW w:w="3500" w:type="dxa"/>
            <w:vAlign w:val="bottom"/>
          </w:tcPr>
          <w:p>
            <w:pPr>
              <w:jc w:val="right"/>
              <w:ind w:right="3323"/>
              <w:spacing w:after="0"/>
              <w:rPr>
                <w:sz w:val="20"/>
                <w:szCs w:val="20"/>
                <w:color w:val="auto"/>
              </w:rPr>
            </w:pPr>
            <w:r>
              <w:rPr>
                <w:rFonts w:ascii="Arial" w:cs="Arial" w:eastAsia="Arial" w:hAnsi="Arial"/>
                <w:sz w:val="12"/>
                <w:szCs w:val="12"/>
                <w:b w:val="1"/>
                <w:bCs w:val="1"/>
                <w:color w:val="auto"/>
                <w:w w:val="87"/>
              </w:rPr>
              <w:t>to</w:t>
            </w:r>
          </w:p>
        </w:tc>
        <w:tc>
          <w:tcPr>
            <w:tcW w:w="0" w:type="dxa"/>
            <w:vAlign w:val="bottom"/>
          </w:tcPr>
          <w:p>
            <w:pPr>
              <w:spacing w:after="0"/>
              <w:rPr>
                <w:sz w:val="1"/>
                <w:szCs w:val="1"/>
                <w:color w:val="auto"/>
              </w:rPr>
            </w:pPr>
          </w:p>
        </w:tc>
      </w:tr>
      <w:tr>
        <w:trPr>
          <w:trHeight w:val="136"/>
        </w:trPr>
        <w:tc>
          <w:tcPr>
            <w:tcW w:w="3440" w:type="dxa"/>
            <w:vAlign w:val="bottom"/>
          </w:tcPr>
          <w:p>
            <w:pPr>
              <w:spacing w:after="0"/>
              <w:rPr>
                <w:sz w:val="11"/>
                <w:szCs w:val="11"/>
                <w:color w:val="auto"/>
              </w:rPr>
            </w:pPr>
          </w:p>
        </w:tc>
        <w:tc>
          <w:tcPr>
            <w:tcW w:w="6680" w:type="dxa"/>
            <w:vAlign w:val="bottom"/>
            <w:gridSpan w:val="2"/>
          </w:tcPr>
          <w:p>
            <w:pPr>
              <w:jc w:val="center"/>
              <w:ind w:right="2203"/>
              <w:spacing w:after="0" w:line="136" w:lineRule="exact"/>
              <w:rPr>
                <w:sz w:val="20"/>
                <w:szCs w:val="20"/>
                <w:color w:val="auto"/>
              </w:rPr>
            </w:pPr>
            <w:r>
              <w:rPr>
                <w:rFonts w:ascii="Arial" w:cs="Arial" w:eastAsia="Arial" w:hAnsi="Arial"/>
                <w:sz w:val="12"/>
                <w:szCs w:val="12"/>
                <w:b w:val="1"/>
                <w:bCs w:val="1"/>
                <w:color w:val="auto"/>
              </w:rPr>
              <w:t>Commission File Number: 001-34963</w:t>
            </w:r>
          </w:p>
        </w:tc>
        <w:tc>
          <w:tcPr>
            <w:tcW w:w="0" w:type="dxa"/>
            <w:vAlign w:val="bottom"/>
          </w:tcPr>
          <w:p>
            <w:pPr>
              <w:spacing w:after="0"/>
              <w:rPr>
                <w:sz w:val="1"/>
                <w:szCs w:val="1"/>
                <w:color w:val="auto"/>
              </w:rPr>
            </w:pPr>
          </w:p>
        </w:tc>
      </w:tr>
      <w:tr>
        <w:trPr>
          <w:trHeight w:val="397"/>
        </w:trPr>
        <w:tc>
          <w:tcPr>
            <w:tcW w:w="3440" w:type="dxa"/>
            <w:vAlign w:val="bottom"/>
          </w:tcPr>
          <w:p>
            <w:pPr>
              <w:spacing w:after="0"/>
              <w:rPr>
                <w:sz w:val="24"/>
                <w:szCs w:val="24"/>
                <w:color w:val="auto"/>
              </w:rPr>
            </w:pPr>
          </w:p>
        </w:tc>
        <w:tc>
          <w:tcPr>
            <w:tcW w:w="6680" w:type="dxa"/>
            <w:vAlign w:val="bottom"/>
            <w:gridSpan w:val="2"/>
          </w:tcPr>
          <w:p>
            <w:pPr>
              <w:jc w:val="center"/>
              <w:ind w:right="2223"/>
              <w:spacing w:after="0"/>
              <w:rPr>
                <w:sz w:val="20"/>
                <w:szCs w:val="20"/>
                <w:color w:val="auto"/>
              </w:rPr>
            </w:pPr>
            <w:r>
              <w:rPr>
                <w:rFonts w:ascii="Arial" w:cs="Arial" w:eastAsia="Arial" w:hAnsi="Arial"/>
                <w:sz w:val="29"/>
                <w:szCs w:val="29"/>
                <w:b w:val="1"/>
                <w:bCs w:val="1"/>
                <w:color w:val="auto"/>
                <w:w w:val="99"/>
              </w:rPr>
              <w:t>LPL Financial Holdings Inc.</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6680" w:type="dxa"/>
            <w:vAlign w:val="bottom"/>
            <w:gridSpan w:val="2"/>
          </w:tcPr>
          <w:p>
            <w:pPr>
              <w:jc w:val="center"/>
              <w:ind w:right="2203"/>
              <w:spacing w:after="0"/>
              <w:rPr>
                <w:sz w:val="20"/>
                <w:szCs w:val="20"/>
                <w:color w:val="auto"/>
              </w:rPr>
            </w:pPr>
            <w:r>
              <w:rPr>
                <w:rFonts w:ascii="Arial" w:cs="Arial" w:eastAsia="Arial" w:hAnsi="Arial"/>
                <w:sz w:val="11"/>
                <w:szCs w:val="11"/>
                <w:i w:val="1"/>
                <w:iCs w:val="1"/>
                <w:color w:val="auto"/>
                <w:w w:val="98"/>
              </w:rPr>
              <w:t>(Exact name of registrant as specified in its charter)</w:t>
            </w: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3180" w:type="dxa"/>
            <w:vAlign w:val="bottom"/>
          </w:tcPr>
          <w:p>
            <w:pPr>
              <w:jc w:val="center"/>
              <w:ind w:right="2356"/>
              <w:spacing w:after="0"/>
              <w:rPr>
                <w:sz w:val="20"/>
                <w:szCs w:val="20"/>
                <w:color w:val="auto"/>
              </w:rPr>
            </w:pPr>
            <w:r>
              <w:rPr>
                <w:rFonts w:ascii="Arial" w:cs="Arial" w:eastAsia="Arial" w:hAnsi="Arial"/>
                <w:sz w:val="12"/>
                <w:szCs w:val="12"/>
                <w:b w:val="1"/>
                <w:bCs w:val="1"/>
                <w:color w:val="auto"/>
                <w:w w:val="98"/>
              </w:rPr>
              <w:t>Delaware</w:t>
            </w:r>
          </w:p>
        </w:tc>
        <w:tc>
          <w:tcPr>
            <w:tcW w:w="3500" w:type="dxa"/>
            <w:vAlign w:val="bottom"/>
          </w:tcPr>
          <w:p>
            <w:pPr>
              <w:jc w:val="right"/>
              <w:ind w:right="443"/>
              <w:spacing w:after="0"/>
              <w:rPr>
                <w:sz w:val="20"/>
                <w:szCs w:val="20"/>
                <w:color w:val="auto"/>
              </w:rPr>
            </w:pPr>
            <w:r>
              <w:rPr>
                <w:rFonts w:ascii="Arial" w:cs="Arial" w:eastAsia="Arial" w:hAnsi="Arial"/>
                <w:sz w:val="12"/>
                <w:szCs w:val="12"/>
                <w:b w:val="1"/>
                <w:bCs w:val="1"/>
                <w:color w:val="auto"/>
              </w:rPr>
              <w:t>20-3717839</w:t>
            </w:r>
          </w:p>
        </w:tc>
        <w:tc>
          <w:tcPr>
            <w:tcW w:w="0" w:type="dxa"/>
            <w:vAlign w:val="bottom"/>
          </w:tcPr>
          <w:p>
            <w:pPr>
              <w:spacing w:after="0"/>
              <w:rPr>
                <w:sz w:val="1"/>
                <w:szCs w:val="1"/>
                <w:color w:val="auto"/>
              </w:rPr>
            </w:pPr>
          </w:p>
        </w:tc>
      </w:tr>
      <w:tr>
        <w:trPr>
          <w:trHeight w:val="142"/>
        </w:trPr>
        <w:tc>
          <w:tcPr>
            <w:tcW w:w="6620" w:type="dxa"/>
            <w:vAlign w:val="bottom"/>
            <w:gridSpan w:val="2"/>
          </w:tcPr>
          <w:p>
            <w:pPr>
              <w:jc w:val="center"/>
              <w:ind w:left="963"/>
              <w:spacing w:after="0"/>
              <w:rPr>
                <w:sz w:val="20"/>
                <w:szCs w:val="20"/>
                <w:color w:val="auto"/>
              </w:rPr>
            </w:pPr>
            <w:r>
              <w:rPr>
                <w:rFonts w:ascii="Arial" w:cs="Arial" w:eastAsia="Arial" w:hAnsi="Arial"/>
                <w:sz w:val="11"/>
                <w:szCs w:val="11"/>
                <w:i w:val="1"/>
                <w:iCs w:val="1"/>
                <w:color w:val="auto"/>
                <w:w w:val="98"/>
              </w:rPr>
              <w:t>(State or other jurisdiction of incorporation or organization)</w:t>
            </w:r>
          </w:p>
        </w:tc>
        <w:tc>
          <w:tcPr>
            <w:tcW w:w="3500" w:type="dxa"/>
            <w:vAlign w:val="bottom"/>
          </w:tcPr>
          <w:p>
            <w:pPr>
              <w:jc w:val="center"/>
              <w:ind w:left="1783"/>
              <w:spacing w:after="0"/>
              <w:rPr>
                <w:sz w:val="20"/>
                <w:szCs w:val="20"/>
                <w:color w:val="auto"/>
              </w:rPr>
            </w:pPr>
            <w:r>
              <w:rPr>
                <w:rFonts w:ascii="Arial" w:cs="Arial" w:eastAsia="Arial" w:hAnsi="Arial"/>
                <w:sz w:val="11"/>
                <w:szCs w:val="11"/>
                <w:i w:val="1"/>
                <w:iCs w:val="1"/>
                <w:color w:val="auto"/>
                <w:w w:val="98"/>
              </w:rPr>
              <w:t>(I.R.S. Employer Identification No.)</w:t>
            </w:r>
          </w:p>
        </w:tc>
        <w:tc>
          <w:tcPr>
            <w:tcW w:w="0" w:type="dxa"/>
            <w:vAlign w:val="bottom"/>
          </w:tcPr>
          <w:p>
            <w:pPr>
              <w:spacing w:after="0"/>
              <w:rPr>
                <w:sz w:val="1"/>
                <w:szCs w:val="1"/>
                <w:color w:val="auto"/>
              </w:rPr>
            </w:pPr>
          </w:p>
        </w:tc>
      </w:tr>
      <w:tr>
        <w:trPr>
          <w:trHeight w:val="254"/>
        </w:trPr>
        <w:tc>
          <w:tcPr>
            <w:tcW w:w="3440" w:type="dxa"/>
            <w:vAlign w:val="bottom"/>
          </w:tcPr>
          <w:p>
            <w:pPr>
              <w:spacing w:after="0"/>
              <w:rPr>
                <w:sz w:val="22"/>
                <w:szCs w:val="22"/>
                <w:color w:val="auto"/>
              </w:rPr>
            </w:pPr>
          </w:p>
        </w:tc>
        <w:tc>
          <w:tcPr>
            <w:tcW w:w="3180" w:type="dxa"/>
            <w:vAlign w:val="bottom"/>
          </w:tcPr>
          <w:p>
            <w:pPr>
              <w:ind w:left="1100"/>
              <w:spacing w:after="0"/>
              <w:rPr>
                <w:sz w:val="20"/>
                <w:szCs w:val="20"/>
                <w:color w:val="auto"/>
              </w:rPr>
            </w:pPr>
            <w:r>
              <w:rPr>
                <w:rFonts w:ascii="Arial" w:cs="Arial" w:eastAsia="Arial" w:hAnsi="Arial"/>
                <w:sz w:val="11"/>
                <w:szCs w:val="11"/>
                <w:b w:val="1"/>
                <w:bCs w:val="1"/>
                <w:color w:val="auto"/>
              </w:rPr>
              <w:t>4707 Executive</w:t>
            </w:r>
          </w:p>
        </w:tc>
        <w:tc>
          <w:tcPr>
            <w:tcW w:w="3500" w:type="dxa"/>
            <w:vAlign w:val="bottom"/>
            <w:vMerge w:val="restart"/>
          </w:tcPr>
          <w:p>
            <w:pPr>
              <w:jc w:val="right"/>
              <w:ind w:right="3063"/>
              <w:spacing w:after="0"/>
              <w:rPr>
                <w:sz w:val="20"/>
                <w:szCs w:val="20"/>
                <w:color w:val="auto"/>
              </w:rPr>
            </w:pPr>
            <w:r>
              <w:rPr>
                <w:rFonts w:ascii="Arial" w:cs="Arial" w:eastAsia="Arial" w:hAnsi="Arial"/>
                <w:sz w:val="11"/>
                <w:szCs w:val="11"/>
                <w:b w:val="1"/>
                <w:bCs w:val="1"/>
                <w:color w:val="auto"/>
              </w:rPr>
              <w:t>92121</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3180" w:type="dxa"/>
            <w:vAlign w:val="bottom"/>
          </w:tcPr>
          <w:p>
            <w:pPr>
              <w:ind w:left="1600"/>
              <w:spacing w:after="0"/>
              <w:rPr>
                <w:sz w:val="20"/>
                <w:szCs w:val="20"/>
                <w:color w:val="auto"/>
              </w:rPr>
            </w:pPr>
            <w:r>
              <w:rPr>
                <w:rFonts w:ascii="Arial" w:cs="Arial" w:eastAsia="Arial" w:hAnsi="Arial"/>
                <w:sz w:val="11"/>
                <w:szCs w:val="11"/>
                <w:b w:val="1"/>
                <w:bCs w:val="1"/>
                <w:color w:val="auto"/>
              </w:rPr>
              <w:t>Drive, San Diego,  California</w:t>
            </w:r>
          </w:p>
        </w:tc>
        <w:tc>
          <w:tcPr>
            <w:tcW w:w="3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6680" w:type="dxa"/>
            <w:vAlign w:val="bottom"/>
            <w:gridSpan w:val="2"/>
          </w:tcPr>
          <w:p>
            <w:pPr>
              <w:jc w:val="center"/>
              <w:ind w:right="2223"/>
              <w:spacing w:after="0"/>
              <w:rPr>
                <w:sz w:val="20"/>
                <w:szCs w:val="20"/>
                <w:color w:val="auto"/>
              </w:rPr>
            </w:pPr>
            <w:r>
              <w:rPr>
                <w:rFonts w:ascii="Arial" w:cs="Arial" w:eastAsia="Arial" w:hAnsi="Arial"/>
                <w:sz w:val="11"/>
                <w:szCs w:val="11"/>
                <w:i w:val="1"/>
                <w:iCs w:val="1"/>
                <w:color w:val="auto"/>
                <w:w w:val="98"/>
              </w:rPr>
              <w:t>(Address of principal executive offices) (Zip Code)</w:t>
            </w:r>
          </w:p>
        </w:tc>
        <w:tc>
          <w:tcPr>
            <w:tcW w:w="0" w:type="dxa"/>
            <w:vAlign w:val="bottom"/>
          </w:tcPr>
          <w:p>
            <w:pPr>
              <w:spacing w:after="0"/>
              <w:rPr>
                <w:sz w:val="1"/>
                <w:szCs w:val="1"/>
                <w:color w:val="auto"/>
              </w:rPr>
            </w:pPr>
          </w:p>
        </w:tc>
      </w:tr>
      <w:tr>
        <w:trPr>
          <w:trHeight w:val="314"/>
        </w:trPr>
        <w:tc>
          <w:tcPr>
            <w:tcW w:w="3440" w:type="dxa"/>
            <w:vAlign w:val="bottom"/>
          </w:tcPr>
          <w:p>
            <w:pPr>
              <w:spacing w:after="0"/>
              <w:rPr>
                <w:sz w:val="24"/>
                <w:szCs w:val="24"/>
                <w:color w:val="auto"/>
              </w:rPr>
            </w:pPr>
          </w:p>
        </w:tc>
        <w:tc>
          <w:tcPr>
            <w:tcW w:w="3180" w:type="dxa"/>
            <w:vAlign w:val="bottom"/>
          </w:tcPr>
          <w:p>
            <w:pPr>
              <w:jc w:val="right"/>
              <w:ind w:right="496"/>
              <w:spacing w:after="0"/>
              <w:rPr>
                <w:sz w:val="20"/>
                <w:szCs w:val="20"/>
                <w:color w:val="auto"/>
              </w:rPr>
            </w:pPr>
            <w:r>
              <w:rPr>
                <w:rFonts w:ascii="Arial" w:cs="Arial" w:eastAsia="Arial" w:hAnsi="Arial"/>
                <w:sz w:val="11"/>
                <w:szCs w:val="11"/>
                <w:b w:val="1"/>
                <w:bCs w:val="1"/>
                <w:color w:val="auto"/>
              </w:rPr>
              <w:t>(800) 877-7210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6680" w:type="dxa"/>
            <w:vAlign w:val="bottom"/>
            <w:gridSpan w:val="2"/>
          </w:tcPr>
          <w:p>
            <w:pPr>
              <w:jc w:val="center"/>
              <w:ind w:right="2223"/>
              <w:spacing w:after="0"/>
              <w:rPr>
                <w:sz w:val="20"/>
                <w:szCs w:val="20"/>
                <w:color w:val="auto"/>
              </w:rPr>
            </w:pPr>
            <w:r>
              <w:rPr>
                <w:rFonts w:ascii="Arial" w:cs="Arial" w:eastAsia="Arial" w:hAnsi="Arial"/>
                <w:sz w:val="11"/>
                <w:szCs w:val="11"/>
                <w:i w:val="1"/>
                <w:iCs w:val="1"/>
                <w:color w:val="auto"/>
                <w:w w:val="97"/>
              </w:rPr>
              <w:t>(Registrant’s telephone number, including area code)</w:t>
            </w:r>
          </w:p>
        </w:tc>
        <w:tc>
          <w:tcPr>
            <w:tcW w:w="0" w:type="dxa"/>
            <w:vAlign w:val="bottom"/>
          </w:tcPr>
          <w:p>
            <w:pPr>
              <w:spacing w:after="0"/>
              <w:rPr>
                <w:sz w:val="1"/>
                <w:szCs w:val="1"/>
                <w:color w:val="auto"/>
              </w:rPr>
            </w:pPr>
          </w:p>
        </w:tc>
      </w:tr>
      <w:tr>
        <w:trPr>
          <w:trHeight w:val="211"/>
        </w:trPr>
        <w:tc>
          <w:tcPr>
            <w:tcW w:w="3440" w:type="dxa"/>
            <w:vAlign w:val="bottom"/>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440" w:type="dxa"/>
            <w:vAlign w:val="bottom"/>
          </w:tcPr>
          <w:p>
            <w:pPr>
              <w:jc w:val="center"/>
              <w:ind w:left="903"/>
              <w:spacing w:after="0"/>
              <w:rPr>
                <w:sz w:val="20"/>
                <w:szCs w:val="20"/>
                <w:color w:val="auto"/>
              </w:rPr>
            </w:pPr>
            <w:r>
              <w:rPr>
                <w:rFonts w:ascii="Arial" w:cs="Arial" w:eastAsia="Arial" w:hAnsi="Arial"/>
                <w:sz w:val="11"/>
                <w:szCs w:val="11"/>
                <w:color w:val="auto"/>
              </w:rPr>
              <w:t>Title of each class</w:t>
            </w:r>
          </w:p>
        </w:tc>
        <w:tc>
          <w:tcPr>
            <w:tcW w:w="3180" w:type="dxa"/>
            <w:vAlign w:val="bottom"/>
          </w:tcPr>
          <w:p>
            <w:pPr>
              <w:jc w:val="center"/>
              <w:ind w:left="936"/>
              <w:spacing w:after="0"/>
              <w:rPr>
                <w:sz w:val="20"/>
                <w:szCs w:val="20"/>
                <w:color w:val="auto"/>
              </w:rPr>
            </w:pPr>
            <w:r>
              <w:rPr>
                <w:rFonts w:ascii="Arial" w:cs="Arial" w:eastAsia="Arial" w:hAnsi="Arial"/>
                <w:sz w:val="11"/>
                <w:szCs w:val="11"/>
                <w:color w:val="auto"/>
              </w:rPr>
              <w:t>Trading Symbol(s)</w:t>
            </w:r>
          </w:p>
        </w:tc>
        <w:tc>
          <w:tcPr>
            <w:tcW w:w="3500" w:type="dxa"/>
            <w:vAlign w:val="bottom"/>
          </w:tcPr>
          <w:p>
            <w:pPr>
              <w:jc w:val="center"/>
              <w:ind w:left="1003"/>
              <w:spacing w:after="0"/>
              <w:rPr>
                <w:sz w:val="20"/>
                <w:szCs w:val="20"/>
                <w:color w:val="auto"/>
              </w:rPr>
            </w:pPr>
            <w:r>
              <w:rPr>
                <w:rFonts w:ascii="Arial" w:cs="Arial" w:eastAsia="Arial" w:hAnsi="Arial"/>
                <w:sz w:val="11"/>
                <w:szCs w:val="11"/>
                <w:color w:val="auto"/>
              </w:rPr>
              <w:t>Name of each exchange on which registered</w:t>
            </w:r>
          </w:p>
        </w:tc>
        <w:tc>
          <w:tcPr>
            <w:tcW w:w="0" w:type="dxa"/>
            <w:vAlign w:val="bottom"/>
          </w:tcPr>
          <w:p>
            <w:pPr>
              <w:spacing w:after="0"/>
              <w:rPr>
                <w:sz w:val="1"/>
                <w:szCs w:val="1"/>
                <w:color w:val="auto"/>
              </w:rPr>
            </w:pPr>
          </w:p>
        </w:tc>
      </w:tr>
      <w:tr>
        <w:trPr>
          <w:trHeight w:val="153"/>
        </w:trPr>
        <w:tc>
          <w:tcPr>
            <w:tcW w:w="3440" w:type="dxa"/>
            <w:vAlign w:val="bottom"/>
          </w:tcPr>
          <w:p>
            <w:pPr>
              <w:jc w:val="center"/>
              <w:ind w:left="903"/>
              <w:spacing w:after="0"/>
              <w:rPr>
                <w:sz w:val="20"/>
                <w:szCs w:val="20"/>
                <w:color w:val="auto"/>
              </w:rPr>
            </w:pPr>
            <w:r>
              <w:rPr>
                <w:rFonts w:ascii="Arial" w:cs="Arial" w:eastAsia="Arial" w:hAnsi="Arial"/>
                <w:sz w:val="11"/>
                <w:szCs w:val="11"/>
                <w:color w:val="auto"/>
              </w:rPr>
              <w:t>Common Stock - $0.001 par value per share</w:t>
            </w:r>
          </w:p>
        </w:tc>
        <w:tc>
          <w:tcPr>
            <w:tcW w:w="3180" w:type="dxa"/>
            <w:vAlign w:val="bottom"/>
          </w:tcPr>
          <w:p>
            <w:pPr>
              <w:jc w:val="center"/>
              <w:ind w:left="916"/>
              <w:spacing w:after="0"/>
              <w:rPr>
                <w:sz w:val="20"/>
                <w:szCs w:val="20"/>
                <w:color w:val="auto"/>
              </w:rPr>
            </w:pPr>
            <w:r>
              <w:rPr>
                <w:rFonts w:ascii="Arial" w:cs="Arial" w:eastAsia="Arial" w:hAnsi="Arial"/>
                <w:sz w:val="11"/>
                <w:szCs w:val="11"/>
                <w:color w:val="auto"/>
              </w:rPr>
              <w:t>LPLA</w:t>
            </w:r>
          </w:p>
        </w:tc>
        <w:tc>
          <w:tcPr>
            <w:tcW w:w="3500" w:type="dxa"/>
            <w:vAlign w:val="bottom"/>
          </w:tcPr>
          <w:p>
            <w:pPr>
              <w:jc w:val="center"/>
              <w:ind w:left="1003"/>
              <w:spacing w:after="0"/>
              <w:rPr>
                <w:sz w:val="20"/>
                <w:szCs w:val="20"/>
                <w:color w:val="auto"/>
              </w:rPr>
            </w:pPr>
            <w:r>
              <w:rPr>
                <w:rFonts w:ascii="Arial" w:cs="Arial" w:eastAsia="Arial" w:hAnsi="Arial"/>
                <w:sz w:val="11"/>
                <w:szCs w:val="11"/>
                <w:color w:val="auto"/>
              </w:rPr>
              <w:t>The Nasdaq Global Select Market</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 w:right="180"/>
        <w:spacing w:after="0" w:line="286" w:lineRule="auto"/>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2"/>
          <w:szCs w:val="12"/>
          <w:b w:val="1"/>
          <w:bCs w:val="1"/>
          <w:color w:val="auto"/>
        </w:rPr>
        <w:t>x</w:t>
      </w:r>
      <w:r>
        <w:rPr>
          <w:rFonts w:ascii="Arial" w:cs="Arial" w:eastAsia="Arial" w:hAnsi="Arial"/>
          <w:sz w:val="12"/>
          <w:szCs w:val="12"/>
          <w:color w:val="auto"/>
        </w:rPr>
        <w:t xml:space="preserve"> Yes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No</w:t>
      </w:r>
    </w:p>
    <w:p>
      <w:pPr>
        <w:spacing w:after="0" w:line="31" w:lineRule="exact"/>
        <w:rPr>
          <w:sz w:val="24"/>
          <w:szCs w:val="24"/>
          <w:color w:val="auto"/>
        </w:rPr>
      </w:pPr>
    </w:p>
    <w:p>
      <w:pPr>
        <w:ind w:left="8" w:right="520"/>
        <w:spacing w:after="0" w:line="286" w:lineRule="auto"/>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2"/>
          <w:szCs w:val="12"/>
          <w:b w:val="1"/>
          <w:bCs w:val="1"/>
          <w:color w:val="auto"/>
        </w:rPr>
        <w:t>x</w:t>
      </w:r>
      <w:r>
        <w:rPr>
          <w:rFonts w:ascii="Arial" w:cs="Arial" w:eastAsia="Arial" w:hAnsi="Arial"/>
          <w:sz w:val="12"/>
          <w:szCs w:val="12"/>
          <w:color w:val="auto"/>
        </w:rPr>
        <w:t xml:space="preserve"> Yes </w:t>
      </w:r>
      <w:r>
        <w:rPr>
          <w:rFonts w:ascii="Wingdings" w:cs="Wingdings" w:eastAsia="Wingdings" w:hAnsi="Wingdings"/>
          <w:sz w:val="12"/>
          <w:szCs w:val="12"/>
          <w:b w:val="1"/>
          <w:bCs w:val="1"/>
          <w:color w:val="auto"/>
        </w:rPr>
        <w:t>o</w:t>
      </w:r>
      <w:r>
        <w:rPr>
          <w:rFonts w:ascii="Arial" w:cs="Arial" w:eastAsia="Arial" w:hAnsi="Arial"/>
          <w:sz w:val="12"/>
          <w:szCs w:val="12"/>
          <w:color w:val="auto"/>
        </w:rPr>
        <w:t xml:space="preserve"> No</w:t>
      </w:r>
    </w:p>
    <w:p>
      <w:pPr>
        <w:spacing w:after="0" w:line="31" w:lineRule="exact"/>
        <w:rPr>
          <w:sz w:val="24"/>
          <w:szCs w:val="24"/>
          <w:color w:val="auto"/>
        </w:rPr>
      </w:pPr>
    </w:p>
    <w:p>
      <w:pPr>
        <w:ind w:left="8" w:right="280"/>
        <w:spacing w:after="0" w:line="28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20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1260" w:type="dxa"/>
            <w:vAlign w:val="bottom"/>
          </w:tcPr>
          <w:p>
            <w:pPr>
              <w:ind w:left="880"/>
              <w:spacing w:after="0"/>
              <w:rPr>
                <w:sz w:val="20"/>
                <w:szCs w:val="20"/>
                <w:color w:val="auto"/>
              </w:rPr>
            </w:pPr>
            <w:r>
              <w:rPr>
                <w:rFonts w:ascii="Wingdings" w:cs="Wingdings" w:eastAsia="Wingdings" w:hAnsi="Wingdings"/>
                <w:sz w:val="12"/>
                <w:szCs w:val="12"/>
                <w:b w:val="1"/>
                <w:bCs w:val="1"/>
                <w:color w:val="auto"/>
              </w:rPr>
              <w:t>x</w:t>
            </w:r>
          </w:p>
        </w:tc>
        <w:tc>
          <w:tcPr>
            <w:tcW w:w="2840" w:type="dxa"/>
            <w:vAlign w:val="bottom"/>
          </w:tcPr>
          <w:p>
            <w:pPr>
              <w:ind w:left="260"/>
              <w:spacing w:after="0"/>
              <w:rPr>
                <w:sz w:val="20"/>
                <w:szCs w:val="20"/>
                <w:color w:val="auto"/>
              </w:rPr>
            </w:pPr>
            <w:r>
              <w:rPr>
                <w:rFonts w:ascii="Arial" w:cs="Arial" w:eastAsia="Arial" w:hAnsi="Arial"/>
                <w:sz w:val="12"/>
                <w:szCs w:val="12"/>
                <w:color w:val="auto"/>
              </w:rPr>
              <w:t>Accelerated filer</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2060" w:type="dxa"/>
            <w:vAlign w:val="bottom"/>
          </w:tcPr>
          <w:p>
            <w:pPr>
              <w:spacing w:after="0"/>
              <w:rPr>
                <w:sz w:val="20"/>
                <w:szCs w:val="20"/>
                <w:color w:val="auto"/>
              </w:rPr>
            </w:pPr>
            <w:r>
              <w:rPr>
                <w:rFonts w:ascii="Arial" w:cs="Arial" w:eastAsia="Arial" w:hAnsi="Arial"/>
                <w:sz w:val="12"/>
                <w:szCs w:val="12"/>
                <w:color w:val="auto"/>
              </w:rPr>
              <w:t>Non-accelerated filer</w:t>
            </w:r>
          </w:p>
        </w:tc>
        <w:tc>
          <w:tcPr>
            <w:tcW w:w="1260" w:type="dxa"/>
            <w:vAlign w:val="bottom"/>
          </w:tcPr>
          <w:p>
            <w:pPr>
              <w:ind w:left="880"/>
              <w:spacing w:after="0" w:line="121" w:lineRule="exact"/>
              <w:rPr>
                <w:sz w:val="20"/>
                <w:szCs w:val="20"/>
                <w:color w:val="auto"/>
              </w:rPr>
            </w:pPr>
            <w:r>
              <w:rPr>
                <w:rFonts w:ascii="MS PGothic" w:cs="MS PGothic" w:eastAsia="MS PGothic" w:hAnsi="MS PGothic"/>
                <w:sz w:val="12"/>
                <w:szCs w:val="12"/>
                <w:color w:val="auto"/>
              </w:rPr>
              <w:t>☐</w:t>
            </w:r>
          </w:p>
        </w:tc>
        <w:tc>
          <w:tcPr>
            <w:tcW w:w="2840" w:type="dxa"/>
            <w:vAlign w:val="bottom"/>
          </w:tcPr>
          <w:p>
            <w:pPr>
              <w:ind w:left="260"/>
              <w:spacing w:after="0"/>
              <w:rPr>
                <w:sz w:val="20"/>
                <w:szCs w:val="20"/>
                <w:color w:val="auto"/>
              </w:rPr>
            </w:pPr>
            <w:r>
              <w:rPr>
                <w:rFonts w:ascii="Arial" w:cs="Arial" w:eastAsia="Arial" w:hAnsi="Arial"/>
                <w:sz w:val="12"/>
                <w:szCs w:val="12"/>
                <w:color w:val="auto"/>
              </w:rPr>
              <w:t>Smaller reporting company</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40" w:type="dxa"/>
            <w:vAlign w:val="bottom"/>
          </w:tcPr>
          <w:p>
            <w:pPr>
              <w:ind w:left="260"/>
              <w:spacing w:after="0"/>
              <w:rPr>
                <w:sz w:val="20"/>
                <w:szCs w:val="20"/>
                <w:color w:val="auto"/>
              </w:rPr>
            </w:pPr>
            <w:r>
              <w:rPr>
                <w:rFonts w:ascii="Arial" w:cs="Arial" w:eastAsia="Arial" w:hAnsi="Arial"/>
                <w:sz w:val="12"/>
                <w:szCs w:val="12"/>
                <w:color w:val="auto"/>
              </w:rPr>
              <w:t>Emerging growth company</w:t>
            </w:r>
          </w:p>
        </w:tc>
        <w:tc>
          <w:tcPr>
            <w:tcW w:w="124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4" w:lineRule="exact"/>
        <w:rPr>
          <w:sz w:val="24"/>
          <w:szCs w:val="24"/>
          <w:color w:val="auto"/>
        </w:rPr>
      </w:pPr>
    </w:p>
    <w:p>
      <w:pPr>
        <w:ind w:left="8"/>
        <w:spacing w:after="0" w:line="286" w:lineRule="auto"/>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31"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15" w:lineRule="exact"/>
        <w:rPr>
          <w:sz w:val="24"/>
          <w:szCs w:val="24"/>
          <w:color w:val="auto"/>
        </w:rPr>
      </w:pPr>
    </w:p>
    <w:p>
      <w:pPr>
        <w:ind w:left="148" w:hanging="148"/>
        <w:spacing w:after="0"/>
        <w:tabs>
          <w:tab w:leader="none" w:pos="14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 xml:space="preserve">Yes  </w:t>
      </w:r>
      <w:r>
        <w:rPr>
          <w:rFonts w:ascii="Wingdings" w:cs="Wingdings" w:eastAsia="Wingdings" w:hAnsi="Wingdings"/>
          <w:sz w:val="12"/>
          <w:szCs w:val="12"/>
          <w:b w:val="1"/>
          <w:bCs w:val="1"/>
          <w:color w:val="auto"/>
        </w:rPr>
        <w:t>x</w:t>
      </w:r>
      <w:r>
        <w:rPr>
          <w:rFonts w:ascii="Arial" w:cs="Arial" w:eastAsia="Arial" w:hAnsi="Arial"/>
          <w:sz w:val="12"/>
          <w:szCs w:val="12"/>
          <w:color w:val="auto"/>
        </w:rPr>
        <w:t xml:space="preserve"> No</w:t>
      </w:r>
    </w:p>
    <w:p>
      <w:pPr>
        <w:spacing w:after="0" w:line="69" w:lineRule="exact"/>
        <w:rPr>
          <w:sz w:val="24"/>
          <w:szCs w:val="24"/>
          <w:color w:val="auto"/>
        </w:rPr>
      </w:pPr>
    </w:p>
    <w:p>
      <w:pPr>
        <w:ind w:left="8"/>
        <w:spacing w:after="0"/>
        <w:rPr>
          <w:sz w:val="20"/>
          <w:szCs w:val="20"/>
          <w:color w:val="auto"/>
        </w:rPr>
      </w:pPr>
      <w:r>
        <w:rPr>
          <w:rFonts w:ascii="Arial" w:cs="Arial" w:eastAsia="Arial" w:hAnsi="Arial"/>
          <w:sz w:val="12"/>
          <w:szCs w:val="12"/>
          <w:color w:val="auto"/>
        </w:rPr>
        <w:t>The number of shares of Common Stock, par value $0.001 per share, outstanding as of October 27, 2026 was 77,868,413.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456565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708660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11430"/>
                    </a:xfrm>
                    <a:prstGeom prst="rect">
                      <a:avLst/>
                    </a:prstGeom>
                    <a:noFill/>
                  </pic:spPr>
                </pic:pic>
              </a:graphicData>
            </a:graphic>
          </wp:anchor>
        </w:drawing>
      </w:r>
    </w:p>
    <w:p>
      <w:pPr>
        <w:sectPr>
          <w:pgSz w:w="11900" w:h="16838" w:orient="portrait"/>
          <w:cols w:equalWidth="0" w:num="1">
            <w:col w:w="11288"/>
          </w:cols>
          <w:pgMar w:left="292" w:top="99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10180" w:type="dxa"/>
            <w:vAlign w:val="bottom"/>
          </w:tcPr>
          <w:p>
            <w:pPr>
              <w:ind w:left="4520"/>
              <w:spacing w:after="0"/>
              <w:rPr>
                <w:sz w:val="20"/>
                <w:szCs w:val="20"/>
                <w:color w:val="auto"/>
              </w:rPr>
            </w:pPr>
            <w:r>
              <w:rPr>
                <w:rFonts w:ascii="Arial" w:cs="Arial" w:eastAsia="Arial" w:hAnsi="Arial"/>
                <w:sz w:val="11"/>
                <w:szCs w:val="11"/>
                <w:b w:val="1"/>
                <w:bCs w:val="1"/>
                <w:color w:val="auto"/>
              </w:rPr>
              <w:t>TABLE OF CONTENTS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Page</w:t>
            </w:r>
          </w:p>
        </w:tc>
      </w:tr>
      <w:tr>
        <w:trPr>
          <w:trHeight w:val="196"/>
        </w:trPr>
        <w:tc>
          <w:tcPr>
            <w:tcW w:w="10180" w:type="dxa"/>
            <w:vAlign w:val="bottom"/>
          </w:tcPr>
          <w:p>
            <w:pPr>
              <w:spacing w:after="0"/>
              <w:rPr>
                <w:sz w:val="20"/>
                <w:szCs w:val="20"/>
                <w:color w:val="auto"/>
              </w:rPr>
            </w:pPr>
            <w:r>
              <w:rPr>
                <w:rFonts w:ascii="Arial" w:cs="Arial" w:eastAsia="Arial" w:hAnsi="Arial"/>
                <w:sz w:val="11"/>
                <w:szCs w:val="11"/>
                <w:b w:val="1"/>
                <w:bCs w:val="1"/>
                <w:color w:val="0E32E1"/>
              </w:rPr>
              <w:t>WHERE YOU CAN FIND MORE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80"/>
              </w:rPr>
              <w:t>ii</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SPECIAL NOTE REGARDING FORWARD-LOOKING STATEMENTS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80"/>
              </w:rPr>
              <w:t>ii</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Glossary of Terms</w:t>
            </w:r>
          </w:p>
        </w:tc>
        <w:tc>
          <w:tcPr>
            <w:tcW w:w="1120" w:type="dxa"/>
            <w:vAlign w:val="bottom"/>
          </w:tcPr>
          <w:p>
            <w:pPr>
              <w:jc w:val="center"/>
              <w:spacing w:after="0"/>
              <w:rPr>
                <w:sz w:val="20"/>
                <w:szCs w:val="20"/>
                <w:color w:val="auto"/>
              </w:rPr>
            </w:pPr>
            <w:r>
              <w:rPr>
                <w:rFonts w:ascii="Arial" w:cs="Arial" w:eastAsia="Arial" w:hAnsi="Arial"/>
                <w:sz w:val="11"/>
                <w:szCs w:val="11"/>
                <w:color w:val="0E32E1"/>
              </w:rPr>
              <w:t>iv</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PART I — FINANCIAL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1. Financial Statements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19</w:t>
            </w:r>
          </w:p>
        </w:tc>
      </w:tr>
      <w:tr>
        <w:trPr>
          <w:trHeight w:val="142"/>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Income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19</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Financial Condition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20</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Stockholders’ Equity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21</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Condensed Consolidated Statements of Cash Flows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22</w:t>
            </w:r>
          </w:p>
        </w:tc>
      </w:tr>
      <w:tr>
        <w:trPr>
          <w:trHeight w:val="144"/>
        </w:trPr>
        <w:tc>
          <w:tcPr>
            <w:tcW w:w="10180" w:type="dxa"/>
            <w:vAlign w:val="bottom"/>
          </w:tcPr>
          <w:p>
            <w:pPr>
              <w:ind w:left="140"/>
              <w:spacing w:after="0"/>
              <w:rPr>
                <w:sz w:val="20"/>
                <w:szCs w:val="20"/>
                <w:color w:val="auto"/>
              </w:rPr>
            </w:pPr>
            <w:r>
              <w:rPr>
                <w:rFonts w:ascii="Arial" w:cs="Arial" w:eastAsia="Arial" w:hAnsi="Arial"/>
                <w:sz w:val="11"/>
                <w:szCs w:val="11"/>
                <w:color w:val="0E32E1"/>
              </w:rPr>
              <w:t>Notes to Condensed Consolidated Financial Statements (unaudited)</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1 - Organization and Description of the Company</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24</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2 - Summary of Significant Accounting Policies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25</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3 - Revenue</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26</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4 - Acquisitions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5 - Fair Value Measurements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32</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6 - Investment Securities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7 - Goodwill and Other Intangibles, Net</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8 - Other Assets and Other Liabilities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40</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9 - Corporate Debt and Other Borrowings, Net</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10 - Commitments and Contingencies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43</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11 - Stockholders’ Equity</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45</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12 - Share-based Compensation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45</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13 - Earnings per Share</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14 - Net Capital and Regulatory Requirements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15 - Financial Instruments with Off-Balance Sheet Credit Risk and Concentrations of Credit Risk</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16 - Segment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Note 17 - Subsequent Events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48</w:t>
            </w:r>
          </w:p>
        </w:tc>
      </w:tr>
      <w:tr>
        <w:trPr>
          <w:trHeight w:val="146"/>
        </w:trPr>
        <w:tc>
          <w:tcPr>
            <w:tcW w:w="10180" w:type="dxa"/>
            <w:vAlign w:val="bottom"/>
          </w:tcPr>
          <w:p>
            <w:pPr>
              <w:spacing w:after="0"/>
              <w:rPr>
                <w:sz w:val="20"/>
                <w:szCs w:val="20"/>
                <w:color w:val="auto"/>
              </w:rPr>
            </w:pPr>
            <w:r>
              <w:rPr>
                <w:rFonts w:ascii="Arial" w:cs="Arial" w:eastAsia="Arial" w:hAnsi="Arial"/>
                <w:sz w:val="11"/>
                <w:szCs w:val="11"/>
                <w:b w:val="1"/>
                <w:bCs w:val="1"/>
                <w:color w:val="0E32E1"/>
              </w:rPr>
              <w:t>2. Management’s Discussion and Analysis of Financial Condition and Results of Operations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2"/>
        </w:trPr>
        <w:tc>
          <w:tcPr>
            <w:tcW w:w="10180" w:type="dxa"/>
            <w:vAlign w:val="bottom"/>
          </w:tcPr>
          <w:p>
            <w:pPr>
              <w:ind w:left="300"/>
              <w:spacing w:after="0"/>
              <w:rPr>
                <w:sz w:val="20"/>
                <w:szCs w:val="20"/>
                <w:color w:val="auto"/>
              </w:rPr>
            </w:pPr>
            <w:r>
              <w:rPr>
                <w:rFonts w:ascii="Arial" w:cs="Arial" w:eastAsia="Arial" w:hAnsi="Arial"/>
                <w:sz w:val="11"/>
                <w:szCs w:val="11"/>
                <w:color w:val="0E32E1"/>
              </w:rPr>
              <w:t>Business Overview</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Our Sources of Revenue</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Executive Summary</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2</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Key Performance Metrics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3</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Legal and Regulatory Matters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Economic Overview and Impact of Financial Market Events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Results of Operations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8</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Liquidity and Capital Resources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13</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Debt and Related Covenants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16</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Contractual Obligations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Risk Management</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17</w:t>
            </w:r>
          </w:p>
        </w:tc>
      </w:tr>
      <w:tr>
        <w:trPr>
          <w:trHeight w:val="144"/>
        </w:trPr>
        <w:tc>
          <w:tcPr>
            <w:tcW w:w="10180" w:type="dxa"/>
            <w:vAlign w:val="bottom"/>
          </w:tcPr>
          <w:p>
            <w:pPr>
              <w:ind w:left="300"/>
              <w:spacing w:after="0"/>
              <w:rPr>
                <w:sz w:val="20"/>
                <w:szCs w:val="20"/>
                <w:color w:val="auto"/>
              </w:rPr>
            </w:pPr>
            <w:r>
              <w:rPr>
                <w:rFonts w:ascii="Arial" w:cs="Arial" w:eastAsia="Arial" w:hAnsi="Arial"/>
                <w:sz w:val="11"/>
                <w:szCs w:val="11"/>
                <w:color w:val="0E32E1"/>
              </w:rPr>
              <w:t>Critical Accounting Policies and Estimates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18</w:t>
            </w:r>
          </w:p>
        </w:tc>
      </w:tr>
      <w:tr>
        <w:trPr>
          <w:trHeight w:val="146"/>
        </w:trPr>
        <w:tc>
          <w:tcPr>
            <w:tcW w:w="10180" w:type="dxa"/>
            <w:vAlign w:val="bottom"/>
          </w:tcPr>
          <w:p>
            <w:pPr>
              <w:spacing w:after="0"/>
              <w:rPr>
                <w:sz w:val="20"/>
                <w:szCs w:val="20"/>
                <w:color w:val="auto"/>
              </w:rPr>
            </w:pPr>
            <w:r>
              <w:rPr>
                <w:rFonts w:ascii="Arial" w:cs="Arial" w:eastAsia="Arial" w:hAnsi="Arial"/>
                <w:sz w:val="11"/>
                <w:szCs w:val="11"/>
                <w:b w:val="1"/>
                <w:bCs w:val="1"/>
                <w:color w:val="0E32E1"/>
              </w:rPr>
              <w:t>3. Quantitative and Qualitative Disclosures About Market Risk</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49</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4. Controls and Procedures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51</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PART II — OTHER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51</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1. Legal Proceedings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51</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1A. Risk Factors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51</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2. Unregistered Sales of Equity Securities and Use of Proceeds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51</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3. Defaults Upon Senior Securities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52</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4. Mine Safety Disclosures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52</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5. Other Information</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52</w:t>
            </w:r>
          </w:p>
        </w:tc>
      </w:tr>
      <w:tr>
        <w:trPr>
          <w:trHeight w:val="144"/>
        </w:trPr>
        <w:tc>
          <w:tcPr>
            <w:tcW w:w="10180" w:type="dxa"/>
            <w:vAlign w:val="bottom"/>
          </w:tcPr>
          <w:p>
            <w:pPr>
              <w:spacing w:after="0"/>
              <w:rPr>
                <w:sz w:val="20"/>
                <w:szCs w:val="20"/>
                <w:color w:val="auto"/>
              </w:rPr>
            </w:pPr>
            <w:r>
              <w:rPr>
                <w:rFonts w:ascii="Arial" w:cs="Arial" w:eastAsia="Arial" w:hAnsi="Arial"/>
                <w:sz w:val="11"/>
                <w:szCs w:val="11"/>
                <w:b w:val="1"/>
                <w:bCs w:val="1"/>
                <w:color w:val="0E32E1"/>
              </w:rPr>
              <w:t>6. Exhibits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52</w:t>
            </w:r>
          </w:p>
        </w:tc>
      </w:tr>
      <w:tr>
        <w:trPr>
          <w:trHeight w:val="148"/>
        </w:trPr>
        <w:tc>
          <w:tcPr>
            <w:tcW w:w="10180" w:type="dxa"/>
            <w:vAlign w:val="bottom"/>
          </w:tcPr>
          <w:p>
            <w:pPr>
              <w:spacing w:after="0"/>
              <w:rPr>
                <w:sz w:val="20"/>
                <w:szCs w:val="20"/>
                <w:color w:val="auto"/>
              </w:rPr>
            </w:pPr>
            <w:r>
              <w:rPr>
                <w:rFonts w:ascii="Arial" w:cs="Arial" w:eastAsia="Arial" w:hAnsi="Arial"/>
                <w:sz w:val="11"/>
                <w:szCs w:val="11"/>
                <w:b w:val="1"/>
                <w:bCs w:val="1"/>
                <w:color w:val="0E32E1"/>
              </w:rPr>
              <w:t>SIGNATURES</w:t>
            </w:r>
          </w:p>
        </w:tc>
        <w:tc>
          <w:tcPr>
            <w:tcW w:w="1120" w:type="dxa"/>
            <w:vAlign w:val="bottom"/>
          </w:tcPr>
          <w:p>
            <w:pPr>
              <w:jc w:val="center"/>
              <w:spacing w:after="0"/>
              <w:rPr>
                <w:sz w:val="20"/>
                <w:szCs w:val="20"/>
                <w:color w:val="auto"/>
              </w:rPr>
            </w:pPr>
            <w:r>
              <w:rPr>
                <w:rFonts w:ascii="Arial" w:cs="Arial" w:eastAsia="Arial" w:hAnsi="Arial"/>
                <w:sz w:val="11"/>
                <w:szCs w:val="11"/>
                <w:color w:val="0E32E1"/>
                <w:w w:val="97"/>
              </w:rPr>
              <w:t>53</w:t>
            </w:r>
          </w:p>
        </w:tc>
      </w:tr>
    </w:tbl>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1"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0" w:lineRule="exact"/>
        <w:rPr>
          <w:sz w:val="20"/>
          <w:szCs w:val="20"/>
          <w:color w:val="auto"/>
        </w:rPr>
      </w:pPr>
    </w:p>
    <w:p>
      <w:pPr>
        <w:ind w:right="460"/>
        <w:spacing w:after="0" w:line="286" w:lineRule="auto"/>
        <w:rPr>
          <w:sz w:val="20"/>
          <w:szCs w:val="20"/>
          <w:color w:val="auto"/>
        </w:rPr>
      </w:pPr>
      <w:r>
        <w:rPr>
          <w:rFonts w:ascii="Arial" w:cs="Arial" w:eastAsia="Arial" w:hAnsi="Arial"/>
          <w:sz w:val="12"/>
          <w:szCs w:val="12"/>
          <w:color w:val="auto"/>
        </w:rPr>
        <w:t>We file annual, quarterly and current reports, proxy statements and other information required by the Securities Exchange Act of 1934, as amended (the “Exchange Act</w:t>
      </w:r>
      <w:r>
        <w:rPr>
          <w:rFonts w:ascii="Arial" w:cs="Arial" w:eastAsia="Arial" w:hAnsi="Arial"/>
          <w:sz w:val="12"/>
          <w:szCs w:val="12"/>
          <w:i w:val="1"/>
          <w:iCs w:val="1"/>
          <w:color w:val="auto"/>
        </w:rPr>
        <w:t>”</w:t>
      </w:r>
      <w:r>
        <w:rPr>
          <w:rFonts w:ascii="Arial" w:cs="Arial" w:eastAsia="Arial" w:hAnsi="Arial"/>
          <w:sz w:val="12"/>
          <w:szCs w:val="12"/>
          <w:color w:val="auto"/>
        </w:rPr>
        <w:t xml:space="preserve">), with the Securities and Exchange Commission (“SEC”). Our SEC filings are available to the public on the SEC’s website at </w:t>
      </w:r>
      <w:r>
        <w:rPr>
          <w:rFonts w:ascii="Arial" w:cs="Arial" w:eastAsia="Arial" w:hAnsi="Arial"/>
          <w:sz w:val="12"/>
          <w:szCs w:val="12"/>
          <w:u w:val="single" w:color="auto"/>
          <w:color w:val="auto"/>
        </w:rPr>
        <w:t>sec.gov</w:t>
      </w:r>
      <w:r>
        <w:rPr>
          <w:rFonts w:ascii="Arial" w:cs="Arial" w:eastAsia="Arial" w:hAnsi="Arial"/>
          <w:sz w:val="12"/>
          <w:szCs w:val="12"/>
          <w:i w:val="1"/>
          <w:iCs w:val="1"/>
          <w:color w:val="auto"/>
        </w:rPr>
        <w:t>.</w:t>
      </w:r>
    </w:p>
    <w:p>
      <w:pPr>
        <w:spacing w:after="0" w:line="31"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color w:val="auto"/>
        </w:rPr>
        <w:t>We post the following filings to our website at lpl.com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Copies of all such filings are available free of charge by request via email (investor.relations@lplfinancial.com), telephone ((617) 897-4574) or mail (LPL Financial Investor Relations at 1055 LPL Way, Fort Mill, SC 29715). The information contained or incorporated on our website is not a part of this Quarterly Report on Form 10-Q.</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may use our website as a means of disclosing material information and for complying with our disclosure obligations under Regulation Fair Disclosure promulgated by the SEC. These disclosures are included on our website in the “Investor Relations” or “Press Releases” sections. Accordingly, investors should monitor these portions of our website in addition to following the Company’s press releases, SEC filings, public conference calls and webcasts.</w:t>
      </w:r>
    </w:p>
    <w:p>
      <w:pPr>
        <w:spacing w:after="0" w:line="44"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i w:val="1"/>
          <w:iCs w:val="1"/>
          <w:color w:val="auto"/>
        </w:rPr>
        <w:t>When we use the terms “LPLFH,” “LPL,” “we,” “us,” “our” and “the Company,” we mean LPL Financial Holdings Inc., a Delaware corporation, and its consolidated subsidiaries, taken as a whole, unless the context otherwise indicates.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Statements in Part I, </w:t>
      </w:r>
      <w:r>
        <w:rPr>
          <w:rFonts w:ascii="Arial" w:cs="Arial" w:eastAsia="Arial" w:hAnsi="Arial"/>
          <w:sz w:val="12"/>
          <w:szCs w:val="12"/>
          <w:i w:val="1"/>
          <w:iCs w:val="1"/>
          <w:color w:val="auto"/>
        </w:rPr>
        <w:t>Item 2. “Management’s Discussion and Analysis of Financial Condition and Results of Operations”</w:t>
      </w:r>
      <w:r>
        <w:rPr>
          <w:rFonts w:ascii="Arial" w:cs="Arial" w:eastAsia="Arial" w:hAnsi="Arial"/>
          <w:sz w:val="12"/>
          <w:szCs w:val="12"/>
          <w:color w:val="auto"/>
        </w:rPr>
        <w:t xml:space="preserve"> and other sections of this Quarterly Report on Form 10-Q regarding:</w:t>
      </w:r>
    </w:p>
    <w:p>
      <w:pPr>
        <w:spacing w:after="0" w:line="78" w:lineRule="exact"/>
        <w:rPr>
          <w:sz w:val="20"/>
          <w:szCs w:val="20"/>
          <w:color w:val="auto"/>
        </w:rPr>
      </w:pPr>
    </w:p>
    <w:p>
      <w:pPr>
        <w:ind w:left="420" w:right="360" w:hanging="212"/>
        <w:spacing w:after="0" w:line="26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future financial and operating results, outlook, growth, plans, business strategies, liquidity, future share repurchases and dividends, including statements regarding future resolution of regulatory matters, legal proceedings and related costs;</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future revenue and expense;</w:t>
      </w:r>
    </w:p>
    <w:p>
      <w:pPr>
        <w:spacing w:after="0" w:line="6" w:lineRule="exact"/>
        <w:rPr>
          <w:rFonts w:ascii="Arial" w:cs="Arial" w:eastAsia="Arial" w:hAnsi="Arial"/>
          <w:sz w:val="12"/>
          <w:szCs w:val="12"/>
          <w:color w:val="auto"/>
        </w:rPr>
      </w:pPr>
    </w:p>
    <w:p>
      <w:pPr>
        <w:ind w:left="420" w:hanging="212"/>
        <w:spacing w:after="0" w:line="234"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future affiliation models and capabilities;</w:t>
      </w:r>
    </w:p>
    <w:p>
      <w:pPr>
        <w:ind w:left="420" w:hanging="212"/>
        <w:spacing w:after="0" w:line="242"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expected conversion, transition and onboarding of advisors, institutions and assets in connection with our acquisition and recruitment activity, including the conversion of assets of the broker-dealer and investment advisors acquired in connection with our acquisition of Commonwealth Financial Network (“Commonwealth”);</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market and macroeconomic trends, including the effects of inflation and the interest rate environment;</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projected savings and anticipated improvements to the Company’s operating model, services and technologies as a result of its investments, initiatives, programs and acquisitions;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any other statements that are not related to present facts or current conditions, or that are not purely historical, constitute forward-looking statements.</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These forward-looking statements reflect the Company’s expectations and objectives as of October 29, 2026. The words “anticipates,” “believes,” “expects,” “may,” “plans,” “predicts,” “will” and similar expressions are intended to identify forward-looking statements, although not all forward-looking statements contain these identifying words. Forward-looking statements are not guarantees that expectations or objectives expressed or implied by the Company will be achieved. The achievement of such expectations and objectives involves risks and uncertainties that may cause actual results, levels of activity or the timing of events to differ materially from those expressed or implied by forward-looking statements. Important factors that could cause or contribute to such differences include:</w:t>
      </w:r>
    </w:p>
    <w:p>
      <w:pPr>
        <w:spacing w:after="0" w:line="45"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general economic and financial market conditions, including retail investor sentiment;</w:t>
      </w:r>
    </w:p>
    <w:p>
      <w:pPr>
        <w:spacing w:after="0" w:line="18" w:lineRule="exact"/>
        <w:rPr>
          <w:rFonts w:ascii="Arial" w:cs="Arial" w:eastAsia="Arial" w:hAnsi="Arial"/>
          <w:sz w:val="12"/>
          <w:szCs w:val="12"/>
          <w:color w:val="auto"/>
        </w:rPr>
      </w:pPr>
    </w:p>
    <w:p>
      <w:pPr>
        <w:ind w:left="420" w:right="68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interest rates and fees payable by banks participating in the Company’s client cash programs, including the Company’s success in negotiating agreements with current or additional counterparties;</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Company’s strategy and success in managing client cash program fees;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fluctuations in the levels of advisory and brokerage assets, including net new assets, and the related impact on revenue;</w:t>
      </w:r>
    </w:p>
    <w:p>
      <w:pPr>
        <w:spacing w:after="0" w:line="6" w:lineRule="exact"/>
        <w:rPr>
          <w:rFonts w:ascii="Arial" w:cs="Arial" w:eastAsia="Arial" w:hAnsi="Arial"/>
          <w:sz w:val="12"/>
          <w:szCs w:val="12"/>
          <w:color w:val="auto"/>
        </w:rPr>
      </w:pPr>
    </w:p>
    <w:p>
      <w:pPr>
        <w:ind w:left="420" w:right="380" w:hanging="212"/>
        <w:spacing w:after="0" w:line="265"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effects of competition in the financial services industry and the success of the Company in attracting and retaining financial advisors and institutions, and their ability to provide financial products and services effectively;</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3" w:name="page4"/>
    <w:bookmarkEnd w:id="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whether retail investors served by newly-recruited advisors choose to move their respective assets to new accounts at the Company;</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difficulties and delays in onboarding the assets of acquired, recruited or transitioned advisors, including the receipt and timing of regulatory approvals that may be required;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disruptions in the businesses of the Company that could make it more difficult to maintain relationships with advisors and their clients;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choice by clients of acquired, recruited or transitioned advisors not to open brokerage and/or advisory accounts at the Company;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in the growth and profitability of the Company’s fee-based offerings and asset-based revenues;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effect of current, pending and future legislation, regulation and regulatory actions, including disciplinary actions imposed by federal and state regulators and self-regulatory organizations;</w:t>
      </w:r>
    </w:p>
    <w:p>
      <w:pPr>
        <w:spacing w:after="0" w:line="6" w:lineRule="exact"/>
        <w:rPr>
          <w:rFonts w:ascii="Arial" w:cs="Arial" w:eastAsia="Arial" w:hAnsi="Arial"/>
          <w:sz w:val="12"/>
          <w:szCs w:val="12"/>
          <w:color w:val="auto"/>
        </w:rPr>
      </w:pPr>
    </w:p>
    <w:p>
      <w:pPr>
        <w:ind w:left="420" w:right="12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cost of defending, settling and remediating issues related to regulatory matters or legal proceedings, including civil monetary penalties or actual costs of reimbursing customers for losses in excess of our reserves or insurance;</w:t>
      </w:r>
    </w:p>
    <w:p>
      <w:pPr>
        <w:ind w:left="420" w:right="120" w:hanging="212"/>
        <w:spacing w:after="0" w:line="242"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made to the Company’s services and pricing, including in response to competitive developments and current, pending and future legislation, regulation and regulatory actions, and the effect that such changes may have on the Company’s gross profit streams and costs;</w:t>
      </w:r>
    </w:p>
    <w:p>
      <w:pPr>
        <w:ind w:left="420" w:hanging="212"/>
        <w:spacing w:after="0"/>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execution of the Company’s capital management plans, including its compliance with the terms of the Company’s amended and restated credit agreement (the “Credit Agreement”), the committed revolving credit facility at our primary broker-dealer subsidiary, LPL Financial LLC (the “Broker-Dealer Revolving Credit Facility”), and the indentures governing the Company’s senior unsecured notes (the “Indentures”);</w:t>
      </w:r>
    </w:p>
    <w:p>
      <w:pPr>
        <w:ind w:left="420" w:right="30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strategic acquisitions and investments, including pursuant to the Company’s Liquidity &amp; Succession solution, and the effect that such acquisitions and investments may have on the Company’s capital management plans and liquidity;</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price, availability and trading volumes of shares of the Company’s common stock, which will affect the timing and size of future share repurchases by the Company, if any;</w:t>
      </w:r>
    </w:p>
    <w:p>
      <w:pPr>
        <w:spacing w:after="0" w:line="6" w:lineRule="exact"/>
        <w:rPr>
          <w:rFonts w:ascii="Arial" w:cs="Arial" w:eastAsia="Arial" w:hAnsi="Arial"/>
          <w:sz w:val="12"/>
          <w:szCs w:val="12"/>
          <w:color w:val="auto"/>
        </w:rPr>
      </w:pPr>
    </w:p>
    <w:p>
      <w:pPr>
        <w:ind w:left="420" w:right="28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execution of the Company’s plans and its success in realizing the synergies, expense savings, service improvements or efficiencies expected to result from its investments, initiatives and acquisitions, expense plans and technology initiatives;</w:t>
      </w: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whether advisors affiliated with Commonwealth will transition registration to the Company and whether assets reported as serviced by such financial advisors will translate into assets of the Company;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performance of third-party service providers to which business processes have been transitioned;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ability to control operating risks, information technology systems risks, cybersecurity risks and sourcing risks;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other factors set forth in the Company’s most recent Annual Report on Form 10-K, as may be amended or updated in the Company’s Quarterly Reports on Form 10-Q.</w:t>
      </w:r>
    </w:p>
    <w:p>
      <w:pPr>
        <w:spacing w:after="0" w:line="156"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Except as required by law, the Company specifically disclaims any obligation to update any forward-looking statements as a result of developments occurring after the date of this Quarterly Report on Form 10-Q, and you should not rely on statements contained herein as representing the Company’s view as of any date subsequent to the date of this Quarterly Report on Form 10-Q.</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4" w:name="page5"/>
    <w:bookmarkEnd w:id="4"/>
    <w:p>
      <w:pPr>
        <w:spacing w:after="0"/>
        <w:rPr>
          <w:sz w:val="20"/>
          <w:szCs w:val="20"/>
          <w:color w:val="auto"/>
        </w:rPr>
      </w:pPr>
      <w:r>
        <w:rPr>
          <w:rFonts w:ascii="Arial" w:cs="Arial" w:eastAsia="Arial" w:hAnsi="Arial"/>
          <w:sz w:val="12"/>
          <w:szCs w:val="12"/>
          <w:u w:val="single" w:color="auto"/>
          <w:color w:val="0000FF"/>
        </w:rPr>
        <w:t>Table of Contents</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GLOSSARY OF TERMS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Acquisition Costs: </w:t>
      </w:r>
      <w:r>
        <w:rPr>
          <w:rFonts w:ascii="Arial" w:cs="Arial" w:eastAsia="Arial" w:hAnsi="Arial"/>
          <w:sz w:val="12"/>
          <w:szCs w:val="12"/>
          <w:color w:val="auto"/>
        </w:rPr>
        <w:t>Expenses that include the costs to setup, onboard and integrate acquired entities and other costs that were incurred as a result of the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color w:val="auto"/>
        </w:rPr>
        <w:t>A non-GAAP financial measure defined as EBITDA plus acquisition costs excluding interest.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EPS: </w:t>
      </w:r>
      <w:r>
        <w:rPr>
          <w:rFonts w:ascii="Arial" w:cs="Arial" w:eastAsia="Arial" w:hAnsi="Arial"/>
          <w:sz w:val="12"/>
          <w:szCs w:val="12"/>
          <w:color w:val="auto"/>
        </w:rPr>
        <w:t>A non-GAAP financial measure defined as Adjusted Net Income divided by the weighted average number of diluted shares outstanding for the applicable period.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Net Income: </w:t>
      </w:r>
      <w:r>
        <w:rPr>
          <w:rFonts w:ascii="Arial" w:cs="Arial" w:eastAsia="Arial" w:hAnsi="Arial"/>
          <w:sz w:val="12"/>
          <w:szCs w:val="12"/>
          <w:color w:val="auto"/>
        </w:rPr>
        <w:t>A non-GAAP financial measure defined as net income (loss) plus the after-tax impact of amortization of other intangibles and acquisition costs.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Basis Point: </w:t>
      </w:r>
      <w:r>
        <w:rPr>
          <w:rFonts w:ascii="Arial" w:cs="Arial" w:eastAsia="Arial" w:hAnsi="Arial"/>
          <w:sz w:val="12"/>
          <w:szCs w:val="12"/>
          <w:color w:val="auto"/>
        </w:rPr>
        <w:t>One basis point equals 1/100th of 1%.</w:t>
      </w:r>
    </w:p>
    <w:p>
      <w:pPr>
        <w:spacing w:after="0" w:line="78" w:lineRule="exact"/>
        <w:rPr>
          <w:sz w:val="20"/>
          <w:szCs w:val="20"/>
          <w:color w:val="auto"/>
        </w:rPr>
      </w:pPr>
    </w:p>
    <w:p>
      <w:pPr>
        <w:ind w:right="280"/>
        <w:spacing w:after="0" w:line="268" w:lineRule="auto"/>
        <w:rPr>
          <w:sz w:val="20"/>
          <w:szCs w:val="20"/>
          <w:color w:val="auto"/>
        </w:rPr>
      </w:pPr>
      <w:r>
        <w:rPr>
          <w:rFonts w:ascii="Arial" w:cs="Arial" w:eastAsia="Arial" w:hAnsi="Arial"/>
          <w:sz w:val="12"/>
          <w:szCs w:val="12"/>
          <w:b w:val="1"/>
          <w:bCs w:val="1"/>
          <w:color w:val="auto"/>
        </w:rPr>
        <w:t xml:space="preserve">Core G&amp;A: </w:t>
      </w:r>
      <w:r>
        <w:rPr>
          <w:rFonts w:ascii="Arial" w:cs="Arial" w:eastAsia="Arial" w:hAnsi="Arial"/>
          <w:sz w:val="12"/>
          <w:szCs w:val="12"/>
          <w:color w:val="auto"/>
        </w:rPr>
        <w:t>A non-GAAP financial measure defined as total expense excluding the following expenses: advisory and commission; depreciation and amortization; interest expense on borrowings; brokerage,</w:t>
      </w:r>
      <w:r>
        <w:rPr>
          <w:rFonts w:ascii="Arial" w:cs="Arial" w:eastAsia="Arial" w:hAnsi="Arial"/>
          <w:sz w:val="12"/>
          <w:szCs w:val="12"/>
          <w:b w:val="1"/>
          <w:bCs w:val="1"/>
          <w:color w:val="auto"/>
        </w:rPr>
        <w:t xml:space="preserve"> </w:t>
      </w:r>
      <w:r>
        <w:rPr>
          <w:rFonts w:ascii="Arial" w:cs="Arial" w:eastAsia="Arial" w:hAnsi="Arial"/>
          <w:sz w:val="12"/>
          <w:szCs w:val="12"/>
          <w:color w:val="auto"/>
        </w:rPr>
        <w:t>clearing and exchange; amortization of other intangibles; market fluctuations on employee deferred compensation; promotional (ongoing); employee share-based compensation; regulatory charges; acquisition costs excluding interest; and transition assistance loan amortization.</w:t>
      </w:r>
    </w:p>
    <w:p>
      <w:pPr>
        <w:spacing w:after="0" w:line="4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b w:val="1"/>
          <w:bCs w:val="1"/>
          <w:color w:val="auto"/>
        </w:rPr>
        <w:t xml:space="preserve">Corporate Cash: </w:t>
      </w:r>
      <w:r>
        <w:rPr>
          <w:rFonts w:ascii="Arial" w:cs="Arial" w:eastAsia="Arial" w:hAnsi="Arial"/>
          <w:sz w:val="12"/>
          <w:szCs w:val="12"/>
          <w:color w:val="auto"/>
        </w:rPr>
        <w:t>A component of cash and equivalents that includes the sum of cash and equivalents from the following: (1) cash and equivalents held at LPL Holdings, Inc., (2) cash and equivalents held at</w:t>
      </w:r>
      <w:r>
        <w:rPr>
          <w:rFonts w:ascii="Arial" w:cs="Arial" w:eastAsia="Arial" w:hAnsi="Arial"/>
          <w:sz w:val="12"/>
          <w:szCs w:val="12"/>
          <w:b w:val="1"/>
          <w:bCs w:val="1"/>
          <w:color w:val="auto"/>
        </w:rPr>
        <w:t xml:space="preserve"> </w:t>
      </w:r>
      <w:r>
        <w:rPr>
          <w:rFonts w:ascii="Arial" w:cs="Arial" w:eastAsia="Arial" w:hAnsi="Arial"/>
          <w:sz w:val="12"/>
          <w:szCs w:val="12"/>
          <w:color w:val="auto"/>
        </w:rPr>
        <w:t>regulated subsidiaries as defined by the Company’s Credit Agreement, which include LPL Financial LLC, LPL Enterprise, LLC, The Private Trust Company, N.A., and Commonwealth Equity Services, LLC (“CES”), in excess of the capital requirements of the Company’s Credit Agreement and (3) cash and equivalents held at non-regulated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Credit Agreement: </w:t>
      </w:r>
      <w:r>
        <w:rPr>
          <w:rFonts w:ascii="Arial" w:cs="Arial" w:eastAsia="Arial" w:hAnsi="Arial"/>
          <w:sz w:val="12"/>
          <w:szCs w:val="12"/>
          <w:color w:val="auto"/>
        </w:rPr>
        <w:t>The Company’s amended and restated credit agreement.</w:t>
      </w:r>
    </w:p>
    <w:p>
      <w:pPr>
        <w:spacing w:after="0" w:line="78"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b w:val="1"/>
          <w:bCs w:val="1"/>
          <w:color w:val="auto"/>
        </w:rPr>
        <w:t xml:space="preserve">Credit Agreement EBITDA: </w:t>
      </w:r>
      <w:r>
        <w:rPr>
          <w:rFonts w:ascii="Arial" w:cs="Arial" w:eastAsia="Arial" w:hAnsi="Arial"/>
          <w:sz w:val="12"/>
          <w:szCs w:val="12"/>
          <w:color w:val="auto"/>
        </w:rPr>
        <w:t>A non-GAAP financial measure defined in the Credit Agreement as “Consolidated EBITDA,” which is Consolidated Net Income (as defined in the Credit Agreement) plus interest</w:t>
      </w:r>
      <w:r>
        <w:rPr>
          <w:rFonts w:ascii="Arial" w:cs="Arial" w:eastAsia="Arial" w:hAnsi="Arial"/>
          <w:sz w:val="12"/>
          <w:szCs w:val="12"/>
          <w:b w:val="1"/>
          <w:bCs w:val="1"/>
          <w:color w:val="auto"/>
        </w:rPr>
        <w:t xml:space="preserve"> </w:t>
      </w:r>
      <w:r>
        <w:rPr>
          <w:rFonts w:ascii="Arial" w:cs="Arial" w:eastAsia="Arial" w:hAnsi="Arial"/>
          <w:sz w:val="12"/>
          <w:szCs w:val="12"/>
          <w:color w:val="auto"/>
        </w:rPr>
        <w:t>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spacing w:after="0" w:line="42" w:lineRule="exact"/>
        <w:rPr>
          <w:sz w:val="20"/>
          <w:szCs w:val="20"/>
          <w:color w:val="auto"/>
        </w:rPr>
      </w:pPr>
    </w:p>
    <w:p>
      <w:pPr>
        <w:ind w:right="400"/>
        <w:spacing w:after="0" w:line="286" w:lineRule="auto"/>
        <w:rPr>
          <w:sz w:val="20"/>
          <w:szCs w:val="20"/>
          <w:color w:val="auto"/>
        </w:rPr>
      </w:pPr>
      <w:r>
        <w:rPr>
          <w:rFonts w:ascii="Arial" w:cs="Arial" w:eastAsia="Arial" w:hAnsi="Arial"/>
          <w:sz w:val="12"/>
          <w:szCs w:val="12"/>
          <w:b w:val="1"/>
          <w:bCs w:val="1"/>
          <w:color w:val="auto"/>
        </w:rPr>
        <w:t xml:space="preserve">EBITDA: </w:t>
      </w:r>
      <w:r>
        <w:rPr>
          <w:rFonts w:ascii="Arial" w:cs="Arial" w:eastAsia="Arial" w:hAnsi="Arial"/>
          <w:sz w:val="12"/>
          <w:szCs w:val="12"/>
          <w:color w:val="auto"/>
        </w:rPr>
        <w:t>A non-GAAP financial measure defined as net income (loss) plus interest expense on borrowings, provision for (benefit from) income taxes, depreciation and amortization, and amortization of other</w:t>
      </w:r>
      <w:r>
        <w:rPr>
          <w:rFonts w:ascii="Arial" w:cs="Arial" w:eastAsia="Arial" w:hAnsi="Arial"/>
          <w:sz w:val="12"/>
          <w:szCs w:val="12"/>
          <w:b w:val="1"/>
          <w:bCs w:val="1"/>
          <w:color w:val="auto"/>
        </w:rPr>
        <w:t xml:space="preserve"> </w:t>
      </w:r>
      <w:r>
        <w:rPr>
          <w:rFonts w:ascii="Arial" w:cs="Arial" w:eastAsia="Arial" w:hAnsi="Arial"/>
          <w:sz w:val="12"/>
          <w:szCs w:val="12"/>
          <w:color w:val="auto"/>
        </w:rPr>
        <w:t>intangibles.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FINRA: </w:t>
      </w:r>
      <w:r>
        <w:rPr>
          <w:rFonts w:ascii="Arial" w:cs="Arial" w:eastAsia="Arial" w:hAnsi="Arial"/>
          <w:sz w:val="12"/>
          <w:szCs w:val="12"/>
          <w:color w:val="auto"/>
        </w:rPr>
        <w:t>The Financial Industry Regulatory Authority.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GAAP: </w:t>
      </w:r>
      <w:r>
        <w:rPr>
          <w:rFonts w:ascii="Arial" w:cs="Arial" w:eastAsia="Arial" w:hAnsi="Arial"/>
          <w:sz w:val="12"/>
          <w:szCs w:val="12"/>
          <w:color w:val="auto"/>
        </w:rPr>
        <w:t>Accounting principles generally accepted in the United States of America.</w:t>
      </w:r>
    </w:p>
    <w:p>
      <w:pPr>
        <w:spacing w:after="0" w:line="78" w:lineRule="exact"/>
        <w:rPr>
          <w:sz w:val="20"/>
          <w:szCs w:val="20"/>
          <w:color w:val="auto"/>
        </w:rPr>
      </w:pPr>
    </w:p>
    <w:p>
      <w:pPr>
        <w:ind w:right="580"/>
        <w:spacing w:after="0" w:line="286" w:lineRule="auto"/>
        <w:rPr>
          <w:sz w:val="20"/>
          <w:szCs w:val="20"/>
          <w:color w:val="auto"/>
        </w:rPr>
      </w:pPr>
      <w:r>
        <w:rPr>
          <w:rFonts w:ascii="Arial" w:cs="Arial" w:eastAsia="Arial" w:hAnsi="Arial"/>
          <w:sz w:val="12"/>
          <w:szCs w:val="12"/>
          <w:b w:val="1"/>
          <w:bCs w:val="1"/>
          <w:color w:val="auto"/>
        </w:rPr>
        <w:t xml:space="preserve">Gross Profit: </w:t>
      </w:r>
      <w:r>
        <w:rPr>
          <w:rFonts w:ascii="Arial" w:cs="Arial" w:eastAsia="Arial" w:hAnsi="Arial"/>
          <w:sz w:val="12"/>
          <w:szCs w:val="12"/>
          <w:color w:val="auto"/>
        </w:rPr>
        <w:t>A non-GAAP financial measure defined as total revenue less advisory and commission expense; brokerage, clearing and exchange expense; and market fluctuations on employee deferred</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Indentures: </w:t>
      </w:r>
      <w:r>
        <w:rPr>
          <w:rFonts w:ascii="Arial" w:cs="Arial" w:eastAsia="Arial" w:hAnsi="Arial"/>
          <w:sz w:val="12"/>
          <w:szCs w:val="12"/>
          <w:color w:val="auto"/>
        </w:rPr>
        <w:t>The indentures governing the Company’s senior unsecured notes.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Leverage Ratio: </w:t>
      </w:r>
      <w:r>
        <w:rPr>
          <w:rFonts w:ascii="Arial" w:cs="Arial" w:eastAsia="Arial" w:hAnsi="Arial"/>
          <w:sz w:val="12"/>
          <w:szCs w:val="12"/>
          <w:color w:val="auto"/>
        </w:rPr>
        <w:t>A financial metric from our Credit Agreement that is calculated by dividing Credit Agreement net debt, which equals consolidated total debt less Corporate Cash, by Credit Agreement EBITDA.</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NFA: </w:t>
      </w:r>
      <w:r>
        <w:rPr>
          <w:rFonts w:ascii="Arial" w:cs="Arial" w:eastAsia="Arial" w:hAnsi="Arial"/>
          <w:sz w:val="12"/>
          <w:szCs w:val="12"/>
          <w:color w:val="auto"/>
        </w:rPr>
        <w:t>The National Futures Association.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OCC: </w:t>
      </w:r>
      <w:r>
        <w:rPr>
          <w:rFonts w:ascii="Arial" w:cs="Arial" w:eastAsia="Arial" w:hAnsi="Arial"/>
          <w:sz w:val="12"/>
          <w:szCs w:val="12"/>
          <w:color w:val="auto"/>
        </w:rPr>
        <w:t>The Office of the Comptroller of the Currency.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RIA: </w:t>
      </w:r>
      <w:r>
        <w:rPr>
          <w:rFonts w:ascii="Arial" w:cs="Arial" w:eastAsia="Arial" w:hAnsi="Arial"/>
          <w:sz w:val="12"/>
          <w:szCs w:val="12"/>
          <w:color w:val="auto"/>
        </w:rPr>
        <w:t>Registered investment adviser.</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SEC: </w:t>
      </w:r>
      <w:r>
        <w:rPr>
          <w:rFonts w:ascii="Arial" w:cs="Arial" w:eastAsia="Arial" w:hAnsi="Arial"/>
          <w:sz w:val="12"/>
          <w:szCs w:val="12"/>
          <w:color w:val="auto"/>
        </w:rPr>
        <w:t>The U.S. Securities and Exchange Commission.</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Uniform Net Capital Rule: </w:t>
      </w:r>
      <w:r>
        <w:rPr>
          <w:rFonts w:ascii="Arial" w:cs="Arial" w:eastAsia="Arial" w:hAnsi="Arial"/>
          <w:sz w:val="11"/>
          <w:szCs w:val="11"/>
          <w:color w:val="auto"/>
        </w:rPr>
        <w:t>Refers to Rule 15c3-1 under the Exchange Act, which specifies minimum capital requirements that are intended to ensure the general financial soundness and liquidity of broker-dealers.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 FINANCIAL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78"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LPL serves the financial advisor-mediated marketplace as the nation’s largest independent broker-dealer, a leading investment advisory firm and a top custodian. We support more than 32,000 financial advisors, and the wealth management practices of approximately 1,100 financial institutions, servicing and custodying approximately $2.6 trillion in brokerage and advisory assets. The firm provides a wide range of advisor affiliation models, investment solutions, fintech tools and practice management services, ensuring that advisors and institutions have the flexibility to choose the business model, services, and technology resources they need to run successful businesses.</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2"/>
          <w:szCs w:val="12"/>
          <w:color w:val="auto"/>
        </w:rPr>
        <w:t>We are steadfast in our commitment to the advisor-mediated model and the belief that investors deserve access to personalized guidance from a financial advisor. We believe advisors should have the freedom to choose the business model, services and technology they need and to manage their client relationships. We believe investors achieve better outcomes when working with a financial advisor, and we strive to make it easy for advisors to do what is best for their clients.</w:t>
      </w:r>
    </w:p>
    <w:p>
      <w:pPr>
        <w:spacing w:after="0" w:line="42"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We believe that we are the only company that offers the unique combination of an integrated technology platform, comprehensive self-clearing services and access to a wide range of curated non-proprietary products all delivered in an environment unencumbered by conflicts from product manufacturing, underwriting and market-making.</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Sources of Revenue</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Our revenue is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 through our insured bank sweep vehicles, money market account balances and the access we provide to a variety of product providers with the following product lines:</w:t>
      </w:r>
    </w:p>
    <w:p>
      <w:pPr>
        <w:sectPr>
          <w:pgSz w:w="11900" w:h="16838" w:orient="portrait"/>
          <w:cols w:equalWidth="0" w:num="1">
            <w:col w:w="11260"/>
          </w:cols>
          <w:pgMar w:left="300" w:top="128" w:right="339" w:bottom="1440" w:gutter="0" w:footer="0" w:header="0"/>
        </w:sectPr>
      </w:pPr>
    </w:p>
    <w:p>
      <w:pPr>
        <w:spacing w:after="0" w:line="10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Alternative Investments</w:t>
      </w:r>
    </w:p>
    <w:p>
      <w:pPr>
        <w:spacing w:after="0" w:line="21"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Annuities</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 Exchange Traded Products</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Insurance Based Products</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 Mutual Funds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 Retirement Plan Products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 Separately Managed Accounts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Structured Products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 Unit Investment Trusts</w:t>
      </w:r>
    </w:p>
    <w:p>
      <w:pPr>
        <w:spacing w:after="0" w:line="288" w:lineRule="exact"/>
        <w:rPr>
          <w:sz w:val="20"/>
          <w:szCs w:val="20"/>
          <w:color w:val="auto"/>
        </w:rPr>
      </w:pPr>
    </w:p>
    <w:p>
      <w:pPr>
        <w:sectPr>
          <w:pgSz w:w="11900" w:h="16838" w:orient="portrait"/>
          <w:cols w:equalWidth="0" w:num="2">
            <w:col w:w="5580" w:space="720"/>
            <w:col w:w="4960"/>
          </w:cols>
          <w:pgMar w:left="300" w:top="128" w:right="339" w:bottom="1440" w:gutter="0" w:footer="0" w:header="0"/>
          <w:type w:val="continuous"/>
        </w:sectPr>
      </w:pPr>
    </w:p>
    <w:p>
      <w:pPr>
        <w:ind w:right="100"/>
        <w:spacing w:after="0" w:line="262" w:lineRule="auto"/>
        <w:rPr>
          <w:sz w:val="20"/>
          <w:szCs w:val="20"/>
          <w:color w:val="auto"/>
        </w:rPr>
      </w:pPr>
      <w:r>
        <w:rPr>
          <w:rFonts w:ascii="Arial" w:cs="Arial" w:eastAsia="Arial" w:hAnsi="Arial"/>
          <w:sz w:val="12"/>
          <w:szCs w:val="12"/>
          <w:color w:val="auto"/>
        </w:rPr>
        <w:t>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sponsors pay us fees based on asset levels or number of accounts managed. We also earn interest from margin loans made to our advisors’ clients, cash and equivalents segregated under federal or other regulations, advisor repayable loans and operating cash, which is included in interest income, net in the condensed consolidated statements of income. A portion of our revenue is not asset-based or correlated with the equity financial markets.</w:t>
      </w:r>
    </w:p>
    <w:p>
      <w:pPr>
        <w:spacing w:after="0" w:line="45" w:lineRule="exact"/>
        <w:rPr>
          <w:sz w:val="20"/>
          <w:szCs w:val="20"/>
          <w:color w:val="auto"/>
        </w:rPr>
      </w:pPr>
    </w:p>
    <w:p>
      <w:pPr>
        <w:jc w:val="both"/>
        <w:ind w:right="320"/>
        <w:spacing w:after="0" w:line="303" w:lineRule="auto"/>
        <w:rPr>
          <w:sz w:val="20"/>
          <w:szCs w:val="20"/>
          <w:color w:val="auto"/>
        </w:rPr>
      </w:pPr>
      <w:r>
        <w:rPr>
          <w:rFonts w:ascii="Arial" w:cs="Arial" w:eastAsia="Arial" w:hAnsi="Arial"/>
          <w:sz w:val="11"/>
          <w:szCs w:val="11"/>
          <w:color w:val="auto"/>
        </w:rPr>
        <w:t>We regularly review various aspects of our operations and service offerings, including our policies, procedures and platforms, in response to marketplace developments. We seek to continuously improve and enhance aspects of our operations and service offerings in order to position our advisors for long-term growth and to align with competitive and regulatory developments. For example, we regularly review the structure and fees of our products and services, including related disclosures, in the context of the changing regulatory environment and competitive landscape for advisory and brokerage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Summary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Financial Highlights</w:t>
      </w:r>
    </w:p>
    <w:p>
      <w:pPr>
        <w:spacing w:after="0" w:line="76" w:lineRule="exact"/>
        <w:rPr>
          <w:sz w:val="20"/>
          <w:szCs w:val="20"/>
          <w:color w:val="auto"/>
        </w:rPr>
      </w:pPr>
    </w:p>
    <w:p>
      <w:pPr>
        <w:ind w:right="80"/>
        <w:spacing w:after="0" w:line="406" w:lineRule="auto"/>
        <w:rPr>
          <w:sz w:val="20"/>
          <w:szCs w:val="20"/>
          <w:color w:val="auto"/>
        </w:rPr>
      </w:pPr>
      <w:r>
        <w:rPr>
          <w:rFonts w:ascii="Arial" w:cs="Arial" w:eastAsia="Arial" w:hAnsi="Arial"/>
          <w:sz w:val="12"/>
          <w:szCs w:val="12"/>
          <w:color w:val="auto"/>
        </w:rPr>
        <w:t xml:space="preserve">Results for the third quarter of 2026 included net income of $356.6 million, or $4.52 per diluted share, which compares to a net loss of $29.5 million, or a $0.37 loss per diluted share, for the third quarter of 2025. </w:t>
      </w:r>
      <w:r>
        <w:rPr>
          <w:rFonts w:ascii="Arial" w:cs="Arial" w:eastAsia="Arial" w:hAnsi="Arial"/>
          <w:sz w:val="12"/>
          <w:szCs w:val="12"/>
          <w:i w:val="1"/>
          <w:iCs w:val="1"/>
          <w:color w:val="auto"/>
        </w:rPr>
        <w:t>Asset Trends</w:t>
      </w:r>
    </w:p>
    <w:p>
      <w:pPr>
        <w:spacing w:after="0" w:line="1" w:lineRule="exact"/>
        <w:rPr>
          <w:sz w:val="20"/>
          <w:szCs w:val="20"/>
          <w:color w:val="auto"/>
        </w:rPr>
      </w:pPr>
    </w:p>
    <w:p>
      <w:pPr>
        <w:ind w:right="520"/>
        <w:spacing w:after="0" w:line="286" w:lineRule="auto"/>
        <w:rPr>
          <w:sz w:val="20"/>
          <w:szCs w:val="20"/>
          <w:color w:val="auto"/>
        </w:rPr>
      </w:pPr>
      <w:r>
        <w:rPr>
          <w:rFonts w:ascii="Arial" w:cs="Arial" w:eastAsia="Arial" w:hAnsi="Arial"/>
          <w:sz w:val="12"/>
          <w:szCs w:val="12"/>
          <w:color w:val="auto"/>
        </w:rPr>
        <w:t>Total advisory and brokerage assets served were $2.6 trillion at September 30, 2026, compared to $2.3 trillion at September 30, 2025. Total net new assets were $29.1 billion for the three months ended September 30, 2026, compared to $307.7 billion for the same period in 2025.</w:t>
      </w:r>
    </w:p>
    <w:p>
      <w:pPr>
        <w:spacing w:after="0" w:line="31"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Net new advisory assets were $33.1 billion for the three months ended September 30, 2026, compared to $229.0 billion for the same period in 2025. Advisory assets were $1.6 trillion, or 61% of total advisory and brokerage assets served, at September 30, 2026, up 16% from $1.3 trillion at September 30, 2025.</w:t>
      </w:r>
    </w:p>
    <w:p>
      <w:pPr>
        <w:spacing w:after="0" w:line="31"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Net new brokerage assets were an outflow of $4.0 billion for the three months ended September 30, 2026, compared to an inflow of $78.7 billion for the same period in 2025. Brokerage assets were $1.0 trillion at September 30, 2026, up 4% from $967.7 billion at September 30, 2025.</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Gross Profit Trend</w:t>
      </w:r>
    </w:p>
    <w:p>
      <w:pPr>
        <w:spacing w:after="0" w:line="76"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 xml:space="preserve">Gross profit, a non-GAAP financial measure, was $1.7 billion for the three months ended September 30, 2026, an increase of 12% from $1.5 billion for the three months ended September 30, 2025. See the </w:t>
      </w:r>
      <w:r>
        <w:rPr>
          <w:rFonts w:ascii="Arial" w:cs="Arial" w:eastAsia="Arial" w:hAnsi="Arial"/>
          <w:sz w:val="12"/>
          <w:szCs w:val="12"/>
          <w:i w:val="1"/>
          <w:iCs w:val="1"/>
          <w:color w:val="auto"/>
        </w:rPr>
        <w:t>“Key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Performance Metrics” </w:t>
      </w:r>
      <w:r>
        <w:rPr>
          <w:rFonts w:ascii="Arial" w:cs="Arial" w:eastAsia="Arial" w:hAnsi="Arial"/>
          <w:sz w:val="12"/>
          <w:szCs w:val="12"/>
          <w:color w:val="auto"/>
        </w:rPr>
        <w:t>section for additional information on gross profit.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Stock Dividends and Share Repurchases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During the three months ended September 30, 2026, we paid stockholders cash dividends of $23.6 million and repurchased 893,176 of our outstanding shares for a total of $300.6 million.</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28" w:right="419" w:bottom="1440" w:gutter="0" w:footer="0" w:header="0"/>
        </w:sectPr>
      </w:pPr>
    </w:p>
    <w:bookmarkStart w:id="7" w:name="page8"/>
    <w:bookmarkEnd w:id="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Performance Metrics</w:t>
      </w:r>
    </w:p>
    <w:p>
      <w:pPr>
        <w:spacing w:after="0" w:line="78" w:lineRule="exact"/>
        <w:rPr>
          <w:sz w:val="20"/>
          <w:szCs w:val="20"/>
          <w:color w:val="auto"/>
        </w:rPr>
      </w:pPr>
    </w:p>
    <w:p>
      <w:pPr>
        <w:ind w:right="280"/>
        <w:spacing w:after="0" w:line="277" w:lineRule="auto"/>
        <w:rPr>
          <w:sz w:val="20"/>
          <w:szCs w:val="20"/>
          <w:color w:val="auto"/>
        </w:rPr>
      </w:pPr>
      <w:r>
        <w:rPr>
          <w:rFonts w:ascii="Arial" w:cs="Arial" w:eastAsia="Arial" w:hAnsi="Arial"/>
          <w:sz w:val="12"/>
          <w:szCs w:val="12"/>
          <w:color w:val="auto"/>
        </w:rPr>
        <w:t>We focus on several key metrics in evaluating the success of our business relationships and our resulting financial position and operating performance. Our key operating, business and financial metrics are as follows:</w:t>
      </w:r>
    </w:p>
    <w:p>
      <w:pPr>
        <w:sectPr>
          <w:pgSz w:w="11900" w:h="16838" w:orient="portrait"/>
          <w:cols w:equalWidth="0" w:num="1">
            <w:col w:w="11300"/>
          </w:cols>
          <w:pgMar w:left="300" w:top="128" w:right="299" w:bottom="1440" w:gutter="0" w:footer="0" w:header="0"/>
        </w:sect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b w:val="1"/>
          <w:bCs w:val="1"/>
          <w:i w:val="1"/>
          <w:iCs w:val="1"/>
          <w:color w:val="auto"/>
        </w:rPr>
        <w:t>Operating Metrics (dollars in billions)</w:t>
      </w:r>
      <w:r>
        <w:rPr>
          <w:rFonts w:ascii="Arial" w:cs="Arial" w:eastAsia="Arial" w:hAnsi="Arial"/>
          <w:sz w:val="14"/>
          <w:szCs w:val="14"/>
          <w:b w:val="1"/>
          <w:bCs w:val="1"/>
          <w:i w:val="1"/>
          <w:iCs w:val="1"/>
          <w:color w:val="auto"/>
          <w:vertAlign w:val="subscript"/>
        </w:rPr>
        <w:t>(1)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Advisory and Brokerage Assets</w:t>
      </w:r>
      <w:r>
        <w:rPr>
          <w:rFonts w:ascii="Arial" w:cs="Arial" w:eastAsia="Arial" w:hAnsi="Arial"/>
          <w:sz w:val="14"/>
          <w:szCs w:val="14"/>
          <w:b w:val="1"/>
          <w:bCs w:val="1"/>
          <w:color w:val="auto"/>
          <w:vertAlign w:val="subscript"/>
        </w:rPr>
        <w:t>(</w:t>
      </w:r>
      <w:r>
        <w:rPr>
          <w:rFonts w:ascii="Arial" w:cs="Arial" w:eastAsia="Arial" w:hAnsi="Arial"/>
          <w:sz w:val="14"/>
          <w:szCs w:val="14"/>
          <w:b w:val="1"/>
          <w:bCs w:val="1"/>
          <w:u w:val="single" w:color="auto"/>
          <w:color w:val="auto"/>
          <w:vertAlign w:val="subscript"/>
        </w:rPr>
        <w:t>2</w:t>
      </w:r>
      <w:r>
        <w:rPr>
          <w:rFonts w:ascii="Arial" w:cs="Arial" w:eastAsia="Arial" w:hAnsi="Arial"/>
          <w:sz w:val="14"/>
          <w:szCs w:val="14"/>
          <w:b w:val="1"/>
          <w:bCs w:val="1"/>
          <w:color w:val="auto"/>
          <w:vertAlign w:val="subscript"/>
        </w:rPr>
        <w:t>)</w:t>
      </w:r>
    </w:p>
    <w:p>
      <w:pPr>
        <w:ind w:left="40"/>
        <w:spacing w:after="0"/>
        <w:rPr>
          <w:sz w:val="20"/>
          <w:szCs w:val="20"/>
          <w:color w:val="auto"/>
        </w:rPr>
      </w:pPr>
      <w:r>
        <w:rPr>
          <w:rFonts w:ascii="Arial" w:cs="Arial" w:eastAsia="Arial" w:hAnsi="Arial"/>
          <w:sz w:val="11"/>
          <w:szCs w:val="11"/>
          <w:color w:val="auto"/>
        </w:rPr>
        <w:t>Advisory assets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1"/>
          <w:szCs w:val="11"/>
          <w:color w:val="auto"/>
        </w:rPr>
        <w:t>Brokerage assets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Total Advisory and Brokerage Assets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0"/>
          <w:szCs w:val="10"/>
          <w:color w:val="auto"/>
        </w:rPr>
        <w:t>Advisory as a % of total Advisory and Brokerage Assets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Net New Assets</w:t>
      </w:r>
      <w:r>
        <w:rPr>
          <w:rFonts w:ascii="Arial" w:cs="Arial" w:eastAsia="Arial" w:hAnsi="Arial"/>
          <w:sz w:val="14"/>
          <w:szCs w:val="14"/>
          <w:b w:val="1"/>
          <w:bCs w:val="1"/>
          <w:color w:val="auto"/>
          <w:vertAlign w:val="subscript"/>
        </w:rPr>
        <w:t>(</w:t>
      </w:r>
      <w:r>
        <w:rPr>
          <w:rFonts w:ascii="Arial" w:cs="Arial" w:eastAsia="Arial" w:hAnsi="Arial"/>
          <w:sz w:val="14"/>
          <w:szCs w:val="14"/>
          <w:b w:val="1"/>
          <w:bCs w:val="1"/>
          <w:u w:val="single" w:color="auto"/>
          <w:color w:val="auto"/>
          <w:vertAlign w:val="subscript"/>
        </w:rPr>
        <w:t>3</w:t>
      </w:r>
      <w:r>
        <w:rPr>
          <w:rFonts w:ascii="Arial" w:cs="Arial" w:eastAsia="Arial" w:hAnsi="Arial"/>
          <w:sz w:val="14"/>
          <w:szCs w:val="14"/>
          <w:b w:val="1"/>
          <w:bCs w:val="1"/>
          <w:color w:val="auto"/>
          <w:vertAlign w:val="subscript"/>
        </w:rPr>
        <w:t>)</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new advisory assets</w:t>
      </w:r>
    </w:p>
    <w:p>
      <w:pPr>
        <w:spacing w:after="0" w:line="10" w:lineRule="exact"/>
        <w:rPr>
          <w:sz w:val="20"/>
          <w:szCs w:val="20"/>
          <w:color w:val="auto"/>
        </w:rPr>
      </w:pPr>
    </w:p>
    <w:p>
      <w:pPr>
        <w:jc w:val="center"/>
        <w:ind w:right="4660"/>
        <w:spacing w:after="0"/>
        <w:rPr>
          <w:sz w:val="20"/>
          <w:szCs w:val="20"/>
          <w:color w:val="auto"/>
        </w:rPr>
      </w:pPr>
      <w:r>
        <w:rPr>
          <w:rFonts w:ascii="Arial" w:cs="Arial" w:eastAsia="Arial" w:hAnsi="Arial"/>
          <w:sz w:val="11"/>
          <w:szCs w:val="11"/>
          <w:color w:val="auto"/>
        </w:rPr>
        <w:t>Net new brokerage assets</w:t>
      </w:r>
    </w:p>
    <w:p>
      <w:pPr>
        <w:spacing w:after="0" w:line="27" w:lineRule="exact"/>
        <w:rPr>
          <w:sz w:val="20"/>
          <w:szCs w:val="20"/>
          <w:color w:val="auto"/>
        </w:rPr>
      </w:pPr>
    </w:p>
    <w:p>
      <w:pPr>
        <w:jc w:val="center"/>
        <w:ind w:right="4660"/>
        <w:spacing w:after="0"/>
        <w:rPr>
          <w:sz w:val="20"/>
          <w:szCs w:val="20"/>
          <w:color w:val="auto"/>
        </w:rPr>
      </w:pPr>
      <w:r>
        <w:rPr>
          <w:rFonts w:ascii="Arial" w:cs="Arial" w:eastAsia="Arial" w:hAnsi="Arial"/>
          <w:sz w:val="11"/>
          <w:szCs w:val="11"/>
          <w:b w:val="1"/>
          <w:bCs w:val="1"/>
          <w:color w:val="auto"/>
        </w:rPr>
        <w:t>Total Net New Assets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Organic Net New Assets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Organic net new advisory assets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Organic net new brokerage assets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Total Organic Net New Assets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1"/>
          <w:szCs w:val="11"/>
          <w:color w:val="auto"/>
        </w:rPr>
        <w:t>Organic advisory net new assets annualized growth</w:t>
      </w:r>
      <w:r>
        <w:rPr>
          <w:rFonts w:ascii="Arial" w:cs="Arial" w:eastAsia="Arial" w:hAnsi="Arial"/>
          <w:sz w:val="14"/>
          <w:szCs w:val="14"/>
          <w:color w:val="auto"/>
          <w:vertAlign w:val="subscript"/>
        </w:rPr>
        <w:t>(4)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organic net new assets annualized growth</w:t>
      </w:r>
      <w:r>
        <w:rPr>
          <w:rFonts w:ascii="Arial" w:cs="Arial" w:eastAsia="Arial" w:hAnsi="Arial"/>
          <w:sz w:val="14"/>
          <w:szCs w:val="14"/>
          <w:color w:val="auto"/>
          <w:vertAlign w:val="subscript"/>
        </w:rPr>
        <w:t>(4)</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Client Cash Balances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Insured cash account sweep</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1"/>
          <w:szCs w:val="11"/>
          <w:color w:val="auto"/>
        </w:rPr>
        <w:t>Deposit cash account sweep</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1"/>
          <w:szCs w:val="11"/>
          <w:b w:val="1"/>
          <w:bCs w:val="1"/>
          <w:color w:val="auto"/>
        </w:rPr>
        <w:t>As of and for the Three Months Ended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September 30,</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June 30,</w:t>
            </w: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September 30,</w:t>
            </w:r>
          </w:p>
        </w:tc>
      </w:tr>
      <w:tr>
        <w:trPr>
          <w:trHeight w:val="144"/>
        </w:trPr>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2026</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2026</w:t>
            </w: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2025</w:t>
            </w:r>
          </w:p>
        </w:tc>
      </w:tr>
      <w:tr>
        <w:trPr>
          <w:trHeight w:val="266"/>
        </w:trPr>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1,561.0</w:t>
            </w: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1,548.4</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1,346.9</w:t>
            </w:r>
          </w:p>
        </w:tc>
      </w:tr>
      <w:tr>
        <w:trPr>
          <w:trHeight w:val="145"/>
        </w:trPr>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1,003.6</w:t>
            </w:r>
          </w:p>
        </w:tc>
        <w:tc>
          <w:tcPr>
            <w:tcW w:w="10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1,014.3</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967.7</w:t>
            </w:r>
          </w:p>
        </w:tc>
      </w:tr>
      <w:tr>
        <w:trPr>
          <w:trHeight w:val="134"/>
        </w:trPr>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b w:val="1"/>
                <w:bCs w:val="1"/>
                <w:color w:val="auto"/>
              </w:rPr>
              <w:t>2,564.6</w:t>
            </w:r>
          </w:p>
        </w:tc>
        <w:tc>
          <w:tcPr>
            <w:tcW w:w="1040" w:type="dxa"/>
            <w:vAlign w:val="bottom"/>
          </w:tcPr>
          <w:p>
            <w:pPr>
              <w:jc w:val="right"/>
              <w:ind w:right="930"/>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2,562.7</w:t>
            </w:r>
          </w:p>
        </w:tc>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b w:val="1"/>
                <w:bCs w:val="1"/>
                <w:color w:val="auto"/>
              </w:rPr>
              <w:t>2,314.5</w:t>
            </w:r>
          </w:p>
        </w:tc>
      </w:tr>
      <w:tr>
        <w:trPr>
          <w:trHeight w:val="142"/>
        </w:trPr>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60.9%</w:t>
            </w:r>
          </w:p>
        </w:tc>
        <w:tc>
          <w:tcPr>
            <w:tcW w:w="10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60.4%</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58.2%</w:t>
            </w:r>
          </w:p>
        </w:tc>
      </w:tr>
      <w:tr>
        <w:trPr>
          <w:trHeight w:val="459"/>
        </w:trPr>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33.1</w:t>
            </w: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30.7</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229.0</w:t>
            </w:r>
          </w:p>
        </w:tc>
      </w:tr>
      <w:tr>
        <w:trPr>
          <w:trHeight w:val="145"/>
        </w:trPr>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78.7</w:t>
            </w:r>
          </w:p>
        </w:tc>
      </w:tr>
      <w:tr>
        <w:trPr>
          <w:trHeight w:val="138"/>
        </w:trPr>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b w:val="1"/>
                <w:bCs w:val="1"/>
                <w:color w:val="auto"/>
              </w:rPr>
              <w:t>29.1</w:t>
            </w:r>
          </w:p>
        </w:tc>
        <w:tc>
          <w:tcPr>
            <w:tcW w:w="1040" w:type="dxa"/>
            <w:vAlign w:val="bottom"/>
          </w:tcPr>
          <w:p>
            <w:pPr>
              <w:jc w:val="right"/>
              <w:ind w:right="930"/>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23.6</w:t>
            </w:r>
          </w:p>
        </w:tc>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b w:val="1"/>
                <w:bCs w:val="1"/>
                <w:color w:val="auto"/>
              </w:rPr>
              <w:t>307.7</w:t>
            </w:r>
          </w:p>
        </w:tc>
      </w:tr>
      <w:tr>
        <w:trPr>
          <w:trHeight w:val="453"/>
        </w:trPr>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33.1</w:t>
            </w: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30.2</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29.6</w:t>
            </w:r>
          </w:p>
        </w:tc>
      </w:tr>
      <w:tr>
        <w:trPr>
          <w:trHeight w:val="145"/>
        </w:trPr>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w:t>
            </w:r>
          </w:p>
        </w:tc>
      </w:tr>
      <w:tr>
        <w:trPr>
          <w:trHeight w:val="138"/>
        </w:trPr>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b w:val="1"/>
                <w:bCs w:val="1"/>
                <w:color w:val="auto"/>
              </w:rPr>
              <w:t>29.1</w:t>
            </w:r>
          </w:p>
        </w:tc>
        <w:tc>
          <w:tcPr>
            <w:tcW w:w="1040" w:type="dxa"/>
            <w:vAlign w:val="bottom"/>
          </w:tcPr>
          <w:p>
            <w:pPr>
              <w:jc w:val="right"/>
              <w:ind w:right="930"/>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23.1</w:t>
            </w:r>
          </w:p>
        </w:tc>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b w:val="1"/>
                <w:bCs w:val="1"/>
                <w:color w:val="auto"/>
              </w:rPr>
              <w:t>32.7</w:t>
            </w:r>
          </w:p>
        </w:tc>
      </w:tr>
      <w:tr>
        <w:trPr>
          <w:trHeight w:val="309"/>
        </w:trPr>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8.5%</w:t>
            </w:r>
          </w:p>
        </w:tc>
        <w:tc>
          <w:tcPr>
            <w:tcW w:w="1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8.7%</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11.2%</w:t>
            </w:r>
          </w:p>
        </w:tc>
      </w:tr>
      <w:tr>
        <w:trPr>
          <w:trHeight w:val="144"/>
        </w:trPr>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4.5%</w:t>
            </w:r>
          </w:p>
        </w:tc>
        <w:tc>
          <w:tcPr>
            <w:tcW w:w="10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w:t>
            </w: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6.8%</w:t>
            </w:r>
          </w:p>
        </w:tc>
      </w:tr>
      <w:tr>
        <w:trPr>
          <w:trHeight w:val="459"/>
        </w:trPr>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37.8</w:t>
            </w:r>
          </w:p>
        </w:tc>
        <w:tc>
          <w:tcPr>
            <w:tcW w:w="104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38.4</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36.9</w:t>
            </w:r>
          </w:p>
        </w:tc>
      </w:tr>
      <w:tr>
        <w:trPr>
          <w:trHeight w:val="144"/>
        </w:trPr>
        <w:tc>
          <w:tcPr>
            <w:tcW w:w="24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16.0</w:t>
            </w:r>
          </w:p>
        </w:tc>
        <w:tc>
          <w:tcPr>
            <w:tcW w:w="10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15.6</w:t>
            </w:r>
          </w:p>
        </w:tc>
        <w:tc>
          <w:tcPr>
            <w:tcW w:w="24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-2095500</wp:posOffset>
            </wp:positionV>
            <wp:extent cx="7178040" cy="91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-1912620</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-1724025</wp:posOffset>
            </wp:positionV>
            <wp:extent cx="717804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-1524000</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-1341120</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-1152525</wp:posOffset>
            </wp:positionV>
            <wp:extent cx="7178040" cy="108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-952500</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-769620</wp:posOffset>
            </wp:positionV>
            <wp:extent cx="717804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-563880</wp:posOffset>
            </wp:positionV>
            <wp:extent cx="71780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-381000</wp:posOffset>
            </wp:positionV>
            <wp:extent cx="7178040" cy="108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-180975</wp:posOffset>
            </wp:positionV>
            <wp:extent cx="717804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80" w:space="720"/>
            <w:col w:w="4600"/>
          </w:cols>
          <w:pgMar w:left="300" w:top="128" w:right="29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6700" w:type="dxa"/>
            <w:vAlign w:val="bottom"/>
            <w:tcBorders>
              <w:top w:val="single" w:sz="8" w:color="DBDBDB"/>
            </w:tcBorders>
            <w:shd w:val="clear" w:color="auto" w:fill="DBDBDB"/>
          </w:tcPr>
          <w:p>
            <w:pPr>
              <w:ind w:left="120"/>
              <w:spacing w:after="0"/>
              <w:rPr>
                <w:sz w:val="20"/>
                <w:szCs w:val="20"/>
                <w:color w:val="auto"/>
              </w:rPr>
            </w:pPr>
            <w:r>
              <w:rPr>
                <w:rFonts w:ascii="Arial" w:cs="Arial" w:eastAsia="Arial" w:hAnsi="Arial"/>
                <w:sz w:val="11"/>
                <w:szCs w:val="11"/>
                <w:b w:val="1"/>
                <w:bCs w:val="1"/>
                <w:color w:val="auto"/>
              </w:rPr>
              <w:t>Total Bank Sweep</w:t>
            </w:r>
          </w:p>
        </w:tc>
        <w:tc>
          <w:tcPr>
            <w:tcW w:w="1140" w:type="dxa"/>
            <w:vAlign w:val="bottom"/>
            <w:tcBorders>
              <w:top w:val="single" w:sz="8" w:color="auto"/>
            </w:tcBorders>
            <w:shd w:val="clear" w:color="auto" w:fill="DBDBDB"/>
          </w:tcPr>
          <w:p>
            <w:pPr>
              <w:spacing w:after="0"/>
              <w:rPr>
                <w:sz w:val="11"/>
                <w:szCs w:val="11"/>
                <w:color w:val="auto"/>
              </w:rPr>
            </w:pPr>
          </w:p>
        </w:tc>
        <w:tc>
          <w:tcPr>
            <w:tcW w:w="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53.8</w:t>
            </w:r>
          </w:p>
        </w:tc>
        <w:tc>
          <w:tcPr>
            <w:tcW w:w="320" w:type="dxa"/>
            <w:vAlign w:val="bottom"/>
            <w:tcBorders>
              <w:top w:val="single" w:sz="8" w:color="auto"/>
            </w:tcBorders>
            <w:shd w:val="clear" w:color="auto" w:fill="DBDBDB"/>
          </w:tcPr>
          <w:p>
            <w:pPr>
              <w:spacing w:after="0"/>
              <w:rPr>
                <w:sz w:val="11"/>
                <w:szCs w:val="11"/>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54.1</w:t>
            </w:r>
          </w:p>
        </w:tc>
        <w:tc>
          <w:tcPr>
            <w:tcW w:w="320" w:type="dxa"/>
            <w:vAlign w:val="bottom"/>
            <w:tcBorders>
              <w:top w:val="single" w:sz="8" w:color="auto"/>
            </w:tcBorders>
            <w:shd w:val="clear" w:color="auto" w:fill="DBDBDB"/>
          </w:tcPr>
          <w:p>
            <w:pPr>
              <w:spacing w:after="0"/>
              <w:rPr>
                <w:sz w:val="11"/>
                <w:szCs w:val="11"/>
                <w:color w:val="auto"/>
              </w:rPr>
            </w:pPr>
          </w:p>
        </w:tc>
        <w:tc>
          <w:tcPr>
            <w:tcW w:w="122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49.9</w:t>
            </w:r>
          </w:p>
        </w:tc>
      </w:tr>
      <w:tr>
        <w:trPr>
          <w:trHeight w:val="143"/>
        </w:trPr>
        <w:tc>
          <w:tcPr>
            <w:tcW w:w="6700" w:type="dxa"/>
            <w:vAlign w:val="bottom"/>
            <w:tcBorders>
              <w:bottom w:val="single" w:sz="8" w:color="DBDBDB"/>
            </w:tcBorders>
          </w:tcPr>
          <w:p>
            <w:pPr>
              <w:ind w:left="40"/>
              <w:spacing w:after="0"/>
              <w:rPr>
                <w:sz w:val="20"/>
                <w:szCs w:val="20"/>
                <w:color w:val="auto"/>
              </w:rPr>
            </w:pPr>
            <w:r>
              <w:rPr>
                <w:rFonts w:ascii="Arial" w:cs="Arial" w:eastAsia="Arial" w:hAnsi="Arial"/>
                <w:sz w:val="11"/>
                <w:szCs w:val="11"/>
                <w:color w:val="auto"/>
              </w:rPr>
              <w:t>Money market sweep</w:t>
            </w:r>
          </w:p>
        </w:tc>
        <w:tc>
          <w:tcPr>
            <w:tcW w:w="1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w:t>
            </w:r>
          </w:p>
        </w:tc>
      </w:tr>
      <w:tr>
        <w:trPr>
          <w:trHeight w:val="134"/>
        </w:trPr>
        <w:tc>
          <w:tcPr>
            <w:tcW w:w="6700" w:type="dxa"/>
            <w:vAlign w:val="bottom"/>
            <w:shd w:val="clear" w:color="auto" w:fill="DBDBDB"/>
          </w:tcPr>
          <w:p>
            <w:pPr>
              <w:ind w:left="120"/>
              <w:spacing w:after="0"/>
              <w:rPr>
                <w:sz w:val="20"/>
                <w:szCs w:val="20"/>
                <w:color w:val="auto"/>
              </w:rPr>
            </w:pPr>
            <w:r>
              <w:rPr>
                <w:rFonts w:ascii="Arial" w:cs="Arial" w:eastAsia="Arial" w:hAnsi="Arial"/>
                <w:sz w:val="11"/>
                <w:szCs w:val="11"/>
                <w:b w:val="1"/>
                <w:bCs w:val="1"/>
                <w:color w:val="auto"/>
              </w:rPr>
              <w:t>Total Client Cash Sweep Held by Third Parties</w:t>
            </w:r>
          </w:p>
        </w:tc>
        <w:tc>
          <w:tcPr>
            <w:tcW w:w="1140" w:type="dxa"/>
            <w:vAlign w:val="bottom"/>
            <w:tcBorders>
              <w:bottom w:val="single" w:sz="8" w:color="auto"/>
            </w:tcBorders>
            <w:shd w:val="clear" w:color="auto" w:fill="DBDBDB"/>
          </w:tcPr>
          <w:p>
            <w:pPr>
              <w:spacing w:after="0"/>
              <w:rPr>
                <w:sz w:val="11"/>
                <w:szCs w:val="11"/>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54.8</w:t>
            </w:r>
          </w:p>
        </w:tc>
        <w:tc>
          <w:tcPr>
            <w:tcW w:w="320" w:type="dxa"/>
            <w:vAlign w:val="bottom"/>
            <w:tcBorders>
              <w:bottom w:val="single" w:sz="8" w:color="auto"/>
            </w:tcBorders>
            <w:shd w:val="clear" w:color="auto" w:fill="DBDBDB"/>
          </w:tcPr>
          <w:p>
            <w:pPr>
              <w:spacing w:after="0"/>
              <w:rPr>
                <w:sz w:val="11"/>
                <w:szCs w:val="1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55.2</w:t>
            </w:r>
          </w:p>
        </w:tc>
        <w:tc>
          <w:tcPr>
            <w:tcW w:w="320" w:type="dxa"/>
            <w:vAlign w:val="bottom"/>
            <w:tcBorders>
              <w:bottom w:val="single" w:sz="8" w:color="auto"/>
            </w:tcBorders>
            <w:shd w:val="clear" w:color="auto" w:fill="DBDBDB"/>
          </w:tcPr>
          <w:p>
            <w:pPr>
              <w:spacing w:after="0"/>
              <w:rPr>
                <w:sz w:val="11"/>
                <w:szCs w:val="11"/>
                <w:color w:val="auto"/>
              </w:rPr>
            </w:pPr>
          </w:p>
        </w:tc>
        <w:tc>
          <w:tcPr>
            <w:tcW w:w="12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54.1</w:t>
            </w:r>
          </w:p>
        </w:tc>
      </w:tr>
      <w:tr>
        <w:trPr>
          <w:trHeight w:val="132"/>
        </w:trPr>
        <w:tc>
          <w:tcPr>
            <w:tcW w:w="6700" w:type="dxa"/>
            <w:vAlign w:val="bottom"/>
            <w:tcBorders>
              <w:bottom w:val="single" w:sz="8" w:color="DBDBDB"/>
            </w:tcBorders>
          </w:tcPr>
          <w:p>
            <w:pPr>
              <w:ind w:left="40"/>
              <w:spacing w:after="0"/>
              <w:rPr>
                <w:sz w:val="20"/>
                <w:szCs w:val="20"/>
                <w:color w:val="auto"/>
              </w:rPr>
            </w:pPr>
            <w:r>
              <w:rPr>
                <w:rFonts w:ascii="Arial" w:cs="Arial" w:eastAsia="Arial" w:hAnsi="Arial"/>
                <w:sz w:val="11"/>
                <w:szCs w:val="11"/>
                <w:color w:val="auto"/>
              </w:rPr>
              <w:t>Client cash account</w:t>
            </w:r>
          </w:p>
        </w:tc>
        <w:tc>
          <w:tcPr>
            <w:tcW w:w="1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w:t>
            </w:r>
          </w:p>
        </w:tc>
      </w:tr>
      <w:tr>
        <w:trPr>
          <w:trHeight w:val="134"/>
        </w:trPr>
        <w:tc>
          <w:tcPr>
            <w:tcW w:w="6700" w:type="dxa"/>
            <w:vAlign w:val="bottom"/>
            <w:shd w:val="clear" w:color="auto" w:fill="DBDBDB"/>
          </w:tcPr>
          <w:p>
            <w:pPr>
              <w:ind w:left="40"/>
              <w:spacing w:after="0"/>
              <w:rPr>
                <w:sz w:val="20"/>
                <w:szCs w:val="20"/>
                <w:color w:val="auto"/>
              </w:rPr>
            </w:pPr>
            <w:r>
              <w:rPr>
                <w:rFonts w:ascii="Arial" w:cs="Arial" w:eastAsia="Arial" w:hAnsi="Arial"/>
                <w:sz w:val="11"/>
                <w:szCs w:val="11"/>
                <w:b w:val="1"/>
                <w:bCs w:val="1"/>
                <w:color w:val="auto"/>
              </w:rPr>
              <w:t>Total Client Cash Balances</w:t>
            </w:r>
          </w:p>
        </w:tc>
        <w:tc>
          <w:tcPr>
            <w:tcW w:w="1140" w:type="dxa"/>
            <w:vAlign w:val="bottom"/>
            <w:shd w:val="clear" w:color="auto" w:fill="DBDBDB"/>
          </w:tcPr>
          <w:p>
            <w:pPr>
              <w:jc w:val="right"/>
              <w:ind w:right="1006"/>
              <w:spacing w:after="0"/>
              <w:rPr>
                <w:sz w:val="20"/>
                <w:szCs w:val="20"/>
                <w:color w:val="auto"/>
              </w:rPr>
            </w:pPr>
            <w:r>
              <w:rPr>
                <w:rFonts w:ascii="Arial" w:cs="Arial" w:eastAsia="Arial" w:hAnsi="Arial"/>
                <w:sz w:val="11"/>
                <w:szCs w:val="11"/>
                <w:b w:val="1"/>
                <w:bCs w:val="1"/>
                <w:color w:val="auto"/>
                <w:w w:val="97"/>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56.6</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56.9</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55.8</w:t>
            </w:r>
          </w:p>
        </w:tc>
      </w:tr>
      <w:tr>
        <w:trPr>
          <w:trHeight w:val="143"/>
        </w:trPr>
        <w:tc>
          <w:tcPr>
            <w:tcW w:w="6700" w:type="dxa"/>
            <w:vAlign w:val="bottom"/>
          </w:tcPr>
          <w:p>
            <w:pPr>
              <w:ind w:left="40"/>
              <w:spacing w:after="0"/>
              <w:rPr>
                <w:sz w:val="20"/>
                <w:szCs w:val="20"/>
                <w:color w:val="auto"/>
              </w:rPr>
            </w:pPr>
            <w:r>
              <w:rPr>
                <w:rFonts w:ascii="Arial" w:cs="Arial" w:eastAsia="Arial" w:hAnsi="Arial"/>
                <w:sz w:val="11"/>
                <w:szCs w:val="11"/>
                <w:color w:val="auto"/>
              </w:rPr>
              <w:t>Client Cash Balances as a % of Total Assets</w:t>
            </w:r>
          </w:p>
        </w:tc>
        <w:tc>
          <w:tcPr>
            <w:tcW w:w="1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2.2%</w:t>
            </w: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2.2%</w:t>
            </w: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72"/>
        </w:trPr>
        <w:tc>
          <w:tcPr>
            <w:tcW w:w="670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r>
      <w:tr>
        <w:trPr>
          <w:trHeight w:val="187"/>
        </w:trPr>
        <w:tc>
          <w:tcPr>
            <w:tcW w:w="6700" w:type="dxa"/>
            <w:vAlign w:val="bottom"/>
          </w:tcPr>
          <w:p>
            <w:pPr>
              <w:ind w:left="40"/>
              <w:spacing w:after="0"/>
              <w:rPr>
                <w:sz w:val="20"/>
                <w:szCs w:val="20"/>
                <w:color w:val="auto"/>
              </w:rPr>
            </w:pPr>
            <w:r>
              <w:rPr>
                <w:rFonts w:ascii="Arial" w:cs="Arial" w:eastAsia="Arial" w:hAnsi="Arial"/>
                <w:sz w:val="11"/>
                <w:szCs w:val="11"/>
                <w:color w:val="auto"/>
              </w:rPr>
              <w:t>Net buy (sell) activity</w:t>
            </w:r>
            <w:r>
              <w:rPr>
                <w:rFonts w:ascii="Arial" w:cs="Arial" w:eastAsia="Arial" w:hAnsi="Arial"/>
                <w:sz w:val="14"/>
                <w:szCs w:val="14"/>
                <w:color w:val="auto"/>
                <w:vertAlign w:val="subscript"/>
              </w:rPr>
              <w:t>(5)</w:t>
            </w:r>
          </w:p>
        </w:tc>
        <w:tc>
          <w:tcPr>
            <w:tcW w:w="1140" w:type="dxa"/>
            <w:vAlign w:val="bottom"/>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41.9</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39.7</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41.8</w:t>
            </w:r>
          </w:p>
        </w:tc>
      </w:tr>
      <w:tr>
        <w:trPr>
          <w:trHeight w:val="173"/>
        </w:trPr>
        <w:tc>
          <w:tcPr>
            <w:tcW w:w="67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left="26"/>
              <w:spacing w:after="0"/>
              <w:rPr>
                <w:sz w:val="20"/>
                <w:szCs w:val="20"/>
                <w:color w:val="auto"/>
              </w:rPr>
            </w:pPr>
            <w:r>
              <w:rPr>
                <w:rFonts w:ascii="Arial" w:cs="Arial" w:eastAsia="Arial" w:hAnsi="Arial"/>
                <w:sz w:val="11"/>
                <w:szCs w:val="11"/>
                <w:b w:val="1"/>
                <w:bCs w:val="1"/>
                <w:color w:val="auto"/>
                <w:w w:val="98"/>
              </w:rPr>
              <w:t>As of and for the Three Months Ended</w:t>
            </w:r>
          </w:p>
        </w:tc>
        <w:tc>
          <w:tcPr>
            <w:tcW w:w="1220" w:type="dxa"/>
            <w:vAlign w:val="bottom"/>
            <w:tcBorders>
              <w:bottom w:val="single" w:sz="8" w:color="auto"/>
            </w:tcBorders>
          </w:tcPr>
          <w:p>
            <w:pPr>
              <w:spacing w:after="0"/>
              <w:rPr>
                <w:sz w:val="15"/>
                <w:szCs w:val="15"/>
                <w:color w:val="auto"/>
              </w:rPr>
            </w:pPr>
          </w:p>
        </w:tc>
      </w:tr>
      <w:tr>
        <w:trPr>
          <w:trHeight w:val="133"/>
        </w:trPr>
        <w:tc>
          <w:tcPr>
            <w:tcW w:w="67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center"/>
              <w:ind w:right="246"/>
              <w:spacing w:after="0"/>
              <w:rPr>
                <w:sz w:val="20"/>
                <w:szCs w:val="20"/>
                <w:color w:val="auto"/>
              </w:rPr>
            </w:pPr>
            <w:r>
              <w:rPr>
                <w:rFonts w:ascii="Arial" w:cs="Arial" w:eastAsia="Arial" w:hAnsi="Arial"/>
                <w:sz w:val="11"/>
                <w:szCs w:val="11"/>
                <w:b w:val="1"/>
                <w:bCs w:val="1"/>
                <w:color w:val="auto"/>
                <w:w w:val="99"/>
              </w:rPr>
              <w:t>June 30,</w:t>
            </w:r>
          </w:p>
        </w:tc>
        <w:tc>
          <w:tcPr>
            <w:tcW w:w="320" w:type="dxa"/>
            <w:vAlign w:val="bottom"/>
          </w:tcPr>
          <w:p>
            <w:pPr>
              <w:spacing w:after="0"/>
              <w:rPr>
                <w:sz w:val="11"/>
                <w:szCs w:val="11"/>
                <w:color w:val="auto"/>
              </w:rPr>
            </w:pPr>
          </w:p>
        </w:tc>
        <w:tc>
          <w:tcPr>
            <w:tcW w:w="1220" w:type="dxa"/>
            <w:vAlign w:val="bottom"/>
          </w:tcPr>
          <w:p>
            <w:pPr>
              <w:jc w:val="right"/>
              <w:ind w:right="346"/>
              <w:spacing w:after="0"/>
              <w:rPr>
                <w:sz w:val="20"/>
                <w:szCs w:val="20"/>
                <w:color w:val="auto"/>
              </w:rPr>
            </w:pPr>
            <w:r>
              <w:rPr>
                <w:rFonts w:ascii="Arial" w:cs="Arial" w:eastAsia="Arial" w:hAnsi="Arial"/>
                <w:sz w:val="11"/>
                <w:szCs w:val="11"/>
                <w:b w:val="1"/>
                <w:bCs w:val="1"/>
                <w:color w:val="auto"/>
              </w:rPr>
              <w:t>September 30,</w:t>
            </w:r>
          </w:p>
        </w:tc>
      </w:tr>
      <w:tr>
        <w:trPr>
          <w:trHeight w:val="144"/>
        </w:trPr>
        <w:tc>
          <w:tcPr>
            <w:tcW w:w="670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i w:val="1"/>
                <w:iCs w:val="1"/>
                <w:color w:val="auto"/>
              </w:rPr>
              <w:t>Business and Financial Metrics (dollars in millions)</w:t>
            </w:r>
          </w:p>
        </w:tc>
        <w:tc>
          <w:tcPr>
            <w:tcW w:w="11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2026</w:t>
            </w: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46"/>
              <w:spacing w:after="0"/>
              <w:rPr>
                <w:sz w:val="20"/>
                <w:szCs w:val="20"/>
                <w:color w:val="auto"/>
              </w:rPr>
            </w:pPr>
            <w:r>
              <w:rPr>
                <w:rFonts w:ascii="Arial" w:cs="Arial" w:eastAsia="Arial" w:hAnsi="Arial"/>
                <w:sz w:val="11"/>
                <w:szCs w:val="11"/>
                <w:b w:val="1"/>
                <w:bCs w:val="1"/>
                <w:color w:val="auto"/>
                <w:w w:val="97"/>
              </w:rPr>
              <w:t>2026</w:t>
            </w: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2025</w:t>
            </w:r>
          </w:p>
        </w:tc>
      </w:tr>
      <w:tr>
        <w:trPr>
          <w:trHeight w:val="133"/>
        </w:trPr>
        <w:tc>
          <w:tcPr>
            <w:tcW w:w="67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Advisors</w:t>
            </w:r>
          </w:p>
        </w:tc>
        <w:tc>
          <w:tcPr>
            <w:tcW w:w="1140" w:type="dxa"/>
            <w:vAlign w:val="bottom"/>
            <w:shd w:val="clear" w:color="auto" w:fill="DBDBDB"/>
          </w:tcPr>
          <w:p>
            <w:pPr>
              <w:spacing w:after="0"/>
              <w:rPr>
                <w:sz w:val="11"/>
                <w:szCs w:val="1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4"/>
              </w:rPr>
              <w:t>32,597</w:t>
            </w:r>
          </w:p>
        </w:tc>
        <w:tc>
          <w:tcPr>
            <w:tcW w:w="320" w:type="dxa"/>
            <w:vAlign w:val="bottom"/>
            <w:shd w:val="clear" w:color="auto" w:fill="DBDBDB"/>
          </w:tcPr>
          <w:p>
            <w:pPr>
              <w:spacing w:after="0"/>
              <w:rPr>
                <w:sz w:val="11"/>
                <w:szCs w:val="1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32,475</w:t>
            </w:r>
          </w:p>
        </w:tc>
        <w:tc>
          <w:tcPr>
            <w:tcW w:w="320" w:type="dxa"/>
            <w:vAlign w:val="bottom"/>
            <w:shd w:val="clear" w:color="auto" w:fill="DBDBDB"/>
          </w:tcPr>
          <w:p>
            <w:pPr>
              <w:spacing w:after="0"/>
              <w:rPr>
                <w:sz w:val="11"/>
                <w:szCs w:val="11"/>
                <w:color w:val="auto"/>
              </w:rPr>
            </w:pP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32,128</w:t>
            </w:r>
          </w:p>
        </w:tc>
      </w:tr>
      <w:tr>
        <w:trPr>
          <w:trHeight w:val="143"/>
        </w:trPr>
        <w:tc>
          <w:tcPr>
            <w:tcW w:w="6700" w:type="dxa"/>
            <w:vAlign w:val="bottom"/>
          </w:tcPr>
          <w:p>
            <w:pPr>
              <w:ind w:left="120"/>
              <w:spacing w:after="0"/>
              <w:rPr>
                <w:sz w:val="20"/>
                <w:szCs w:val="20"/>
                <w:color w:val="auto"/>
              </w:rPr>
            </w:pPr>
            <w:r>
              <w:rPr>
                <w:rFonts w:ascii="Arial" w:cs="Arial" w:eastAsia="Arial" w:hAnsi="Arial"/>
                <w:sz w:val="11"/>
                <w:szCs w:val="11"/>
                <w:color w:val="auto"/>
              </w:rPr>
              <w:t>Average total assets per advisor</w:t>
            </w:r>
            <w:r>
              <w:rPr>
                <w:rFonts w:ascii="Arial" w:cs="Arial" w:eastAsia="Arial" w:hAnsi="Arial"/>
                <w:sz w:val="7"/>
                <w:szCs w:val="7"/>
                <w:color w:val="auto"/>
              </w:rPr>
              <w:t>(6)</w:t>
            </w:r>
          </w:p>
        </w:tc>
        <w:tc>
          <w:tcPr>
            <w:tcW w:w="1140" w:type="dxa"/>
            <w:vAlign w:val="bottom"/>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78.7</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78.9</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72.0</w:t>
            </w:r>
          </w:p>
        </w:tc>
      </w:tr>
      <w:tr>
        <w:trPr>
          <w:trHeight w:val="172"/>
        </w:trPr>
        <w:tc>
          <w:tcPr>
            <w:tcW w:w="670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r>
      <w:tr>
        <w:trPr>
          <w:trHeight w:val="143"/>
        </w:trPr>
        <w:tc>
          <w:tcPr>
            <w:tcW w:w="6700" w:type="dxa"/>
            <w:vAlign w:val="bottom"/>
          </w:tcPr>
          <w:p>
            <w:pPr>
              <w:ind w:left="120"/>
              <w:spacing w:after="0"/>
              <w:rPr>
                <w:sz w:val="20"/>
                <w:szCs w:val="20"/>
                <w:color w:val="auto"/>
              </w:rPr>
            </w:pPr>
            <w:r>
              <w:rPr>
                <w:rFonts w:ascii="Arial" w:cs="Arial" w:eastAsia="Arial" w:hAnsi="Arial"/>
                <w:sz w:val="11"/>
                <w:szCs w:val="11"/>
                <w:color w:val="auto"/>
              </w:rPr>
              <w:t>Share repurchases</w:t>
            </w:r>
          </w:p>
        </w:tc>
        <w:tc>
          <w:tcPr>
            <w:tcW w:w="1140" w:type="dxa"/>
            <w:vAlign w:val="bottom"/>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300.6</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309.5</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45"/>
        </w:trPr>
        <w:tc>
          <w:tcPr>
            <w:tcW w:w="67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Dividends</w:t>
            </w:r>
          </w:p>
        </w:tc>
        <w:tc>
          <w:tcPr>
            <w:tcW w:w="1140" w:type="dxa"/>
            <w:vAlign w:val="bottom"/>
            <w:shd w:val="clear" w:color="auto" w:fill="DBDBDB"/>
          </w:tcPr>
          <w:p>
            <w:pPr>
              <w:jc w:val="right"/>
              <w:ind w:right="1006"/>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23.6</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24.0</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24.0</w:t>
            </w:r>
          </w:p>
        </w:tc>
      </w:tr>
      <w:tr>
        <w:trPr>
          <w:trHeight w:val="142"/>
        </w:trPr>
        <w:tc>
          <w:tcPr>
            <w:tcW w:w="6700" w:type="dxa"/>
            <w:vAlign w:val="bottom"/>
          </w:tcPr>
          <w:p>
            <w:pPr>
              <w:ind w:left="120"/>
              <w:spacing w:after="0"/>
              <w:rPr>
                <w:sz w:val="20"/>
                <w:szCs w:val="20"/>
                <w:color w:val="auto"/>
              </w:rPr>
            </w:pPr>
            <w:r>
              <w:rPr>
                <w:rFonts w:ascii="Arial" w:cs="Arial" w:eastAsia="Arial" w:hAnsi="Arial"/>
                <w:sz w:val="11"/>
                <w:szCs w:val="11"/>
                <w:color w:val="auto"/>
              </w:rPr>
              <w:t>Leverage ratio</w:t>
            </w:r>
            <w:r>
              <w:rPr>
                <w:rFonts w:ascii="Arial" w:cs="Arial" w:eastAsia="Arial" w:hAnsi="Arial"/>
                <w:sz w:val="7"/>
                <w:szCs w:val="7"/>
                <w:color w:val="auto"/>
              </w:rPr>
              <w:t>(7)</w:t>
            </w:r>
          </w:p>
        </w:tc>
        <w:tc>
          <w:tcPr>
            <w:tcW w:w="1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1.93</w:t>
            </w:r>
          </w:p>
        </w:tc>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1.91</w:t>
            </w:r>
          </w:p>
        </w:tc>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2.04</w:t>
            </w:r>
          </w:p>
        </w:tc>
      </w:tr>
    </w:tbl>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8" w:name="page9"/>
    <w:bookmarkEnd w:id="8"/>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1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080" w:type="dxa"/>
            <w:vAlign w:val="bottom"/>
          </w:tcPr>
          <w:p>
            <w:pPr>
              <w:spacing w:after="0"/>
              <w:rPr>
                <w:sz w:val="12"/>
                <w:szCs w:val="12"/>
                <w:color w:val="auto"/>
              </w:rPr>
            </w:pPr>
          </w:p>
        </w:tc>
        <w:tc>
          <w:tcPr>
            <w:tcW w:w="2100" w:type="dxa"/>
            <w:vAlign w:val="bottom"/>
            <w:tcBorders>
              <w:bottom w:val="single" w:sz="8" w:color="auto"/>
            </w:tcBorders>
            <w:gridSpan w:val="4"/>
          </w:tcPr>
          <w:p>
            <w:pPr>
              <w:jc w:val="right"/>
              <w:ind w:right="86"/>
              <w:spacing w:after="0"/>
              <w:rPr>
                <w:sz w:val="20"/>
                <w:szCs w:val="20"/>
                <w:color w:val="auto"/>
              </w:rPr>
            </w:pPr>
            <w:r>
              <w:rPr>
                <w:rFonts w:ascii="Arial" w:cs="Arial" w:eastAsia="Arial" w:hAnsi="Arial"/>
                <w:sz w:val="11"/>
                <w:szCs w:val="11"/>
                <w:b w:val="1"/>
                <w:bCs w:val="1"/>
                <w:color w:val="auto"/>
              </w:rPr>
              <w:t>Three Months Ended September 30,</w:t>
            </w:r>
          </w:p>
        </w:tc>
        <w:tc>
          <w:tcPr>
            <w:tcW w:w="1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1"/>
                <w:szCs w:val="11"/>
                <w:b w:val="1"/>
                <w:bCs w:val="1"/>
                <w:color w:val="auto"/>
                <w:w w:val="99"/>
              </w:rPr>
              <w:t>Nine Months Ended September 30,</w:t>
            </w:r>
          </w:p>
        </w:tc>
      </w:tr>
      <w:tr>
        <w:trPr>
          <w:trHeight w:val="133"/>
        </w:trPr>
        <w:tc>
          <w:tcPr>
            <w:tcW w:w="7080" w:type="dxa"/>
            <w:vAlign w:val="bottom"/>
            <w:tcBorders>
              <w:bottom w:val="single" w:sz="8" w:color="DBDBDB"/>
            </w:tcBorders>
          </w:tcPr>
          <w:p>
            <w:pPr>
              <w:ind w:left="40"/>
              <w:spacing w:after="0"/>
              <w:rPr>
                <w:sz w:val="20"/>
                <w:szCs w:val="20"/>
                <w:color w:val="auto"/>
              </w:rPr>
            </w:pPr>
            <w:r>
              <w:rPr>
                <w:rFonts w:ascii="Arial" w:cs="Arial" w:eastAsia="Arial" w:hAnsi="Arial"/>
                <w:sz w:val="11"/>
                <w:szCs w:val="11"/>
                <w:b w:val="1"/>
                <w:bCs w:val="1"/>
                <w:i w:val="1"/>
                <w:iCs w:val="1"/>
                <w:color w:val="auto"/>
              </w:rPr>
              <w:t>Financial Metrics (dollars in millions, except per share data)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2026</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2025</w:t>
            </w:r>
          </w:p>
        </w:tc>
      </w:tr>
      <w:tr>
        <w:trPr>
          <w:trHeight w:val="133"/>
        </w:trPr>
        <w:tc>
          <w:tcPr>
            <w:tcW w:w="70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Total revenue</w:t>
            </w:r>
          </w:p>
        </w:tc>
        <w:tc>
          <w:tcPr>
            <w:tcW w:w="640" w:type="dxa"/>
            <w:vAlign w:val="bottom"/>
            <w:shd w:val="clear" w:color="auto" w:fill="DBDBDB"/>
          </w:tcPr>
          <w:p>
            <w:pPr>
              <w:jc w:val="right"/>
              <w:ind w:right="53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2"/>
              </w:rPr>
              <w:t>5,344.0</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4,552.0</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15,469.1</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12,057.0</w:t>
            </w:r>
          </w:p>
        </w:tc>
      </w:tr>
      <w:tr>
        <w:trPr>
          <w:trHeight w:val="143"/>
        </w:trPr>
        <w:tc>
          <w:tcPr>
            <w:tcW w:w="7080" w:type="dxa"/>
            <w:vAlign w:val="bottom"/>
          </w:tcPr>
          <w:p>
            <w:pPr>
              <w:ind w:left="120"/>
              <w:spacing w:after="0"/>
              <w:rPr>
                <w:sz w:val="20"/>
                <w:szCs w:val="20"/>
                <w:color w:val="auto"/>
              </w:rPr>
            </w:pPr>
            <w:r>
              <w:rPr>
                <w:rFonts w:ascii="Arial" w:cs="Arial" w:eastAsia="Arial" w:hAnsi="Arial"/>
                <w:sz w:val="11"/>
                <w:szCs w:val="11"/>
                <w:color w:val="auto"/>
              </w:rPr>
              <w:t xml:space="preserve">Net income </w:t>
            </w:r>
            <w:r>
              <w:rPr>
                <w:rFonts w:ascii="Arial" w:cs="Arial" w:eastAsia="Arial" w:hAnsi="Arial"/>
                <w:sz w:val="9"/>
                <w:szCs w:val="9"/>
                <w:color w:val="auto"/>
              </w:rPr>
              <w:t>(loss)</w:t>
            </w: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356.6</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(29.5)</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1,092.2</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562.3</w:t>
            </w:r>
          </w:p>
        </w:tc>
      </w:tr>
      <w:tr>
        <w:trPr>
          <w:trHeight w:val="145"/>
        </w:trPr>
        <w:tc>
          <w:tcPr>
            <w:tcW w:w="70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 xml:space="preserve">Earnings </w:t>
            </w:r>
            <w:r>
              <w:rPr>
                <w:rFonts w:ascii="Arial" w:cs="Arial" w:eastAsia="Arial" w:hAnsi="Arial"/>
                <w:sz w:val="9"/>
                <w:szCs w:val="9"/>
                <w:color w:val="auto"/>
              </w:rPr>
              <w:t>(loss)</w:t>
            </w:r>
            <w:r>
              <w:rPr>
                <w:rFonts w:ascii="Arial" w:cs="Arial" w:eastAsia="Arial" w:hAnsi="Arial"/>
                <w:sz w:val="11"/>
                <w:szCs w:val="11"/>
                <w:color w:val="auto"/>
              </w:rPr>
              <w:t xml:space="preserve"> per share (“EPS”), diluted</w:t>
            </w:r>
          </w:p>
        </w:tc>
        <w:tc>
          <w:tcPr>
            <w:tcW w:w="640" w:type="dxa"/>
            <w:vAlign w:val="bottom"/>
            <w:shd w:val="clear" w:color="auto" w:fill="DBDBDB"/>
          </w:tcPr>
          <w:p>
            <w:pPr>
              <w:jc w:val="right"/>
              <w:ind w:right="53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4.52</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(0.37)</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13.68</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7.15</w:t>
            </w:r>
          </w:p>
        </w:tc>
      </w:tr>
      <w:tr>
        <w:trPr>
          <w:trHeight w:val="144"/>
        </w:trPr>
        <w:tc>
          <w:tcPr>
            <w:tcW w:w="7080" w:type="dxa"/>
            <w:vAlign w:val="bottom"/>
          </w:tcPr>
          <w:p>
            <w:pPr>
              <w:ind w:left="40"/>
              <w:spacing w:after="0"/>
              <w:rPr>
                <w:sz w:val="20"/>
                <w:szCs w:val="20"/>
                <w:color w:val="auto"/>
              </w:rPr>
            </w:pPr>
            <w:r>
              <w:rPr>
                <w:rFonts w:ascii="Arial" w:cs="Arial" w:eastAsia="Arial" w:hAnsi="Arial"/>
                <w:sz w:val="11"/>
                <w:szCs w:val="11"/>
                <w:b w:val="1"/>
                <w:bCs w:val="1"/>
                <w:i w:val="1"/>
                <w:iCs w:val="1"/>
                <w:color w:val="auto"/>
              </w:rPr>
              <w:t>Non-GAAP Financial Metrics (dollars in millions, except per share data)</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4"/>
        </w:trPr>
        <w:tc>
          <w:tcPr>
            <w:tcW w:w="7080" w:type="dxa"/>
            <w:vAlign w:val="bottom"/>
            <w:shd w:val="clear" w:color="auto" w:fill="DBDBDB"/>
          </w:tcPr>
          <w:p>
            <w:pPr>
              <w:ind w:left="120"/>
              <w:spacing w:after="0" w:line="144" w:lineRule="exact"/>
              <w:rPr>
                <w:sz w:val="20"/>
                <w:szCs w:val="20"/>
                <w:color w:val="auto"/>
              </w:rPr>
            </w:pPr>
            <w:r>
              <w:rPr>
                <w:rFonts w:ascii="Arial" w:cs="Arial" w:eastAsia="Arial" w:hAnsi="Arial"/>
                <w:sz w:val="11"/>
                <w:szCs w:val="11"/>
                <w:color w:val="auto"/>
              </w:rPr>
              <w:t>Adjusted EPS</w:t>
            </w:r>
            <w:r>
              <w:rPr>
                <w:rFonts w:ascii="Arial" w:cs="Arial" w:eastAsia="Arial" w:hAnsi="Arial"/>
                <w:sz w:val="14"/>
                <w:szCs w:val="14"/>
                <w:color w:val="auto"/>
                <w:vertAlign w:val="subscript"/>
              </w:rPr>
              <w:t>(8)</w:t>
            </w:r>
          </w:p>
        </w:tc>
        <w:tc>
          <w:tcPr>
            <w:tcW w:w="640" w:type="dxa"/>
            <w:vAlign w:val="bottom"/>
            <w:shd w:val="clear" w:color="auto" w:fill="DBDBDB"/>
          </w:tcPr>
          <w:p>
            <w:pPr>
              <w:jc w:val="right"/>
              <w:ind w:right="53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5.97</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5.20</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17.41</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14.86</w:t>
            </w:r>
          </w:p>
        </w:tc>
      </w:tr>
      <w:tr>
        <w:trPr>
          <w:trHeight w:val="144"/>
        </w:trPr>
        <w:tc>
          <w:tcPr>
            <w:tcW w:w="7080" w:type="dxa"/>
            <w:vAlign w:val="bottom"/>
          </w:tcPr>
          <w:p>
            <w:pPr>
              <w:ind w:left="120"/>
              <w:spacing w:after="0" w:line="144" w:lineRule="exact"/>
              <w:rPr>
                <w:sz w:val="20"/>
                <w:szCs w:val="20"/>
                <w:color w:val="auto"/>
              </w:rPr>
            </w:pPr>
            <w:r>
              <w:rPr>
                <w:rFonts w:ascii="Arial" w:cs="Arial" w:eastAsia="Arial" w:hAnsi="Arial"/>
                <w:sz w:val="11"/>
                <w:szCs w:val="11"/>
                <w:color w:val="auto"/>
              </w:rPr>
              <w:t>Gross profit</w:t>
            </w:r>
            <w:r>
              <w:rPr>
                <w:rFonts w:ascii="Arial" w:cs="Arial" w:eastAsia="Arial" w:hAnsi="Arial"/>
                <w:sz w:val="14"/>
                <w:szCs w:val="14"/>
                <w:color w:val="auto"/>
                <w:vertAlign w:val="subscript"/>
              </w:rPr>
              <w:t>(9)</w:t>
            </w: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2"/>
              </w:rPr>
              <w:t>1,661.9</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1,479.3</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4,872.9</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4,056.3</w:t>
            </w:r>
          </w:p>
        </w:tc>
      </w:tr>
      <w:tr>
        <w:trPr>
          <w:trHeight w:val="144"/>
        </w:trPr>
        <w:tc>
          <w:tcPr>
            <w:tcW w:w="7080" w:type="dxa"/>
            <w:vAlign w:val="bottom"/>
            <w:shd w:val="clear" w:color="auto" w:fill="DBDBDB"/>
          </w:tcPr>
          <w:p>
            <w:pPr>
              <w:ind w:left="120"/>
              <w:spacing w:after="0" w:line="144" w:lineRule="exact"/>
              <w:rPr>
                <w:sz w:val="20"/>
                <w:szCs w:val="20"/>
                <w:color w:val="auto"/>
              </w:rPr>
            </w:pPr>
            <w:r>
              <w:rPr>
                <w:rFonts w:ascii="Arial" w:cs="Arial" w:eastAsia="Arial" w:hAnsi="Arial"/>
                <w:sz w:val="11"/>
                <w:szCs w:val="11"/>
                <w:color w:val="auto"/>
              </w:rPr>
              <w:t>Adjusted EBITDA</w:t>
            </w:r>
            <w:r>
              <w:rPr>
                <w:rFonts w:ascii="Arial" w:cs="Arial" w:eastAsia="Arial" w:hAnsi="Arial"/>
                <w:sz w:val="14"/>
                <w:szCs w:val="14"/>
                <w:color w:val="auto"/>
                <w:vertAlign w:val="subscript"/>
              </w:rPr>
              <w:t>(10)</w:t>
            </w:r>
          </w:p>
        </w:tc>
        <w:tc>
          <w:tcPr>
            <w:tcW w:w="640" w:type="dxa"/>
            <w:vAlign w:val="bottom"/>
            <w:shd w:val="clear" w:color="auto" w:fill="DBDBDB"/>
          </w:tcPr>
          <w:p>
            <w:pPr>
              <w:jc w:val="right"/>
              <w:ind w:right="53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864.2</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774.8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2,529.9</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2,145.5</w:t>
            </w:r>
          </w:p>
        </w:tc>
      </w:tr>
      <w:tr>
        <w:trPr>
          <w:trHeight w:val="187"/>
        </w:trPr>
        <w:tc>
          <w:tcPr>
            <w:tcW w:w="7080" w:type="dxa"/>
            <w:vAlign w:val="bottom"/>
          </w:tcPr>
          <w:p>
            <w:pPr>
              <w:ind w:left="120"/>
              <w:spacing w:after="0"/>
              <w:rPr>
                <w:sz w:val="20"/>
                <w:szCs w:val="20"/>
                <w:color w:val="auto"/>
              </w:rPr>
            </w:pPr>
            <w:r>
              <w:rPr>
                <w:rFonts w:ascii="Arial" w:cs="Arial" w:eastAsia="Arial" w:hAnsi="Arial"/>
                <w:sz w:val="11"/>
                <w:szCs w:val="11"/>
                <w:color w:val="auto"/>
              </w:rPr>
              <w:t>Core G&amp;A</w:t>
            </w:r>
            <w:r>
              <w:rPr>
                <w:rFonts w:ascii="Arial" w:cs="Arial" w:eastAsia="Arial" w:hAnsi="Arial"/>
                <w:sz w:val="14"/>
                <w:szCs w:val="14"/>
                <w:color w:val="auto"/>
                <w:vertAlign w:val="subscript"/>
              </w:rPr>
              <w:t>(11)</w:t>
            </w:r>
          </w:p>
        </w:tc>
        <w:tc>
          <w:tcPr>
            <w:tcW w:w="640" w:type="dxa"/>
            <w:vAlign w:val="bottom"/>
          </w:tcPr>
          <w:p>
            <w:pPr>
              <w:jc w:val="right"/>
              <w:ind w:right="53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532.2</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477.3</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1,583.5</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1,316.0</w:t>
            </w:r>
          </w:p>
        </w:tc>
      </w:tr>
    </w:tbl>
    <w:p>
      <w:pPr>
        <w:spacing w:after="0" w:line="18"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38" w:lineRule="exact"/>
        <w:rPr>
          <w:rFonts w:ascii="Arial" w:cs="Arial" w:eastAsia="Arial" w:hAnsi="Arial"/>
          <w:sz w:val="10"/>
          <w:szCs w:val="10"/>
          <w:color w:val="auto"/>
        </w:rPr>
      </w:pPr>
    </w:p>
    <w:p>
      <w:pPr>
        <w:ind w:left="328" w:right="80" w:hanging="328"/>
        <w:spacing w:after="0" w:line="264" w:lineRule="auto"/>
        <w:tabs>
          <w:tab w:leader="none" w:pos="319" w:val="left"/>
        </w:tabs>
        <w:numPr>
          <w:ilvl w:val="0"/>
          <w:numId w:val="7"/>
        </w:numPr>
        <w:rPr>
          <w:rFonts w:ascii="Arial" w:cs="Arial" w:eastAsia="Arial" w:hAnsi="Arial"/>
          <w:sz w:val="10"/>
          <w:szCs w:val="10"/>
          <w:color w:val="auto"/>
        </w:rPr>
      </w:pPr>
      <w:r>
        <w:rPr>
          <w:rFonts w:ascii="Arial" w:cs="Arial" w:eastAsia="Arial" w:hAnsi="Arial"/>
          <w:sz w:val="10"/>
          <w:szCs w:val="10"/>
          <w:color w:val="auto"/>
        </w:rPr>
        <w:t xml:space="preserve">Consists of total advisory and brokerage assets under custody at the Company’s primary broker-dealer subsidiary, LPL Financial LLC (“LPL Financial”), as well as assets under custody of a third-party custodian related to Commonwealth Equity Services, LLC (“CES”). Please consult the </w:t>
      </w:r>
      <w:r>
        <w:rPr>
          <w:rFonts w:ascii="Arial" w:cs="Arial" w:eastAsia="Arial" w:hAnsi="Arial"/>
          <w:sz w:val="10"/>
          <w:szCs w:val="10"/>
          <w:i w:val="1"/>
          <w:iCs w:val="1"/>
          <w:color w:val="auto"/>
        </w:rPr>
        <w:t>“Results of Operations”</w:t>
      </w:r>
      <w:r>
        <w:rPr>
          <w:rFonts w:ascii="Arial" w:cs="Arial" w:eastAsia="Arial" w:hAnsi="Arial"/>
          <w:sz w:val="10"/>
          <w:szCs w:val="10"/>
          <w:color w:val="auto"/>
        </w:rPr>
        <w:t xml:space="preserve"> section for a tabular presentation of advisory and brokerage assets.</w:t>
      </w:r>
    </w:p>
    <w:p>
      <w:pPr>
        <w:spacing w:after="0" w:line="8" w:lineRule="exact"/>
        <w:rPr>
          <w:rFonts w:ascii="Arial" w:cs="Arial" w:eastAsia="Arial" w:hAnsi="Arial"/>
          <w:sz w:val="10"/>
          <w:szCs w:val="10"/>
          <w:color w:val="auto"/>
        </w:rPr>
      </w:pPr>
    </w:p>
    <w:p>
      <w:pPr>
        <w:ind w:left="328" w:right="100" w:hanging="328"/>
        <w:spacing w:after="0" w:line="264" w:lineRule="auto"/>
        <w:tabs>
          <w:tab w:leader="none" w:pos="319" w:val="left"/>
        </w:tabs>
        <w:numPr>
          <w:ilvl w:val="0"/>
          <w:numId w:val="7"/>
        </w:numPr>
        <w:rPr>
          <w:rFonts w:ascii="Arial" w:cs="Arial" w:eastAsia="Arial" w:hAnsi="Arial"/>
          <w:sz w:val="10"/>
          <w:szCs w:val="10"/>
          <w:color w:val="auto"/>
        </w:rPr>
      </w:pPr>
      <w:r>
        <w:rPr>
          <w:rFonts w:ascii="Arial" w:cs="Arial" w:eastAsia="Arial" w:hAnsi="Arial"/>
          <w:sz w:val="10"/>
          <w:szCs w:val="10"/>
          <w:color w:val="auto"/>
        </w:rPr>
        <w:t>Consists of total client deposits into advisory or brokerage accounts less total client withdrawals from advisory or brokerage accounts, plus dividends, plus interest, minus advisory fees. We consider conversions from and to brokerage or advisory accounts as deposits and withdrawals, respectively.</w:t>
      </w:r>
    </w:p>
    <w:p>
      <w:pPr>
        <w:spacing w:after="0" w:line="8"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Calculated as annualized current period organic net new assets divided by preceding period assets in their respective categories of advisory assets or total advisory and brokerage assets.</w:t>
      </w:r>
    </w:p>
    <w:p>
      <w:pPr>
        <w:spacing w:after="0" w:line="29"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Represents the amount of securities purchased less the amount of securities sold in client accounts custodied with LPL Financial.</w:t>
      </w:r>
    </w:p>
    <w:p>
      <w:pPr>
        <w:spacing w:after="0" w:line="20" w:lineRule="exact"/>
        <w:rPr>
          <w:rFonts w:ascii="Arial" w:cs="Arial" w:eastAsia="Arial" w:hAnsi="Arial"/>
          <w:sz w:val="10"/>
          <w:szCs w:val="10"/>
          <w:color w:val="auto"/>
        </w:rPr>
      </w:pPr>
    </w:p>
    <w:p>
      <w:pPr>
        <w:ind w:left="308" w:hanging="308"/>
        <w:spacing w:after="0"/>
        <w:tabs>
          <w:tab w:leader="none" w:pos="308" w:val="left"/>
        </w:tabs>
        <w:numPr>
          <w:ilvl w:val="0"/>
          <w:numId w:val="7"/>
        </w:numPr>
        <w:rPr>
          <w:rFonts w:ascii="Arial" w:cs="Arial" w:eastAsia="Arial" w:hAnsi="Arial"/>
          <w:sz w:val="10"/>
          <w:szCs w:val="10"/>
          <w:color w:val="auto"/>
        </w:rPr>
      </w:pPr>
      <w:r>
        <w:rPr>
          <w:rFonts w:ascii="Arial" w:cs="Arial" w:eastAsia="Arial" w:hAnsi="Arial"/>
          <w:sz w:val="10"/>
          <w:szCs w:val="10"/>
          <w:color w:val="auto"/>
        </w:rPr>
        <w:t>Calculated based on the end of period total advisory and brokerage assets divided by the end of period advisor count.</w:t>
      </w:r>
    </w:p>
    <w:p>
      <w:pPr>
        <w:spacing w:after="0" w:line="29" w:lineRule="exact"/>
        <w:rPr>
          <w:rFonts w:ascii="Arial" w:cs="Arial" w:eastAsia="Arial" w:hAnsi="Arial"/>
          <w:sz w:val="10"/>
          <w:szCs w:val="10"/>
          <w:color w:val="auto"/>
        </w:rPr>
      </w:pPr>
    </w:p>
    <w:p>
      <w:pPr>
        <w:ind w:left="328" w:right="60" w:hanging="328"/>
        <w:spacing w:after="0" w:line="224" w:lineRule="auto"/>
        <w:tabs>
          <w:tab w:leader="none" w:pos="319" w:val="left"/>
        </w:tabs>
        <w:numPr>
          <w:ilvl w:val="0"/>
          <w:numId w:val="7"/>
        </w:numPr>
        <w:rPr>
          <w:rFonts w:ascii="Arial" w:cs="Arial" w:eastAsia="Arial" w:hAnsi="Arial"/>
          <w:sz w:val="10"/>
          <w:szCs w:val="10"/>
          <w:color w:val="auto"/>
        </w:rPr>
      </w:pPr>
      <w:r>
        <w:rPr>
          <w:rFonts w:ascii="Arial" w:cs="Arial" w:eastAsia="Arial" w:hAnsi="Arial"/>
          <w:sz w:val="10"/>
          <w:szCs w:val="10"/>
          <w:color w:val="auto"/>
        </w:rPr>
        <w:t xml:space="preserve">The leverage ratio is a financial metric from our Credit Agreement and is calculated by dividing Credit Agreement net debt, which equals consolidated total debt less Corporate Cash, by Credit Agreement EBITDA. Credit Agreement EBITDA, a non-GAAP financial measure, is defined in the Credit Agreement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 Please consult the </w:t>
      </w:r>
      <w:r>
        <w:rPr>
          <w:rFonts w:ascii="Arial" w:cs="Arial" w:eastAsia="Arial" w:hAnsi="Arial"/>
          <w:sz w:val="10"/>
          <w:szCs w:val="10"/>
          <w:i w:val="1"/>
          <w:iCs w:val="1"/>
          <w:color w:val="auto"/>
        </w:rPr>
        <w:t xml:space="preserve">“Debt and Related Covenants” </w:t>
      </w:r>
      <w:r>
        <w:rPr>
          <w:rFonts w:ascii="Arial" w:cs="Arial" w:eastAsia="Arial" w:hAnsi="Arial"/>
          <w:sz w:val="10"/>
          <w:szCs w:val="10"/>
          <w:color w:val="auto"/>
        </w:rPr>
        <w:t>section for more information. Below are reconciliations of corporate debt and other borrowings to Credit Agreement net debt as of the dates below and net income to EBITDA and Credit Agreement EBITDA for the trailing twelve-month periods presented (in millions):</w:t>
      </w:r>
    </w:p>
    <w:p>
      <w:pPr>
        <w:spacing w:after="0" w:line="60"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September 30,</w:t>
            </w: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1"/>
                <w:szCs w:val="11"/>
                <w:b w:val="1"/>
                <w:bCs w:val="1"/>
                <w:color w:val="auto"/>
              </w:rPr>
              <w:t>June 30,</w:t>
            </w: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September 30,</w:t>
            </w:r>
          </w:p>
        </w:tc>
      </w:tr>
      <w:tr>
        <w:trPr>
          <w:trHeight w:val="144"/>
        </w:trPr>
        <w:tc>
          <w:tcPr>
            <w:tcW w:w="618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Credit Agreement Net Debt Reconciliation</w:t>
            </w: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2026</w:t>
            </w: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1"/>
                <w:szCs w:val="11"/>
                <w:b w:val="1"/>
                <w:bCs w:val="1"/>
                <w:color w:val="auto"/>
              </w:rPr>
              <w:t>2026</w:t>
            </w: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2025</w:t>
            </w:r>
          </w:p>
        </w:tc>
      </w:tr>
      <w:tr>
        <w:trPr>
          <w:trHeight w:val="124"/>
        </w:trPr>
        <w:tc>
          <w:tcPr>
            <w:tcW w:w="6180" w:type="dxa"/>
            <w:vAlign w:val="bottom"/>
            <w:shd w:val="clear" w:color="auto" w:fill="DBDBDB"/>
          </w:tcPr>
          <w:p>
            <w:pPr>
              <w:spacing w:after="0"/>
              <w:rPr>
                <w:sz w:val="20"/>
                <w:szCs w:val="20"/>
                <w:color w:val="auto"/>
              </w:rPr>
            </w:pPr>
            <w:r>
              <w:rPr>
                <w:rFonts w:ascii="Arial" w:cs="Arial" w:eastAsia="Arial" w:hAnsi="Arial"/>
                <w:sz w:val="10"/>
                <w:szCs w:val="10"/>
                <w:color w:val="auto"/>
              </w:rPr>
              <w:t>Corporate debt and other borrowings</w:t>
            </w:r>
          </w:p>
        </w:tc>
        <w:tc>
          <w:tcPr>
            <w:tcW w:w="20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7,836.0</w:t>
            </w:r>
          </w:p>
        </w:tc>
        <w:tc>
          <w:tcPr>
            <w:tcW w:w="1000" w:type="dxa"/>
            <w:vAlign w:val="bottom"/>
            <w:shd w:val="clear" w:color="auto" w:fill="DBDBDB"/>
          </w:tcPr>
          <w:p>
            <w:pPr>
              <w:jc w:val="right"/>
              <w:ind w:right="88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7,496.0</w:t>
            </w:r>
          </w:p>
        </w:tc>
        <w:tc>
          <w:tcPr>
            <w:tcW w:w="20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7,564.0</w:t>
            </w:r>
          </w:p>
        </w:tc>
      </w:tr>
      <w:tr>
        <w:trPr>
          <w:trHeight w:val="135"/>
        </w:trPr>
        <w:tc>
          <w:tcPr>
            <w:tcW w:w="6180" w:type="dxa"/>
            <w:vAlign w:val="bottom"/>
            <w:tcBorders>
              <w:bottom w:val="single" w:sz="8" w:color="DBDBDB"/>
            </w:tcBorders>
          </w:tcPr>
          <w:p>
            <w:pPr>
              <w:spacing w:after="0" w:line="135" w:lineRule="exact"/>
              <w:rPr>
                <w:sz w:val="20"/>
                <w:szCs w:val="20"/>
                <w:color w:val="auto"/>
              </w:rPr>
            </w:pPr>
            <w:r>
              <w:rPr>
                <w:rFonts w:ascii="Arial" w:cs="Arial" w:eastAsia="Arial" w:hAnsi="Arial"/>
                <w:sz w:val="10"/>
                <w:szCs w:val="10"/>
                <w:color w:val="auto"/>
              </w:rPr>
              <w:t>Corporate Cash</w:t>
            </w:r>
            <w:r>
              <w:rPr>
                <w:rFonts w:ascii="Arial" w:cs="Arial" w:eastAsia="Arial" w:hAnsi="Arial"/>
                <w:sz w:val="12"/>
                <w:szCs w:val="12"/>
                <w:color w:val="auto"/>
                <w:vertAlign w:val="subscript"/>
              </w:rPr>
              <w:t>(12)</w:t>
            </w: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(562.8)</w:t>
            </w:r>
          </w:p>
        </w:tc>
        <w:tc>
          <w:tcPr>
            <w:tcW w:w="10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(430.1)</w:t>
            </w: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(568.4)</w:t>
            </w:r>
          </w:p>
        </w:tc>
      </w:tr>
      <w:tr>
        <w:trPr>
          <w:trHeight w:val="140"/>
        </w:trPr>
        <w:tc>
          <w:tcPr>
            <w:tcW w:w="6180" w:type="dxa"/>
            <w:vAlign w:val="bottom"/>
            <w:tcBorders>
              <w:bottom w:val="single" w:sz="8" w:color="DBDBDB"/>
            </w:tcBorders>
            <w:shd w:val="clear" w:color="auto" w:fill="DBDBDB"/>
          </w:tcPr>
          <w:p>
            <w:pPr>
              <w:ind w:left="260"/>
              <w:spacing w:after="0" w:line="115" w:lineRule="exact"/>
              <w:rPr>
                <w:sz w:val="20"/>
                <w:szCs w:val="20"/>
                <w:color w:val="auto"/>
              </w:rPr>
            </w:pPr>
            <w:r>
              <w:rPr>
                <w:rFonts w:ascii="Arial" w:cs="Arial" w:eastAsia="Arial" w:hAnsi="Arial"/>
                <w:sz w:val="10"/>
                <w:szCs w:val="10"/>
                <w:b w:val="1"/>
                <w:bCs w:val="1"/>
                <w:color w:val="auto"/>
              </w:rPr>
              <w:t>Credit Agreement Net Debt</w:t>
            </w:r>
            <w:r>
              <w:rPr>
                <w:rFonts w:ascii="Arial" w:cs="Arial" w:eastAsia="Arial" w:hAnsi="Arial"/>
                <w:sz w:val="12"/>
                <w:szCs w:val="12"/>
                <w:b w:val="1"/>
                <w:bCs w:val="1"/>
                <w:color w:val="auto"/>
                <w:vertAlign w:val="subscript"/>
              </w:rPr>
              <w:t>(†)</w:t>
            </w:r>
          </w:p>
        </w:tc>
        <w:tc>
          <w:tcPr>
            <w:tcW w:w="200" w:type="dxa"/>
            <w:vAlign w:val="bottom"/>
            <w:tcBorders>
              <w:bottom w:val="single" w:sz="8" w:color="auto"/>
            </w:tcBorders>
            <w:shd w:val="clear" w:color="auto" w:fill="DBDBDB"/>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7,273.2</w:t>
            </w:r>
          </w:p>
        </w:tc>
        <w:tc>
          <w:tcPr>
            <w:tcW w:w="1000" w:type="dxa"/>
            <w:vAlign w:val="bottom"/>
            <w:tcBorders>
              <w:bottom w:val="single" w:sz="8" w:color="auto"/>
            </w:tcBorders>
            <w:shd w:val="clear" w:color="auto" w:fill="DBDBDB"/>
          </w:tcPr>
          <w:p>
            <w:pPr>
              <w:jc w:val="right"/>
              <w:ind w:right="88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7,065.9</w:t>
            </w:r>
          </w:p>
        </w:tc>
        <w:tc>
          <w:tcPr>
            <w:tcW w:w="200" w:type="dxa"/>
            <w:vAlign w:val="bottom"/>
            <w:tcBorders>
              <w:bottom w:val="single" w:sz="8" w:color="auto"/>
            </w:tcBorders>
            <w:shd w:val="clear" w:color="auto" w:fill="DBDBDB"/>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6,995.6</w:t>
            </w:r>
          </w:p>
        </w:tc>
      </w:tr>
    </w:tbl>
    <w:p>
      <w:pPr>
        <w:spacing w:after="0" w:line="106"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September 30,</w:t>
            </w: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June 30,</w:t>
            </w: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September 30,</w:t>
            </w:r>
          </w:p>
        </w:tc>
      </w:tr>
      <w:tr>
        <w:trPr>
          <w:trHeight w:val="144"/>
        </w:trPr>
        <w:tc>
          <w:tcPr>
            <w:tcW w:w="618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EBITDA and Credit Agreement EBITDA Reconciliation</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2026</w:t>
            </w: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2026</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2025</w:t>
            </w:r>
          </w:p>
        </w:tc>
      </w:tr>
      <w:tr>
        <w:trPr>
          <w:trHeight w:val="124"/>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Net income</w:t>
            </w:r>
          </w:p>
        </w:tc>
        <w:tc>
          <w:tcPr>
            <w:tcW w:w="20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1,392.9</w:t>
            </w:r>
          </w:p>
        </w:tc>
        <w:tc>
          <w:tcPr>
            <w:tcW w:w="300" w:type="dxa"/>
            <w:vAlign w:val="bottom"/>
            <w:shd w:val="clear" w:color="auto" w:fill="DBDBDB"/>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1,006.9</w:t>
            </w: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833.1</w:t>
            </w:r>
          </w:p>
        </w:tc>
      </w:tr>
      <w:tr>
        <w:trPr>
          <w:trHeight w:val="132"/>
        </w:trPr>
        <w:tc>
          <w:tcPr>
            <w:tcW w:w="6180" w:type="dxa"/>
            <w:vAlign w:val="bottom"/>
          </w:tcPr>
          <w:p>
            <w:pPr>
              <w:ind w:left="120"/>
              <w:spacing w:after="0"/>
              <w:rPr>
                <w:sz w:val="20"/>
                <w:szCs w:val="20"/>
                <w:color w:val="auto"/>
              </w:rPr>
            </w:pPr>
            <w:r>
              <w:rPr>
                <w:rFonts w:ascii="Arial" w:cs="Arial" w:eastAsia="Arial" w:hAnsi="Arial"/>
                <w:sz w:val="10"/>
                <w:szCs w:val="10"/>
                <w:color w:val="auto"/>
              </w:rPr>
              <w:t>Interest expense on borrowings</w:t>
            </w: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413.2</w:t>
            </w:r>
          </w:p>
        </w:tc>
        <w:tc>
          <w:tcPr>
            <w:tcW w:w="3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413.7</w:t>
            </w: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379.8</w:t>
            </w:r>
          </w:p>
        </w:tc>
      </w:tr>
      <w:tr>
        <w:trPr>
          <w:trHeight w:val="138"/>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Provision for income taxes</w:t>
            </w:r>
          </w:p>
        </w:tc>
        <w:tc>
          <w:tcPr>
            <w:tcW w:w="20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489.8</w:t>
            </w:r>
          </w:p>
        </w:tc>
        <w:tc>
          <w:tcPr>
            <w:tcW w:w="300" w:type="dxa"/>
            <w:vAlign w:val="bottom"/>
            <w:shd w:val="clear" w:color="auto" w:fill="DBDBDB"/>
          </w:tcPr>
          <w:p>
            <w:pPr>
              <w:spacing w:after="0"/>
              <w:rPr>
                <w:sz w:val="12"/>
                <w:szCs w:val="12"/>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356.7</w:t>
            </w:r>
          </w:p>
        </w:tc>
        <w:tc>
          <w:tcPr>
            <w:tcW w:w="220" w:type="dxa"/>
            <w:vAlign w:val="bottom"/>
            <w:shd w:val="clear" w:color="auto" w:fill="DBDBDB"/>
          </w:tcPr>
          <w:p>
            <w:pPr>
              <w:spacing w:after="0"/>
              <w:rPr>
                <w:sz w:val="12"/>
                <w:szCs w:val="1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260.2</w:t>
            </w:r>
          </w:p>
        </w:tc>
      </w:tr>
      <w:tr>
        <w:trPr>
          <w:trHeight w:val="132"/>
        </w:trPr>
        <w:tc>
          <w:tcPr>
            <w:tcW w:w="618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438.0</w:t>
            </w:r>
          </w:p>
        </w:tc>
        <w:tc>
          <w:tcPr>
            <w:tcW w:w="3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420.4</w:t>
            </w: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380.3</w:t>
            </w:r>
          </w:p>
        </w:tc>
      </w:tr>
      <w:tr>
        <w:trPr>
          <w:trHeight w:val="135"/>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Amortization of other intangibles</w:t>
            </w:r>
          </w:p>
        </w:tc>
        <w:tc>
          <w:tcPr>
            <w:tcW w:w="200" w:type="dxa"/>
            <w:vAlign w:val="bottom"/>
            <w:tcBorders>
              <w:bottom w:val="single" w:sz="8" w:color="auto"/>
            </w:tcBorders>
            <w:shd w:val="clear" w:color="auto" w:fill="DBDBDB"/>
          </w:tcPr>
          <w:p>
            <w:pPr>
              <w:spacing w:after="0"/>
              <w:rPr>
                <w:sz w:val="11"/>
                <w:szCs w:val="1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293.2</w:t>
            </w:r>
          </w:p>
        </w:tc>
        <w:tc>
          <w:tcPr>
            <w:tcW w:w="300" w:type="dxa"/>
            <w:vAlign w:val="bottom"/>
            <w:tcBorders>
              <w:bottom w:val="single" w:sz="8" w:color="auto"/>
            </w:tcBorders>
            <w:shd w:val="clear" w:color="auto" w:fill="DBDBDB"/>
          </w:tcPr>
          <w:p>
            <w:pPr>
              <w:spacing w:after="0"/>
              <w:rPr>
                <w:sz w:val="11"/>
                <w:szCs w:val="1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285.1</w:t>
            </w:r>
          </w:p>
        </w:tc>
        <w:tc>
          <w:tcPr>
            <w:tcW w:w="220" w:type="dxa"/>
            <w:vAlign w:val="bottom"/>
            <w:tcBorders>
              <w:bottom w:val="single" w:sz="8" w:color="auto"/>
            </w:tcBorders>
            <w:shd w:val="clear" w:color="auto" w:fill="DBDBDB"/>
          </w:tcPr>
          <w:p>
            <w:pPr>
              <w:spacing w:after="0"/>
              <w:rPr>
                <w:sz w:val="11"/>
                <w:szCs w:val="1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196.9</w:t>
            </w:r>
          </w:p>
        </w:tc>
      </w:tr>
      <w:tr>
        <w:trPr>
          <w:trHeight w:val="143"/>
        </w:trPr>
        <w:tc>
          <w:tcPr>
            <w:tcW w:w="6180" w:type="dxa"/>
            <w:vAlign w:val="bottom"/>
            <w:tcBorders>
              <w:bottom w:val="single" w:sz="8" w:color="DBDBDB"/>
            </w:tcBorders>
          </w:tcPr>
          <w:p>
            <w:pPr>
              <w:ind w:left="260"/>
              <w:spacing w:after="0" w:line="115" w:lineRule="exact"/>
              <w:rPr>
                <w:sz w:val="20"/>
                <w:szCs w:val="20"/>
                <w:color w:val="auto"/>
              </w:rPr>
            </w:pPr>
            <w:r>
              <w:rPr>
                <w:rFonts w:ascii="Arial" w:cs="Arial" w:eastAsia="Arial" w:hAnsi="Arial"/>
                <w:sz w:val="10"/>
                <w:szCs w:val="10"/>
                <w:b w:val="1"/>
                <w:bCs w:val="1"/>
                <w:color w:val="auto"/>
              </w:rPr>
              <w:t>EBITDA</w:t>
            </w:r>
            <w:r>
              <w:rPr>
                <w:rFonts w:ascii="Arial" w:cs="Arial" w:eastAsia="Arial" w:hAnsi="Arial"/>
                <w:sz w:val="12"/>
                <w:szCs w:val="12"/>
                <w:b w:val="1"/>
                <w:bCs w:val="1"/>
                <w:color w:val="auto"/>
                <w:vertAlign w:val="subscript"/>
              </w:rPr>
              <w:t>(†)</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3,027.2</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2,482.7</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2,050.3</w:t>
            </w:r>
          </w:p>
        </w:tc>
      </w:tr>
      <w:tr>
        <w:trPr>
          <w:trHeight w:val="117"/>
        </w:trPr>
        <w:tc>
          <w:tcPr>
            <w:tcW w:w="6180" w:type="dxa"/>
            <w:vAlign w:val="bottom"/>
            <w:shd w:val="clear" w:color="auto" w:fill="DBDBDB"/>
          </w:tcPr>
          <w:p>
            <w:pPr>
              <w:ind w:left="100"/>
              <w:spacing w:after="0"/>
              <w:rPr>
                <w:sz w:val="20"/>
                <w:szCs w:val="20"/>
                <w:color w:val="auto"/>
              </w:rPr>
            </w:pPr>
            <w:r>
              <w:rPr>
                <w:rFonts w:ascii="Arial" w:cs="Arial" w:eastAsia="Arial" w:hAnsi="Arial"/>
                <w:sz w:val="10"/>
                <w:szCs w:val="10"/>
                <w:b w:val="1"/>
                <w:bCs w:val="1"/>
                <w:color w:val="auto"/>
              </w:rPr>
              <w:t>Credit Agreement Adjustments:</w:t>
            </w:r>
          </w:p>
        </w:tc>
        <w:tc>
          <w:tcPr>
            <w:tcW w:w="200" w:type="dxa"/>
            <w:vAlign w:val="bottom"/>
            <w:shd w:val="clear" w:color="auto" w:fill="DBDBDB"/>
          </w:tcPr>
          <w:p>
            <w:pPr>
              <w:spacing w:after="0"/>
              <w:rPr>
                <w:sz w:val="10"/>
                <w:szCs w:val="10"/>
                <w:color w:val="auto"/>
              </w:rPr>
            </w:pPr>
          </w:p>
        </w:tc>
        <w:tc>
          <w:tcPr>
            <w:tcW w:w="1220" w:type="dxa"/>
            <w:vAlign w:val="bottom"/>
            <w:shd w:val="clear" w:color="auto" w:fill="DBDBDB"/>
          </w:tcPr>
          <w:p>
            <w:pPr>
              <w:spacing w:after="0"/>
              <w:rPr>
                <w:sz w:val="10"/>
                <w:szCs w:val="10"/>
                <w:color w:val="auto"/>
              </w:rPr>
            </w:pPr>
          </w:p>
        </w:tc>
        <w:tc>
          <w:tcPr>
            <w:tcW w:w="300" w:type="dxa"/>
            <w:vAlign w:val="bottom"/>
            <w:shd w:val="clear" w:color="auto" w:fill="DBDBDB"/>
          </w:tcPr>
          <w:p>
            <w:pPr>
              <w:spacing w:after="0"/>
              <w:rPr>
                <w:sz w:val="10"/>
                <w:szCs w:val="10"/>
                <w:color w:val="auto"/>
              </w:rPr>
            </w:pPr>
          </w:p>
        </w:tc>
        <w:tc>
          <w:tcPr>
            <w:tcW w:w="1140" w:type="dxa"/>
            <w:vAlign w:val="bottom"/>
            <w:shd w:val="clear" w:color="auto" w:fill="DBDBDB"/>
          </w:tcPr>
          <w:p>
            <w:pPr>
              <w:spacing w:after="0"/>
              <w:rPr>
                <w:sz w:val="10"/>
                <w:szCs w:val="10"/>
                <w:color w:val="auto"/>
              </w:rPr>
            </w:pPr>
          </w:p>
        </w:tc>
        <w:tc>
          <w:tcPr>
            <w:tcW w:w="22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r>
      <w:tr>
        <w:trPr>
          <w:trHeight w:val="135"/>
        </w:trPr>
        <w:tc>
          <w:tcPr>
            <w:tcW w:w="6180" w:type="dxa"/>
            <w:vAlign w:val="bottom"/>
          </w:tcPr>
          <w:p>
            <w:pPr>
              <w:ind w:left="120"/>
              <w:spacing w:after="0" w:line="135" w:lineRule="exact"/>
              <w:rPr>
                <w:sz w:val="20"/>
                <w:szCs w:val="20"/>
                <w:color w:val="auto"/>
              </w:rPr>
            </w:pPr>
            <w:r>
              <w:rPr>
                <w:rFonts w:ascii="Arial" w:cs="Arial" w:eastAsia="Arial" w:hAnsi="Arial"/>
                <w:sz w:val="10"/>
                <w:szCs w:val="10"/>
                <w:color w:val="auto"/>
              </w:rPr>
              <w:t>Acquisition costs and other</w:t>
            </w:r>
            <w:r>
              <w:rPr>
                <w:rFonts w:ascii="Arial" w:cs="Arial" w:eastAsia="Arial" w:hAnsi="Arial"/>
                <w:sz w:val="12"/>
                <w:szCs w:val="12"/>
                <w:color w:val="auto"/>
                <w:vertAlign w:val="subscript"/>
              </w:rPr>
              <w:t>(13)</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309.8</w:t>
            </w: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766.9</w:t>
            </w: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743.0</w:t>
            </w:r>
          </w:p>
        </w:tc>
      </w:tr>
      <w:tr>
        <w:trPr>
          <w:trHeight w:val="135"/>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Employee share-based compensation</w:t>
            </w:r>
          </w:p>
        </w:tc>
        <w:tc>
          <w:tcPr>
            <w:tcW w:w="200" w:type="dxa"/>
            <w:vAlign w:val="bottom"/>
            <w:shd w:val="clear" w:color="auto" w:fill="DBDBDB"/>
          </w:tcPr>
          <w:p>
            <w:pPr>
              <w:spacing w:after="0"/>
              <w:rPr>
                <w:sz w:val="11"/>
                <w:szCs w:val="1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85.5</w:t>
            </w:r>
          </w:p>
        </w:tc>
        <w:tc>
          <w:tcPr>
            <w:tcW w:w="300" w:type="dxa"/>
            <w:vAlign w:val="bottom"/>
            <w:shd w:val="clear" w:color="auto" w:fill="DBDBDB"/>
          </w:tcPr>
          <w:p>
            <w:pPr>
              <w:spacing w:after="0"/>
              <w:rPr>
                <w:sz w:val="11"/>
                <w:szCs w:val="1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83.0</w:t>
            </w:r>
          </w:p>
        </w:tc>
        <w:tc>
          <w:tcPr>
            <w:tcW w:w="220" w:type="dxa"/>
            <w:vAlign w:val="bottom"/>
            <w:shd w:val="clear" w:color="auto" w:fill="DBDBDB"/>
          </w:tcPr>
          <w:p>
            <w:pPr>
              <w:spacing w:after="0"/>
              <w:rPr>
                <w:sz w:val="11"/>
                <w:szCs w:val="1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82.6</w:t>
            </w:r>
          </w:p>
        </w:tc>
      </w:tr>
      <w:tr>
        <w:trPr>
          <w:trHeight w:val="135"/>
        </w:trPr>
        <w:tc>
          <w:tcPr>
            <w:tcW w:w="6180" w:type="dxa"/>
            <w:vAlign w:val="bottom"/>
          </w:tcPr>
          <w:p>
            <w:pPr>
              <w:ind w:left="120"/>
              <w:spacing w:after="0" w:line="135" w:lineRule="exact"/>
              <w:rPr>
                <w:sz w:val="20"/>
                <w:szCs w:val="20"/>
                <w:color w:val="auto"/>
              </w:rPr>
            </w:pPr>
            <w:r>
              <w:rPr>
                <w:rFonts w:ascii="Arial" w:cs="Arial" w:eastAsia="Arial" w:hAnsi="Arial"/>
                <w:sz w:val="10"/>
                <w:szCs w:val="10"/>
                <w:color w:val="auto"/>
              </w:rPr>
              <w:t>M&amp;A accretion</w:t>
            </w:r>
            <w:r>
              <w:rPr>
                <w:rFonts w:ascii="Arial" w:cs="Arial" w:eastAsia="Arial" w:hAnsi="Arial"/>
                <w:sz w:val="12"/>
                <w:szCs w:val="12"/>
                <w:color w:val="auto"/>
                <w:vertAlign w:val="subscript"/>
              </w:rPr>
              <w:t>(14)</w:t>
            </w: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345.7</w:t>
            </w:r>
          </w:p>
        </w:tc>
        <w:tc>
          <w:tcPr>
            <w:tcW w:w="3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359.9</w:t>
            </w:r>
          </w:p>
        </w:tc>
        <w:tc>
          <w:tcPr>
            <w:tcW w:w="2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552.4</w:t>
            </w:r>
          </w:p>
        </w:tc>
      </w:tr>
      <w:tr>
        <w:trPr>
          <w:trHeight w:val="135"/>
        </w:trPr>
        <w:tc>
          <w:tcPr>
            <w:tcW w:w="6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Advisor share-based compensation</w:t>
            </w:r>
          </w:p>
        </w:tc>
        <w:tc>
          <w:tcPr>
            <w:tcW w:w="200" w:type="dxa"/>
            <w:vAlign w:val="bottom"/>
            <w:shd w:val="clear" w:color="auto" w:fill="DBDBDB"/>
          </w:tcPr>
          <w:p>
            <w:pPr>
              <w:spacing w:after="0"/>
              <w:rPr>
                <w:sz w:val="11"/>
                <w:szCs w:val="1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3.3</w:t>
            </w:r>
          </w:p>
        </w:tc>
        <w:tc>
          <w:tcPr>
            <w:tcW w:w="300" w:type="dxa"/>
            <w:vAlign w:val="bottom"/>
            <w:shd w:val="clear" w:color="auto" w:fill="DBDBDB"/>
          </w:tcPr>
          <w:p>
            <w:pPr>
              <w:spacing w:after="0"/>
              <w:rPr>
                <w:sz w:val="11"/>
                <w:szCs w:val="1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3.1</w:t>
            </w:r>
          </w:p>
        </w:tc>
        <w:tc>
          <w:tcPr>
            <w:tcW w:w="220" w:type="dxa"/>
            <w:vAlign w:val="bottom"/>
            <w:shd w:val="clear" w:color="auto" w:fill="DBDBDB"/>
          </w:tcPr>
          <w:p>
            <w:pPr>
              <w:spacing w:after="0"/>
              <w:rPr>
                <w:sz w:val="11"/>
                <w:szCs w:val="1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w:t>
            </w:r>
          </w:p>
        </w:tc>
      </w:tr>
      <w:tr>
        <w:trPr>
          <w:trHeight w:val="132"/>
        </w:trPr>
        <w:tc>
          <w:tcPr>
            <w:tcW w:w="6180" w:type="dxa"/>
            <w:vAlign w:val="bottom"/>
            <w:tcBorders>
              <w:bottom w:val="single" w:sz="8" w:color="DBDBDB"/>
            </w:tcBorders>
          </w:tcPr>
          <w:p>
            <w:pPr>
              <w:ind w:left="120"/>
              <w:spacing w:after="0"/>
              <w:rPr>
                <w:sz w:val="20"/>
                <w:szCs w:val="20"/>
                <w:color w:val="auto"/>
              </w:rPr>
            </w:pPr>
            <w:r>
              <w:rPr>
                <w:rFonts w:ascii="Arial" w:cs="Arial" w:eastAsia="Arial" w:hAnsi="Arial"/>
                <w:sz w:val="10"/>
                <w:szCs w:val="10"/>
                <w:color w:val="auto"/>
              </w:rPr>
              <w:t>Loss on extinguishment of debt</w:t>
            </w: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w:t>
            </w:r>
          </w:p>
        </w:tc>
      </w:tr>
      <w:tr>
        <w:trPr>
          <w:trHeight w:val="143"/>
        </w:trPr>
        <w:tc>
          <w:tcPr>
            <w:tcW w:w="6180" w:type="dxa"/>
            <w:vAlign w:val="bottom"/>
            <w:tcBorders>
              <w:bottom w:val="single" w:sz="8" w:color="DBDBDB"/>
            </w:tcBorders>
            <w:shd w:val="clear" w:color="auto" w:fill="DBDBDB"/>
          </w:tcPr>
          <w:p>
            <w:pPr>
              <w:ind w:left="260"/>
              <w:spacing w:after="0" w:line="115" w:lineRule="exact"/>
              <w:rPr>
                <w:sz w:val="20"/>
                <w:szCs w:val="20"/>
                <w:color w:val="auto"/>
              </w:rPr>
            </w:pPr>
            <w:r>
              <w:rPr>
                <w:rFonts w:ascii="Arial" w:cs="Arial" w:eastAsia="Arial" w:hAnsi="Arial"/>
                <w:sz w:val="10"/>
                <w:szCs w:val="10"/>
                <w:b w:val="1"/>
                <w:bCs w:val="1"/>
                <w:color w:val="auto"/>
              </w:rPr>
              <w:t>Credit Agreement EBITDA</w:t>
            </w:r>
            <w:r>
              <w:rPr>
                <w:rFonts w:ascii="Arial" w:cs="Arial" w:eastAsia="Arial" w:hAnsi="Arial"/>
                <w:sz w:val="12"/>
                <w:szCs w:val="12"/>
                <w:b w:val="1"/>
                <w:bCs w:val="1"/>
                <w:color w:val="auto"/>
                <w:vertAlign w:val="subscript"/>
              </w:rPr>
              <w:t>(†)</w:t>
            </w:r>
          </w:p>
        </w:tc>
        <w:tc>
          <w:tcPr>
            <w:tcW w:w="200" w:type="dxa"/>
            <w:vAlign w:val="bottom"/>
            <w:tcBorders>
              <w:bottom w:val="single" w:sz="8" w:color="auto"/>
            </w:tcBorders>
            <w:shd w:val="clear" w:color="auto" w:fill="DBDBDB"/>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3,771.4</w:t>
            </w:r>
          </w:p>
        </w:tc>
        <w:tc>
          <w:tcPr>
            <w:tcW w:w="300" w:type="dxa"/>
            <w:vAlign w:val="bottom"/>
            <w:tcBorders>
              <w:bottom w:val="single" w:sz="8" w:color="auto"/>
            </w:tcBorders>
            <w:shd w:val="clear" w:color="auto" w:fill="DBDBDB"/>
          </w:tcPr>
          <w:p>
            <w:pPr>
              <w:jc w:val="right"/>
              <w:ind w:right="17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3,695.5</w:t>
            </w:r>
          </w:p>
        </w:tc>
        <w:tc>
          <w:tcPr>
            <w:tcW w:w="220" w:type="dxa"/>
            <w:vAlign w:val="bottom"/>
            <w:tcBorders>
              <w:bottom w:val="single" w:sz="8" w:color="auto"/>
            </w:tcBorders>
            <w:shd w:val="clear" w:color="auto" w:fill="DBDBDB"/>
          </w:tcPr>
          <w:p>
            <w:pPr>
              <w:jc w:val="right"/>
              <w:ind w:right="92"/>
              <w:spacing w:after="0"/>
              <w:rPr>
                <w:sz w:val="20"/>
                <w:szCs w:val="20"/>
                <w:color w:val="auto"/>
              </w:rPr>
            </w:pPr>
            <w:r>
              <w:rPr>
                <w:rFonts w:ascii="Arial" w:cs="Arial" w:eastAsia="Arial" w:hAnsi="Arial"/>
                <w:sz w:val="10"/>
                <w:szCs w:val="10"/>
                <w:b w:val="1"/>
                <w:bCs w:val="1"/>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3,435.2</w:t>
            </w:r>
          </w:p>
        </w:tc>
      </w:tr>
    </w:tbl>
    <w:p>
      <w:pPr>
        <w:spacing w:after="0" w:line="106"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6180" w:type="dxa"/>
            <w:vAlign w:val="bottom"/>
          </w:tcPr>
          <w:p>
            <w:pPr>
              <w:spacing w:after="0"/>
              <w:rPr>
                <w:sz w:val="13"/>
                <w:szCs w:val="13"/>
                <w:color w:val="auto"/>
              </w:rPr>
            </w:pPr>
          </w:p>
        </w:tc>
        <w:tc>
          <w:tcPr>
            <w:tcW w:w="1140" w:type="dxa"/>
            <w:vAlign w:val="bottom"/>
            <w:tcBorders>
              <w:top w:val="single" w:sz="8" w:color="auto"/>
            </w:tcBorders>
          </w:tcPr>
          <w:p>
            <w:pPr>
              <w:jc w:val="center"/>
              <w:ind w:left="226"/>
              <w:spacing w:after="0"/>
              <w:rPr>
                <w:sz w:val="20"/>
                <w:szCs w:val="20"/>
                <w:color w:val="auto"/>
              </w:rPr>
            </w:pPr>
            <w:r>
              <w:rPr>
                <w:rFonts w:ascii="Arial" w:cs="Arial" w:eastAsia="Arial" w:hAnsi="Arial"/>
                <w:sz w:val="11"/>
                <w:szCs w:val="11"/>
                <w:b w:val="1"/>
                <w:bCs w:val="1"/>
                <w:color w:val="auto"/>
                <w:w w:val="98"/>
              </w:rPr>
              <w:t>September 30,</w:t>
            </w:r>
          </w:p>
        </w:tc>
        <w:tc>
          <w:tcPr>
            <w:tcW w:w="1380" w:type="dxa"/>
            <w:vAlign w:val="bottom"/>
            <w:tcBorders>
              <w:top w:val="single" w:sz="8" w:color="auto"/>
            </w:tcBorders>
          </w:tcPr>
          <w:p>
            <w:pPr>
              <w:jc w:val="center"/>
              <w:ind w:left="608"/>
              <w:spacing w:after="0"/>
              <w:rPr>
                <w:sz w:val="20"/>
                <w:szCs w:val="20"/>
                <w:color w:val="auto"/>
              </w:rPr>
            </w:pPr>
            <w:r>
              <w:rPr>
                <w:rFonts w:ascii="Arial" w:cs="Arial" w:eastAsia="Arial" w:hAnsi="Arial"/>
                <w:sz w:val="11"/>
                <w:szCs w:val="11"/>
                <w:b w:val="1"/>
                <w:bCs w:val="1"/>
                <w:color w:val="auto"/>
                <w:w w:val="99"/>
              </w:rPr>
              <w:t>June 30,</w:t>
            </w:r>
          </w:p>
        </w:tc>
        <w:tc>
          <w:tcPr>
            <w:tcW w:w="5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128"/>
              <w:spacing w:after="0"/>
              <w:rPr>
                <w:sz w:val="20"/>
                <w:szCs w:val="20"/>
                <w:color w:val="auto"/>
              </w:rPr>
            </w:pPr>
            <w:r>
              <w:rPr>
                <w:rFonts w:ascii="Arial" w:cs="Arial" w:eastAsia="Arial" w:hAnsi="Arial"/>
                <w:sz w:val="11"/>
                <w:szCs w:val="11"/>
                <w:b w:val="1"/>
                <w:bCs w:val="1"/>
                <w:color w:val="auto"/>
                <w:w w:val="98"/>
              </w:rPr>
              <w:t>September 30,</w:t>
            </w:r>
          </w:p>
        </w:tc>
      </w:tr>
      <w:tr>
        <w:trPr>
          <w:trHeight w:val="144"/>
        </w:trPr>
        <w:tc>
          <w:tcPr>
            <w:tcW w:w="6180" w:type="dxa"/>
            <w:vAlign w:val="bottom"/>
            <w:tcBorders>
              <w:bottom w:val="single" w:sz="8" w:color="DBDBDB"/>
            </w:tcBorders>
          </w:tcPr>
          <w:p>
            <w:pPr>
              <w:spacing w:after="0"/>
              <w:rPr>
                <w:sz w:val="12"/>
                <w:szCs w:val="12"/>
                <w:color w:val="auto"/>
              </w:rPr>
            </w:pPr>
          </w:p>
        </w:tc>
        <w:tc>
          <w:tcPr>
            <w:tcW w:w="11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2026</w:t>
            </w: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48"/>
              <w:spacing w:after="0"/>
              <w:rPr>
                <w:sz w:val="20"/>
                <w:szCs w:val="20"/>
                <w:color w:val="auto"/>
              </w:rPr>
            </w:pPr>
            <w:r>
              <w:rPr>
                <w:rFonts w:ascii="Arial" w:cs="Arial" w:eastAsia="Arial" w:hAnsi="Arial"/>
                <w:sz w:val="11"/>
                <w:szCs w:val="11"/>
                <w:b w:val="1"/>
                <w:bCs w:val="1"/>
                <w:color w:val="auto"/>
              </w:rPr>
              <w:t>2025</w:t>
            </w:r>
          </w:p>
        </w:tc>
      </w:tr>
      <w:tr>
        <w:trPr>
          <w:trHeight w:val="140"/>
        </w:trPr>
        <w:tc>
          <w:tcPr>
            <w:tcW w:w="61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0"/>
                <w:szCs w:val="10"/>
                <w:b w:val="1"/>
                <w:bCs w:val="1"/>
                <w:color w:val="auto"/>
              </w:rPr>
              <w:t>Leverage Ratio</w:t>
            </w:r>
          </w:p>
        </w:tc>
        <w:tc>
          <w:tcPr>
            <w:tcW w:w="1140" w:type="dxa"/>
            <w:vAlign w:val="bottom"/>
            <w:tcBorders>
              <w:bottom w:val="single" w:sz="8" w:color="auto"/>
            </w:tcBorders>
            <w:shd w:val="clear" w:color="auto" w:fill="DBDBDB"/>
          </w:tcPr>
          <w:p>
            <w:pPr>
              <w:spacing w:after="0"/>
              <w:rPr>
                <w:sz w:val="12"/>
                <w:szCs w:val="12"/>
                <w:color w:val="auto"/>
              </w:rPr>
            </w:pPr>
          </w:p>
        </w:tc>
        <w:tc>
          <w:tcPr>
            <w:tcW w:w="1380" w:type="dxa"/>
            <w:vAlign w:val="bottom"/>
            <w:tcBorders>
              <w:bottom w:val="single" w:sz="8" w:color="auto"/>
            </w:tcBorders>
            <w:shd w:val="clear" w:color="auto" w:fill="DBDBDB"/>
          </w:tcPr>
          <w:p>
            <w:pPr>
              <w:jc w:val="right"/>
              <w:ind w:right="1068"/>
              <w:spacing w:after="0"/>
              <w:rPr>
                <w:sz w:val="20"/>
                <w:szCs w:val="20"/>
                <w:color w:val="auto"/>
              </w:rPr>
            </w:pPr>
            <w:r>
              <w:rPr>
                <w:rFonts w:ascii="Arial" w:cs="Arial" w:eastAsia="Arial" w:hAnsi="Arial"/>
                <w:sz w:val="10"/>
                <w:szCs w:val="10"/>
                <w:b w:val="1"/>
                <w:bCs w:val="1"/>
                <w:color w:val="auto"/>
              </w:rPr>
              <w:t>1.93</w:t>
            </w:r>
          </w:p>
        </w:tc>
        <w:tc>
          <w:tcPr>
            <w:tcW w:w="52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0"/>
                <w:szCs w:val="10"/>
                <w:b w:val="1"/>
                <w:bCs w:val="1"/>
                <w:color w:val="auto"/>
              </w:rPr>
              <w:t>1.91</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2.04</w:t>
            </w:r>
          </w:p>
        </w:tc>
      </w:tr>
    </w:tbl>
    <w:p>
      <w:pPr>
        <w:spacing w:after="0" w:line="52"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328"/>
        <w:spacing w:after="0"/>
        <w:tabs>
          <w:tab w:leader="none" w:pos="528" w:val="left"/>
        </w:tabs>
        <w:rPr>
          <w:sz w:val="20"/>
          <w:szCs w:val="20"/>
          <w:color w:val="auto"/>
        </w:rPr>
      </w:pPr>
      <w:r>
        <w:rPr>
          <w:rFonts w:ascii="Arial" w:cs="Arial" w:eastAsia="Arial" w:hAnsi="Arial"/>
          <w:sz w:val="10"/>
          <w:szCs w:val="10"/>
          <w:color w:val="auto"/>
        </w:rPr>
        <w:t>(†)</w:t>
        <w:tab/>
        <w:t>Totals may not foot due to rounding.</w:t>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64" w:lineRule="exact"/>
        <w:rPr>
          <w:sz w:val="20"/>
          <w:szCs w:val="20"/>
          <w:color w:val="auto"/>
        </w:rPr>
      </w:pPr>
    </w:p>
    <w:p>
      <w:pPr>
        <w:ind w:left="328" w:hanging="328"/>
        <w:spacing w:after="0" w:line="224" w:lineRule="auto"/>
        <w:tabs>
          <w:tab w:leader="none" w:pos="319" w:val="left"/>
        </w:tabs>
        <w:numPr>
          <w:ilvl w:val="0"/>
          <w:numId w:val="8"/>
        </w:numPr>
        <w:rPr>
          <w:rFonts w:ascii="Arial" w:cs="Arial" w:eastAsia="Arial" w:hAnsi="Arial"/>
          <w:sz w:val="10"/>
          <w:szCs w:val="10"/>
          <w:color w:val="auto"/>
        </w:rPr>
      </w:pPr>
      <w:r>
        <w:rPr>
          <w:rFonts w:ascii="Arial" w:cs="Arial" w:eastAsia="Arial" w:hAnsi="Arial"/>
          <w:sz w:val="10"/>
          <w:szCs w:val="10"/>
          <w:color w:val="auto"/>
        </w:rPr>
        <w:t>Adjusted EPS is a non-GAAP financial measure defined as adjusted net income, a non-GAAP financial measure defined as net income (loss) plus the after-tax impact of amortization of other intangibles and acquisition costs, divided by the weighted average number of diluted shares outstanding for the applicable period. The Company presents adjusted net income and adjusted EPS because management believes that these metrics can provide investors with useful insight into the Company’s core operating performance by excluding non-cash items and acquisition costs that management does not believe impact the Company’s ongoing operations. Adjusted net income and adjusted EPS are not measures of the Company's financial performance under GAAP and should not be considered as alternatives to net income (loss), earnings (loss) per diluted share or any other performance measure derived in accordance with GAAP. Below is a reconciliation of net income (loss) and earnings (loss) per diluted share to adjusted net income and adjusted EPS for the periods presented (in millions, except per share data):</w:t>
      </w:r>
    </w:p>
    <w:p>
      <w:pPr>
        <w:spacing w:after="0" w:line="19" w:lineRule="exact"/>
        <w:rPr>
          <w:sz w:val="20"/>
          <w:szCs w:val="20"/>
          <w:color w:val="auto"/>
        </w:rPr>
      </w:pPr>
    </w:p>
    <w:tbl>
      <w:tblPr>
        <w:tblLayout w:type="fixed"/>
        <w:tblInd w:w="328" w:type="dxa"/>
        <w:tblCellMar>
          <w:top w:w="0" w:type="dxa"/>
          <w:left w:w="0" w:type="dxa"/>
          <w:bottom w:w="0" w:type="dxa"/>
          <w:right w:w="0" w:type="dxa"/>
        </w:tblCellMar>
      </w:tblPr>
      <w:tr>
        <w:trPr>
          <w:trHeight w:val="124"/>
        </w:trPr>
        <w:tc>
          <w:tcPr>
            <w:tcW w:w="3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7"/>
              </w:rPr>
              <w:t>Three Months Ended September 30,</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0"/>
                <w:szCs w:val="10"/>
                <w:b w:val="1"/>
                <w:bCs w:val="1"/>
                <w:color w:val="auto"/>
                <w:w w:val="98"/>
              </w:rPr>
              <w:t>Nine Months Ended September 30,</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r>
        <w:trPr>
          <w:trHeight w:val="122"/>
        </w:trPr>
        <w:tc>
          <w:tcPr>
            <w:tcW w:w="3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2026</w:t>
            </w: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2025</w:t>
            </w: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2026</w:t>
            </w: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2025</w:t>
            </w:r>
          </w:p>
        </w:tc>
        <w:tc>
          <w:tcPr>
            <w:tcW w:w="700" w:type="dxa"/>
            <w:vAlign w:val="bottom"/>
            <w:tcBorders>
              <w:bottom w:val="single" w:sz="8" w:color="auto"/>
            </w:tcBorders>
          </w:tcPr>
          <w:p>
            <w:pPr>
              <w:spacing w:after="0"/>
              <w:rPr>
                <w:sz w:val="10"/>
                <w:szCs w:val="10"/>
                <w:color w:val="auto"/>
              </w:rPr>
            </w:pPr>
          </w:p>
        </w:tc>
      </w:tr>
      <w:tr>
        <w:trPr>
          <w:trHeight w:val="125"/>
        </w:trPr>
        <w:tc>
          <w:tcPr>
            <w:tcW w:w="344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Adjusted Net Income / Adjusted EPS Reconciliation</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Amount</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Per Share</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Per Share</w:t>
            </w: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Amount</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Per Share</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Per Share</w:t>
            </w:r>
          </w:p>
        </w:tc>
      </w:tr>
      <w:tr>
        <w:trPr>
          <w:trHeight w:val="125"/>
        </w:trPr>
        <w:tc>
          <w:tcPr>
            <w:tcW w:w="34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Net income (loss) / earnings (loss) per diluted share</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356.6</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4.52</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(29.5)</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(0.37)</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7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1,092.2</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13.68</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562.3</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7.15</w:t>
            </w:r>
          </w:p>
        </w:tc>
      </w:tr>
      <w:tr>
        <w:trPr>
          <w:trHeight w:val="132"/>
        </w:trPr>
        <w:tc>
          <w:tcPr>
            <w:tcW w:w="3440" w:type="dxa"/>
            <w:vAlign w:val="bottom"/>
          </w:tcPr>
          <w:p>
            <w:pPr>
              <w:ind w:left="120"/>
              <w:spacing w:after="0"/>
              <w:rPr>
                <w:sz w:val="20"/>
                <w:szCs w:val="20"/>
                <w:color w:val="auto"/>
              </w:rPr>
            </w:pPr>
            <w:r>
              <w:rPr>
                <w:rFonts w:ascii="Arial" w:cs="Arial" w:eastAsia="Arial" w:hAnsi="Arial"/>
                <w:sz w:val="10"/>
                <w:szCs w:val="10"/>
                <w:color w:val="auto"/>
              </w:rPr>
              <w:t>Amortization of other intangibles</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72.8</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0.92</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64.7</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0.81</w:t>
            </w:r>
          </w:p>
        </w:tc>
        <w:tc>
          <w:tcPr>
            <w:tcW w:w="160" w:type="dxa"/>
            <w:vAlign w:val="bottom"/>
          </w:tcPr>
          <w:p>
            <w:pPr>
              <w:spacing w:after="0"/>
              <w:rPr>
                <w:sz w:val="11"/>
                <w:szCs w:val="11"/>
                <w:color w:val="auto"/>
              </w:rPr>
            </w:pP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211.0</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2.64</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154.3</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1.96</w:t>
            </w:r>
          </w:p>
        </w:tc>
      </w:tr>
      <w:tr>
        <w:trPr>
          <w:trHeight w:val="138"/>
        </w:trPr>
        <w:tc>
          <w:tcPr>
            <w:tcW w:w="34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Acquisition costs</w:t>
            </w:r>
            <w:r>
              <w:rPr>
                <w:rFonts w:ascii="Arial" w:cs="Arial" w:eastAsia="Arial" w:hAnsi="Arial"/>
                <w:sz w:val="6"/>
                <w:szCs w:val="6"/>
                <w:color w:val="auto"/>
              </w:rPr>
              <w:t>(15)</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83.1</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1.05</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538.2</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6.70</w:t>
            </w:r>
          </w:p>
        </w:tc>
        <w:tc>
          <w:tcPr>
            <w:tcW w:w="16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193.3</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2.42</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661.6</w:t>
            </w: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8.42</w:t>
            </w:r>
          </w:p>
        </w:tc>
      </w:tr>
      <w:tr>
        <w:trPr>
          <w:trHeight w:val="132"/>
        </w:trPr>
        <w:tc>
          <w:tcPr>
            <w:tcW w:w="3440" w:type="dxa"/>
            <w:vAlign w:val="bottom"/>
            <w:tcBorders>
              <w:bottom w:val="single" w:sz="8" w:color="DBDBDB"/>
            </w:tcBorders>
          </w:tcPr>
          <w:p>
            <w:pPr>
              <w:ind w:left="120"/>
              <w:spacing w:after="0"/>
              <w:rPr>
                <w:sz w:val="20"/>
                <w:szCs w:val="20"/>
                <w:color w:val="auto"/>
              </w:rPr>
            </w:pPr>
            <w:r>
              <w:rPr>
                <w:rFonts w:ascii="Arial" w:cs="Arial" w:eastAsia="Arial" w:hAnsi="Arial"/>
                <w:sz w:val="10"/>
                <w:szCs w:val="10"/>
                <w:color w:val="auto"/>
              </w:rPr>
              <w:t>Tax benefit</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(41.3)</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(0.52)</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(155.1)</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w:t>
            </w: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(106.7)</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(210.5)</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(2.68)</w:t>
            </w:r>
          </w:p>
        </w:tc>
      </w:tr>
      <w:tr>
        <w:trPr>
          <w:trHeight w:val="147"/>
        </w:trPr>
        <w:tc>
          <w:tcPr>
            <w:tcW w:w="344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0"/>
                <w:szCs w:val="10"/>
                <w:b w:val="1"/>
                <w:bCs w:val="1"/>
                <w:color w:val="auto"/>
              </w:rPr>
              <w:t>Adjusted Net Income / Adjusted EPS</w:t>
            </w:r>
            <w:r>
              <w:rPr>
                <w:rFonts w:ascii="Arial" w:cs="Arial" w:eastAsia="Arial" w:hAnsi="Arial"/>
                <w:sz w:val="6"/>
                <w:szCs w:val="6"/>
                <w:b w:val="1"/>
                <w:bCs w:val="1"/>
                <w:color w:val="auto"/>
              </w:rPr>
              <w:t>(†)</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471.3</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5.97</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418.2</w:t>
            </w:r>
          </w:p>
        </w:tc>
        <w:tc>
          <w:tcPr>
            <w:tcW w:w="16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5.20</w:t>
            </w:r>
          </w:p>
        </w:tc>
        <w:tc>
          <w:tcPr>
            <w:tcW w:w="16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1,389.8</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17.41</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1,167.7</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14.86</w:t>
            </w:r>
          </w:p>
        </w:tc>
      </w:tr>
      <w:tr>
        <w:trPr>
          <w:trHeight w:val="125"/>
        </w:trPr>
        <w:tc>
          <w:tcPr>
            <w:tcW w:w="3440" w:type="dxa"/>
            <w:vAlign w:val="bottom"/>
          </w:tcPr>
          <w:p>
            <w:pPr>
              <w:ind w:left="120"/>
              <w:spacing w:after="0"/>
              <w:rPr>
                <w:sz w:val="20"/>
                <w:szCs w:val="20"/>
                <w:color w:val="auto"/>
              </w:rPr>
            </w:pPr>
            <w:r>
              <w:rPr>
                <w:rFonts w:ascii="Arial" w:cs="Arial" w:eastAsia="Arial" w:hAnsi="Arial"/>
                <w:sz w:val="10"/>
                <w:szCs w:val="10"/>
                <w:color w:val="auto"/>
              </w:rPr>
              <w:t>Weighted-average shares outstanding, diluted</w:t>
            </w: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79.0</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80.4</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79.8</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78.6</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bl>
    <w:p>
      <w:pPr>
        <w:spacing w:after="0" w:line="130"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548" w:hanging="224"/>
        <w:spacing w:after="0"/>
        <w:tabs>
          <w:tab w:leader="none" w:pos="548" w:val="left"/>
        </w:tabs>
        <w:numPr>
          <w:ilvl w:val="1"/>
          <w:numId w:val="9"/>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56" w:lineRule="exact"/>
        <w:rPr>
          <w:rFonts w:ascii="Arial" w:cs="Arial" w:eastAsia="Arial" w:hAnsi="Arial"/>
          <w:sz w:val="10"/>
          <w:szCs w:val="10"/>
          <w:color w:val="auto"/>
        </w:rPr>
      </w:pPr>
    </w:p>
    <w:p>
      <w:pPr>
        <w:ind w:left="328" w:right="80" w:hanging="328"/>
        <w:spacing w:after="0" w:line="229" w:lineRule="auto"/>
        <w:tabs>
          <w:tab w:leader="none" w:pos="319" w:val="left"/>
        </w:tabs>
        <w:numPr>
          <w:ilvl w:val="0"/>
          <w:numId w:val="9"/>
        </w:numPr>
        <w:rPr>
          <w:rFonts w:ascii="Arial" w:cs="Arial" w:eastAsia="Arial" w:hAnsi="Arial"/>
          <w:sz w:val="10"/>
          <w:szCs w:val="10"/>
          <w:color w:val="auto"/>
        </w:rPr>
      </w:pPr>
      <w:r>
        <w:rPr>
          <w:rFonts w:ascii="Arial" w:cs="Arial" w:eastAsia="Arial" w:hAnsi="Arial"/>
          <w:sz w:val="10"/>
          <w:szCs w:val="10"/>
          <w:color w:val="auto"/>
        </w:rPr>
        <w:t>Gross profit is a non-GAAP financial measure defined as total revenue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by management to be general and administrative in nature. Because our gross profit amounts do not include any depreciation and amortization expense, we consider our gross profit amounts to be non-GAAP financial measures that may not be comparable to those of others in our industry. We believe that gross profit amounts can provide investors with useful insight into our core operating performance before indirect costs that are general and administrative in nature. Below is a calculation of gross profit for the periods presented (in millions):</w:t>
      </w:r>
    </w:p>
    <w:p>
      <w:pPr>
        <w:spacing w:after="0" w:line="9" w:lineRule="exact"/>
        <w:rPr>
          <w:sz w:val="20"/>
          <w:szCs w:val="20"/>
          <w:color w:val="auto"/>
        </w:rPr>
      </w:pPr>
    </w:p>
    <w:tbl>
      <w:tblPr>
        <w:tblLayout w:type="fixed"/>
        <w:tblInd w:w="328" w:type="dxa"/>
        <w:tblCellMar>
          <w:top w:w="0" w:type="dxa"/>
          <w:left w:w="0" w:type="dxa"/>
          <w:bottom w:w="0" w:type="dxa"/>
          <w:right w:w="0" w:type="dxa"/>
        </w:tblCellMar>
      </w:tblPr>
      <w:tr>
        <w:trPr>
          <w:trHeight w:val="124"/>
        </w:trPr>
        <w:tc>
          <w:tcPr>
            <w:tcW w:w="5180" w:type="dxa"/>
            <w:vAlign w:val="bottom"/>
          </w:tcPr>
          <w:p>
            <w:pPr>
              <w:spacing w:after="0"/>
              <w:rPr>
                <w:sz w:val="10"/>
                <w:szCs w:val="10"/>
                <w:color w:val="auto"/>
              </w:rPr>
            </w:pPr>
          </w:p>
        </w:tc>
        <w:tc>
          <w:tcPr>
            <w:tcW w:w="22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Three Months Ended September 30,</w:t>
            </w:r>
          </w:p>
        </w:tc>
        <w:tc>
          <w:tcPr>
            <w:tcW w:w="4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Nine Months Ended September 30,</w:t>
            </w:r>
          </w:p>
        </w:tc>
        <w:tc>
          <w:tcPr>
            <w:tcW w:w="460" w:type="dxa"/>
            <w:vAlign w:val="bottom"/>
            <w:tcBorders>
              <w:bottom w:val="single" w:sz="8" w:color="auto"/>
            </w:tcBorders>
          </w:tcPr>
          <w:p>
            <w:pPr>
              <w:spacing w:after="0"/>
              <w:rPr>
                <w:sz w:val="10"/>
                <w:szCs w:val="10"/>
                <w:color w:val="auto"/>
              </w:rPr>
            </w:pPr>
          </w:p>
        </w:tc>
      </w:tr>
      <w:tr>
        <w:trPr>
          <w:trHeight w:val="123"/>
        </w:trPr>
        <w:tc>
          <w:tcPr>
            <w:tcW w:w="518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Gross Profit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2026</w:t>
            </w:r>
          </w:p>
        </w:tc>
        <w:tc>
          <w:tcPr>
            <w:tcW w:w="4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2025</w:t>
            </w:r>
          </w:p>
        </w:tc>
        <w:tc>
          <w:tcPr>
            <w:tcW w:w="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2026</w:t>
            </w:r>
          </w:p>
        </w:tc>
        <w:tc>
          <w:tcPr>
            <w:tcW w:w="4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460" w:type="dxa"/>
            <w:vAlign w:val="bottom"/>
            <w:tcBorders>
              <w:bottom w:val="single" w:sz="8" w:color="auto"/>
            </w:tcBorders>
          </w:tcPr>
          <w:p>
            <w:pPr>
              <w:spacing w:after="0"/>
              <w:rPr>
                <w:sz w:val="10"/>
                <w:szCs w:val="10"/>
                <w:color w:val="auto"/>
              </w:rPr>
            </w:pPr>
          </w:p>
        </w:tc>
      </w:tr>
      <w:tr>
        <w:trPr>
          <w:trHeight w:val="125"/>
        </w:trPr>
        <w:tc>
          <w:tcPr>
            <w:tcW w:w="5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Total revenue</w:t>
            </w:r>
          </w:p>
        </w:tc>
        <w:tc>
          <w:tcPr>
            <w:tcW w:w="860" w:type="dxa"/>
            <w:vAlign w:val="bottom"/>
            <w:shd w:val="clear" w:color="auto" w:fill="DBDBDB"/>
          </w:tcPr>
          <w:p>
            <w:pPr>
              <w:jc w:val="right"/>
              <w:ind w:right="75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5,344.0</w:t>
            </w:r>
          </w:p>
        </w:tc>
        <w:tc>
          <w:tcPr>
            <w:tcW w:w="920" w:type="dxa"/>
            <w:vAlign w:val="bottom"/>
            <w:shd w:val="clear" w:color="auto" w:fill="DBDBDB"/>
          </w:tcPr>
          <w:p>
            <w:pPr>
              <w:jc w:val="right"/>
              <w:ind w:right="792"/>
              <w:spacing w:after="0"/>
              <w:rPr>
                <w:sz w:val="20"/>
                <w:szCs w:val="20"/>
                <w:color w:val="auto"/>
              </w:rPr>
            </w:pPr>
            <w:r>
              <w:rPr>
                <w:rFonts w:ascii="Arial" w:cs="Arial" w:eastAsia="Arial" w:hAnsi="Arial"/>
                <w:sz w:val="10"/>
                <w:szCs w:val="10"/>
                <w:color w:val="auto"/>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4,552.0</w:t>
            </w:r>
          </w:p>
        </w:tc>
        <w:tc>
          <w:tcPr>
            <w:tcW w:w="880" w:type="dxa"/>
            <w:vAlign w:val="bottom"/>
            <w:shd w:val="clear" w:color="auto" w:fill="DBDBDB"/>
          </w:tcPr>
          <w:p>
            <w:pPr>
              <w:jc w:val="right"/>
              <w:ind w:right="752"/>
              <w:spacing w:after="0"/>
              <w:rPr>
                <w:sz w:val="20"/>
                <w:szCs w:val="20"/>
                <w:color w:val="auto"/>
              </w:rPr>
            </w:pPr>
            <w:r>
              <w:rPr>
                <w:rFonts w:ascii="Arial" w:cs="Arial" w:eastAsia="Arial" w:hAnsi="Arial"/>
                <w:sz w:val="10"/>
                <w:szCs w:val="10"/>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15,469.1</w:t>
            </w:r>
          </w:p>
        </w:tc>
        <w:tc>
          <w:tcPr>
            <w:tcW w:w="780" w:type="dxa"/>
            <w:vAlign w:val="bottom"/>
            <w:shd w:val="clear" w:color="auto" w:fill="DBDBDB"/>
          </w:tcPr>
          <w:p>
            <w:pPr>
              <w:jc w:val="right"/>
              <w:ind w:right="632"/>
              <w:spacing w:after="0"/>
              <w:rPr>
                <w:sz w:val="20"/>
                <w:szCs w:val="20"/>
                <w:color w:val="auto"/>
              </w:rPr>
            </w:pPr>
            <w:r>
              <w:rPr>
                <w:rFonts w:ascii="Arial" w:cs="Arial" w:eastAsia="Arial" w:hAnsi="Arial"/>
                <w:sz w:val="10"/>
                <w:szCs w:val="10"/>
                <w:color w:val="auto"/>
              </w:rPr>
              <w:t>$</w:t>
            </w:r>
          </w:p>
        </w:tc>
        <w:tc>
          <w:tcPr>
            <w:tcW w:w="46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w w:val="97"/>
              </w:rPr>
              <w:t>12,057.0</w:t>
            </w:r>
          </w:p>
        </w:tc>
      </w:tr>
      <w:tr>
        <w:trPr>
          <w:trHeight w:val="132"/>
        </w:trPr>
        <w:tc>
          <w:tcPr>
            <w:tcW w:w="5180" w:type="dxa"/>
            <w:vAlign w:val="bottom"/>
          </w:tcPr>
          <w:p>
            <w:pPr>
              <w:ind w:left="120"/>
              <w:spacing w:after="0"/>
              <w:rPr>
                <w:sz w:val="20"/>
                <w:szCs w:val="20"/>
                <w:color w:val="auto"/>
              </w:rPr>
            </w:pPr>
            <w:r>
              <w:rPr>
                <w:rFonts w:ascii="Arial" w:cs="Arial" w:eastAsia="Arial" w:hAnsi="Arial"/>
                <w:sz w:val="10"/>
                <w:szCs w:val="10"/>
                <w:color w:val="auto"/>
              </w:rPr>
              <w:t>Advisory and commission expense</w:t>
            </w:r>
          </w:p>
        </w:tc>
        <w:tc>
          <w:tcPr>
            <w:tcW w:w="8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3,632.7</w:t>
            </w:r>
          </w:p>
        </w:tc>
        <w:tc>
          <w:tcPr>
            <w:tcW w:w="9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3,025.3</w:t>
            </w:r>
          </w:p>
        </w:tc>
        <w:tc>
          <w:tcPr>
            <w:tcW w:w="8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10,431.1</w:t>
            </w:r>
          </w:p>
        </w:tc>
        <w:tc>
          <w:tcPr>
            <w:tcW w:w="780" w:type="dxa"/>
            <w:vAlign w:val="bottom"/>
          </w:tcPr>
          <w:p>
            <w:pPr>
              <w:spacing w:after="0"/>
              <w:rPr>
                <w:sz w:val="11"/>
                <w:szCs w:val="11"/>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7,862.4</w:t>
            </w:r>
          </w:p>
        </w:tc>
      </w:tr>
      <w:tr>
        <w:trPr>
          <w:trHeight w:val="138"/>
        </w:trPr>
        <w:tc>
          <w:tcPr>
            <w:tcW w:w="5180" w:type="dxa"/>
            <w:vAlign w:val="bottom"/>
            <w:shd w:val="clear" w:color="auto" w:fill="DBDBDB"/>
          </w:tcPr>
          <w:p>
            <w:pPr>
              <w:ind w:left="120"/>
              <w:spacing w:after="0"/>
              <w:rPr>
                <w:sz w:val="20"/>
                <w:szCs w:val="20"/>
                <w:color w:val="auto"/>
              </w:rPr>
            </w:pPr>
            <w:r>
              <w:rPr>
                <w:rFonts w:ascii="Arial" w:cs="Arial" w:eastAsia="Arial" w:hAnsi="Arial"/>
                <w:sz w:val="10"/>
                <w:szCs w:val="10"/>
                <w:color w:val="auto"/>
              </w:rPr>
              <w:t>Brokerage, clearing and exchange expense</w:t>
            </w:r>
          </w:p>
        </w:tc>
        <w:tc>
          <w:tcPr>
            <w:tcW w:w="86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49.1</w:t>
            </w:r>
          </w:p>
        </w:tc>
        <w:tc>
          <w:tcPr>
            <w:tcW w:w="920" w:type="dxa"/>
            <w:vAlign w:val="bottom"/>
            <w:shd w:val="clear" w:color="auto" w:fill="DBDBDB"/>
          </w:tcPr>
          <w:p>
            <w:pPr>
              <w:spacing w:after="0"/>
              <w:rPr>
                <w:sz w:val="12"/>
                <w:szCs w:val="12"/>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43.3</w:t>
            </w:r>
          </w:p>
        </w:tc>
        <w:tc>
          <w:tcPr>
            <w:tcW w:w="88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156.6</w:t>
            </w:r>
          </w:p>
        </w:tc>
        <w:tc>
          <w:tcPr>
            <w:tcW w:w="780" w:type="dxa"/>
            <w:vAlign w:val="bottom"/>
            <w:shd w:val="clear" w:color="auto" w:fill="DBDBDB"/>
          </w:tcPr>
          <w:p>
            <w:pPr>
              <w:spacing w:after="0"/>
              <w:rPr>
                <w:sz w:val="12"/>
                <w:szCs w:val="12"/>
                <w:color w:val="auto"/>
              </w:rPr>
            </w:pPr>
          </w:p>
        </w:tc>
        <w:tc>
          <w:tcPr>
            <w:tcW w:w="46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130.7</w:t>
            </w:r>
          </w:p>
        </w:tc>
      </w:tr>
      <w:tr>
        <w:trPr>
          <w:trHeight w:val="132"/>
        </w:trPr>
        <w:tc>
          <w:tcPr>
            <w:tcW w:w="5180" w:type="dxa"/>
            <w:vAlign w:val="bottom"/>
            <w:tcBorders>
              <w:bottom w:val="single" w:sz="8" w:color="DBDBDB"/>
            </w:tcBorders>
          </w:tcPr>
          <w:p>
            <w:pPr>
              <w:ind w:left="120"/>
              <w:spacing w:after="0"/>
              <w:rPr>
                <w:sz w:val="20"/>
                <w:szCs w:val="20"/>
                <w:color w:val="auto"/>
              </w:rPr>
            </w:pPr>
            <w:r>
              <w:rPr>
                <w:rFonts w:ascii="Arial" w:cs="Arial" w:eastAsia="Arial" w:hAnsi="Arial"/>
                <w:sz w:val="10"/>
                <w:szCs w:val="10"/>
                <w:color w:val="auto"/>
              </w:rPr>
              <w:t>Employee deferred compensation</w:t>
            </w:r>
          </w:p>
        </w:tc>
        <w:tc>
          <w:tcPr>
            <w:tcW w:w="8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w:t>
            </w:r>
          </w:p>
        </w:tc>
        <w:tc>
          <w:tcPr>
            <w:tcW w:w="9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w:t>
            </w:r>
          </w:p>
        </w:tc>
        <w:tc>
          <w:tcPr>
            <w:tcW w:w="8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w:t>
            </w:r>
          </w:p>
        </w:tc>
        <w:tc>
          <w:tcPr>
            <w:tcW w:w="7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7.7</w:t>
            </w:r>
          </w:p>
        </w:tc>
      </w:tr>
      <w:tr>
        <w:trPr>
          <w:trHeight w:val="143"/>
        </w:trPr>
        <w:tc>
          <w:tcPr>
            <w:tcW w:w="5180" w:type="dxa"/>
            <w:vAlign w:val="bottom"/>
            <w:tcBorders>
              <w:bottom w:val="single" w:sz="8" w:color="DBDBDB"/>
            </w:tcBorders>
            <w:shd w:val="clear" w:color="auto" w:fill="DBDBDB"/>
          </w:tcPr>
          <w:p>
            <w:pPr>
              <w:ind w:left="260"/>
              <w:spacing w:after="0" w:line="115" w:lineRule="exact"/>
              <w:rPr>
                <w:sz w:val="20"/>
                <w:szCs w:val="20"/>
                <w:color w:val="auto"/>
              </w:rPr>
            </w:pPr>
            <w:r>
              <w:rPr>
                <w:rFonts w:ascii="Arial" w:cs="Arial" w:eastAsia="Arial" w:hAnsi="Arial"/>
                <w:sz w:val="10"/>
                <w:szCs w:val="10"/>
                <w:b w:val="1"/>
                <w:bCs w:val="1"/>
                <w:color w:val="auto"/>
              </w:rPr>
              <w:t>Gross Profit</w:t>
            </w:r>
            <w:r>
              <w:rPr>
                <w:rFonts w:ascii="Arial" w:cs="Arial" w:eastAsia="Arial" w:hAnsi="Arial"/>
                <w:sz w:val="12"/>
                <w:szCs w:val="12"/>
                <w:b w:val="1"/>
                <w:bCs w:val="1"/>
                <w:color w:val="auto"/>
                <w:vertAlign w:val="subscript"/>
              </w:rPr>
              <w:t>(†)</w:t>
            </w:r>
          </w:p>
        </w:tc>
        <w:tc>
          <w:tcPr>
            <w:tcW w:w="860" w:type="dxa"/>
            <w:vAlign w:val="bottom"/>
            <w:tcBorders>
              <w:bottom w:val="single" w:sz="8" w:color="auto"/>
            </w:tcBorders>
            <w:shd w:val="clear" w:color="auto" w:fill="DBDBDB"/>
          </w:tcPr>
          <w:p>
            <w:pPr>
              <w:jc w:val="right"/>
              <w:ind w:right="75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1,661.9</w:t>
            </w:r>
          </w:p>
        </w:tc>
        <w:tc>
          <w:tcPr>
            <w:tcW w:w="920" w:type="dxa"/>
            <w:vAlign w:val="bottom"/>
            <w:tcBorders>
              <w:bottom w:val="single" w:sz="8" w:color="auto"/>
            </w:tcBorders>
            <w:shd w:val="clear" w:color="auto" w:fill="DBDBDB"/>
          </w:tcPr>
          <w:p>
            <w:pPr>
              <w:jc w:val="right"/>
              <w:ind w:right="79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1,479.3</w:t>
            </w:r>
          </w:p>
        </w:tc>
        <w:tc>
          <w:tcPr>
            <w:tcW w:w="880" w:type="dxa"/>
            <w:vAlign w:val="bottom"/>
            <w:tcBorders>
              <w:bottom w:val="single" w:sz="8" w:color="auto"/>
            </w:tcBorders>
            <w:shd w:val="clear" w:color="auto" w:fill="DBDBDB"/>
          </w:tcPr>
          <w:p>
            <w:pPr>
              <w:jc w:val="right"/>
              <w:ind w:right="75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4,872.9</w:t>
            </w:r>
          </w:p>
        </w:tc>
        <w:tc>
          <w:tcPr>
            <w:tcW w:w="780" w:type="dxa"/>
            <w:vAlign w:val="bottom"/>
            <w:tcBorders>
              <w:bottom w:val="single" w:sz="8" w:color="auto"/>
            </w:tcBorders>
            <w:shd w:val="clear" w:color="auto" w:fill="DBDBDB"/>
          </w:tcPr>
          <w:p>
            <w:pPr>
              <w:jc w:val="right"/>
              <w:ind w:right="63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4,056.3</w:t>
            </w:r>
          </w:p>
        </w:tc>
      </w:tr>
    </w:tbl>
    <w:p>
      <w:pPr>
        <w:spacing w:after="0" w:line="133"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548" w:hanging="224"/>
        <w:spacing w:after="0"/>
        <w:tabs>
          <w:tab w:leader="none" w:pos="548" w:val="left"/>
        </w:tabs>
        <w:numPr>
          <w:ilvl w:val="1"/>
          <w:numId w:val="10"/>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56" w:lineRule="exact"/>
        <w:rPr>
          <w:rFonts w:ascii="Arial" w:cs="Arial" w:eastAsia="Arial" w:hAnsi="Arial"/>
          <w:sz w:val="10"/>
          <w:szCs w:val="10"/>
          <w:color w:val="auto"/>
        </w:rPr>
      </w:pPr>
    </w:p>
    <w:p>
      <w:pPr>
        <w:ind w:left="328" w:right="60" w:hanging="328"/>
        <w:spacing w:after="0" w:line="229" w:lineRule="auto"/>
        <w:tabs>
          <w:tab w:leader="none" w:pos="327" w:val="left"/>
        </w:tabs>
        <w:numPr>
          <w:ilvl w:val="0"/>
          <w:numId w:val="10"/>
        </w:numPr>
        <w:rPr>
          <w:rFonts w:ascii="Arial" w:cs="Arial" w:eastAsia="Arial" w:hAnsi="Arial"/>
          <w:sz w:val="10"/>
          <w:szCs w:val="10"/>
          <w:color w:val="auto"/>
        </w:rPr>
      </w:pPr>
      <w:r>
        <w:rPr>
          <w:rFonts w:ascii="Arial" w:cs="Arial" w:eastAsia="Arial" w:hAnsi="Arial"/>
          <w:sz w:val="10"/>
          <w:szCs w:val="10"/>
          <w:color w:val="auto"/>
        </w:rPr>
        <w:t>EBITDA and adjusted EBITDA are non-GAAP financial measures. EBITDA is defined as net income (loss) plus interest expense on borrowings, provision for (benefit from) income taxes, depreciation and amortization, and amortization of other intangibles. Adjusted EBITDA is defined as EBITDA plus acquisition costs excluding interest. The Company presents EBITDA and adjusted EBITDA because management believes that they can be useful financial metrics in understanding the Company’s earnings from operations. EBITDA and adjusted EBITDA are not measures of the Company's financial performance under GAAP and should not be considered as alternatives to net income (loss) or any other performance measure derived in accordance with GAAP. Below is a reconciliation of net income (loss) to EBITDA and adjusted EBITDA for the periods presented (in millions):</w:t>
      </w:r>
    </w:p>
    <w:p>
      <w:pPr>
        <w:spacing w:after="0" w:line="9" w:lineRule="exact"/>
        <w:rPr>
          <w:sz w:val="20"/>
          <w:szCs w:val="20"/>
          <w:color w:val="auto"/>
        </w:rPr>
      </w:pPr>
    </w:p>
    <w:tbl>
      <w:tblPr>
        <w:tblLayout w:type="fixed"/>
        <w:tblInd w:w="328" w:type="dxa"/>
        <w:tblCellMar>
          <w:top w:w="0" w:type="dxa"/>
          <w:left w:w="0" w:type="dxa"/>
          <w:bottom w:w="0" w:type="dxa"/>
          <w:right w:w="0" w:type="dxa"/>
        </w:tblCellMar>
      </w:tblPr>
      <w:tr>
        <w:trPr>
          <w:trHeight w:val="124"/>
        </w:trPr>
        <w:tc>
          <w:tcPr>
            <w:tcW w:w="5120" w:type="dxa"/>
            <w:vAlign w:val="bottom"/>
          </w:tcPr>
          <w:p>
            <w:pPr>
              <w:spacing w:after="0"/>
              <w:rPr>
                <w:sz w:val="10"/>
                <w:szCs w:val="10"/>
                <w:color w:val="auto"/>
              </w:rPr>
            </w:pPr>
          </w:p>
        </w:tc>
        <w:tc>
          <w:tcPr>
            <w:tcW w:w="22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Three Months Ended September 30,</w:t>
            </w: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0"/>
                <w:szCs w:val="10"/>
                <w:b w:val="1"/>
                <w:bCs w:val="1"/>
                <w:color w:val="auto"/>
              </w:rPr>
              <w:t>Nine Months Ended September 30,</w:t>
            </w:r>
          </w:p>
        </w:tc>
      </w:tr>
      <w:tr>
        <w:trPr>
          <w:trHeight w:val="123"/>
        </w:trPr>
        <w:tc>
          <w:tcPr>
            <w:tcW w:w="512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EBITDA Reconciliation</w:t>
            </w: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2026</w:t>
            </w:r>
          </w:p>
        </w:tc>
        <w:tc>
          <w:tcPr>
            <w:tcW w:w="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2026</w:t>
            </w: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2025</w:t>
            </w:r>
          </w:p>
        </w:tc>
      </w:tr>
      <w:tr>
        <w:trPr>
          <w:trHeight w:val="125"/>
        </w:trPr>
        <w:tc>
          <w:tcPr>
            <w:tcW w:w="5120" w:type="dxa"/>
            <w:vAlign w:val="bottom"/>
            <w:shd w:val="clear" w:color="auto" w:fill="DBDBDB"/>
          </w:tcPr>
          <w:p>
            <w:pPr>
              <w:ind w:left="120"/>
              <w:spacing w:after="0"/>
              <w:rPr>
                <w:sz w:val="20"/>
                <w:szCs w:val="20"/>
                <w:color w:val="auto"/>
              </w:rPr>
            </w:pPr>
            <w:r>
              <w:rPr>
                <w:rFonts w:ascii="Arial" w:cs="Arial" w:eastAsia="Arial" w:hAnsi="Arial"/>
                <w:sz w:val="10"/>
                <w:szCs w:val="10"/>
                <w:color w:val="auto"/>
              </w:rPr>
              <w:t>Net income (loss)</w:t>
            </w:r>
          </w:p>
        </w:tc>
        <w:tc>
          <w:tcPr>
            <w:tcW w:w="900" w:type="dxa"/>
            <w:vAlign w:val="bottom"/>
            <w:shd w:val="clear" w:color="auto" w:fill="DBDBDB"/>
          </w:tcPr>
          <w:p>
            <w:pPr>
              <w:jc w:val="right"/>
              <w:ind w:right="772"/>
              <w:spacing w:after="0"/>
              <w:rPr>
                <w:sz w:val="20"/>
                <w:szCs w:val="20"/>
                <w:color w:val="auto"/>
              </w:rPr>
            </w:pPr>
            <w:r>
              <w:rPr>
                <w:rFonts w:ascii="Arial" w:cs="Arial" w:eastAsia="Arial" w:hAnsi="Arial"/>
                <w:sz w:val="10"/>
                <w:szCs w:val="10"/>
                <w:color w:val="auto"/>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356.6</w:t>
            </w:r>
          </w:p>
        </w:tc>
        <w:tc>
          <w:tcPr>
            <w:tcW w:w="940" w:type="dxa"/>
            <w:vAlign w:val="bottom"/>
            <w:shd w:val="clear" w:color="auto" w:fill="DBDBDB"/>
          </w:tcPr>
          <w:p>
            <w:pPr>
              <w:jc w:val="right"/>
              <w:ind w:right="812"/>
              <w:spacing w:after="0"/>
              <w:rPr>
                <w:sz w:val="20"/>
                <w:szCs w:val="20"/>
                <w:color w:val="auto"/>
              </w:rPr>
            </w:pPr>
            <w:r>
              <w:rPr>
                <w:rFonts w:ascii="Arial" w:cs="Arial" w:eastAsia="Arial" w:hAnsi="Arial"/>
                <w:sz w:val="10"/>
                <w:szCs w:val="10"/>
                <w:color w:val="auto"/>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(29.5)</w:t>
            </w:r>
          </w:p>
        </w:tc>
        <w:tc>
          <w:tcPr>
            <w:tcW w:w="30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1,092.2</w:t>
            </w:r>
          </w:p>
        </w:tc>
        <w:tc>
          <w:tcPr>
            <w:tcW w:w="32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rPr>
              <w:t>$</w:t>
            </w:r>
          </w:p>
        </w:tc>
        <w:tc>
          <w:tcPr>
            <w:tcW w:w="10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562.3</w:t>
            </w:r>
          </w:p>
        </w:tc>
      </w:tr>
      <w:tr>
        <w:trPr>
          <w:trHeight w:val="132"/>
        </w:trPr>
        <w:tc>
          <w:tcPr>
            <w:tcW w:w="5120" w:type="dxa"/>
            <w:vAlign w:val="bottom"/>
          </w:tcPr>
          <w:p>
            <w:pPr>
              <w:ind w:left="120"/>
              <w:spacing w:after="0"/>
              <w:rPr>
                <w:sz w:val="20"/>
                <w:szCs w:val="20"/>
                <w:color w:val="auto"/>
              </w:rPr>
            </w:pPr>
            <w:r>
              <w:rPr>
                <w:rFonts w:ascii="Arial" w:cs="Arial" w:eastAsia="Arial" w:hAnsi="Arial"/>
                <w:sz w:val="10"/>
                <w:szCs w:val="10"/>
                <w:color w:val="auto"/>
              </w:rPr>
              <w:t>Interest expense on borrowings</w:t>
            </w:r>
          </w:p>
        </w:tc>
        <w:tc>
          <w:tcPr>
            <w:tcW w:w="9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105.8</w:t>
            </w:r>
          </w:p>
        </w:tc>
        <w:tc>
          <w:tcPr>
            <w:tcW w:w="94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106.3</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307.6</w:t>
            </w:r>
          </w:p>
        </w:tc>
        <w:tc>
          <w:tcPr>
            <w:tcW w:w="3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297.8</w:t>
            </w:r>
          </w:p>
        </w:tc>
      </w:tr>
      <w:tr>
        <w:trPr>
          <w:trHeight w:val="138"/>
        </w:trPr>
        <w:tc>
          <w:tcPr>
            <w:tcW w:w="512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Provision for (benefit from) income taxes</w:t>
            </w:r>
          </w:p>
        </w:tc>
        <w:tc>
          <w:tcPr>
            <w:tcW w:w="900" w:type="dxa"/>
            <w:vAlign w:val="bottom"/>
            <w:shd w:val="clear" w:color="auto" w:fill="DBDBDB"/>
          </w:tcPr>
          <w:p>
            <w:pPr>
              <w:spacing w:after="0"/>
              <w:rPr>
                <w:sz w:val="12"/>
                <w:szCs w:val="12"/>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128.6</w:t>
            </w: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w:t>
            </w:r>
          </w:p>
        </w:tc>
        <w:tc>
          <w:tcPr>
            <w:tcW w:w="3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393.0</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189.6</w:t>
            </w:r>
          </w:p>
        </w:tc>
      </w:tr>
      <w:tr>
        <w:trPr>
          <w:trHeight w:val="132"/>
        </w:trPr>
        <w:tc>
          <w:tcPr>
            <w:tcW w:w="512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9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117.3</w:t>
            </w:r>
          </w:p>
        </w:tc>
        <w:tc>
          <w:tcPr>
            <w:tcW w:w="940" w:type="dxa"/>
            <w:vAlign w:val="bottom"/>
          </w:tcPr>
          <w:p>
            <w:pPr>
              <w:spacing w:after="0"/>
              <w:rPr>
                <w:sz w:val="11"/>
                <w:szCs w:val="11"/>
                <w:color w:val="auto"/>
              </w:rPr>
            </w:pPr>
          </w:p>
        </w:tc>
        <w:tc>
          <w:tcPr>
            <w:tcW w:w="400" w:type="dxa"/>
            <w:vAlign w:val="bottom"/>
          </w:tcPr>
          <w:p>
            <w:pPr>
              <w:jc w:val="right"/>
              <w:ind w:right="12"/>
              <w:spacing w:after="0"/>
              <w:rPr>
                <w:sz w:val="20"/>
                <w:szCs w:val="20"/>
                <w:color w:val="auto"/>
              </w:rPr>
            </w:pPr>
            <w:r>
              <w:rPr>
                <w:rFonts w:ascii="Arial" w:cs="Arial" w:eastAsia="Arial" w:hAnsi="Arial"/>
                <w:sz w:val="10"/>
                <w:szCs w:val="10"/>
                <w:color w:val="auto"/>
              </w:rPr>
              <w:t>99.7</w:t>
            </w: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332.8</w:t>
            </w:r>
          </w:p>
        </w:tc>
        <w:tc>
          <w:tcPr>
            <w:tcW w:w="3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color w:val="auto"/>
              </w:rPr>
              <w:t>288.3</w:t>
            </w:r>
          </w:p>
        </w:tc>
      </w:tr>
      <w:tr>
        <w:trPr>
          <w:trHeight w:val="135"/>
        </w:trPr>
        <w:tc>
          <w:tcPr>
            <w:tcW w:w="512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Amortization of other intangibles</w:t>
            </w:r>
          </w:p>
        </w:tc>
        <w:tc>
          <w:tcPr>
            <w:tcW w:w="900" w:type="dxa"/>
            <w:vAlign w:val="bottom"/>
            <w:tcBorders>
              <w:bottom w:val="single" w:sz="8" w:color="auto"/>
            </w:tcBorders>
            <w:shd w:val="clear" w:color="auto" w:fill="DBDBDB"/>
          </w:tcPr>
          <w:p>
            <w:pPr>
              <w:spacing w:after="0"/>
              <w:rPr>
                <w:sz w:val="11"/>
                <w:szCs w:val="11"/>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72.8</w:t>
            </w:r>
          </w:p>
        </w:tc>
        <w:tc>
          <w:tcPr>
            <w:tcW w:w="940" w:type="dxa"/>
            <w:vAlign w:val="bottom"/>
            <w:tcBorders>
              <w:bottom w:val="single" w:sz="8" w:color="auto"/>
            </w:tcBorders>
            <w:shd w:val="clear" w:color="auto" w:fill="DBDBDB"/>
          </w:tcPr>
          <w:p>
            <w:pPr>
              <w:spacing w:after="0"/>
              <w:rPr>
                <w:sz w:val="11"/>
                <w:szCs w:val="11"/>
                <w:color w:val="auto"/>
              </w:rPr>
            </w:pPr>
          </w:p>
        </w:tc>
        <w:tc>
          <w:tcPr>
            <w:tcW w:w="4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64.7</w:t>
            </w:r>
          </w:p>
        </w:tc>
        <w:tc>
          <w:tcPr>
            <w:tcW w:w="300" w:type="dxa"/>
            <w:vAlign w:val="bottom"/>
            <w:tcBorders>
              <w:bottom w:val="single" w:sz="8" w:color="auto"/>
            </w:tcBorders>
            <w:shd w:val="clear" w:color="auto" w:fill="DBDBDB"/>
          </w:tcPr>
          <w:p>
            <w:pPr>
              <w:spacing w:after="0"/>
              <w:rPr>
                <w:sz w:val="11"/>
                <w:szCs w:val="1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211.0</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154.3</w:t>
            </w:r>
          </w:p>
        </w:tc>
      </w:tr>
      <w:tr>
        <w:trPr>
          <w:trHeight w:val="127"/>
        </w:trPr>
        <w:tc>
          <w:tcPr>
            <w:tcW w:w="5120" w:type="dxa"/>
            <w:vAlign w:val="bottom"/>
          </w:tcPr>
          <w:p>
            <w:pPr>
              <w:spacing w:after="0" w:line="127" w:lineRule="exact"/>
              <w:rPr>
                <w:sz w:val="20"/>
                <w:szCs w:val="20"/>
                <w:color w:val="auto"/>
              </w:rPr>
            </w:pPr>
            <w:r>
              <w:rPr>
                <w:rFonts w:ascii="Arial" w:cs="Arial" w:eastAsia="Arial" w:hAnsi="Arial"/>
                <w:sz w:val="10"/>
                <w:szCs w:val="10"/>
                <w:b w:val="1"/>
                <w:bCs w:val="1"/>
                <w:color w:val="auto"/>
              </w:rPr>
              <w:t>EBITDA</w:t>
            </w:r>
            <w:r>
              <w:rPr>
                <w:rFonts w:ascii="Arial" w:cs="Arial" w:eastAsia="Arial" w:hAnsi="Arial"/>
                <w:sz w:val="12"/>
                <w:szCs w:val="12"/>
                <w:b w:val="1"/>
                <w:bCs w:val="1"/>
                <w:color w:val="auto"/>
                <w:vertAlign w:val="subscript"/>
              </w:rPr>
              <w:t>(†)</w:t>
            </w:r>
          </w:p>
        </w:tc>
        <w:tc>
          <w:tcPr>
            <w:tcW w:w="900" w:type="dxa"/>
            <w:vAlign w:val="bottom"/>
          </w:tcPr>
          <w:p>
            <w:pPr>
              <w:jc w:val="right"/>
              <w:ind w:right="772"/>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781.1</w:t>
            </w:r>
          </w:p>
        </w:tc>
        <w:tc>
          <w:tcPr>
            <w:tcW w:w="940" w:type="dxa"/>
            <w:vAlign w:val="bottom"/>
          </w:tcPr>
          <w:p>
            <w:pPr>
              <w:jc w:val="right"/>
              <w:ind w:right="812"/>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jc w:val="right"/>
              <w:ind w:right="12"/>
              <w:spacing w:after="0"/>
              <w:rPr>
                <w:sz w:val="20"/>
                <w:szCs w:val="20"/>
                <w:color w:val="auto"/>
              </w:rPr>
            </w:pPr>
            <w:r>
              <w:rPr>
                <w:rFonts w:ascii="Arial" w:cs="Arial" w:eastAsia="Arial" w:hAnsi="Arial"/>
                <w:sz w:val="10"/>
                <w:szCs w:val="10"/>
                <w:b w:val="1"/>
                <w:bCs w:val="1"/>
                <w:color w:val="auto"/>
              </w:rPr>
              <w:t>236.6</w:t>
            </w:r>
          </w:p>
        </w:tc>
        <w:tc>
          <w:tcPr>
            <w:tcW w:w="300" w:type="dxa"/>
            <w:vAlign w:val="bottom"/>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2,336.6</w:t>
            </w:r>
          </w:p>
        </w:tc>
        <w:tc>
          <w:tcPr>
            <w:tcW w:w="320" w:type="dxa"/>
            <w:vAlign w:val="bottom"/>
          </w:tcPr>
          <w:p>
            <w:pPr>
              <w:jc w:val="right"/>
              <w:ind w:right="192"/>
              <w:spacing w:after="0"/>
              <w:rPr>
                <w:sz w:val="20"/>
                <w:szCs w:val="20"/>
                <w:color w:val="auto"/>
              </w:rPr>
            </w:pPr>
            <w:r>
              <w:rPr>
                <w:rFonts w:ascii="Arial" w:cs="Arial" w:eastAsia="Arial" w:hAnsi="Arial"/>
                <w:sz w:val="10"/>
                <w:szCs w:val="10"/>
                <w:b w:val="1"/>
                <w:bCs w:val="1"/>
                <w:color w:val="auto"/>
              </w:rPr>
              <w:t>$</w:t>
            </w: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1,492.4</w:t>
            </w:r>
          </w:p>
        </w:tc>
      </w:tr>
      <w:tr>
        <w:trPr>
          <w:trHeight w:val="135"/>
        </w:trPr>
        <w:tc>
          <w:tcPr>
            <w:tcW w:w="5120" w:type="dxa"/>
            <w:vAlign w:val="bottom"/>
            <w:shd w:val="clear" w:color="auto" w:fill="DBDBDB"/>
          </w:tcPr>
          <w:p>
            <w:pPr>
              <w:ind w:left="120"/>
              <w:spacing w:after="0" w:line="135" w:lineRule="exact"/>
              <w:rPr>
                <w:sz w:val="20"/>
                <w:szCs w:val="20"/>
                <w:color w:val="auto"/>
              </w:rPr>
            </w:pPr>
            <w:r>
              <w:rPr>
                <w:rFonts w:ascii="Arial" w:cs="Arial" w:eastAsia="Arial" w:hAnsi="Arial"/>
                <w:sz w:val="10"/>
                <w:szCs w:val="10"/>
                <w:color w:val="auto"/>
              </w:rPr>
              <w:t>Acquisition costs excluding interest</w:t>
            </w:r>
            <w:r>
              <w:rPr>
                <w:rFonts w:ascii="Arial" w:cs="Arial" w:eastAsia="Arial" w:hAnsi="Arial"/>
                <w:sz w:val="12"/>
                <w:szCs w:val="12"/>
                <w:color w:val="auto"/>
                <w:vertAlign w:val="subscript"/>
              </w:rPr>
              <w:t>(15)</w:t>
            </w:r>
          </w:p>
        </w:tc>
        <w:tc>
          <w:tcPr>
            <w:tcW w:w="900" w:type="dxa"/>
            <w:vAlign w:val="bottom"/>
            <w:tcBorders>
              <w:bottom w:val="single" w:sz="8" w:color="auto"/>
            </w:tcBorders>
            <w:shd w:val="clear" w:color="auto" w:fill="DBDBDB"/>
          </w:tcPr>
          <w:p>
            <w:pPr>
              <w:spacing w:after="0"/>
              <w:rPr>
                <w:sz w:val="11"/>
                <w:szCs w:val="11"/>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83.1</w:t>
            </w:r>
          </w:p>
        </w:tc>
        <w:tc>
          <w:tcPr>
            <w:tcW w:w="940" w:type="dxa"/>
            <w:vAlign w:val="bottom"/>
            <w:tcBorders>
              <w:bottom w:val="single" w:sz="8" w:color="auto"/>
            </w:tcBorders>
            <w:shd w:val="clear" w:color="auto" w:fill="DBDBDB"/>
          </w:tcPr>
          <w:p>
            <w:pPr>
              <w:spacing w:after="0"/>
              <w:rPr>
                <w:sz w:val="11"/>
                <w:szCs w:val="11"/>
                <w:color w:val="auto"/>
              </w:rPr>
            </w:pPr>
          </w:p>
        </w:tc>
        <w:tc>
          <w:tcPr>
            <w:tcW w:w="40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538.2</w:t>
            </w:r>
          </w:p>
        </w:tc>
        <w:tc>
          <w:tcPr>
            <w:tcW w:w="300" w:type="dxa"/>
            <w:vAlign w:val="bottom"/>
            <w:tcBorders>
              <w:bottom w:val="single" w:sz="8" w:color="auto"/>
            </w:tcBorders>
            <w:shd w:val="clear" w:color="auto" w:fill="DBDBDB"/>
          </w:tcPr>
          <w:p>
            <w:pPr>
              <w:spacing w:after="0"/>
              <w:rPr>
                <w:sz w:val="11"/>
                <w:szCs w:val="1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193.3</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color w:val="auto"/>
              </w:rPr>
              <w:t>653.1</w:t>
            </w:r>
          </w:p>
        </w:tc>
      </w:tr>
      <w:tr>
        <w:trPr>
          <w:trHeight w:val="124"/>
        </w:trPr>
        <w:tc>
          <w:tcPr>
            <w:tcW w:w="5120" w:type="dxa"/>
            <w:vAlign w:val="bottom"/>
          </w:tcPr>
          <w:p>
            <w:pPr>
              <w:spacing w:after="0" w:line="115" w:lineRule="exact"/>
              <w:rPr>
                <w:sz w:val="20"/>
                <w:szCs w:val="20"/>
                <w:color w:val="auto"/>
              </w:rPr>
            </w:pPr>
            <w:r>
              <w:rPr>
                <w:rFonts w:ascii="Arial" w:cs="Arial" w:eastAsia="Arial" w:hAnsi="Arial"/>
                <w:sz w:val="10"/>
                <w:szCs w:val="10"/>
                <w:b w:val="1"/>
                <w:bCs w:val="1"/>
                <w:color w:val="auto"/>
              </w:rPr>
              <w:t>Adjusted EBITDA</w:t>
            </w:r>
            <w:r>
              <w:rPr>
                <w:rFonts w:ascii="Arial" w:cs="Arial" w:eastAsia="Arial" w:hAnsi="Arial"/>
                <w:sz w:val="12"/>
                <w:szCs w:val="12"/>
                <w:b w:val="1"/>
                <w:bCs w:val="1"/>
                <w:color w:val="auto"/>
                <w:vertAlign w:val="subscript"/>
              </w:rPr>
              <w:t>(†)</w:t>
            </w:r>
          </w:p>
        </w:tc>
        <w:tc>
          <w:tcPr>
            <w:tcW w:w="90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864.2</w:t>
            </w:r>
          </w:p>
        </w:tc>
        <w:tc>
          <w:tcPr>
            <w:tcW w:w="940" w:type="dxa"/>
            <w:vAlign w:val="bottom"/>
            <w:tcBorders>
              <w:bottom w:val="single" w:sz="8" w:color="auto"/>
            </w:tcBorders>
          </w:tcPr>
          <w:p>
            <w:pPr>
              <w:jc w:val="right"/>
              <w:ind w:right="81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774.8</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2,529.9</w:t>
            </w: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2,145.5</w:t>
            </w:r>
          </w:p>
        </w:tc>
      </w:tr>
      <w:tr>
        <w:trPr>
          <w:trHeight w:val="20"/>
        </w:trPr>
        <w:tc>
          <w:tcPr>
            <w:tcW w:w="5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548" w:hanging="224"/>
        <w:spacing w:after="0"/>
        <w:tabs>
          <w:tab w:leader="none" w:pos="548" w:val="left"/>
        </w:tabs>
        <w:numPr>
          <w:ilvl w:val="0"/>
          <w:numId w:val="11"/>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200" w:lineRule="exact"/>
        <w:rPr>
          <w:sz w:val="20"/>
          <w:szCs w:val="20"/>
          <w:color w:val="auto"/>
        </w:rPr>
      </w:pPr>
    </w:p>
    <w:p>
      <w:pPr>
        <w:spacing w:after="0" w:line="3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sectPr>
      </w:pPr>
    </w:p>
    <w:bookmarkStart w:id="10" w:name="page11"/>
    <w:bookmarkEnd w:id="10"/>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64" w:lineRule="exact"/>
        <w:rPr>
          <w:sz w:val="20"/>
          <w:szCs w:val="20"/>
          <w:color w:val="auto"/>
        </w:rPr>
      </w:pPr>
    </w:p>
    <w:p>
      <w:pPr>
        <w:ind w:left="328" w:right="20" w:hanging="328"/>
        <w:spacing w:after="0" w:line="224" w:lineRule="auto"/>
        <w:tabs>
          <w:tab w:leader="none" w:pos="3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Core G&amp;A is a non-GAAP financial measure defined as total expense less the following expenses: advisory and commission; depreciation and amortization; interest expense on borrowings; brokerage, clearing and exchange; amortization of other intangibles; market fluctuations on employee deferred compensation; promotional (ongoing); transition assistance loan amortization; acquisition costs excluding interest; employee share-based compensation; and regulatory charges.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promotional expense necessary to support advisor growth and retention, including conferences and transition assistance. Core G&amp;A is not a measure of the Company’s total expense as calculated in accordance with GAAP. Below is a reconciliation of the Company’s total expense to core G&amp;A for the periods presented (in millions):</w:t>
      </w:r>
    </w:p>
    <w:p>
      <w:pPr>
        <w:spacing w:after="0" w:line="19" w:lineRule="exact"/>
        <w:rPr>
          <w:sz w:val="20"/>
          <w:szCs w:val="20"/>
          <w:color w:val="auto"/>
        </w:rPr>
      </w:pPr>
    </w:p>
    <w:tbl>
      <w:tblPr>
        <w:tblLayout w:type="fixed"/>
        <w:tblInd w:w="328" w:type="dxa"/>
        <w:tblCellMar>
          <w:top w:w="0" w:type="dxa"/>
          <w:left w:w="0" w:type="dxa"/>
          <w:bottom w:w="0" w:type="dxa"/>
          <w:right w:w="0" w:type="dxa"/>
        </w:tblCellMar>
      </w:tblPr>
      <w:tr>
        <w:trPr>
          <w:trHeight w:val="124"/>
        </w:trPr>
        <w:tc>
          <w:tcPr>
            <w:tcW w:w="4740" w:type="dxa"/>
            <w:vAlign w:val="bottom"/>
          </w:tcPr>
          <w:p>
            <w:pPr>
              <w:spacing w:after="0"/>
              <w:rPr>
                <w:sz w:val="10"/>
                <w:szCs w:val="1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September 30,</w:t>
            </w: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0"/>
                <w:szCs w:val="10"/>
                <w:b w:val="1"/>
                <w:bCs w:val="1"/>
                <w:color w:val="auto"/>
              </w:rPr>
              <w:t>Nine Months Ended September 30,</w:t>
            </w:r>
          </w:p>
        </w:tc>
      </w:tr>
      <w:tr>
        <w:trPr>
          <w:trHeight w:val="123"/>
        </w:trPr>
        <w:tc>
          <w:tcPr>
            <w:tcW w:w="474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Core G&amp;A Reconciliation</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2026</w:t>
            </w:r>
          </w:p>
        </w:tc>
        <w:tc>
          <w:tcPr>
            <w:tcW w:w="4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2026</w:t>
            </w: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2025</w:t>
            </w:r>
          </w:p>
        </w:tc>
      </w:tr>
      <w:tr>
        <w:trPr>
          <w:trHeight w:val="125"/>
        </w:trPr>
        <w:tc>
          <w:tcPr>
            <w:tcW w:w="47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Total expense</w:t>
            </w:r>
          </w:p>
        </w:tc>
        <w:tc>
          <w:tcPr>
            <w:tcW w:w="820" w:type="dxa"/>
            <w:vAlign w:val="bottom"/>
            <w:shd w:val="clear" w:color="auto" w:fill="DBDBDB"/>
          </w:tcPr>
          <w:p>
            <w:pPr>
              <w:jc w:val="right"/>
              <w:ind w:right="692"/>
              <w:spacing w:after="0"/>
              <w:rPr>
                <w:sz w:val="20"/>
                <w:szCs w:val="20"/>
                <w:color w:val="auto"/>
              </w:rPr>
            </w:pPr>
            <w:r>
              <w:rPr>
                <w:rFonts w:ascii="Arial" w:cs="Arial" w:eastAsia="Arial" w:hAnsi="Arial"/>
                <w:sz w:val="10"/>
                <w:szCs w:val="10"/>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4,858.9</w:t>
            </w:r>
          </w:p>
        </w:tc>
        <w:tc>
          <w:tcPr>
            <w:tcW w:w="840" w:type="dxa"/>
            <w:vAlign w:val="bottom"/>
            <w:shd w:val="clear" w:color="auto" w:fill="DBDBDB"/>
          </w:tcPr>
          <w:p>
            <w:pPr>
              <w:jc w:val="right"/>
              <w:ind w:right="73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4,586.1</w:t>
            </w:r>
          </w:p>
        </w:tc>
        <w:tc>
          <w:tcPr>
            <w:tcW w:w="280" w:type="dxa"/>
            <w:vAlign w:val="bottom"/>
            <w:shd w:val="clear" w:color="auto" w:fill="DBDBDB"/>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13,983.9</w:t>
            </w:r>
          </w:p>
        </w:tc>
        <w:tc>
          <w:tcPr>
            <w:tcW w:w="320" w:type="dxa"/>
            <w:vAlign w:val="bottom"/>
            <w:shd w:val="clear" w:color="auto" w:fill="DBDBDB"/>
          </w:tcPr>
          <w:p>
            <w:pPr>
              <w:jc w:val="right"/>
              <w:ind w:right="192"/>
              <w:spacing w:after="0"/>
              <w:rPr>
                <w:sz w:val="20"/>
                <w:szCs w:val="20"/>
                <w:color w:val="auto"/>
              </w:rPr>
            </w:pPr>
            <w:r>
              <w:rPr>
                <w:rFonts w:ascii="Arial" w:cs="Arial" w:eastAsia="Arial" w:hAnsi="Arial"/>
                <w:sz w:val="10"/>
                <w:szCs w:val="10"/>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11,305.1</w:t>
            </w:r>
          </w:p>
        </w:tc>
      </w:tr>
      <w:tr>
        <w:trPr>
          <w:trHeight w:val="132"/>
        </w:trPr>
        <w:tc>
          <w:tcPr>
            <w:tcW w:w="4740" w:type="dxa"/>
            <w:vAlign w:val="bottom"/>
          </w:tcPr>
          <w:p>
            <w:pPr>
              <w:ind w:left="120"/>
              <w:spacing w:after="0"/>
              <w:rPr>
                <w:sz w:val="20"/>
                <w:szCs w:val="20"/>
                <w:color w:val="auto"/>
              </w:rPr>
            </w:pPr>
            <w:r>
              <w:rPr>
                <w:rFonts w:ascii="Arial" w:cs="Arial" w:eastAsia="Arial" w:hAnsi="Arial"/>
                <w:sz w:val="10"/>
                <w:szCs w:val="10"/>
                <w:color w:val="auto"/>
              </w:rPr>
              <w:t>Advisory and commission</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(3,632.7)</w:t>
            </w: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w w:val="99"/>
              </w:rPr>
              <w:t>(3,025.3)</w:t>
            </w: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(10,431.1)</w:t>
            </w: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(7,862.4)</w:t>
            </w:r>
          </w:p>
        </w:tc>
      </w:tr>
      <w:tr>
        <w:trPr>
          <w:trHeight w:val="138"/>
        </w:trPr>
        <w:tc>
          <w:tcPr>
            <w:tcW w:w="47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Depreciation and amortization</w:t>
            </w:r>
          </w:p>
        </w:tc>
        <w:tc>
          <w:tcPr>
            <w:tcW w:w="8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(117.3)</w:t>
            </w:r>
          </w:p>
        </w:tc>
        <w:tc>
          <w:tcPr>
            <w:tcW w:w="84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(99.7)</w:t>
            </w:r>
          </w:p>
        </w:tc>
        <w:tc>
          <w:tcPr>
            <w:tcW w:w="2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(332.8)</w:t>
            </w:r>
          </w:p>
        </w:tc>
        <w:tc>
          <w:tcPr>
            <w:tcW w:w="32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(288.3)</w:t>
            </w:r>
          </w:p>
        </w:tc>
      </w:tr>
      <w:tr>
        <w:trPr>
          <w:trHeight w:val="132"/>
        </w:trPr>
        <w:tc>
          <w:tcPr>
            <w:tcW w:w="4740" w:type="dxa"/>
            <w:vAlign w:val="bottom"/>
          </w:tcPr>
          <w:p>
            <w:pPr>
              <w:ind w:left="120"/>
              <w:spacing w:after="0"/>
              <w:rPr>
                <w:sz w:val="20"/>
                <w:szCs w:val="20"/>
                <w:color w:val="auto"/>
              </w:rPr>
            </w:pPr>
            <w:r>
              <w:rPr>
                <w:rFonts w:ascii="Arial" w:cs="Arial" w:eastAsia="Arial" w:hAnsi="Arial"/>
                <w:sz w:val="10"/>
                <w:szCs w:val="10"/>
                <w:color w:val="auto"/>
              </w:rPr>
              <w:t>Interest expense on borrowings</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(105.8)</w:t>
            </w: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(106.3)</w:t>
            </w: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(307.6)</w:t>
            </w: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(297.8)</w:t>
            </w:r>
          </w:p>
        </w:tc>
      </w:tr>
      <w:tr>
        <w:trPr>
          <w:trHeight w:val="138"/>
        </w:trPr>
        <w:tc>
          <w:tcPr>
            <w:tcW w:w="47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Brokerage, clearing and exchange</w:t>
            </w:r>
          </w:p>
        </w:tc>
        <w:tc>
          <w:tcPr>
            <w:tcW w:w="8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(49.1)</w:t>
            </w:r>
          </w:p>
        </w:tc>
        <w:tc>
          <w:tcPr>
            <w:tcW w:w="84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(43.3)</w:t>
            </w:r>
          </w:p>
        </w:tc>
        <w:tc>
          <w:tcPr>
            <w:tcW w:w="2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(156.6)</w:t>
            </w:r>
          </w:p>
        </w:tc>
        <w:tc>
          <w:tcPr>
            <w:tcW w:w="32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(130.7)</w:t>
            </w:r>
          </w:p>
        </w:tc>
      </w:tr>
      <w:tr>
        <w:trPr>
          <w:trHeight w:val="132"/>
        </w:trPr>
        <w:tc>
          <w:tcPr>
            <w:tcW w:w="4740" w:type="dxa"/>
            <w:vAlign w:val="bottom"/>
          </w:tcPr>
          <w:p>
            <w:pPr>
              <w:ind w:left="120"/>
              <w:spacing w:after="0"/>
              <w:rPr>
                <w:sz w:val="20"/>
                <w:szCs w:val="20"/>
                <w:color w:val="auto"/>
              </w:rPr>
            </w:pPr>
            <w:r>
              <w:rPr>
                <w:rFonts w:ascii="Arial" w:cs="Arial" w:eastAsia="Arial" w:hAnsi="Arial"/>
                <w:sz w:val="10"/>
                <w:szCs w:val="10"/>
                <w:color w:val="auto"/>
              </w:rPr>
              <w:t>Amortization of other intangibles</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(72.8)</w:t>
            </w: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(64.7)</w:t>
            </w: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(211.0)</w:t>
            </w: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(154.3)</w:t>
            </w:r>
          </w:p>
        </w:tc>
      </w:tr>
      <w:tr>
        <w:trPr>
          <w:trHeight w:val="135"/>
        </w:trPr>
        <w:tc>
          <w:tcPr>
            <w:tcW w:w="47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Employee deferred compensation</w:t>
            </w:r>
          </w:p>
        </w:tc>
        <w:tc>
          <w:tcPr>
            <w:tcW w:w="820" w:type="dxa"/>
            <w:vAlign w:val="bottom"/>
            <w:tcBorders>
              <w:bottom w:val="single" w:sz="8" w:color="auto"/>
            </w:tcBorders>
            <w:shd w:val="clear" w:color="auto" w:fill="DBDBDB"/>
          </w:tcPr>
          <w:p>
            <w:pPr>
              <w:spacing w:after="0"/>
              <w:rPr>
                <w:sz w:val="11"/>
                <w:szCs w:val="11"/>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(0.3)</w:t>
            </w:r>
          </w:p>
        </w:tc>
        <w:tc>
          <w:tcPr>
            <w:tcW w:w="840" w:type="dxa"/>
            <w:vAlign w:val="bottom"/>
            <w:tcBorders>
              <w:bottom w:val="single" w:sz="8" w:color="auto"/>
            </w:tcBorders>
            <w:shd w:val="clear" w:color="auto" w:fill="DBDBDB"/>
          </w:tcPr>
          <w:p>
            <w:pPr>
              <w:spacing w:after="0"/>
              <w:rPr>
                <w:sz w:val="11"/>
                <w:szCs w:val="11"/>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(4.1)</w:t>
            </w:r>
          </w:p>
        </w:tc>
        <w:tc>
          <w:tcPr>
            <w:tcW w:w="280" w:type="dxa"/>
            <w:vAlign w:val="bottom"/>
            <w:tcBorders>
              <w:bottom w:val="single" w:sz="8" w:color="auto"/>
            </w:tcBorders>
            <w:shd w:val="clear" w:color="auto" w:fill="DBDBDB"/>
          </w:tcPr>
          <w:p>
            <w:pPr>
              <w:spacing w:after="0"/>
              <w:rPr>
                <w:sz w:val="11"/>
                <w:szCs w:val="1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(8.5)</w:t>
            </w:r>
          </w:p>
        </w:tc>
        <w:tc>
          <w:tcPr>
            <w:tcW w:w="320" w:type="dxa"/>
            <w:vAlign w:val="bottom"/>
            <w:tcBorders>
              <w:bottom w:val="single" w:sz="8" w:color="auto"/>
            </w:tcBorders>
            <w:shd w:val="clear" w:color="auto" w:fill="DBDBDB"/>
          </w:tcPr>
          <w:p>
            <w:pPr>
              <w:spacing w:after="0"/>
              <w:rPr>
                <w:sz w:val="11"/>
                <w:szCs w:val="11"/>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(7.7)</w:t>
            </w:r>
          </w:p>
        </w:tc>
      </w:tr>
      <w:tr>
        <w:trPr>
          <w:trHeight w:val="126"/>
        </w:trPr>
        <w:tc>
          <w:tcPr>
            <w:tcW w:w="4740" w:type="dxa"/>
            <w:vAlign w:val="bottom"/>
            <w:tcBorders>
              <w:bottom w:val="single" w:sz="8" w:color="DBDBDB"/>
            </w:tcBorders>
          </w:tcPr>
          <w:p>
            <w:pPr>
              <w:ind w:left="260"/>
              <w:spacing w:after="0"/>
              <w:rPr>
                <w:sz w:val="20"/>
                <w:szCs w:val="20"/>
                <w:color w:val="auto"/>
              </w:rPr>
            </w:pPr>
            <w:r>
              <w:rPr>
                <w:rFonts w:ascii="Arial" w:cs="Arial" w:eastAsia="Arial" w:hAnsi="Arial"/>
                <w:sz w:val="10"/>
                <w:szCs w:val="10"/>
                <w:b w:val="1"/>
                <w:bCs w:val="1"/>
                <w:color w:val="auto"/>
              </w:rPr>
              <w:t>Total G&amp;A</w:t>
            </w:r>
            <w:r>
              <w:rPr>
                <w:rFonts w:ascii="Arial" w:cs="Arial" w:eastAsia="Arial" w:hAnsi="Arial"/>
                <w:sz w:val="6"/>
                <w:szCs w:val="6"/>
                <w:b w:val="1"/>
                <w:bCs w:val="1"/>
                <w:color w:val="auto"/>
              </w:rPr>
              <w:t>(†)</w:t>
            </w: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880.8</w:t>
            </w:r>
          </w:p>
        </w:tc>
        <w:tc>
          <w:tcPr>
            <w:tcW w:w="8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1,242.7</w:t>
            </w: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2,536.2</w:t>
            </w: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2,563.9</w:t>
            </w:r>
          </w:p>
        </w:tc>
      </w:tr>
      <w:tr>
        <w:trPr>
          <w:trHeight w:val="125"/>
        </w:trPr>
        <w:tc>
          <w:tcPr>
            <w:tcW w:w="47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Promotional (ongoing)</w:t>
            </w:r>
            <w:r>
              <w:rPr>
                <w:rFonts w:ascii="Arial" w:cs="Arial" w:eastAsia="Arial" w:hAnsi="Arial"/>
                <w:sz w:val="6"/>
                <w:szCs w:val="6"/>
                <w:color w:val="auto"/>
              </w:rPr>
              <w:t>(16)</w:t>
            </w:r>
          </w:p>
        </w:tc>
        <w:tc>
          <w:tcPr>
            <w:tcW w:w="820" w:type="dxa"/>
            <w:vAlign w:val="bottom"/>
            <w:shd w:val="clear" w:color="auto" w:fill="DBDBDB"/>
          </w:tcPr>
          <w:p>
            <w:pPr>
              <w:spacing w:after="0"/>
              <w:rPr>
                <w:sz w:val="10"/>
                <w:szCs w:val="10"/>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(87.9)</w:t>
            </w:r>
          </w:p>
        </w:tc>
        <w:tc>
          <w:tcPr>
            <w:tcW w:w="840" w:type="dxa"/>
            <w:vAlign w:val="bottom"/>
            <w:shd w:val="clear" w:color="auto" w:fill="DBDBDB"/>
          </w:tcPr>
          <w:p>
            <w:pPr>
              <w:spacing w:after="0"/>
              <w:rPr>
                <w:sz w:val="10"/>
                <w:szCs w:val="10"/>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(97.1)</w:t>
            </w:r>
          </w:p>
        </w:tc>
        <w:tc>
          <w:tcPr>
            <w:tcW w:w="280" w:type="dxa"/>
            <w:vAlign w:val="bottom"/>
            <w:shd w:val="clear" w:color="auto" w:fill="DBDBDB"/>
          </w:tcPr>
          <w:p>
            <w:pPr>
              <w:spacing w:after="0"/>
              <w:rPr>
                <w:sz w:val="10"/>
                <w:szCs w:val="1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(243.0)</w:t>
            </w:r>
          </w:p>
        </w:tc>
        <w:tc>
          <w:tcPr>
            <w:tcW w:w="320" w:type="dxa"/>
            <w:vAlign w:val="bottom"/>
            <w:shd w:val="clear" w:color="auto" w:fill="DBDBDB"/>
          </w:tcPr>
          <w:p>
            <w:pPr>
              <w:spacing w:after="0"/>
              <w:rPr>
                <w:sz w:val="10"/>
                <w:szCs w:val="1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(241.4)</w:t>
            </w:r>
          </w:p>
        </w:tc>
      </w:tr>
      <w:tr>
        <w:trPr>
          <w:trHeight w:val="132"/>
        </w:trPr>
        <w:tc>
          <w:tcPr>
            <w:tcW w:w="4740" w:type="dxa"/>
            <w:vAlign w:val="bottom"/>
          </w:tcPr>
          <w:p>
            <w:pPr>
              <w:ind w:left="120"/>
              <w:spacing w:after="0"/>
              <w:rPr>
                <w:sz w:val="20"/>
                <w:szCs w:val="20"/>
                <w:color w:val="auto"/>
              </w:rPr>
            </w:pPr>
            <w:r>
              <w:rPr>
                <w:rFonts w:ascii="Arial" w:cs="Arial" w:eastAsia="Arial" w:hAnsi="Arial"/>
                <w:sz w:val="10"/>
                <w:szCs w:val="10"/>
                <w:color w:val="auto"/>
              </w:rPr>
              <w:t>Transition assistance loan amortization</w:t>
            </w:r>
            <w:r>
              <w:rPr>
                <w:rFonts w:ascii="Arial" w:cs="Arial" w:eastAsia="Arial" w:hAnsi="Arial"/>
                <w:sz w:val="6"/>
                <w:szCs w:val="6"/>
                <w:color w:val="auto"/>
              </w:rPr>
              <w:t>(17)</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(150.0)</w:t>
            </w: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(104.8)</w:t>
            </w: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(428.4)</w:t>
            </w: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(276.0)</w:t>
            </w:r>
          </w:p>
        </w:tc>
      </w:tr>
      <w:tr>
        <w:trPr>
          <w:trHeight w:val="138"/>
        </w:trPr>
        <w:tc>
          <w:tcPr>
            <w:tcW w:w="47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Acquisition costs excluding interest</w:t>
            </w:r>
            <w:r>
              <w:rPr>
                <w:rFonts w:ascii="Arial" w:cs="Arial" w:eastAsia="Arial" w:hAnsi="Arial"/>
                <w:sz w:val="6"/>
                <w:szCs w:val="6"/>
                <w:color w:val="auto"/>
              </w:rPr>
              <w:t>(15)</w:t>
            </w:r>
          </w:p>
        </w:tc>
        <w:tc>
          <w:tcPr>
            <w:tcW w:w="82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(83.1)</w:t>
            </w:r>
          </w:p>
        </w:tc>
        <w:tc>
          <w:tcPr>
            <w:tcW w:w="84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(538.2)</w:t>
            </w:r>
          </w:p>
        </w:tc>
        <w:tc>
          <w:tcPr>
            <w:tcW w:w="2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(193.3)</w:t>
            </w:r>
          </w:p>
        </w:tc>
        <w:tc>
          <w:tcPr>
            <w:tcW w:w="32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(653.1)</w:t>
            </w:r>
          </w:p>
        </w:tc>
      </w:tr>
      <w:tr>
        <w:trPr>
          <w:trHeight w:val="132"/>
        </w:trPr>
        <w:tc>
          <w:tcPr>
            <w:tcW w:w="4740" w:type="dxa"/>
            <w:vAlign w:val="bottom"/>
          </w:tcPr>
          <w:p>
            <w:pPr>
              <w:ind w:left="120"/>
              <w:spacing w:after="0"/>
              <w:rPr>
                <w:sz w:val="20"/>
                <w:szCs w:val="20"/>
                <w:color w:val="auto"/>
              </w:rPr>
            </w:pPr>
            <w:r>
              <w:rPr>
                <w:rFonts w:ascii="Arial" w:cs="Arial" w:eastAsia="Arial" w:hAnsi="Arial"/>
                <w:sz w:val="10"/>
                <w:szCs w:val="10"/>
                <w:color w:val="auto"/>
              </w:rPr>
              <w:t>Employee share-based compensation</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(21.1)</w:t>
            </w: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(18.6)</w:t>
            </w:r>
          </w:p>
        </w:tc>
        <w:tc>
          <w:tcPr>
            <w:tcW w:w="2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(66.0)</w:t>
            </w: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(56.5)</w:t>
            </w:r>
          </w:p>
        </w:tc>
      </w:tr>
      <w:tr>
        <w:trPr>
          <w:trHeight w:val="135"/>
        </w:trPr>
        <w:tc>
          <w:tcPr>
            <w:tcW w:w="4740" w:type="dxa"/>
            <w:vAlign w:val="bottom"/>
            <w:shd w:val="clear" w:color="auto" w:fill="DBDBDB"/>
          </w:tcPr>
          <w:p>
            <w:pPr>
              <w:ind w:left="120"/>
              <w:spacing w:after="0"/>
              <w:rPr>
                <w:sz w:val="20"/>
                <w:szCs w:val="20"/>
                <w:color w:val="auto"/>
              </w:rPr>
            </w:pPr>
            <w:r>
              <w:rPr>
                <w:rFonts w:ascii="Arial" w:cs="Arial" w:eastAsia="Arial" w:hAnsi="Arial"/>
                <w:sz w:val="10"/>
                <w:szCs w:val="10"/>
                <w:color w:val="auto"/>
              </w:rPr>
              <w:t>Regulatory charges</w:t>
            </w:r>
          </w:p>
        </w:tc>
        <w:tc>
          <w:tcPr>
            <w:tcW w:w="820" w:type="dxa"/>
            <w:vAlign w:val="bottom"/>
            <w:tcBorders>
              <w:bottom w:val="single" w:sz="8" w:color="auto"/>
            </w:tcBorders>
            <w:shd w:val="clear" w:color="auto" w:fill="DBDBDB"/>
          </w:tcPr>
          <w:p>
            <w:pPr>
              <w:spacing w:after="0"/>
              <w:rPr>
                <w:sz w:val="11"/>
                <w:szCs w:val="11"/>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(6.4)</w:t>
            </w:r>
          </w:p>
        </w:tc>
        <w:tc>
          <w:tcPr>
            <w:tcW w:w="840" w:type="dxa"/>
            <w:vAlign w:val="bottom"/>
            <w:tcBorders>
              <w:bottom w:val="single" w:sz="8" w:color="auto"/>
            </w:tcBorders>
            <w:shd w:val="clear" w:color="auto" w:fill="DBDBDB"/>
          </w:tcPr>
          <w:p>
            <w:pPr>
              <w:spacing w:after="0"/>
              <w:rPr>
                <w:sz w:val="11"/>
                <w:szCs w:val="11"/>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(6.7)</w:t>
            </w:r>
          </w:p>
        </w:tc>
        <w:tc>
          <w:tcPr>
            <w:tcW w:w="280" w:type="dxa"/>
            <w:vAlign w:val="bottom"/>
            <w:tcBorders>
              <w:bottom w:val="single" w:sz="8" w:color="auto"/>
            </w:tcBorders>
            <w:shd w:val="clear" w:color="auto" w:fill="DBDBDB"/>
          </w:tcPr>
          <w:p>
            <w:pPr>
              <w:spacing w:after="0"/>
              <w:rPr>
                <w:sz w:val="11"/>
                <w:szCs w:val="1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(22.0)</w:t>
            </w:r>
          </w:p>
        </w:tc>
        <w:tc>
          <w:tcPr>
            <w:tcW w:w="320" w:type="dxa"/>
            <w:vAlign w:val="bottom"/>
            <w:tcBorders>
              <w:bottom w:val="single" w:sz="8" w:color="auto"/>
            </w:tcBorders>
            <w:shd w:val="clear" w:color="auto" w:fill="DBDBDB"/>
          </w:tcPr>
          <w:p>
            <w:pPr>
              <w:spacing w:after="0"/>
              <w:rPr>
                <w:sz w:val="11"/>
                <w:szCs w:val="11"/>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(20.9)</w:t>
            </w:r>
          </w:p>
        </w:tc>
      </w:tr>
      <w:tr>
        <w:trPr>
          <w:trHeight w:val="127"/>
        </w:trPr>
        <w:tc>
          <w:tcPr>
            <w:tcW w:w="4740" w:type="dxa"/>
            <w:vAlign w:val="bottom"/>
          </w:tcPr>
          <w:p>
            <w:pPr>
              <w:ind w:left="260"/>
              <w:spacing w:after="0"/>
              <w:rPr>
                <w:sz w:val="20"/>
                <w:szCs w:val="20"/>
                <w:color w:val="auto"/>
              </w:rPr>
            </w:pPr>
            <w:r>
              <w:rPr>
                <w:rFonts w:ascii="Arial" w:cs="Arial" w:eastAsia="Arial" w:hAnsi="Arial"/>
                <w:sz w:val="10"/>
                <w:szCs w:val="10"/>
                <w:b w:val="1"/>
                <w:bCs w:val="1"/>
                <w:color w:val="auto"/>
              </w:rPr>
              <w:t>Core G&amp;A</w:t>
            </w:r>
            <w:r>
              <w:rPr>
                <w:rFonts w:ascii="Arial" w:cs="Arial" w:eastAsia="Arial" w:hAnsi="Arial"/>
                <w:sz w:val="6"/>
                <w:szCs w:val="6"/>
                <w:b w:val="1"/>
                <w:bCs w:val="1"/>
                <w:color w:val="auto"/>
              </w:rPr>
              <w:t>(†)</w:t>
            </w:r>
          </w:p>
        </w:tc>
        <w:tc>
          <w:tcPr>
            <w:tcW w:w="82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532.2</w:t>
            </w:r>
          </w:p>
        </w:tc>
        <w:tc>
          <w:tcPr>
            <w:tcW w:w="84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477.3</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1,583.5</w:t>
            </w: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1,316.0</w:t>
            </w:r>
          </w:p>
        </w:tc>
      </w:tr>
      <w:tr>
        <w:trPr>
          <w:trHeight w:val="20"/>
        </w:trPr>
        <w:tc>
          <w:tcPr>
            <w:tcW w:w="4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0228"/>
        <w:spacing w:after="0"/>
        <w:rPr>
          <w:sz w:val="20"/>
          <w:szCs w:val="20"/>
          <w:color w:val="auto"/>
        </w:rPr>
      </w:pPr>
      <w:r>
        <w:rPr>
          <w:rFonts w:ascii="Arial" w:cs="Arial" w:eastAsia="Arial" w:hAnsi="Arial"/>
          <w:sz w:val="5"/>
          <w:szCs w:val="5"/>
          <w:color w:val="auto"/>
        </w:rPr>
        <w:t>_______________________________</w:t>
      </w:r>
    </w:p>
    <w:p>
      <w:pPr>
        <w:spacing w:after="0" w:line="84" w:lineRule="exact"/>
        <w:rPr>
          <w:sz w:val="20"/>
          <w:szCs w:val="20"/>
          <w:color w:val="auto"/>
        </w:rPr>
      </w:pPr>
    </w:p>
    <w:p>
      <w:pPr>
        <w:ind w:left="548" w:hanging="224"/>
        <w:spacing w:after="0"/>
        <w:tabs>
          <w:tab w:leader="none" w:pos="548" w:val="left"/>
        </w:tabs>
        <w:numPr>
          <w:ilvl w:val="1"/>
          <w:numId w:val="13"/>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38" w:lineRule="exact"/>
        <w:rPr>
          <w:rFonts w:ascii="Arial" w:cs="Arial" w:eastAsia="Arial" w:hAnsi="Arial"/>
          <w:sz w:val="10"/>
          <w:szCs w:val="10"/>
          <w:color w:val="auto"/>
        </w:rPr>
      </w:pPr>
    </w:p>
    <w:p>
      <w:pPr>
        <w:ind w:left="328" w:hanging="328"/>
        <w:spacing w:after="0"/>
        <w:tabs>
          <w:tab w:leader="none" w:pos="328" w:val="left"/>
        </w:tabs>
        <w:numPr>
          <w:ilvl w:val="0"/>
          <w:numId w:val="13"/>
        </w:numPr>
        <w:rPr>
          <w:rFonts w:ascii="Arial" w:cs="Arial" w:eastAsia="Arial" w:hAnsi="Arial"/>
          <w:sz w:val="10"/>
          <w:szCs w:val="10"/>
          <w:color w:val="auto"/>
        </w:rPr>
      </w:pPr>
      <w:r>
        <w:rPr>
          <w:rFonts w:ascii="Arial" w:cs="Arial" w:eastAsia="Arial" w:hAnsi="Arial"/>
          <w:sz w:val="10"/>
          <w:szCs w:val="10"/>
          <w:color w:val="auto"/>
        </w:rPr>
        <w:t xml:space="preserve">See the </w:t>
      </w:r>
      <w:r>
        <w:rPr>
          <w:rFonts w:ascii="Arial" w:cs="Arial" w:eastAsia="Arial" w:hAnsi="Arial"/>
          <w:sz w:val="10"/>
          <w:szCs w:val="10"/>
          <w:i w:val="1"/>
          <w:iCs w:val="1"/>
          <w:color w:val="auto"/>
        </w:rPr>
        <w:t>“Liquidity and Capital Resources”</w:t>
      </w:r>
      <w:r>
        <w:rPr>
          <w:rFonts w:ascii="Arial" w:cs="Arial" w:eastAsia="Arial" w:hAnsi="Arial"/>
          <w:sz w:val="10"/>
          <w:szCs w:val="10"/>
          <w:color w:val="auto"/>
        </w:rPr>
        <w:t xml:space="preserve"> section for additional information about Corporate Cash.</w:t>
      </w:r>
    </w:p>
    <w:p>
      <w:pPr>
        <w:spacing w:after="0" w:line="38" w:lineRule="exact"/>
        <w:rPr>
          <w:rFonts w:ascii="Arial" w:cs="Arial" w:eastAsia="Arial" w:hAnsi="Arial"/>
          <w:sz w:val="10"/>
          <w:szCs w:val="10"/>
          <w:color w:val="auto"/>
        </w:rPr>
      </w:pPr>
    </w:p>
    <w:p>
      <w:pPr>
        <w:ind w:left="328" w:right="140" w:hanging="328"/>
        <w:spacing w:after="0" w:line="264" w:lineRule="auto"/>
        <w:tabs>
          <w:tab w:leader="none" w:pos="327" w:val="left"/>
        </w:tabs>
        <w:numPr>
          <w:ilvl w:val="0"/>
          <w:numId w:val="13"/>
        </w:numPr>
        <w:rPr>
          <w:rFonts w:ascii="Arial" w:cs="Arial" w:eastAsia="Arial" w:hAnsi="Arial"/>
          <w:sz w:val="10"/>
          <w:szCs w:val="10"/>
          <w:color w:val="auto"/>
        </w:rPr>
      </w:pPr>
      <w:r>
        <w:rPr>
          <w:rFonts w:ascii="Arial" w:cs="Arial" w:eastAsia="Arial" w:hAnsi="Arial"/>
          <w:sz w:val="10"/>
          <w:szCs w:val="10"/>
          <w:color w:val="auto"/>
        </w:rPr>
        <w:t>Acquisition costs and other for the twelve months ending September 30, 2026 and June 30, 2026 primarily include costs related to acquisitions and the integration of the strategic relationship with Prudential Financial, Inc. Acquisition costs and other for the twelve months ending September 30, 2025 includes a $26.4 million reduction related to the departure of the Company’s former Chief Executive Officer.</w:t>
      </w:r>
    </w:p>
    <w:p>
      <w:pPr>
        <w:spacing w:after="0" w:line="8" w:lineRule="exact"/>
        <w:rPr>
          <w:rFonts w:ascii="Arial" w:cs="Arial" w:eastAsia="Arial" w:hAnsi="Arial"/>
          <w:sz w:val="10"/>
          <w:szCs w:val="10"/>
          <w:color w:val="auto"/>
        </w:rPr>
      </w:pPr>
    </w:p>
    <w:p>
      <w:pPr>
        <w:ind w:left="328" w:right="200" w:hanging="328"/>
        <w:spacing w:after="0" w:line="264" w:lineRule="auto"/>
        <w:tabs>
          <w:tab w:leader="none" w:pos="327" w:val="left"/>
        </w:tabs>
        <w:numPr>
          <w:ilvl w:val="0"/>
          <w:numId w:val="13"/>
        </w:numPr>
        <w:rPr>
          <w:rFonts w:ascii="Arial" w:cs="Arial" w:eastAsia="Arial" w:hAnsi="Arial"/>
          <w:sz w:val="10"/>
          <w:szCs w:val="10"/>
          <w:color w:val="auto"/>
        </w:rPr>
      </w:pPr>
      <w:r>
        <w:rPr>
          <w:rFonts w:ascii="Arial" w:cs="Arial" w:eastAsia="Arial" w:hAnsi="Arial"/>
          <w:sz w:val="10"/>
          <w:szCs w:val="10"/>
          <w:color w:val="auto"/>
        </w:rPr>
        <w:t>M&amp;A accretion is an adjustment to reflect the annualized expected run rate EBITDA of an acquisition as permitted by the Credit Agreement for up to eight fiscal quarters following the close of such acquisition. The decrease in M&amp;A accretion for the twelve months ending September 30, 2026 and June 30, 2026 as compared to the twelve months ending September 30, 2025 was primarily related to the impact of acquisitions.</w:t>
      </w:r>
    </w:p>
    <w:p>
      <w:pPr>
        <w:spacing w:after="0" w:line="17" w:lineRule="exact"/>
        <w:rPr>
          <w:rFonts w:ascii="Arial" w:cs="Arial" w:eastAsia="Arial" w:hAnsi="Arial"/>
          <w:sz w:val="10"/>
          <w:szCs w:val="10"/>
          <w:color w:val="auto"/>
        </w:rPr>
      </w:pPr>
    </w:p>
    <w:p>
      <w:pPr>
        <w:ind w:left="328" w:hanging="328"/>
        <w:spacing w:after="0"/>
        <w:tabs>
          <w:tab w:leader="none" w:pos="328" w:val="left"/>
        </w:tabs>
        <w:numPr>
          <w:ilvl w:val="0"/>
          <w:numId w:val="13"/>
        </w:numPr>
        <w:rPr>
          <w:rFonts w:ascii="Arial" w:cs="Arial" w:eastAsia="Arial" w:hAnsi="Arial"/>
          <w:sz w:val="8"/>
          <w:szCs w:val="8"/>
          <w:color w:val="auto"/>
        </w:rPr>
      </w:pPr>
      <w:r>
        <w:rPr>
          <w:rFonts w:ascii="Arial" w:cs="Arial" w:eastAsia="Arial" w:hAnsi="Arial"/>
          <w:sz w:val="8"/>
          <w:szCs w:val="8"/>
          <w:color w:val="auto"/>
        </w:rPr>
        <w:t>Acquisition costs include the costs to setup, onboard and integrate acquired entities and other costs that were incurred as a result of acquisitions. The below table summarizes the primary components of acquisition costs for the periods presented (in millions):</w:t>
      </w:r>
    </w:p>
    <w:p>
      <w:pPr>
        <w:spacing w:after="0" w:line="86" w:lineRule="exact"/>
        <w:rPr>
          <w:sz w:val="20"/>
          <w:szCs w:val="20"/>
          <w:color w:val="auto"/>
        </w:rPr>
      </w:pPr>
    </w:p>
    <w:tbl>
      <w:tblPr>
        <w:tblLayout w:type="fixed"/>
        <w:tblInd w:w="328" w:type="dxa"/>
        <w:tblCellMar>
          <w:top w:w="0" w:type="dxa"/>
          <w:left w:w="0" w:type="dxa"/>
          <w:bottom w:w="0" w:type="dxa"/>
          <w:right w:w="0" w:type="dxa"/>
        </w:tblCellMar>
      </w:tblPr>
      <w:tr>
        <w:trPr>
          <w:trHeight w:val="124"/>
        </w:trPr>
        <w:tc>
          <w:tcPr>
            <w:tcW w:w="39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0"/>
                <w:szCs w:val="10"/>
                <w:b w:val="1"/>
                <w:bCs w:val="1"/>
                <w:color w:val="auto"/>
              </w:rPr>
              <w:t>Three Months Ended September 30,</w:t>
            </w:r>
          </w:p>
        </w:tc>
        <w:tc>
          <w:tcPr>
            <w:tcW w:w="40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0"/>
                <w:szCs w:val="10"/>
                <w:b w:val="1"/>
                <w:bCs w:val="1"/>
                <w:color w:val="auto"/>
              </w:rPr>
              <w:t>Nine Months Ended September 30,</w:t>
            </w:r>
          </w:p>
        </w:tc>
      </w:tr>
      <w:tr>
        <w:trPr>
          <w:trHeight w:val="123"/>
        </w:trPr>
        <w:tc>
          <w:tcPr>
            <w:tcW w:w="3920" w:type="dxa"/>
            <w:vAlign w:val="bottom"/>
            <w:tcBorders>
              <w:bottom w:val="single" w:sz="8" w:color="DBDBDB"/>
            </w:tcBorders>
          </w:tcPr>
          <w:p>
            <w:pPr>
              <w:spacing w:after="0"/>
              <w:rPr>
                <w:sz w:val="20"/>
                <w:szCs w:val="20"/>
                <w:color w:val="auto"/>
              </w:rPr>
            </w:pPr>
            <w:r>
              <w:rPr>
                <w:rFonts w:ascii="Arial" w:cs="Arial" w:eastAsia="Arial" w:hAnsi="Arial"/>
                <w:sz w:val="10"/>
                <w:szCs w:val="10"/>
                <w:b w:val="1"/>
                <w:bCs w:val="1"/>
                <w:color w:val="auto"/>
              </w:rPr>
              <w:t>Acquisition costs</w:t>
            </w: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b w:val="1"/>
                <w:bCs w:val="1"/>
                <w:color w:val="auto"/>
              </w:rPr>
              <w:t>2026</w:t>
            </w: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b w:val="1"/>
                <w:bCs w:val="1"/>
                <w:color w:val="auto"/>
              </w:rPr>
              <w:t>2026</w:t>
            </w:r>
          </w:p>
        </w:tc>
        <w:tc>
          <w:tcPr>
            <w:tcW w:w="4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rPr>
              <w:t>2025</w:t>
            </w:r>
          </w:p>
        </w:tc>
      </w:tr>
      <w:tr>
        <w:trPr>
          <w:trHeight w:val="125"/>
        </w:trPr>
        <w:tc>
          <w:tcPr>
            <w:tcW w:w="3920" w:type="dxa"/>
            <w:vAlign w:val="bottom"/>
            <w:shd w:val="clear" w:color="auto" w:fill="DBDBDB"/>
          </w:tcPr>
          <w:p>
            <w:pPr>
              <w:ind w:left="60"/>
              <w:spacing w:after="0"/>
              <w:rPr>
                <w:sz w:val="20"/>
                <w:szCs w:val="20"/>
                <w:color w:val="auto"/>
              </w:rPr>
            </w:pPr>
            <w:r>
              <w:rPr>
                <w:rFonts w:ascii="Arial" w:cs="Arial" w:eastAsia="Arial" w:hAnsi="Arial"/>
                <w:sz w:val="10"/>
                <w:szCs w:val="10"/>
                <w:color w:val="auto"/>
              </w:rPr>
              <w:t>Compensation and benefits</w:t>
            </w:r>
            <w:r>
              <w:rPr>
                <w:rFonts w:ascii="Arial" w:cs="Arial" w:eastAsia="Arial" w:hAnsi="Arial"/>
                <w:sz w:val="6"/>
                <w:szCs w:val="6"/>
                <w:color w:val="auto"/>
              </w:rPr>
              <w:t>(18)</w:t>
            </w:r>
          </w:p>
        </w:tc>
        <w:tc>
          <w:tcPr>
            <w:tcW w:w="380" w:type="dxa"/>
            <w:vAlign w:val="bottom"/>
            <w:shd w:val="clear" w:color="auto" w:fill="DBDBDB"/>
          </w:tcPr>
          <w:p>
            <w:pPr>
              <w:jc w:val="right"/>
              <w:ind w:right="27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31.9</w:t>
            </w:r>
          </w:p>
        </w:tc>
        <w:tc>
          <w:tcPr>
            <w:tcW w:w="400" w:type="dxa"/>
            <w:vAlign w:val="bottom"/>
            <w:shd w:val="clear" w:color="auto" w:fill="DBDBDB"/>
          </w:tcPr>
          <w:p>
            <w:pPr>
              <w:jc w:val="right"/>
              <w:ind w:right="272"/>
              <w:spacing w:after="0"/>
              <w:rPr>
                <w:sz w:val="20"/>
                <w:szCs w:val="20"/>
                <w:color w:val="auto"/>
              </w:rPr>
            </w:pPr>
            <w:r>
              <w:rPr>
                <w:rFonts w:ascii="Arial" w:cs="Arial" w:eastAsia="Arial" w:hAnsi="Arial"/>
                <w:sz w:val="10"/>
                <w:szCs w:val="10"/>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257.6</w:t>
            </w:r>
          </w:p>
        </w:tc>
        <w:tc>
          <w:tcPr>
            <w:tcW w:w="400" w:type="dxa"/>
            <w:vAlign w:val="bottom"/>
            <w:shd w:val="clear" w:color="auto" w:fill="DBDBDB"/>
          </w:tcPr>
          <w:p>
            <w:pPr>
              <w:jc w:val="right"/>
              <w:ind w:right="272"/>
              <w:spacing w:after="0"/>
              <w:rPr>
                <w:sz w:val="20"/>
                <w:szCs w:val="20"/>
                <w:color w:val="auto"/>
              </w:rPr>
            </w:pPr>
            <w:r>
              <w:rPr>
                <w:rFonts w:ascii="Arial" w:cs="Arial" w:eastAsia="Arial" w:hAnsi="Arial"/>
                <w:sz w:val="10"/>
                <w:szCs w:val="10"/>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74.6</w:t>
            </w:r>
          </w:p>
        </w:tc>
        <w:tc>
          <w:tcPr>
            <w:tcW w:w="400" w:type="dxa"/>
            <w:vAlign w:val="bottom"/>
            <w:shd w:val="clear" w:color="auto" w:fill="DBDBDB"/>
          </w:tcPr>
          <w:p>
            <w:pPr>
              <w:jc w:val="right"/>
              <w:ind w:right="272"/>
              <w:spacing w:after="0"/>
              <w:rPr>
                <w:sz w:val="20"/>
                <w:szCs w:val="20"/>
                <w:color w:val="auto"/>
              </w:rPr>
            </w:pPr>
            <w:r>
              <w:rPr>
                <w:rFonts w:ascii="Arial" w:cs="Arial" w:eastAsia="Arial" w:hAnsi="Arial"/>
                <w:sz w:val="10"/>
                <w:szCs w:val="10"/>
                <w:color w:val="auto"/>
              </w:rPr>
              <w:t>$</w:t>
            </w:r>
          </w:p>
        </w:tc>
        <w:tc>
          <w:tcPr>
            <w:tcW w:w="124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291.1</w:t>
            </w:r>
          </w:p>
        </w:tc>
      </w:tr>
      <w:tr>
        <w:trPr>
          <w:trHeight w:val="132"/>
        </w:trPr>
        <w:tc>
          <w:tcPr>
            <w:tcW w:w="3920" w:type="dxa"/>
            <w:vAlign w:val="bottom"/>
          </w:tcPr>
          <w:p>
            <w:pPr>
              <w:ind w:left="60"/>
              <w:spacing w:after="0"/>
              <w:rPr>
                <w:sz w:val="20"/>
                <w:szCs w:val="20"/>
                <w:color w:val="auto"/>
              </w:rPr>
            </w:pPr>
            <w:r>
              <w:rPr>
                <w:rFonts w:ascii="Arial" w:cs="Arial" w:eastAsia="Arial" w:hAnsi="Arial"/>
                <w:sz w:val="10"/>
                <w:szCs w:val="10"/>
                <w:color w:val="auto"/>
              </w:rPr>
              <w:t>Occupancy and equipment</w:t>
            </w:r>
            <w:r>
              <w:rPr>
                <w:rFonts w:ascii="Arial" w:cs="Arial" w:eastAsia="Arial" w:hAnsi="Arial"/>
                <w:sz w:val="6"/>
                <w:szCs w:val="6"/>
                <w:color w:val="auto"/>
              </w:rPr>
              <w:t>(18)</w:t>
            </w:r>
          </w:p>
        </w:tc>
        <w:tc>
          <w:tcPr>
            <w:tcW w:w="3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11.8</w:t>
            </w:r>
          </w:p>
        </w:tc>
        <w:tc>
          <w:tcPr>
            <w:tcW w:w="4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197.6</w:t>
            </w:r>
          </w:p>
        </w:tc>
        <w:tc>
          <w:tcPr>
            <w:tcW w:w="4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17.6</w:t>
            </w:r>
          </w:p>
        </w:tc>
        <w:tc>
          <w:tcPr>
            <w:tcW w:w="400" w:type="dxa"/>
            <w:vAlign w:val="bottom"/>
          </w:tcPr>
          <w:p>
            <w:pPr>
              <w:spacing w:after="0"/>
              <w:rPr>
                <w:sz w:val="11"/>
                <w:szCs w:val="11"/>
                <w:color w:val="auto"/>
              </w:rPr>
            </w:pP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198.9</w:t>
            </w:r>
          </w:p>
        </w:tc>
      </w:tr>
      <w:tr>
        <w:trPr>
          <w:trHeight w:val="138"/>
        </w:trPr>
        <w:tc>
          <w:tcPr>
            <w:tcW w:w="3920" w:type="dxa"/>
            <w:vAlign w:val="bottom"/>
            <w:shd w:val="clear" w:color="auto" w:fill="DBDBDB"/>
          </w:tcPr>
          <w:p>
            <w:pPr>
              <w:ind w:left="60"/>
              <w:spacing w:after="0"/>
              <w:rPr>
                <w:sz w:val="20"/>
                <w:szCs w:val="20"/>
                <w:color w:val="auto"/>
              </w:rPr>
            </w:pPr>
            <w:r>
              <w:rPr>
                <w:rFonts w:ascii="Arial" w:cs="Arial" w:eastAsia="Arial" w:hAnsi="Arial"/>
                <w:sz w:val="10"/>
                <w:szCs w:val="10"/>
                <w:color w:val="auto"/>
              </w:rPr>
              <w:t>Promotional</w:t>
            </w:r>
            <w:r>
              <w:rPr>
                <w:rFonts w:ascii="Arial" w:cs="Arial" w:eastAsia="Arial" w:hAnsi="Arial"/>
                <w:sz w:val="6"/>
                <w:szCs w:val="6"/>
                <w:color w:val="auto"/>
              </w:rPr>
              <w:t>(16)</w:t>
            </w:r>
          </w:p>
        </w:tc>
        <w:tc>
          <w:tcPr>
            <w:tcW w:w="38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12.0</w:t>
            </w:r>
          </w:p>
        </w:tc>
        <w:tc>
          <w:tcPr>
            <w:tcW w:w="40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25.7</w:t>
            </w:r>
          </w:p>
        </w:tc>
        <w:tc>
          <w:tcPr>
            <w:tcW w:w="40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37.5</w:t>
            </w:r>
          </w:p>
        </w:tc>
        <w:tc>
          <w:tcPr>
            <w:tcW w:w="400" w:type="dxa"/>
            <w:vAlign w:val="bottom"/>
            <w:shd w:val="clear" w:color="auto" w:fill="DBDBDB"/>
          </w:tcPr>
          <w:p>
            <w:pPr>
              <w:spacing w:after="0"/>
              <w:rPr>
                <w:sz w:val="12"/>
                <w:szCs w:val="12"/>
                <w:color w:val="auto"/>
              </w:rPr>
            </w:pPr>
          </w:p>
        </w:tc>
        <w:tc>
          <w:tcPr>
            <w:tcW w:w="124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69.4</w:t>
            </w:r>
          </w:p>
        </w:tc>
      </w:tr>
      <w:tr>
        <w:trPr>
          <w:trHeight w:val="132"/>
        </w:trPr>
        <w:tc>
          <w:tcPr>
            <w:tcW w:w="3920" w:type="dxa"/>
            <w:vAlign w:val="bottom"/>
          </w:tcPr>
          <w:p>
            <w:pPr>
              <w:ind w:left="60"/>
              <w:spacing w:after="0"/>
              <w:rPr>
                <w:sz w:val="20"/>
                <w:szCs w:val="20"/>
                <w:color w:val="auto"/>
              </w:rPr>
            </w:pPr>
            <w:r>
              <w:rPr>
                <w:rFonts w:ascii="Arial" w:cs="Arial" w:eastAsia="Arial" w:hAnsi="Arial"/>
                <w:sz w:val="10"/>
                <w:szCs w:val="10"/>
                <w:color w:val="auto"/>
              </w:rPr>
              <w:t>Professional services</w:t>
            </w:r>
          </w:p>
        </w:tc>
        <w:tc>
          <w:tcPr>
            <w:tcW w:w="38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14.2</w:t>
            </w:r>
          </w:p>
        </w:tc>
        <w:tc>
          <w:tcPr>
            <w:tcW w:w="4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9.7</w:t>
            </w:r>
          </w:p>
        </w:tc>
        <w:tc>
          <w:tcPr>
            <w:tcW w:w="4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36.7</w:t>
            </w:r>
          </w:p>
        </w:tc>
        <w:tc>
          <w:tcPr>
            <w:tcW w:w="400" w:type="dxa"/>
            <w:vAlign w:val="bottom"/>
          </w:tcPr>
          <w:p>
            <w:pPr>
              <w:spacing w:after="0"/>
              <w:rPr>
                <w:sz w:val="11"/>
                <w:szCs w:val="11"/>
                <w:color w:val="auto"/>
              </w:rPr>
            </w:pPr>
          </w:p>
        </w:tc>
        <w:tc>
          <w:tcPr>
            <w:tcW w:w="1240" w:type="dxa"/>
            <w:vAlign w:val="bottom"/>
          </w:tcPr>
          <w:p>
            <w:pPr>
              <w:jc w:val="right"/>
              <w:ind w:right="12"/>
              <w:spacing w:after="0"/>
              <w:rPr>
                <w:sz w:val="20"/>
                <w:szCs w:val="20"/>
                <w:color w:val="auto"/>
              </w:rPr>
            </w:pPr>
            <w:r>
              <w:rPr>
                <w:rFonts w:ascii="Arial" w:cs="Arial" w:eastAsia="Arial" w:hAnsi="Arial"/>
                <w:sz w:val="10"/>
                <w:szCs w:val="10"/>
                <w:color w:val="auto"/>
              </w:rPr>
              <w:t>26.9</w:t>
            </w:r>
          </w:p>
        </w:tc>
      </w:tr>
      <w:tr>
        <w:trPr>
          <w:trHeight w:val="138"/>
        </w:trPr>
        <w:tc>
          <w:tcPr>
            <w:tcW w:w="3920" w:type="dxa"/>
            <w:vAlign w:val="bottom"/>
            <w:shd w:val="clear" w:color="auto" w:fill="DBDBDB"/>
          </w:tcPr>
          <w:p>
            <w:pPr>
              <w:ind w:left="60"/>
              <w:spacing w:after="0"/>
              <w:rPr>
                <w:sz w:val="20"/>
                <w:szCs w:val="20"/>
                <w:color w:val="auto"/>
              </w:rPr>
            </w:pPr>
            <w:r>
              <w:rPr>
                <w:rFonts w:ascii="Arial" w:cs="Arial" w:eastAsia="Arial" w:hAnsi="Arial"/>
                <w:sz w:val="10"/>
                <w:szCs w:val="10"/>
                <w:color w:val="auto"/>
              </w:rPr>
              <w:t>Change in fair value of contingent consideration</w:t>
            </w:r>
          </w:p>
        </w:tc>
        <w:tc>
          <w:tcPr>
            <w:tcW w:w="38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9.5</w:t>
            </w:r>
          </w:p>
        </w:tc>
        <w:tc>
          <w:tcPr>
            <w:tcW w:w="40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2.7</w:t>
            </w:r>
          </w:p>
        </w:tc>
        <w:tc>
          <w:tcPr>
            <w:tcW w:w="40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14.2</w:t>
            </w:r>
          </w:p>
        </w:tc>
        <w:tc>
          <w:tcPr>
            <w:tcW w:w="400" w:type="dxa"/>
            <w:vAlign w:val="bottom"/>
            <w:shd w:val="clear" w:color="auto" w:fill="DBDBDB"/>
          </w:tcPr>
          <w:p>
            <w:pPr>
              <w:spacing w:after="0"/>
              <w:rPr>
                <w:sz w:val="12"/>
                <w:szCs w:val="12"/>
                <w:color w:val="auto"/>
              </w:rPr>
            </w:pPr>
          </w:p>
        </w:tc>
        <w:tc>
          <w:tcPr>
            <w:tcW w:w="1240" w:type="dxa"/>
            <w:vAlign w:val="bottom"/>
            <w:shd w:val="clear" w:color="auto" w:fill="DBDBDB"/>
          </w:tcPr>
          <w:p>
            <w:pPr>
              <w:jc w:val="right"/>
              <w:ind w:right="12"/>
              <w:spacing w:after="0"/>
              <w:rPr>
                <w:sz w:val="20"/>
                <w:szCs w:val="20"/>
                <w:color w:val="auto"/>
              </w:rPr>
            </w:pPr>
            <w:r>
              <w:rPr>
                <w:rFonts w:ascii="Arial" w:cs="Arial" w:eastAsia="Arial" w:hAnsi="Arial"/>
                <w:sz w:val="10"/>
                <w:szCs w:val="10"/>
                <w:color w:val="auto"/>
              </w:rPr>
              <w:t>9.6</w:t>
            </w:r>
          </w:p>
        </w:tc>
      </w:tr>
      <w:tr>
        <w:trPr>
          <w:trHeight w:val="132"/>
        </w:trPr>
        <w:tc>
          <w:tcPr>
            <w:tcW w:w="3920" w:type="dxa"/>
            <w:vAlign w:val="bottom"/>
            <w:tcBorders>
              <w:bottom w:val="single" w:sz="8" w:color="DBDBDB"/>
            </w:tcBorders>
          </w:tcPr>
          <w:p>
            <w:pPr>
              <w:ind w:left="60"/>
              <w:spacing w:after="0"/>
              <w:rPr>
                <w:sz w:val="20"/>
                <w:szCs w:val="20"/>
                <w:color w:val="auto"/>
              </w:rPr>
            </w:pPr>
            <w:r>
              <w:rPr>
                <w:rFonts w:ascii="Arial" w:cs="Arial" w:eastAsia="Arial" w:hAnsi="Arial"/>
                <w:sz w:val="10"/>
                <w:szCs w:val="10"/>
                <w:color w:val="auto"/>
              </w:rPr>
              <w:t>Other</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w:t>
            </w:r>
          </w:p>
        </w:tc>
        <w:tc>
          <w:tcPr>
            <w:tcW w:w="4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45.0</w:t>
            </w:r>
          </w:p>
        </w:tc>
        <w:tc>
          <w:tcPr>
            <w:tcW w:w="4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w:t>
            </w: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57.3</w:t>
            </w:r>
          </w:p>
        </w:tc>
      </w:tr>
      <w:tr>
        <w:trPr>
          <w:trHeight w:val="127"/>
        </w:trPr>
        <w:tc>
          <w:tcPr>
            <w:tcW w:w="3920" w:type="dxa"/>
            <w:vAlign w:val="bottom"/>
            <w:shd w:val="clear" w:color="auto" w:fill="DBDBDB"/>
          </w:tcPr>
          <w:p>
            <w:pPr>
              <w:spacing w:after="0"/>
              <w:rPr>
                <w:sz w:val="20"/>
                <w:szCs w:val="20"/>
                <w:color w:val="auto"/>
              </w:rPr>
            </w:pPr>
            <w:r>
              <w:rPr>
                <w:rFonts w:ascii="Arial" w:cs="Arial" w:eastAsia="Arial" w:hAnsi="Arial"/>
                <w:sz w:val="10"/>
                <w:szCs w:val="10"/>
                <w:b w:val="1"/>
                <w:bCs w:val="1"/>
                <w:color w:val="auto"/>
              </w:rPr>
              <w:t>Acquisition costs excluding interest</w:t>
            </w:r>
            <w:r>
              <w:rPr>
                <w:rFonts w:ascii="Arial" w:cs="Arial" w:eastAsia="Arial" w:hAnsi="Arial"/>
                <w:sz w:val="6"/>
                <w:szCs w:val="6"/>
                <w:b w:val="1"/>
                <w:bCs w:val="1"/>
                <w:color w:val="auto"/>
              </w:rPr>
              <w:t>(†)</w:t>
            </w:r>
          </w:p>
        </w:tc>
        <w:tc>
          <w:tcPr>
            <w:tcW w:w="380" w:type="dxa"/>
            <w:vAlign w:val="bottom"/>
            <w:tcBorders>
              <w:bottom w:val="single" w:sz="8" w:color="auto"/>
            </w:tcBorders>
            <w:shd w:val="clear" w:color="auto" w:fill="DBDBDB"/>
          </w:tcPr>
          <w:p>
            <w:pPr>
              <w:jc w:val="right"/>
              <w:ind w:right="27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83.1</w:t>
            </w:r>
          </w:p>
        </w:tc>
        <w:tc>
          <w:tcPr>
            <w:tcW w:w="400" w:type="dxa"/>
            <w:vAlign w:val="bottom"/>
            <w:tcBorders>
              <w:bottom w:val="single" w:sz="8" w:color="auto"/>
            </w:tcBorders>
            <w:shd w:val="clear" w:color="auto" w:fill="DBDBDB"/>
          </w:tcPr>
          <w:p>
            <w:pPr>
              <w:jc w:val="right"/>
              <w:ind w:right="272"/>
              <w:spacing w:after="0"/>
              <w:rPr>
                <w:sz w:val="20"/>
                <w:szCs w:val="20"/>
                <w:color w:val="auto"/>
              </w:rPr>
            </w:pPr>
            <w:r>
              <w:rPr>
                <w:rFonts w:ascii="Arial" w:cs="Arial" w:eastAsia="Arial" w:hAnsi="Arial"/>
                <w:sz w:val="10"/>
                <w:szCs w:val="10"/>
                <w:b w:val="1"/>
                <w:bCs w:val="1"/>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538.2</w:t>
            </w:r>
          </w:p>
        </w:tc>
        <w:tc>
          <w:tcPr>
            <w:tcW w:w="400" w:type="dxa"/>
            <w:vAlign w:val="bottom"/>
            <w:tcBorders>
              <w:bottom w:val="single" w:sz="8" w:color="auto"/>
            </w:tcBorders>
            <w:shd w:val="clear" w:color="auto" w:fill="DBDBDB"/>
          </w:tcPr>
          <w:p>
            <w:pPr>
              <w:jc w:val="right"/>
              <w:ind w:right="272"/>
              <w:spacing w:after="0"/>
              <w:rPr>
                <w:sz w:val="20"/>
                <w:szCs w:val="20"/>
                <w:color w:val="auto"/>
              </w:rPr>
            </w:pPr>
            <w:r>
              <w:rPr>
                <w:rFonts w:ascii="Arial" w:cs="Arial" w:eastAsia="Arial" w:hAnsi="Arial"/>
                <w:sz w:val="10"/>
                <w:szCs w:val="10"/>
                <w:b w:val="1"/>
                <w:bCs w:val="1"/>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193.3</w:t>
            </w:r>
          </w:p>
        </w:tc>
        <w:tc>
          <w:tcPr>
            <w:tcW w:w="400" w:type="dxa"/>
            <w:vAlign w:val="bottom"/>
            <w:tcBorders>
              <w:bottom w:val="single" w:sz="8" w:color="auto"/>
            </w:tcBorders>
            <w:shd w:val="clear" w:color="auto" w:fill="DBDBDB"/>
          </w:tcPr>
          <w:p>
            <w:pPr>
              <w:jc w:val="right"/>
              <w:ind w:right="272"/>
              <w:spacing w:after="0"/>
              <w:rPr>
                <w:sz w:val="20"/>
                <w:szCs w:val="20"/>
                <w:color w:val="auto"/>
              </w:rPr>
            </w:pPr>
            <w:r>
              <w:rPr>
                <w:rFonts w:ascii="Arial" w:cs="Arial" w:eastAsia="Arial" w:hAnsi="Arial"/>
                <w:sz w:val="10"/>
                <w:szCs w:val="10"/>
                <w:b w:val="1"/>
                <w:bCs w:val="1"/>
                <w:color w:val="auto"/>
              </w:rPr>
              <w:t>$</w:t>
            </w:r>
          </w:p>
        </w:tc>
        <w:tc>
          <w:tcPr>
            <w:tcW w:w="124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653.1</w:t>
            </w:r>
          </w:p>
        </w:tc>
      </w:tr>
      <w:tr>
        <w:trPr>
          <w:trHeight w:val="121"/>
        </w:trPr>
        <w:tc>
          <w:tcPr>
            <w:tcW w:w="3920" w:type="dxa"/>
            <w:vAlign w:val="bottom"/>
            <w:tcBorders>
              <w:bottom w:val="single" w:sz="8" w:color="DBDBDB"/>
            </w:tcBorders>
          </w:tcPr>
          <w:p>
            <w:pPr>
              <w:ind w:left="60"/>
              <w:spacing w:after="0"/>
              <w:rPr>
                <w:sz w:val="20"/>
                <w:szCs w:val="20"/>
                <w:color w:val="auto"/>
              </w:rPr>
            </w:pPr>
            <w:r>
              <w:rPr>
                <w:rFonts w:ascii="Arial" w:cs="Arial" w:eastAsia="Arial" w:hAnsi="Arial"/>
                <w:sz w:val="10"/>
                <w:szCs w:val="10"/>
                <w:color w:val="auto"/>
              </w:rPr>
              <w:t>Interest</w:t>
            </w: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8.5</w:t>
            </w:r>
          </w:p>
        </w:tc>
      </w:tr>
      <w:tr>
        <w:trPr>
          <w:trHeight w:val="143"/>
        </w:trPr>
        <w:tc>
          <w:tcPr>
            <w:tcW w:w="39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0"/>
                <w:szCs w:val="10"/>
                <w:b w:val="1"/>
                <w:bCs w:val="1"/>
                <w:color w:val="auto"/>
              </w:rPr>
              <w:t>Acquisition costs</w:t>
            </w:r>
            <w:r>
              <w:rPr>
                <w:rFonts w:ascii="Arial" w:cs="Arial" w:eastAsia="Arial" w:hAnsi="Arial"/>
                <w:sz w:val="6"/>
                <w:szCs w:val="6"/>
                <w:b w:val="1"/>
                <w:bCs w:val="1"/>
                <w:color w:val="auto"/>
              </w:rPr>
              <w:t>(†)</w:t>
            </w:r>
          </w:p>
        </w:tc>
        <w:tc>
          <w:tcPr>
            <w:tcW w:w="380" w:type="dxa"/>
            <w:vAlign w:val="bottom"/>
            <w:tcBorders>
              <w:bottom w:val="single" w:sz="8" w:color="auto"/>
            </w:tcBorders>
            <w:shd w:val="clear" w:color="auto" w:fill="DBDBDB"/>
          </w:tcPr>
          <w:p>
            <w:pPr>
              <w:jc w:val="right"/>
              <w:ind w:right="272"/>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83.1</w:t>
            </w:r>
          </w:p>
        </w:tc>
        <w:tc>
          <w:tcPr>
            <w:tcW w:w="400" w:type="dxa"/>
            <w:vAlign w:val="bottom"/>
            <w:tcBorders>
              <w:bottom w:val="single" w:sz="8" w:color="auto"/>
            </w:tcBorders>
            <w:shd w:val="clear" w:color="auto" w:fill="DBDBDB"/>
          </w:tcPr>
          <w:p>
            <w:pPr>
              <w:jc w:val="right"/>
              <w:ind w:right="272"/>
              <w:spacing w:after="0"/>
              <w:rPr>
                <w:sz w:val="20"/>
                <w:szCs w:val="20"/>
                <w:color w:val="auto"/>
              </w:rPr>
            </w:pPr>
            <w:r>
              <w:rPr>
                <w:rFonts w:ascii="Arial" w:cs="Arial" w:eastAsia="Arial" w:hAnsi="Arial"/>
                <w:sz w:val="10"/>
                <w:szCs w:val="10"/>
                <w:b w:val="1"/>
                <w:bCs w:val="1"/>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538.2</w:t>
            </w:r>
          </w:p>
        </w:tc>
        <w:tc>
          <w:tcPr>
            <w:tcW w:w="400" w:type="dxa"/>
            <w:vAlign w:val="bottom"/>
            <w:tcBorders>
              <w:bottom w:val="single" w:sz="8" w:color="auto"/>
            </w:tcBorders>
            <w:shd w:val="clear" w:color="auto" w:fill="DBDBDB"/>
          </w:tcPr>
          <w:p>
            <w:pPr>
              <w:jc w:val="right"/>
              <w:ind w:right="272"/>
              <w:spacing w:after="0"/>
              <w:rPr>
                <w:sz w:val="20"/>
                <w:szCs w:val="20"/>
                <w:color w:val="auto"/>
              </w:rPr>
            </w:pPr>
            <w:r>
              <w:rPr>
                <w:rFonts w:ascii="Arial" w:cs="Arial" w:eastAsia="Arial" w:hAnsi="Arial"/>
                <w:sz w:val="10"/>
                <w:szCs w:val="10"/>
                <w:b w:val="1"/>
                <w:bCs w:val="1"/>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193.3</w:t>
            </w:r>
          </w:p>
        </w:tc>
        <w:tc>
          <w:tcPr>
            <w:tcW w:w="400" w:type="dxa"/>
            <w:vAlign w:val="bottom"/>
            <w:tcBorders>
              <w:bottom w:val="single" w:sz="8" w:color="auto"/>
            </w:tcBorders>
            <w:shd w:val="clear" w:color="auto" w:fill="DBDBDB"/>
          </w:tcPr>
          <w:p>
            <w:pPr>
              <w:jc w:val="right"/>
              <w:ind w:right="272"/>
              <w:spacing w:after="0"/>
              <w:rPr>
                <w:sz w:val="20"/>
                <w:szCs w:val="20"/>
                <w:color w:val="auto"/>
              </w:rPr>
            </w:pPr>
            <w:r>
              <w:rPr>
                <w:rFonts w:ascii="Arial" w:cs="Arial" w:eastAsia="Arial" w:hAnsi="Arial"/>
                <w:sz w:val="10"/>
                <w:szCs w:val="10"/>
                <w:b w:val="1"/>
                <w:bCs w:val="1"/>
                <w:color w:val="auto"/>
              </w:rPr>
              <w:t>$</w:t>
            </w:r>
          </w:p>
        </w:tc>
        <w:tc>
          <w:tcPr>
            <w:tcW w:w="124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0"/>
                <w:szCs w:val="10"/>
                <w:b w:val="1"/>
                <w:bCs w:val="1"/>
                <w:color w:val="auto"/>
              </w:rPr>
              <w:t>661.6</w:t>
            </w:r>
          </w:p>
        </w:tc>
      </w:tr>
    </w:tbl>
    <w:p>
      <w:pPr>
        <w:spacing w:after="0" w:line="115" w:lineRule="exact"/>
        <w:rPr>
          <w:sz w:val="20"/>
          <w:szCs w:val="20"/>
          <w:color w:val="auto"/>
        </w:rPr>
      </w:pPr>
    </w:p>
    <w:p>
      <w:pPr>
        <w:ind w:left="32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548" w:hanging="224"/>
        <w:spacing w:after="0"/>
        <w:tabs>
          <w:tab w:leader="none" w:pos="548" w:val="left"/>
        </w:tabs>
        <w:numPr>
          <w:ilvl w:val="1"/>
          <w:numId w:val="14"/>
        </w:numPr>
        <w:rPr>
          <w:rFonts w:ascii="Arial" w:cs="Arial" w:eastAsia="Arial" w:hAnsi="Arial"/>
          <w:sz w:val="10"/>
          <w:szCs w:val="10"/>
          <w:color w:val="auto"/>
        </w:rPr>
      </w:pPr>
      <w:r>
        <w:rPr>
          <w:rFonts w:ascii="Arial" w:cs="Arial" w:eastAsia="Arial" w:hAnsi="Arial"/>
          <w:sz w:val="10"/>
          <w:szCs w:val="10"/>
          <w:color w:val="auto"/>
        </w:rPr>
        <w:t>Totals may not foot due to rounding.</w:t>
      </w:r>
    </w:p>
    <w:p>
      <w:pPr>
        <w:spacing w:after="0" w:line="38" w:lineRule="exact"/>
        <w:rPr>
          <w:rFonts w:ascii="Arial" w:cs="Arial" w:eastAsia="Arial" w:hAnsi="Arial"/>
          <w:sz w:val="10"/>
          <w:szCs w:val="10"/>
          <w:color w:val="auto"/>
        </w:rPr>
      </w:pPr>
    </w:p>
    <w:p>
      <w:pPr>
        <w:ind w:left="328" w:right="160" w:hanging="328"/>
        <w:spacing w:after="0" w:line="254" w:lineRule="auto"/>
        <w:tabs>
          <w:tab w:leader="none" w:pos="327" w:val="left"/>
        </w:tabs>
        <w:numPr>
          <w:ilvl w:val="0"/>
          <w:numId w:val="14"/>
        </w:numPr>
        <w:rPr>
          <w:rFonts w:ascii="Arial" w:cs="Arial" w:eastAsia="Arial" w:hAnsi="Arial"/>
          <w:sz w:val="10"/>
          <w:szCs w:val="10"/>
          <w:color w:val="auto"/>
        </w:rPr>
      </w:pPr>
      <w:r>
        <w:rPr>
          <w:rFonts w:ascii="Arial" w:cs="Arial" w:eastAsia="Arial" w:hAnsi="Arial"/>
          <w:sz w:val="10"/>
          <w:szCs w:val="10"/>
          <w:color w:val="auto"/>
        </w:rPr>
        <w:t>Promotional (ongoing) for the three and nine months ended September 30, 2026 includes $14.2 million and $44.6 million, respectively, of support costs related to full-time employees that are classified within compensation and benefits expense in the condensed consolidated statements of income compared to $19.0 million and $55.0 million for the same periods in 2025. Promotional (ongoing) excludes costs that have been incurred as part of acquisitions, which are included in the Acquisition costs line item.</w:t>
      </w:r>
    </w:p>
    <w:p>
      <w:pPr>
        <w:spacing w:after="0" w:line="12" w:lineRule="exact"/>
        <w:rPr>
          <w:rFonts w:ascii="Arial" w:cs="Arial" w:eastAsia="Arial" w:hAnsi="Arial"/>
          <w:sz w:val="10"/>
          <w:szCs w:val="10"/>
          <w:color w:val="auto"/>
        </w:rPr>
      </w:pPr>
    </w:p>
    <w:p>
      <w:pPr>
        <w:ind w:left="328" w:hanging="328"/>
        <w:spacing w:after="0" w:line="264" w:lineRule="auto"/>
        <w:tabs>
          <w:tab w:leader="none" w:pos="327" w:val="left"/>
        </w:tabs>
        <w:numPr>
          <w:ilvl w:val="0"/>
          <w:numId w:val="14"/>
        </w:numPr>
        <w:rPr>
          <w:rFonts w:ascii="Arial" w:cs="Arial" w:eastAsia="Arial" w:hAnsi="Arial"/>
          <w:sz w:val="10"/>
          <w:szCs w:val="10"/>
          <w:color w:val="auto"/>
        </w:rPr>
      </w:pPr>
      <w:r>
        <w:rPr>
          <w:rFonts w:ascii="Arial" w:cs="Arial" w:eastAsia="Arial" w:hAnsi="Arial"/>
          <w:sz w:val="10"/>
          <w:szCs w:val="10"/>
          <w:color w:val="auto"/>
        </w:rPr>
        <w:t>During the fourth quarter of 2025, the Company updated its definition of Promotional (ongoing) to exclude transition assistance loan amortization. As a result, transition assistance loan amortization is now disclosed as a separate line in Core G&amp;A. Prior period disclosures have been updated to reflect these changes as applicable.</w:t>
      </w:r>
    </w:p>
    <w:p>
      <w:pPr>
        <w:spacing w:after="0" w:line="200" w:lineRule="exact"/>
        <w:rPr>
          <w:sz w:val="20"/>
          <w:szCs w:val="20"/>
          <w:color w:val="auto"/>
        </w:rPr>
      </w:pPr>
    </w:p>
    <w:p>
      <w:pPr>
        <w:spacing w:after="0" w:line="205"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28" w:right="359" w:bottom="1440" w:gutter="0" w:footer="0" w:header="0"/>
        </w:sectPr>
      </w:pPr>
    </w:p>
    <w:bookmarkStart w:id="11" w:name="page12"/>
    <w:bookmarkEnd w:id="11"/>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37" w:lineRule="exact"/>
        <w:rPr>
          <w:sz w:val="20"/>
          <w:szCs w:val="20"/>
          <w:color w:val="auto"/>
        </w:rPr>
      </w:pPr>
    </w:p>
    <w:p>
      <w:pPr>
        <w:ind w:left="328" w:right="40" w:hanging="328"/>
        <w:spacing w:after="0" w:line="264" w:lineRule="auto"/>
        <w:tabs>
          <w:tab w:leader="none" w:pos="327" w:val="left"/>
        </w:tabs>
        <w:numPr>
          <w:ilvl w:val="0"/>
          <w:numId w:val="15"/>
        </w:numPr>
        <w:rPr>
          <w:rFonts w:ascii="Arial" w:cs="Arial" w:eastAsia="Arial" w:hAnsi="Arial"/>
          <w:sz w:val="10"/>
          <w:szCs w:val="10"/>
          <w:color w:val="auto"/>
        </w:rPr>
      </w:pPr>
      <w:r>
        <w:rPr>
          <w:rFonts w:ascii="Arial" w:cs="Arial" w:eastAsia="Arial" w:hAnsi="Arial"/>
          <w:sz w:val="10"/>
          <w:szCs w:val="10"/>
          <w:color w:val="auto"/>
        </w:rPr>
        <w:t>During the third quarter of 2025, the Company incurred $419.0 million of acquisition costs at the Commonwealth closing. This primarily includes $228.4 million of costs related to transaction bonuses and the acceleration of unvested equity awards which were classified as Compensation and benefits and $190.1 million of costs related to certain contract termination fees which were classified as Occupancy and equipment.</w:t>
      </w:r>
    </w:p>
    <w:p>
      <w:pPr>
        <w:spacing w:after="0" w:line="27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Legal and Regulatory Matters</w:t>
      </w:r>
    </w:p>
    <w:p>
      <w:pPr>
        <w:spacing w:after="0" w:line="78" w:lineRule="exact"/>
        <w:rPr>
          <w:sz w:val="20"/>
          <w:szCs w:val="20"/>
          <w:color w:val="auto"/>
        </w:rPr>
      </w:pPr>
    </w:p>
    <w:p>
      <w:pPr>
        <w:ind w:left="8" w:right="40"/>
        <w:spacing w:after="0" w:line="262" w:lineRule="auto"/>
        <w:rPr>
          <w:sz w:val="20"/>
          <w:szCs w:val="20"/>
          <w:color w:val="auto"/>
        </w:rPr>
      </w:pPr>
      <w:r>
        <w:rPr>
          <w:rFonts w:ascii="Arial" w:cs="Arial" w:eastAsia="Arial" w:hAnsi="Arial"/>
          <w:sz w:val="12"/>
          <w:szCs w:val="12"/>
          <w:color w:val="auto"/>
        </w:rPr>
        <w:t>The financial services industry is subject to extensive regulation by U.S. federal and state government agencies as well as various self-regulatory organizations. Compliance with all applicable laws and regulations involves a significant investment in time and resources, and we continue to invest in our compliance functions to monitor our adherence to the numerous legal and regulatory requirements applicable to our business. Any new laws or regulations applicable to our business, any changes to existing laws or regulations, or any changes to the interpretations or enforcement of those laws or regulations may affect our operations and/or financial condition. We seek to participate in the development of significant rules and regulations that govern our industry.</w:t>
      </w:r>
    </w:p>
    <w:p>
      <w:pPr>
        <w:spacing w:after="0" w:line="45" w:lineRule="exact"/>
        <w:rPr>
          <w:sz w:val="20"/>
          <w:szCs w:val="20"/>
          <w:color w:val="auto"/>
        </w:rPr>
      </w:pPr>
    </w:p>
    <w:p>
      <w:pPr>
        <w:ind w:left="8" w:right="220"/>
        <w:spacing w:after="0" w:line="256" w:lineRule="auto"/>
        <w:rPr>
          <w:sz w:val="20"/>
          <w:szCs w:val="20"/>
          <w:color w:val="auto"/>
        </w:rPr>
      </w:pPr>
      <w:r>
        <w:rPr>
          <w:rFonts w:ascii="Arial" w:cs="Arial" w:eastAsia="Arial" w:hAnsi="Arial"/>
          <w:sz w:val="12"/>
          <w:szCs w:val="12"/>
          <w:color w:val="auto"/>
        </w:rPr>
        <w:t>As a regulated entity, we are subject to regulatory oversight and inquiries related to, among other items, our compliance and supervisory systems and procedures and other controls, as well as our disclosures, supervision and reporting. Additional regulation and enhanced regulatory enforcement have resulted, and may result in the future, in changes to our service offerings and additional operational and compliance costs, as well as increased costs in the form of penalties and fines, investigatory and settlement costs, customer restitution and remediation related to regulatory matters. In the ordinary course of business, we periodically identify or become aware of purported inadequacies, deficiencies and other issues. It is our policy to evaluate these matters for potential legal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Certain regulatory and other legal claims and losses may be covered through our wholly-owned captive insurance subsidiary, which is chartered with the insurance commissioner in the state of Tennessee.</w:t>
      </w:r>
    </w:p>
    <w:p>
      <w:pPr>
        <w:spacing w:after="0" w:line="50" w:lineRule="exact"/>
        <w:rPr>
          <w:sz w:val="20"/>
          <w:szCs w:val="20"/>
          <w:color w:val="auto"/>
        </w:rPr>
      </w:pPr>
    </w:p>
    <w:p>
      <w:pPr>
        <w:ind w:left="8"/>
        <w:spacing w:after="0" w:line="262" w:lineRule="auto"/>
        <w:rPr>
          <w:sz w:val="20"/>
          <w:szCs w:val="20"/>
          <w:color w:val="auto"/>
        </w:rPr>
      </w:pPr>
      <w:r>
        <w:rPr>
          <w:rFonts w:ascii="Arial" w:cs="Arial" w:eastAsia="Arial" w:hAnsi="Arial"/>
          <w:sz w:val="12"/>
          <w:szCs w:val="12"/>
          <w:color w:val="auto"/>
        </w:rPr>
        <w:t>Assessing the probability of a loss occurring and the timing and amount of any loss related to a regulatory matter or legal proceeding, whether or not covered by our captive insurance subsidiary, is inherently difficult and requires judgments based on a variety of factors and assumptions. There are particular uncertainties and complexities involved when assessing the adequacy of loss reserves for potential liabilities that are self-insured by our captive insurance subsidiary, which depends in part on historical claims experience, including the actual timing and costs of resolving matters that begin in one policy period and are resolved in a subsequent period.</w:t>
      </w:r>
    </w:p>
    <w:p>
      <w:pPr>
        <w:spacing w:after="0" w:line="45" w:lineRule="exact"/>
        <w:rPr>
          <w:sz w:val="20"/>
          <w:szCs w:val="20"/>
          <w:color w:val="auto"/>
        </w:rPr>
      </w:pPr>
    </w:p>
    <w:p>
      <w:pPr>
        <w:ind w:left="8" w:right="160"/>
        <w:spacing w:after="0" w:line="286" w:lineRule="auto"/>
        <w:rPr>
          <w:sz w:val="20"/>
          <w:szCs w:val="20"/>
          <w:color w:val="auto"/>
        </w:rPr>
      </w:pPr>
      <w:r>
        <w:rPr>
          <w:rFonts w:ascii="Arial" w:cs="Arial" w:eastAsia="Arial" w:hAnsi="Arial"/>
          <w:sz w:val="12"/>
          <w:szCs w:val="12"/>
          <w:color w:val="auto"/>
        </w:rPr>
        <w:t>Our accruals, including those established through our captive insurance subsidiary at September 30, 2026, include estimated costs for significant regulatory matters or legal proceedings, generally relating to the adequacy of our compliance and supervisory systems and procedures and other controls, for which we believe losses are both probable and reasonably estimable.</w:t>
      </w:r>
    </w:p>
    <w:p>
      <w:pPr>
        <w:spacing w:after="0" w:line="31" w:lineRule="exact"/>
        <w:rPr>
          <w:sz w:val="20"/>
          <w:szCs w:val="20"/>
          <w:color w:val="auto"/>
        </w:rPr>
      </w:pPr>
    </w:p>
    <w:p>
      <w:pPr>
        <w:ind w:left="8" w:right="400"/>
        <w:spacing w:after="0" w:line="268" w:lineRule="auto"/>
        <w:rPr>
          <w:sz w:val="20"/>
          <w:szCs w:val="20"/>
          <w:color w:val="auto"/>
        </w:rPr>
      </w:pPr>
      <w:r>
        <w:rPr>
          <w:rFonts w:ascii="Arial" w:cs="Arial" w:eastAsia="Arial" w:hAnsi="Arial"/>
          <w:sz w:val="12"/>
          <w:szCs w:val="12"/>
          <w:color w:val="auto"/>
        </w:rPr>
        <w:t xml:space="preserve">The outcome of regulatory or legal proceedings could result in legal liability, regulatory fines or monetary penalties in excess of our accruals and insurance, which could have a material adverse effect on our business, results of operations, cash flows or financial condition. For more information on management’s loss contingency policies, see Note 10 -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within the notes to the condensed consolidated financial statements.</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Economic Overview and Impact of Financial Market Events</w:t>
      </w:r>
    </w:p>
    <w:p>
      <w:pPr>
        <w:spacing w:after="0" w:line="78" w:lineRule="exact"/>
        <w:rPr>
          <w:sz w:val="20"/>
          <w:szCs w:val="20"/>
          <w:color w:val="auto"/>
        </w:rPr>
      </w:pPr>
    </w:p>
    <w:p>
      <w:pPr>
        <w:ind w:left="8" w:right="140"/>
        <w:spacing w:after="0" w:line="286" w:lineRule="auto"/>
        <w:rPr>
          <w:sz w:val="20"/>
          <w:szCs w:val="20"/>
          <w:color w:val="auto"/>
        </w:rPr>
      </w:pPr>
      <w:r>
        <w:rPr>
          <w:rFonts w:ascii="Arial" w:cs="Arial" w:eastAsia="Arial" w:hAnsi="Arial"/>
          <w:sz w:val="12"/>
          <w:szCs w:val="12"/>
          <w:color w:val="auto"/>
        </w:rPr>
        <w:t>Our business is directly and indirectly sensitive to several macroeconomic factors and the state of the financial markets in the United States. During the third quarter of 2026, U.S. equity market performance was mixed, with the S&amp;P 500 index increasing 2.3% and the Russell 2000 index decreasing 7.5%.</w:t>
      </w:r>
    </w:p>
    <w:p>
      <w:pPr>
        <w:spacing w:after="0" w:line="112" w:lineRule="exact"/>
        <w:rPr>
          <w:sz w:val="20"/>
          <w:szCs w:val="20"/>
          <w:color w:val="auto"/>
        </w:rPr>
      </w:pPr>
    </w:p>
    <w:p>
      <w:pPr>
        <w:ind w:left="8" w:right="300"/>
        <w:spacing w:after="0" w:line="270" w:lineRule="auto"/>
        <w:rPr>
          <w:sz w:val="20"/>
          <w:szCs w:val="20"/>
          <w:color w:val="auto"/>
        </w:rPr>
      </w:pPr>
      <w:r>
        <w:rPr>
          <w:rFonts w:ascii="Arial" w:cs="Arial" w:eastAsia="Arial" w:hAnsi="Arial"/>
          <w:sz w:val="12"/>
          <w:szCs w:val="12"/>
          <w:color w:val="auto"/>
        </w:rPr>
        <w:t>Our business is also sensitive to current and expected short-term interest rates, which are largely driven by Federal Reserve (“Fed”) policy. During the third quarter of 2026, Fed policymakers raised the target federal funds rate to a range of 3.75% - 4.00%, and will continue to take into account the evolving economic outlook and balance of risks as it relates to future changes.</w:t>
      </w:r>
    </w:p>
    <w:p>
      <w:pPr>
        <w:spacing w:after="0" w:line="122" w:lineRule="exact"/>
        <w:rPr>
          <w:sz w:val="20"/>
          <w:szCs w:val="20"/>
          <w:color w:val="auto"/>
        </w:rPr>
      </w:pPr>
    </w:p>
    <w:p>
      <w:pPr>
        <w:ind w:left="8" w:right="520"/>
        <w:spacing w:after="0" w:line="286" w:lineRule="auto"/>
        <w:rPr>
          <w:sz w:val="20"/>
          <w:szCs w:val="20"/>
          <w:color w:val="auto"/>
        </w:rPr>
      </w:pPr>
      <w:r>
        <w:rPr>
          <w:rFonts w:ascii="Arial" w:cs="Arial" w:eastAsia="Arial" w:hAnsi="Arial"/>
          <w:sz w:val="12"/>
          <w:szCs w:val="12"/>
          <w:color w:val="auto"/>
        </w:rPr>
        <w:t xml:space="preserve">Please consult the </w:t>
      </w:r>
      <w:r>
        <w:rPr>
          <w:rFonts w:ascii="Arial" w:cs="Arial" w:eastAsia="Arial" w:hAnsi="Arial"/>
          <w:sz w:val="12"/>
          <w:szCs w:val="12"/>
          <w:i w:val="1"/>
          <w:iCs w:val="1"/>
          <w:color w:val="auto"/>
        </w:rPr>
        <w:t>“Risks Related to Our Business and Industry”</w:t>
      </w:r>
      <w:r>
        <w:rPr>
          <w:rFonts w:ascii="Arial" w:cs="Arial" w:eastAsia="Arial" w:hAnsi="Arial"/>
          <w:sz w:val="12"/>
          <w:szCs w:val="12"/>
          <w:color w:val="auto"/>
        </w:rPr>
        <w:t xml:space="preserve"> section within Part I, </w:t>
      </w:r>
      <w:r>
        <w:rPr>
          <w:rFonts w:ascii="Arial" w:cs="Arial" w:eastAsia="Arial" w:hAnsi="Arial"/>
          <w:sz w:val="12"/>
          <w:szCs w:val="12"/>
          <w:i w:val="1"/>
          <w:iCs w:val="1"/>
          <w:color w:val="auto"/>
        </w:rPr>
        <w:t>“Item 1A. Risk Factors”</w:t>
      </w:r>
      <w:r>
        <w:rPr>
          <w:rFonts w:ascii="Arial" w:cs="Arial" w:eastAsia="Arial" w:hAnsi="Arial"/>
          <w:sz w:val="12"/>
          <w:szCs w:val="12"/>
          <w:color w:val="auto"/>
        </w:rPr>
        <w:t xml:space="preserve"> in our 2025 Annual Report on Form 10-K for more information about the risks associated with significant interest rate changes and the potential related effects on our profitability and financial condition.</w:t>
      </w:r>
    </w:p>
    <w:p>
      <w:pPr>
        <w:spacing w:after="0" w:line="355"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8" w:right="339" w:bottom="1440" w:gutter="0" w:footer="0" w:header="0"/>
        </w:sectPr>
      </w:pPr>
    </w:p>
    <w:bookmarkStart w:id="12" w:name="page13"/>
    <w:bookmarkEnd w:id="1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discussion presents an analysis of our results of operations for the three and nine months ended September 30, 2026 and 2025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1"/>
                <w:szCs w:val="11"/>
                <w:b w:val="1"/>
                <w:bCs w:val="1"/>
                <w:color w:val="auto"/>
              </w:rPr>
              <w:t>Three Months Ended September 30,</w:t>
            </w:r>
          </w:p>
        </w:tc>
        <w:tc>
          <w:tcPr>
            <w:tcW w:w="1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Nine Months Ended September 30,</w:t>
            </w:r>
          </w:p>
        </w:tc>
        <w:tc>
          <w:tcPr>
            <w:tcW w:w="1040" w:type="dxa"/>
            <w:vAlign w:val="bottom"/>
          </w:tcPr>
          <w:p>
            <w:pPr>
              <w:spacing w:after="0"/>
              <w:rPr>
                <w:sz w:val="12"/>
                <w:szCs w:val="12"/>
                <w:color w:val="auto"/>
              </w:rPr>
            </w:pPr>
          </w:p>
        </w:tc>
      </w:tr>
      <w:tr>
        <w:trPr>
          <w:trHeight w:val="133"/>
        </w:trPr>
        <w:tc>
          <w:tcPr>
            <w:tcW w:w="4740" w:type="dxa"/>
            <w:vAlign w:val="bottom"/>
            <w:tcBorders>
              <w:bottom w:val="single" w:sz="8" w:color="DBDBDB"/>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2026</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2025</w:t>
            </w: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 Change</w:t>
            </w: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2026</w:t>
            </w: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2025</w:t>
            </w:r>
          </w:p>
        </w:tc>
        <w:tc>
          <w:tcPr>
            <w:tcW w:w="10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 Change</w:t>
            </w:r>
          </w:p>
        </w:tc>
      </w:tr>
      <w:tr>
        <w:trPr>
          <w:trHeight w:val="124"/>
        </w:trPr>
        <w:tc>
          <w:tcPr>
            <w:tcW w:w="4740" w:type="dxa"/>
            <w:vAlign w:val="bottom"/>
            <w:shd w:val="clear" w:color="auto" w:fill="DBDBDB"/>
          </w:tcPr>
          <w:p>
            <w:pPr>
              <w:spacing w:after="0" w:line="122" w:lineRule="exact"/>
              <w:rPr>
                <w:sz w:val="20"/>
                <w:szCs w:val="20"/>
                <w:color w:val="auto"/>
              </w:rPr>
            </w:pPr>
            <w:r>
              <w:rPr>
                <w:rFonts w:ascii="Arial" w:cs="Arial" w:eastAsia="Arial" w:hAnsi="Arial"/>
                <w:sz w:val="11"/>
                <w:szCs w:val="11"/>
                <w:color w:val="auto"/>
              </w:rPr>
              <w:t>REVENUE</w:t>
            </w:r>
          </w:p>
        </w:tc>
        <w:tc>
          <w:tcPr>
            <w:tcW w:w="14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88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Advisory</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2,872,928</w:t>
            </w:r>
          </w:p>
        </w:tc>
        <w:tc>
          <w:tcPr>
            <w:tcW w:w="2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2,210,499</w:t>
            </w:r>
          </w:p>
        </w:tc>
        <w:tc>
          <w:tcPr>
            <w:tcW w:w="1020" w:type="dxa"/>
            <w:vAlign w:val="bottom"/>
          </w:tcPr>
          <w:p>
            <w:pPr>
              <w:jc w:val="right"/>
              <w:spacing w:after="0"/>
              <w:rPr>
                <w:sz w:val="20"/>
                <w:szCs w:val="20"/>
                <w:color w:val="auto"/>
              </w:rPr>
            </w:pPr>
            <w:r>
              <w:rPr>
                <w:rFonts w:ascii="Arial" w:cs="Arial" w:eastAsia="Arial" w:hAnsi="Arial"/>
                <w:sz w:val="11"/>
                <w:szCs w:val="11"/>
                <w:color w:val="auto"/>
              </w:rPr>
              <w:t>30%</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8,120,380</w:t>
            </w:r>
          </w:p>
        </w:tc>
        <w:tc>
          <w:tcPr>
            <w:tcW w:w="2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5,617,482</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45%</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Commission:</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r>
      <w:tr>
        <w:trPr>
          <w:trHeight w:val="143"/>
        </w:trPr>
        <w:tc>
          <w:tcPr>
            <w:tcW w:w="4740" w:type="dxa"/>
            <w:vAlign w:val="bottom"/>
          </w:tcPr>
          <w:p>
            <w:pPr>
              <w:ind w:left="320"/>
              <w:spacing w:after="0"/>
              <w:rPr>
                <w:sz w:val="20"/>
                <w:szCs w:val="20"/>
                <w:color w:val="auto"/>
              </w:rPr>
            </w:pPr>
            <w:r>
              <w:rPr>
                <w:rFonts w:ascii="Arial" w:cs="Arial" w:eastAsia="Arial" w:hAnsi="Arial"/>
                <w:sz w:val="11"/>
                <w:szCs w:val="11"/>
                <w:color w:val="auto"/>
              </w:rPr>
              <w:t>Sales-based</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742,852</w:t>
            </w:r>
          </w:p>
        </w:tc>
        <w:tc>
          <w:tcPr>
            <w:tcW w:w="2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695,029</w:t>
            </w:r>
          </w:p>
        </w:tc>
        <w:tc>
          <w:tcPr>
            <w:tcW w:w="1020" w:type="dxa"/>
            <w:vAlign w:val="bottom"/>
          </w:tcPr>
          <w:p>
            <w:pPr>
              <w:jc w:val="right"/>
              <w:spacing w:after="0"/>
              <w:rPr>
                <w:sz w:val="20"/>
                <w:szCs w:val="20"/>
                <w:color w:val="auto"/>
              </w:rPr>
            </w:pPr>
            <w:r>
              <w:rPr>
                <w:rFonts w:ascii="Arial" w:cs="Arial" w:eastAsia="Arial" w:hAnsi="Arial"/>
                <w:sz w:val="11"/>
                <w:szCs w:val="11"/>
                <w:color w:val="auto"/>
              </w:rPr>
              <w:t>7%</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2,176,422</w:t>
            </w:r>
          </w:p>
        </w:tc>
        <w:tc>
          <w:tcPr>
            <w:tcW w:w="28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1,924,859</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13%</w:t>
            </w:r>
          </w:p>
        </w:tc>
      </w:tr>
      <w:tr>
        <w:trPr>
          <w:trHeight w:val="145"/>
        </w:trPr>
        <w:tc>
          <w:tcPr>
            <w:tcW w:w="4740" w:type="dxa"/>
            <w:vAlign w:val="bottom"/>
            <w:shd w:val="clear" w:color="auto" w:fill="DBDBDB"/>
          </w:tcPr>
          <w:p>
            <w:pPr>
              <w:ind w:left="320"/>
              <w:spacing w:after="0"/>
              <w:rPr>
                <w:sz w:val="20"/>
                <w:szCs w:val="20"/>
                <w:color w:val="auto"/>
              </w:rPr>
            </w:pPr>
            <w:r>
              <w:rPr>
                <w:rFonts w:ascii="Arial" w:cs="Arial" w:eastAsia="Arial" w:hAnsi="Arial"/>
                <w:sz w:val="11"/>
                <w:szCs w:val="11"/>
                <w:color w:val="auto"/>
              </w:rPr>
              <w:t>Trailing</w:t>
            </w:r>
          </w:p>
        </w:tc>
        <w:tc>
          <w:tcPr>
            <w:tcW w:w="140" w:type="dxa"/>
            <w:vAlign w:val="bottom"/>
            <w:tcBorders>
              <w:bottom w:val="single" w:sz="8" w:color="auto"/>
            </w:tcBorders>
            <w:shd w:val="clear" w:color="auto" w:fill="DBDBDB"/>
          </w:tcPr>
          <w:p>
            <w:pPr>
              <w:spacing w:after="0"/>
              <w:rPr>
                <w:sz w:val="12"/>
                <w:szCs w:val="1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507,904</w:t>
            </w:r>
          </w:p>
        </w:tc>
        <w:tc>
          <w:tcPr>
            <w:tcW w:w="28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492,426</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w:t>
            </w:r>
          </w:p>
        </w:tc>
        <w:tc>
          <w:tcPr>
            <w:tcW w:w="16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1,498,441</w:t>
            </w:r>
          </w:p>
        </w:tc>
        <w:tc>
          <w:tcPr>
            <w:tcW w:w="28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1,348,440</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w:t>
            </w:r>
          </w:p>
        </w:tc>
      </w:tr>
      <w:tr>
        <w:trPr>
          <w:trHeight w:val="132"/>
        </w:trPr>
        <w:tc>
          <w:tcPr>
            <w:tcW w:w="4740" w:type="dxa"/>
            <w:vAlign w:val="bottom"/>
          </w:tcPr>
          <w:p>
            <w:pPr>
              <w:ind w:left="220"/>
              <w:spacing w:after="0"/>
              <w:rPr>
                <w:sz w:val="20"/>
                <w:szCs w:val="20"/>
                <w:color w:val="auto"/>
              </w:rPr>
            </w:pPr>
            <w:r>
              <w:rPr>
                <w:rFonts w:ascii="Arial" w:cs="Arial" w:eastAsia="Arial" w:hAnsi="Arial"/>
                <w:sz w:val="11"/>
                <w:szCs w:val="11"/>
                <w:color w:val="auto"/>
              </w:rPr>
              <w:t>Total commission</w:t>
            </w:r>
          </w:p>
        </w:tc>
        <w:tc>
          <w:tcPr>
            <w:tcW w:w="1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1,250,756</w:t>
            </w:r>
          </w:p>
        </w:tc>
        <w:tc>
          <w:tcPr>
            <w:tcW w:w="280" w:type="dxa"/>
            <w:vAlign w:val="bottom"/>
          </w:tcPr>
          <w:p>
            <w:pPr>
              <w:spacing w:after="0"/>
              <w:rPr>
                <w:sz w:val="11"/>
                <w:szCs w:val="1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1,187,455</w:t>
            </w:r>
          </w:p>
        </w:tc>
        <w:tc>
          <w:tcPr>
            <w:tcW w:w="1020" w:type="dxa"/>
            <w:vAlign w:val="bottom"/>
          </w:tcPr>
          <w:p>
            <w:pPr>
              <w:jc w:val="right"/>
              <w:spacing w:after="0"/>
              <w:rPr>
                <w:sz w:val="20"/>
                <w:szCs w:val="20"/>
                <w:color w:val="auto"/>
              </w:rPr>
            </w:pPr>
            <w:r>
              <w:rPr>
                <w:rFonts w:ascii="Arial" w:cs="Arial" w:eastAsia="Arial" w:hAnsi="Arial"/>
                <w:sz w:val="11"/>
                <w:szCs w:val="11"/>
                <w:color w:val="auto"/>
              </w:rPr>
              <w:t>5%</w:t>
            </w: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3,674,863</w:t>
            </w:r>
          </w:p>
        </w:tc>
        <w:tc>
          <w:tcPr>
            <w:tcW w:w="2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3,273,299</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12%</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Asset-based:</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r>
      <w:tr>
        <w:trPr>
          <w:trHeight w:val="143"/>
        </w:trPr>
        <w:tc>
          <w:tcPr>
            <w:tcW w:w="4740" w:type="dxa"/>
            <w:vAlign w:val="bottom"/>
          </w:tcPr>
          <w:p>
            <w:pPr>
              <w:ind w:left="320"/>
              <w:spacing w:after="0"/>
              <w:rPr>
                <w:sz w:val="20"/>
                <w:szCs w:val="20"/>
                <w:color w:val="auto"/>
              </w:rPr>
            </w:pPr>
            <w:r>
              <w:rPr>
                <w:rFonts w:ascii="Arial" w:cs="Arial" w:eastAsia="Arial" w:hAnsi="Arial"/>
                <w:sz w:val="11"/>
                <w:szCs w:val="11"/>
                <w:color w:val="auto"/>
              </w:rPr>
              <w:t>Client cash</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461,471</w:t>
            </w:r>
          </w:p>
        </w:tc>
        <w:tc>
          <w:tcPr>
            <w:tcW w:w="2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428,190</w:t>
            </w:r>
          </w:p>
        </w:tc>
        <w:tc>
          <w:tcPr>
            <w:tcW w:w="1020" w:type="dxa"/>
            <w:vAlign w:val="bottom"/>
          </w:tcPr>
          <w:p>
            <w:pPr>
              <w:jc w:val="right"/>
              <w:spacing w:after="0"/>
              <w:rPr>
                <w:sz w:val="20"/>
                <w:szCs w:val="20"/>
                <w:color w:val="auto"/>
              </w:rPr>
            </w:pPr>
            <w:r>
              <w:rPr>
                <w:rFonts w:ascii="Arial" w:cs="Arial" w:eastAsia="Arial" w:hAnsi="Arial"/>
                <w:sz w:val="11"/>
                <w:szCs w:val="11"/>
                <w:color w:val="auto"/>
              </w:rPr>
              <w:t>8%</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1,350,297</w:t>
            </w:r>
          </w:p>
        </w:tc>
        <w:tc>
          <w:tcPr>
            <w:tcW w:w="28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1,217,553</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11%</w:t>
            </w:r>
          </w:p>
        </w:tc>
      </w:tr>
      <w:tr>
        <w:trPr>
          <w:trHeight w:val="145"/>
        </w:trPr>
        <w:tc>
          <w:tcPr>
            <w:tcW w:w="4740" w:type="dxa"/>
            <w:vAlign w:val="bottom"/>
            <w:shd w:val="clear" w:color="auto" w:fill="DBDBDB"/>
          </w:tcPr>
          <w:p>
            <w:pPr>
              <w:ind w:left="320"/>
              <w:spacing w:after="0"/>
              <w:rPr>
                <w:sz w:val="20"/>
                <w:szCs w:val="20"/>
                <w:color w:val="auto"/>
              </w:rPr>
            </w:pPr>
            <w:r>
              <w:rPr>
                <w:rFonts w:ascii="Arial" w:cs="Arial" w:eastAsia="Arial" w:hAnsi="Arial"/>
                <w:sz w:val="11"/>
                <w:szCs w:val="11"/>
                <w:color w:val="auto"/>
              </w:rPr>
              <w:t>Other asset-based</w:t>
            </w:r>
          </w:p>
        </w:tc>
        <w:tc>
          <w:tcPr>
            <w:tcW w:w="140" w:type="dxa"/>
            <w:vAlign w:val="bottom"/>
            <w:tcBorders>
              <w:bottom w:val="single" w:sz="8" w:color="auto"/>
            </w:tcBorders>
            <w:shd w:val="clear" w:color="auto" w:fill="DBDBDB"/>
          </w:tcPr>
          <w:p>
            <w:pPr>
              <w:spacing w:after="0"/>
              <w:rPr>
                <w:sz w:val="12"/>
                <w:szCs w:val="1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400,613</w:t>
            </w:r>
          </w:p>
        </w:tc>
        <w:tc>
          <w:tcPr>
            <w:tcW w:w="28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354,090</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w:t>
            </w:r>
          </w:p>
        </w:tc>
        <w:tc>
          <w:tcPr>
            <w:tcW w:w="16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1,167,736</w:t>
            </w:r>
          </w:p>
        </w:tc>
        <w:tc>
          <w:tcPr>
            <w:tcW w:w="28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962,315</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w:t>
            </w:r>
          </w:p>
        </w:tc>
      </w:tr>
      <w:tr>
        <w:trPr>
          <w:trHeight w:val="132"/>
        </w:trPr>
        <w:tc>
          <w:tcPr>
            <w:tcW w:w="4740" w:type="dxa"/>
            <w:vAlign w:val="bottom"/>
          </w:tcPr>
          <w:p>
            <w:pPr>
              <w:ind w:left="220"/>
              <w:spacing w:after="0"/>
              <w:rPr>
                <w:sz w:val="20"/>
                <w:szCs w:val="20"/>
                <w:color w:val="auto"/>
              </w:rPr>
            </w:pPr>
            <w:r>
              <w:rPr>
                <w:rFonts w:ascii="Arial" w:cs="Arial" w:eastAsia="Arial" w:hAnsi="Arial"/>
                <w:sz w:val="11"/>
                <w:szCs w:val="11"/>
                <w:color w:val="auto"/>
              </w:rPr>
              <w:t>Total asset-based</w:t>
            </w:r>
          </w:p>
        </w:tc>
        <w:tc>
          <w:tcPr>
            <w:tcW w:w="1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862,084</w:t>
            </w:r>
          </w:p>
        </w:tc>
        <w:tc>
          <w:tcPr>
            <w:tcW w:w="280" w:type="dxa"/>
            <w:vAlign w:val="bottom"/>
          </w:tcPr>
          <w:p>
            <w:pPr>
              <w:spacing w:after="0"/>
              <w:rPr>
                <w:sz w:val="11"/>
                <w:szCs w:val="1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782,280</w:t>
            </w:r>
          </w:p>
        </w:tc>
        <w:tc>
          <w:tcPr>
            <w:tcW w:w="1020" w:type="dxa"/>
            <w:vAlign w:val="bottom"/>
          </w:tcPr>
          <w:p>
            <w:pPr>
              <w:jc w:val="right"/>
              <w:spacing w:after="0"/>
              <w:rPr>
                <w:sz w:val="20"/>
                <w:szCs w:val="20"/>
                <w:color w:val="auto"/>
              </w:rPr>
            </w:pPr>
            <w:r>
              <w:rPr>
                <w:rFonts w:ascii="Arial" w:cs="Arial" w:eastAsia="Arial" w:hAnsi="Arial"/>
                <w:sz w:val="11"/>
                <w:szCs w:val="11"/>
                <w:color w:val="auto"/>
              </w:rPr>
              <w:t>10%</w:t>
            </w: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2,518,033</w:t>
            </w:r>
          </w:p>
        </w:tc>
        <w:tc>
          <w:tcPr>
            <w:tcW w:w="2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2,179,868</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16%</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Service and fee</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218,055</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174,715</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w:t>
            </w:r>
          </w:p>
        </w:tc>
        <w:tc>
          <w:tcPr>
            <w:tcW w:w="16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637,918</w:t>
            </w:r>
          </w:p>
        </w:tc>
        <w:tc>
          <w:tcPr>
            <w:tcW w:w="28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471,753</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35%</w:t>
            </w: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Transaction</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79,120</w:t>
            </w:r>
          </w:p>
        </w:tc>
        <w:tc>
          <w:tcPr>
            <w:tcW w:w="2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67,260</w:t>
            </w:r>
          </w:p>
        </w:tc>
        <w:tc>
          <w:tcPr>
            <w:tcW w:w="1020" w:type="dxa"/>
            <w:vAlign w:val="bottom"/>
          </w:tcPr>
          <w:p>
            <w:pPr>
              <w:jc w:val="right"/>
              <w:spacing w:after="0"/>
              <w:rPr>
                <w:sz w:val="20"/>
                <w:szCs w:val="20"/>
                <w:color w:val="auto"/>
              </w:rPr>
            </w:pPr>
            <w:r>
              <w:rPr>
                <w:rFonts w:ascii="Arial" w:cs="Arial" w:eastAsia="Arial" w:hAnsi="Arial"/>
                <w:sz w:val="11"/>
                <w:szCs w:val="11"/>
                <w:color w:val="auto"/>
              </w:rPr>
              <w:t>18%</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242,878</w:t>
            </w:r>
          </w:p>
        </w:tc>
        <w:tc>
          <w:tcPr>
            <w:tcW w:w="28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195,665</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24%</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Interest income, net</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48,699</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60,859</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w:t>
            </w:r>
          </w:p>
        </w:tc>
        <w:tc>
          <w:tcPr>
            <w:tcW w:w="16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140,406</w:t>
            </w:r>
          </w:p>
        </w:tc>
        <w:tc>
          <w:tcPr>
            <w:tcW w:w="28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181,651</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w:t>
            </w:r>
          </w:p>
        </w:tc>
      </w:tr>
      <w:tr>
        <w:trPr>
          <w:trHeight w:val="143"/>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12,388</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68,909</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(82%)</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134,609</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137,291</w:t>
            </w: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(2%)</w:t>
            </w:r>
          </w:p>
        </w:tc>
      </w:tr>
      <w:tr>
        <w:trPr>
          <w:trHeight w:val="152"/>
        </w:trPr>
        <w:tc>
          <w:tcPr>
            <w:tcW w:w="4740" w:type="dxa"/>
            <w:vAlign w:val="bottom"/>
            <w:shd w:val="clear" w:color="auto" w:fill="DBDBDB"/>
          </w:tcPr>
          <w:p>
            <w:pPr>
              <w:ind w:left="400"/>
              <w:spacing w:after="0"/>
              <w:rPr>
                <w:sz w:val="20"/>
                <w:szCs w:val="20"/>
                <w:color w:val="auto"/>
              </w:rPr>
            </w:pPr>
            <w:r>
              <w:rPr>
                <w:rFonts w:ascii="Arial" w:cs="Arial" w:eastAsia="Arial" w:hAnsi="Arial"/>
                <w:sz w:val="11"/>
                <w:szCs w:val="11"/>
                <w:color w:val="auto"/>
              </w:rPr>
              <w:t>Total revenue</w:t>
            </w:r>
          </w:p>
        </w:tc>
        <w:tc>
          <w:tcPr>
            <w:tcW w:w="140" w:type="dxa"/>
            <w:vAlign w:val="bottom"/>
            <w:tcBorders>
              <w:bottom w:val="single" w:sz="8" w:color="auto"/>
            </w:tcBorders>
            <w:shd w:val="clear" w:color="auto" w:fill="DBDBDB"/>
          </w:tcPr>
          <w:p>
            <w:pPr>
              <w:spacing w:after="0"/>
              <w:rPr>
                <w:sz w:val="13"/>
                <w:szCs w:val="13"/>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5,344,030</w:t>
            </w:r>
          </w:p>
        </w:tc>
        <w:tc>
          <w:tcPr>
            <w:tcW w:w="280" w:type="dxa"/>
            <w:vAlign w:val="bottom"/>
            <w:tcBorders>
              <w:bottom w:val="single" w:sz="8" w:color="auto"/>
            </w:tcBorders>
            <w:shd w:val="clear" w:color="auto" w:fill="DBDBDB"/>
          </w:tcPr>
          <w:p>
            <w:pPr>
              <w:spacing w:after="0"/>
              <w:rPr>
                <w:sz w:val="13"/>
                <w:szCs w:val="13"/>
                <w:color w:val="auto"/>
              </w:rPr>
            </w:pPr>
          </w:p>
        </w:tc>
        <w:tc>
          <w:tcPr>
            <w:tcW w:w="8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4,551,977</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w:t>
            </w:r>
          </w:p>
        </w:tc>
        <w:tc>
          <w:tcPr>
            <w:tcW w:w="160" w:type="dxa"/>
            <w:vAlign w:val="bottom"/>
            <w:tcBorders>
              <w:bottom w:val="single" w:sz="8" w:color="auto"/>
            </w:tcBorders>
            <w:shd w:val="clear" w:color="auto" w:fill="DBDBDB"/>
          </w:tcPr>
          <w:p>
            <w:pPr>
              <w:spacing w:after="0"/>
              <w:rPr>
                <w:sz w:val="13"/>
                <w:szCs w:val="13"/>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15,469,087</w:t>
            </w:r>
          </w:p>
        </w:tc>
        <w:tc>
          <w:tcPr>
            <w:tcW w:w="280" w:type="dxa"/>
            <w:vAlign w:val="bottom"/>
            <w:tcBorders>
              <w:bottom w:val="single" w:sz="8" w:color="auto"/>
            </w:tcBorders>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12,057,009</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w:t>
            </w:r>
          </w:p>
        </w:tc>
      </w:tr>
      <w:tr>
        <w:trPr>
          <w:trHeight w:val="123"/>
        </w:trPr>
        <w:tc>
          <w:tcPr>
            <w:tcW w:w="4740" w:type="dxa"/>
            <w:vAlign w:val="bottom"/>
          </w:tcPr>
          <w:p>
            <w:pPr>
              <w:spacing w:after="0" w:line="122" w:lineRule="exact"/>
              <w:rPr>
                <w:sz w:val="20"/>
                <w:szCs w:val="20"/>
                <w:color w:val="auto"/>
              </w:rPr>
            </w:pPr>
            <w:r>
              <w:rPr>
                <w:rFonts w:ascii="Arial" w:cs="Arial" w:eastAsia="Arial" w:hAnsi="Arial"/>
                <w:sz w:val="11"/>
                <w:szCs w:val="11"/>
                <w:color w:val="auto"/>
              </w:rPr>
              <w:t>EXPENSE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Advisory and commission</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3,632,732</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3,025,274</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w:t>
            </w:r>
          </w:p>
        </w:tc>
        <w:tc>
          <w:tcPr>
            <w:tcW w:w="16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10,431,105</w:t>
            </w:r>
          </w:p>
        </w:tc>
        <w:tc>
          <w:tcPr>
            <w:tcW w:w="28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7,862,364</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w:t>
            </w: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Compensation and benefits</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358,512</w:t>
            </w:r>
          </w:p>
        </w:tc>
        <w:tc>
          <w:tcPr>
            <w:tcW w:w="2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585,409</w:t>
            </w:r>
          </w:p>
        </w:tc>
        <w:tc>
          <w:tcPr>
            <w:tcW w:w="1020" w:type="dxa"/>
            <w:vAlign w:val="bottom"/>
          </w:tcPr>
          <w:p>
            <w:pPr>
              <w:jc w:val="right"/>
              <w:spacing w:after="0"/>
              <w:rPr>
                <w:sz w:val="20"/>
                <w:szCs w:val="20"/>
                <w:color w:val="auto"/>
              </w:rPr>
            </w:pPr>
            <w:r>
              <w:rPr>
                <w:rFonts w:ascii="Arial" w:cs="Arial" w:eastAsia="Arial" w:hAnsi="Arial"/>
                <w:sz w:val="11"/>
                <w:szCs w:val="11"/>
                <w:color w:val="auto"/>
              </w:rPr>
              <w:t>(39%)</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1,082,864</w:t>
            </w:r>
          </w:p>
        </w:tc>
        <w:tc>
          <w:tcPr>
            <w:tcW w:w="28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1,210,055</w:t>
            </w:r>
          </w:p>
        </w:tc>
        <w:tc>
          <w:tcPr>
            <w:tcW w:w="1040" w:type="dxa"/>
            <w:vAlign w:val="bottom"/>
          </w:tcPr>
          <w:p>
            <w:pPr>
              <w:jc w:val="right"/>
              <w:spacing w:after="0"/>
              <w:rPr>
                <w:sz w:val="20"/>
                <w:szCs w:val="20"/>
                <w:color w:val="auto"/>
              </w:rPr>
            </w:pPr>
            <w:r>
              <w:rPr>
                <w:rFonts w:ascii="Arial" w:cs="Arial" w:eastAsia="Arial" w:hAnsi="Arial"/>
                <w:sz w:val="11"/>
                <w:szCs w:val="11"/>
                <w:color w:val="auto"/>
              </w:rPr>
              <w:t>(11%)</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Promotional</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235,733</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208,547</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w:t>
            </w:r>
          </w:p>
        </w:tc>
        <w:tc>
          <w:tcPr>
            <w:tcW w:w="16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664,163</w:t>
            </w:r>
          </w:p>
        </w:tc>
        <w:tc>
          <w:tcPr>
            <w:tcW w:w="28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531,744</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w:t>
            </w: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Occupancy and equipment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149,380</w:t>
            </w:r>
          </w:p>
        </w:tc>
        <w:tc>
          <w:tcPr>
            <w:tcW w:w="2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299,680</w:t>
            </w:r>
          </w:p>
        </w:tc>
        <w:tc>
          <w:tcPr>
            <w:tcW w:w="1020" w:type="dxa"/>
            <w:vAlign w:val="bottom"/>
          </w:tcPr>
          <w:p>
            <w:pPr>
              <w:jc w:val="right"/>
              <w:spacing w:after="0"/>
              <w:rPr>
                <w:sz w:val="20"/>
                <w:szCs w:val="20"/>
                <w:color w:val="auto"/>
              </w:rPr>
            </w:pPr>
            <w:r>
              <w:rPr>
                <w:rFonts w:ascii="Arial" w:cs="Arial" w:eastAsia="Arial" w:hAnsi="Arial"/>
                <w:sz w:val="11"/>
                <w:szCs w:val="11"/>
                <w:color w:val="auto"/>
              </w:rPr>
              <w:t>(50%)</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393,445</w:t>
            </w:r>
          </w:p>
        </w:tc>
        <w:tc>
          <w:tcPr>
            <w:tcW w:w="28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458,363</w:t>
            </w:r>
          </w:p>
        </w:tc>
        <w:tc>
          <w:tcPr>
            <w:tcW w:w="104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Depreciation and amortization</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117,287</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99,722</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w:t>
            </w:r>
          </w:p>
        </w:tc>
        <w:tc>
          <w:tcPr>
            <w:tcW w:w="16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332,843</w:t>
            </w:r>
          </w:p>
        </w:tc>
        <w:tc>
          <w:tcPr>
            <w:tcW w:w="28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288,309</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w:t>
            </w: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Interest expense on borrowings</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105,834</w:t>
            </w:r>
          </w:p>
        </w:tc>
        <w:tc>
          <w:tcPr>
            <w:tcW w:w="2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106,295</w:t>
            </w: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307,628</w:t>
            </w:r>
          </w:p>
        </w:tc>
        <w:tc>
          <w:tcPr>
            <w:tcW w:w="28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297,793</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3%</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Amortization of other intangibles</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72,844</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64,706</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w:t>
            </w:r>
          </w:p>
        </w:tc>
        <w:tc>
          <w:tcPr>
            <w:tcW w:w="16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210,960</w:t>
            </w:r>
          </w:p>
        </w:tc>
        <w:tc>
          <w:tcPr>
            <w:tcW w:w="28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154,330</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w:t>
            </w: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Professional services</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53,250</w:t>
            </w:r>
          </w:p>
        </w:tc>
        <w:tc>
          <w:tcPr>
            <w:tcW w:w="2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75,507</w:t>
            </w:r>
          </w:p>
        </w:tc>
        <w:tc>
          <w:tcPr>
            <w:tcW w:w="1020" w:type="dxa"/>
            <w:vAlign w:val="bottom"/>
          </w:tcPr>
          <w:p>
            <w:pPr>
              <w:jc w:val="right"/>
              <w:spacing w:after="0"/>
              <w:rPr>
                <w:sz w:val="20"/>
                <w:szCs w:val="20"/>
                <w:color w:val="auto"/>
              </w:rPr>
            </w:pPr>
            <w:r>
              <w:rPr>
                <w:rFonts w:ascii="Arial" w:cs="Arial" w:eastAsia="Arial" w:hAnsi="Arial"/>
                <w:sz w:val="11"/>
                <w:szCs w:val="11"/>
                <w:color w:val="auto"/>
              </w:rPr>
              <w:t>(29%)</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154,388</w:t>
            </w:r>
          </w:p>
        </w:tc>
        <w:tc>
          <w:tcPr>
            <w:tcW w:w="28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152,925</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Brokerage, clearing and exchange</w:t>
            </w:r>
          </w:p>
        </w:tc>
        <w:tc>
          <w:tcPr>
            <w:tcW w:w="14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49,139</w:t>
            </w:r>
          </w:p>
        </w:tc>
        <w:tc>
          <w:tcPr>
            <w:tcW w:w="280" w:type="dxa"/>
            <w:vAlign w:val="bottom"/>
            <w:shd w:val="clear" w:color="auto" w:fill="DBDBDB"/>
          </w:tcPr>
          <w:p>
            <w:pPr>
              <w:spacing w:after="0"/>
              <w:rPr>
                <w:sz w:val="12"/>
                <w:szCs w:val="12"/>
                <w:color w:val="auto"/>
              </w:rPr>
            </w:pPr>
          </w:p>
        </w:tc>
        <w:tc>
          <w:tcPr>
            <w:tcW w:w="8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43,282</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w:t>
            </w:r>
          </w:p>
        </w:tc>
        <w:tc>
          <w:tcPr>
            <w:tcW w:w="16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156,632</w:t>
            </w:r>
          </w:p>
        </w:tc>
        <w:tc>
          <w:tcPr>
            <w:tcW w:w="28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130,710</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w:t>
            </w: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Communications and data processing</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23,978</w:t>
            </w:r>
          </w:p>
        </w:tc>
        <w:tc>
          <w:tcPr>
            <w:tcW w:w="2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23,060</w:t>
            </w:r>
          </w:p>
        </w:tc>
        <w:tc>
          <w:tcPr>
            <w:tcW w:w="1020" w:type="dxa"/>
            <w:vAlign w:val="bottom"/>
          </w:tcPr>
          <w:p>
            <w:pPr>
              <w:jc w:val="right"/>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73,645</w:t>
            </w:r>
          </w:p>
        </w:tc>
        <w:tc>
          <w:tcPr>
            <w:tcW w:w="28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63,983</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15%</w:t>
            </w:r>
          </w:p>
        </w:tc>
      </w:tr>
      <w:tr>
        <w:trPr>
          <w:trHeight w:val="144"/>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auto"/>
            </w:tcBorders>
            <w:shd w:val="clear" w:color="auto" w:fill="DBDBDB"/>
          </w:tcPr>
          <w:p>
            <w:pPr>
              <w:spacing w:after="0"/>
              <w:rPr>
                <w:sz w:val="12"/>
                <w:szCs w:val="1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60,215</w:t>
            </w:r>
          </w:p>
        </w:tc>
        <w:tc>
          <w:tcPr>
            <w:tcW w:w="28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54,606</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w:t>
            </w:r>
          </w:p>
        </w:tc>
        <w:tc>
          <w:tcPr>
            <w:tcW w:w="160" w:type="dxa"/>
            <w:vAlign w:val="bottom"/>
            <w:tcBorders>
              <w:bottom w:val="single" w:sz="8" w:color="auto"/>
            </w:tcBorders>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176,200</w:t>
            </w:r>
          </w:p>
        </w:tc>
        <w:tc>
          <w:tcPr>
            <w:tcW w:w="28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154,487</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w:t>
            </w:r>
          </w:p>
        </w:tc>
      </w:tr>
      <w:tr>
        <w:trPr>
          <w:trHeight w:val="151"/>
        </w:trPr>
        <w:tc>
          <w:tcPr>
            <w:tcW w:w="4740" w:type="dxa"/>
            <w:vAlign w:val="bottom"/>
            <w:tcBorders>
              <w:bottom w:val="single" w:sz="8" w:color="DBDBDB"/>
            </w:tcBorders>
          </w:tcPr>
          <w:p>
            <w:pPr>
              <w:ind w:left="400"/>
              <w:spacing w:after="0"/>
              <w:rPr>
                <w:sz w:val="20"/>
                <w:szCs w:val="20"/>
                <w:color w:val="auto"/>
              </w:rPr>
            </w:pPr>
            <w:r>
              <w:rPr>
                <w:rFonts w:ascii="Arial" w:cs="Arial" w:eastAsia="Arial" w:hAnsi="Arial"/>
                <w:sz w:val="11"/>
                <w:szCs w:val="11"/>
                <w:color w:val="auto"/>
              </w:rPr>
              <w:t>Total expense</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4,858,904</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4,586,088</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6%</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13,983,873</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11,305,063</w:t>
            </w:r>
          </w:p>
        </w:tc>
        <w:tc>
          <w:tcPr>
            <w:tcW w:w="1040" w:type="dxa"/>
            <w:vAlign w:val="bottom"/>
            <w:tcBorders>
              <w:bottom w:val="single" w:sz="8" w:color="DBDBDB"/>
            </w:tcBorders>
          </w:tcPr>
          <w:p>
            <w:pPr>
              <w:jc w:val="right"/>
              <w:ind w:right="6"/>
              <w:spacing w:after="0"/>
              <w:rPr>
                <w:sz w:val="20"/>
                <w:szCs w:val="20"/>
                <w:color w:val="auto"/>
              </w:rPr>
            </w:pPr>
            <w:r>
              <w:rPr>
                <w:rFonts w:ascii="Arial" w:cs="Arial" w:eastAsia="Arial" w:hAnsi="Arial"/>
                <w:sz w:val="11"/>
                <w:szCs w:val="11"/>
                <w:color w:val="auto"/>
              </w:rPr>
              <w:t>24%</w:t>
            </w:r>
          </w:p>
        </w:tc>
      </w:tr>
      <w:tr>
        <w:trPr>
          <w:trHeight w:val="134"/>
        </w:trPr>
        <w:tc>
          <w:tcPr>
            <w:tcW w:w="4740" w:type="dxa"/>
            <w:vAlign w:val="bottom"/>
            <w:shd w:val="clear" w:color="auto" w:fill="DBDBDB"/>
          </w:tcPr>
          <w:p>
            <w:pPr>
              <w:ind w:left="40"/>
              <w:spacing w:after="0"/>
              <w:rPr>
                <w:sz w:val="20"/>
                <w:szCs w:val="20"/>
                <w:color w:val="auto"/>
              </w:rPr>
            </w:pPr>
            <w:r>
              <w:rPr>
                <w:rFonts w:ascii="Arial" w:cs="Arial" w:eastAsia="Arial" w:hAnsi="Arial"/>
                <w:sz w:val="11"/>
                <w:szCs w:val="11"/>
                <w:color w:val="auto"/>
              </w:rPr>
              <w:t>INCOME (LOSS) BEFORE PROVISION FOR (BENEFIT FROM) INCOME TAXES</w:t>
            </w:r>
          </w:p>
        </w:tc>
        <w:tc>
          <w:tcPr>
            <w:tcW w:w="140" w:type="dxa"/>
            <w:vAlign w:val="bottom"/>
            <w:shd w:val="clear" w:color="auto" w:fill="DBDBDB"/>
          </w:tcPr>
          <w:p>
            <w:pPr>
              <w:spacing w:after="0"/>
              <w:rPr>
                <w:sz w:val="11"/>
                <w:szCs w:val="11"/>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485,126</w:t>
            </w:r>
          </w:p>
        </w:tc>
        <w:tc>
          <w:tcPr>
            <w:tcW w:w="280" w:type="dxa"/>
            <w:vAlign w:val="bottom"/>
            <w:shd w:val="clear" w:color="auto" w:fill="DBDBDB"/>
          </w:tcPr>
          <w:p>
            <w:pPr>
              <w:spacing w:after="0"/>
              <w:rPr>
                <w:sz w:val="11"/>
                <w:szCs w:val="1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(34,111)</w:t>
            </w:r>
          </w:p>
        </w:tc>
        <w:tc>
          <w:tcPr>
            <w:tcW w:w="1020" w:type="dxa"/>
            <w:vAlign w:val="bottom"/>
            <w:shd w:val="clear" w:color="auto" w:fill="DBDBDB"/>
          </w:tcPr>
          <w:p>
            <w:pPr>
              <w:ind w:left="840"/>
              <w:spacing w:after="0"/>
              <w:rPr>
                <w:sz w:val="20"/>
                <w:szCs w:val="20"/>
                <w:color w:val="auto"/>
              </w:rPr>
            </w:pPr>
            <w:r>
              <w:rPr>
                <w:rFonts w:ascii="Arial" w:cs="Arial" w:eastAsia="Arial" w:hAnsi="Arial"/>
                <w:sz w:val="11"/>
                <w:szCs w:val="11"/>
                <w:color w:val="auto"/>
                <w:w w:val="86"/>
              </w:rPr>
              <w:t>n/m</w:t>
            </w:r>
          </w:p>
        </w:tc>
        <w:tc>
          <w:tcPr>
            <w:tcW w:w="160" w:type="dxa"/>
            <w:vAlign w:val="bottom"/>
            <w:shd w:val="clear" w:color="auto" w:fill="DBDBDB"/>
          </w:tcPr>
          <w:p>
            <w:pPr>
              <w:spacing w:after="0"/>
              <w:rPr>
                <w:sz w:val="11"/>
                <w:szCs w:val="1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1,485,214</w:t>
            </w:r>
          </w:p>
        </w:tc>
        <w:tc>
          <w:tcPr>
            <w:tcW w:w="280" w:type="dxa"/>
            <w:vAlign w:val="bottom"/>
            <w:shd w:val="clear" w:color="auto" w:fill="DBDBDB"/>
          </w:tcPr>
          <w:p>
            <w:pPr>
              <w:spacing w:after="0"/>
              <w:rPr>
                <w:sz w:val="11"/>
                <w:szCs w:val="11"/>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751,946</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98%</w:t>
            </w:r>
          </w:p>
        </w:tc>
      </w:tr>
      <w:tr>
        <w:trPr>
          <w:trHeight w:val="161"/>
        </w:trPr>
        <w:tc>
          <w:tcPr>
            <w:tcW w:w="47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PROVISION FOR (BENEFIT FROM) INCOME TAXES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128,565</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(4,594)</w:t>
            </w:r>
          </w:p>
        </w:tc>
        <w:tc>
          <w:tcPr>
            <w:tcW w:w="1020" w:type="dxa"/>
            <w:vAlign w:val="bottom"/>
            <w:tcBorders>
              <w:bottom w:val="single" w:sz="8" w:color="DBDBDB"/>
            </w:tcBorders>
          </w:tcPr>
          <w:p>
            <w:pPr>
              <w:ind w:left="840"/>
              <w:spacing w:after="0"/>
              <w:rPr>
                <w:sz w:val="20"/>
                <w:szCs w:val="20"/>
                <w:color w:val="auto"/>
              </w:rPr>
            </w:pPr>
            <w:r>
              <w:rPr>
                <w:rFonts w:ascii="Arial" w:cs="Arial" w:eastAsia="Arial" w:hAnsi="Arial"/>
                <w:sz w:val="11"/>
                <w:szCs w:val="11"/>
                <w:color w:val="auto"/>
                <w:w w:val="86"/>
              </w:rPr>
              <w:t>n/m</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392,988</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189,641</w:t>
            </w:r>
          </w:p>
        </w:tc>
        <w:tc>
          <w:tcPr>
            <w:tcW w:w="1040" w:type="dxa"/>
            <w:vAlign w:val="bottom"/>
            <w:tcBorders>
              <w:bottom w:val="single" w:sz="8" w:color="DBDBDB"/>
            </w:tcBorders>
          </w:tcPr>
          <w:p>
            <w:pPr>
              <w:jc w:val="right"/>
              <w:ind w:right="6"/>
              <w:spacing w:after="0"/>
              <w:rPr>
                <w:sz w:val="20"/>
                <w:szCs w:val="20"/>
                <w:color w:val="auto"/>
              </w:rPr>
            </w:pPr>
            <w:r>
              <w:rPr>
                <w:rFonts w:ascii="Arial" w:cs="Arial" w:eastAsia="Arial" w:hAnsi="Arial"/>
                <w:sz w:val="11"/>
                <w:szCs w:val="11"/>
                <w:color w:val="auto"/>
              </w:rPr>
              <w:t>107%</w:t>
            </w:r>
          </w:p>
        </w:tc>
      </w:tr>
      <w:tr>
        <w:trPr>
          <w:trHeight w:val="134"/>
        </w:trPr>
        <w:tc>
          <w:tcPr>
            <w:tcW w:w="4740" w:type="dxa"/>
            <w:vAlign w:val="bottom"/>
            <w:shd w:val="clear" w:color="auto" w:fill="DBDBDB"/>
          </w:tcPr>
          <w:p>
            <w:pPr>
              <w:ind w:left="40"/>
              <w:spacing w:after="0"/>
              <w:rPr>
                <w:sz w:val="20"/>
                <w:szCs w:val="20"/>
                <w:color w:val="auto"/>
              </w:rPr>
            </w:pPr>
            <w:r>
              <w:rPr>
                <w:rFonts w:ascii="Arial" w:cs="Arial" w:eastAsia="Arial" w:hAnsi="Arial"/>
                <w:sz w:val="11"/>
                <w:szCs w:val="11"/>
                <w:color w:val="auto"/>
              </w:rPr>
              <w:t>NET INCOME (LOSS)</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356,561</w:t>
            </w:r>
          </w:p>
        </w:tc>
        <w:tc>
          <w:tcPr>
            <w:tcW w:w="28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(29,517)</w:t>
            </w:r>
          </w:p>
        </w:tc>
        <w:tc>
          <w:tcPr>
            <w:tcW w:w="1180" w:type="dxa"/>
            <w:vAlign w:val="bottom"/>
            <w:gridSpan w:val="2"/>
            <w:shd w:val="clear" w:color="auto" w:fill="DBDBDB"/>
          </w:tcPr>
          <w:p>
            <w:pPr>
              <w:ind w:left="840"/>
              <w:spacing w:after="0"/>
              <w:rPr>
                <w:sz w:val="20"/>
                <w:szCs w:val="20"/>
                <w:color w:val="auto"/>
              </w:rPr>
            </w:pPr>
            <w:r>
              <w:rPr>
                <w:rFonts w:ascii="Arial" w:cs="Arial" w:eastAsia="Arial" w:hAnsi="Arial"/>
                <w:sz w:val="11"/>
                <w:szCs w:val="11"/>
                <w:color w:val="auto"/>
              </w:rPr>
              <w:t>n/m $</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1,092,226</w:t>
            </w:r>
          </w:p>
        </w:tc>
        <w:tc>
          <w:tcPr>
            <w:tcW w:w="28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w:t>
            </w: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562,305</w:t>
            </w:r>
          </w:p>
        </w:tc>
        <w:tc>
          <w:tcPr>
            <w:tcW w:w="10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94%</w:t>
            </w:r>
          </w:p>
        </w:tc>
      </w:tr>
      <w:tr>
        <w:trPr>
          <w:trHeight w:val="36"/>
        </w:trPr>
        <w:tc>
          <w:tcPr>
            <w:tcW w:w="4740" w:type="dxa"/>
            <w:vAlign w:val="bottom"/>
            <w:shd w:val="clear" w:color="auto" w:fill="DBDBDB"/>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020" w:type="dxa"/>
            <w:vAlign w:val="bottom"/>
            <w:shd w:val="clear" w:color="auto" w:fill="DBDBDB"/>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40" w:type="dxa"/>
            <w:vAlign w:val="bottom"/>
            <w:shd w:val="clear" w:color="auto" w:fill="DBDBDB"/>
          </w:tcPr>
          <w:p>
            <w:pPr>
              <w:spacing w:after="0"/>
              <w:rPr>
                <w:sz w:val="3"/>
                <w:szCs w:val="3"/>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 w:name="page14"/>
    <w:bookmarkEnd w:id="13"/>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Revenue</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Advisory</w:t>
      </w:r>
    </w:p>
    <w:p>
      <w:pPr>
        <w:spacing w:after="0" w:line="76" w:lineRule="exact"/>
        <w:rPr>
          <w:sz w:val="20"/>
          <w:szCs w:val="20"/>
          <w:color w:val="auto"/>
        </w:rPr>
      </w:pPr>
    </w:p>
    <w:p>
      <w:pPr>
        <w:ind w:left="8" w:right="80"/>
        <w:spacing w:after="0" w:line="255" w:lineRule="auto"/>
        <w:rPr>
          <w:sz w:val="20"/>
          <w:szCs w:val="20"/>
          <w:color w:val="auto"/>
        </w:rPr>
      </w:pPr>
      <w:r>
        <w:rPr>
          <w:rFonts w:ascii="Arial" w:cs="Arial" w:eastAsia="Arial" w:hAnsi="Arial"/>
          <w:sz w:val="12"/>
          <w:szCs w:val="12"/>
          <w:color w:val="auto"/>
        </w:rPr>
        <w:t>Advisory revenue represents fees charged to advisors’ clients’ advisory accounts on our corporate registered investment adviser (“RIA”) advisory platform and is based on a percentage of the market value of the eligible assets in the clients’ advisory accounts. We provide ongoing investment advice and act as a custodian, providing brokerage and execution services on transactions, and perform administrative services for these accounts. Advisory fees are primarily billed to clients on a quarterly basis in advance, and are recognized as revenue ratably during the quarter. The performance obligation for advisory fees is considered a series of distinct services that are substantially the same and are satisfied daily. As the value of the eligible assets in an advisory account is susceptible to changes due to customer activity, this revenue includes variable consideration and is constrained until the date that the fees are determinable. The majority of these client accounts are on a calendar quarter and are billed using values as of the last business day of the preceding quarter. The value of the eligible assets in an advisory account on the billing date is adjusted for contributions and withdrawals during the period to determine the amount of revenue earned in the period. Advisory revenue collected on our corporate RIA advisory platform is proposed by the advisor and agreed to by the client and was approximately 1% of the underlying assets for the nine months ended September 30, 2026.</w:t>
      </w:r>
    </w:p>
    <w:p>
      <w:pPr>
        <w:spacing w:after="0" w:line="51" w:lineRule="exact"/>
        <w:rPr>
          <w:sz w:val="20"/>
          <w:szCs w:val="20"/>
          <w:color w:val="auto"/>
        </w:rPr>
      </w:pPr>
    </w:p>
    <w:p>
      <w:pPr>
        <w:ind w:left="8" w:right="200"/>
        <w:spacing w:after="0" w:line="293" w:lineRule="auto"/>
        <w:rPr>
          <w:sz w:val="20"/>
          <w:szCs w:val="20"/>
          <w:color w:val="auto"/>
        </w:rPr>
      </w:pPr>
      <w:r>
        <w:rPr>
          <w:rFonts w:ascii="Arial" w:cs="Arial" w:eastAsia="Arial" w:hAnsi="Arial"/>
          <w:sz w:val="11"/>
          <w:szCs w:val="11"/>
          <w:color w:val="auto"/>
        </w:rPr>
        <w:t>We also support independent RIA firms that conduct their business through our separate registered investment adviser firms (“Independent RIAs”) advisory platform, which allows advisors to engage us for technology, clearing and custody services, as well as access the capabilities of our investment platforms. The assets held under an Independent RIA’s investment advisory accounts custodied with LPL Financial are included in total advisory assets and net new advisory assets. However, the advisory revenue generated by an Independent RIA is not included in our advisory revenue. We charge separate fees to Independent RIAs for technology, clearing, administrative, oversight and custody services, which may vary and are included in our service and fee revenue in our condensed consolidated statements of income.</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composition of advisory assets for the periods presented (in billions):</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3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September 30,</w:t>
            </w: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33"/>
        </w:trPr>
        <w:tc>
          <w:tcPr>
            <w:tcW w:w="6380" w:type="dxa"/>
            <w:vAlign w:val="bottom"/>
            <w:tcBorders>
              <w:bottom w:val="single" w:sz="8" w:color="DBDBDB"/>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 Change</w:t>
            </w:r>
          </w:p>
        </w:tc>
        <w:tc>
          <w:tcPr>
            <w:tcW w:w="13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 Change</w:t>
            </w:r>
          </w:p>
        </w:tc>
      </w:tr>
      <w:tr>
        <w:trPr>
          <w:trHeight w:val="133"/>
        </w:trPr>
        <w:tc>
          <w:tcPr>
            <w:tcW w:w="6380" w:type="dxa"/>
            <w:vAlign w:val="bottom"/>
            <w:shd w:val="clear" w:color="auto" w:fill="DBDBDB"/>
          </w:tcPr>
          <w:p>
            <w:pPr>
              <w:spacing w:after="0"/>
              <w:rPr>
                <w:sz w:val="20"/>
                <w:szCs w:val="20"/>
                <w:color w:val="auto"/>
              </w:rPr>
            </w:pPr>
            <w:r>
              <w:rPr>
                <w:rFonts w:ascii="Arial" w:cs="Arial" w:eastAsia="Arial" w:hAnsi="Arial"/>
                <w:sz w:val="11"/>
                <w:szCs w:val="11"/>
                <w:color w:val="auto"/>
              </w:rPr>
              <w:t>Corporate advisory assets</w:t>
            </w:r>
          </w:p>
        </w:tc>
        <w:tc>
          <w:tcPr>
            <w:tcW w:w="760" w:type="dxa"/>
            <w:vAlign w:val="bottom"/>
            <w:shd w:val="clear" w:color="auto" w:fill="DBDBDB"/>
          </w:tcPr>
          <w:p>
            <w:pPr>
              <w:jc w:val="right"/>
              <w:ind w:right="62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1,202.7</w:t>
            </w:r>
          </w:p>
        </w:tc>
        <w:tc>
          <w:tcPr>
            <w:tcW w:w="440" w:type="dxa"/>
            <w:vAlign w:val="bottom"/>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1,022.1</w:t>
            </w:r>
          </w:p>
        </w:tc>
        <w:tc>
          <w:tcPr>
            <w:tcW w:w="220" w:type="dxa"/>
            <w:vAlign w:val="bottom"/>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180.6</w:t>
            </w: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w:t>
            </w:r>
          </w:p>
        </w:tc>
      </w:tr>
      <w:tr>
        <w:trPr>
          <w:trHeight w:val="143"/>
        </w:trPr>
        <w:tc>
          <w:tcPr>
            <w:tcW w:w="63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Independent RIA advisory assets</w:t>
            </w:r>
          </w:p>
        </w:tc>
        <w:tc>
          <w:tcPr>
            <w:tcW w:w="7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358.3</w:t>
            </w: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324.8</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w:t>
            </w:r>
          </w:p>
        </w:tc>
        <w:tc>
          <w:tcPr>
            <w:tcW w:w="130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10%</w:t>
            </w:r>
          </w:p>
        </w:tc>
      </w:tr>
      <w:tr>
        <w:trPr>
          <w:trHeight w:val="150"/>
        </w:trPr>
        <w:tc>
          <w:tcPr>
            <w:tcW w:w="638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1"/>
                <w:szCs w:val="11"/>
                <w:color w:val="auto"/>
              </w:rPr>
              <w:t>Total advisory assets</w:t>
            </w:r>
          </w:p>
        </w:tc>
        <w:tc>
          <w:tcPr>
            <w:tcW w:w="760" w:type="dxa"/>
            <w:vAlign w:val="bottom"/>
            <w:tcBorders>
              <w:bottom w:val="single" w:sz="8" w:color="auto"/>
            </w:tcBorders>
            <w:shd w:val="clear" w:color="auto" w:fill="DBDBDB"/>
          </w:tcPr>
          <w:p>
            <w:pPr>
              <w:jc w:val="right"/>
              <w:ind w:right="62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1,561.0</w:t>
            </w:r>
          </w:p>
        </w:tc>
        <w:tc>
          <w:tcPr>
            <w:tcW w:w="440" w:type="dxa"/>
            <w:vAlign w:val="bottom"/>
            <w:tcBorders>
              <w:bottom w:val="single" w:sz="8" w:color="auto"/>
            </w:tcBorders>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1,346.9</w:t>
            </w:r>
          </w:p>
        </w:tc>
        <w:tc>
          <w:tcPr>
            <w:tcW w:w="220" w:type="dxa"/>
            <w:vAlign w:val="bottom"/>
            <w:tcBorders>
              <w:bottom w:val="single" w:sz="8" w:color="auto"/>
            </w:tcBorders>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214.1</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16%</w:t>
            </w:r>
          </w:p>
        </w:tc>
      </w:tr>
    </w:tbl>
    <w:p>
      <w:pPr>
        <w:spacing w:after="0" w:line="275" w:lineRule="exact"/>
        <w:rPr>
          <w:sz w:val="20"/>
          <w:szCs w:val="20"/>
          <w:color w:val="auto"/>
        </w:rPr>
      </w:pPr>
    </w:p>
    <w:p>
      <w:pPr>
        <w:ind w:left="8" w:right="200"/>
        <w:spacing w:after="0" w:line="286" w:lineRule="auto"/>
        <w:rPr>
          <w:sz w:val="20"/>
          <w:szCs w:val="20"/>
          <w:color w:val="auto"/>
        </w:rPr>
      </w:pPr>
      <w:r>
        <w:rPr>
          <w:rFonts w:ascii="Arial" w:cs="Arial" w:eastAsia="Arial" w:hAnsi="Arial"/>
          <w:sz w:val="12"/>
          <w:szCs w:val="12"/>
          <w:color w:val="auto"/>
        </w:rPr>
        <w:t>Net new advisory assets are generated throughout the quarter, therefore, the full impact of net new advisory assets to advisory revenue is not realized in the same period. The following table summarizes activity impacting advisory assets for the periods presented (in billions):</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180" w:type="dxa"/>
            <w:vAlign w:val="bottom"/>
          </w:tcPr>
          <w:p>
            <w:pPr>
              <w:spacing w:after="0"/>
              <w:rPr>
                <w:sz w:val="12"/>
                <w:szCs w:val="12"/>
                <w:color w:val="auto"/>
              </w:rPr>
            </w:pPr>
          </w:p>
        </w:tc>
        <w:tc>
          <w:tcPr>
            <w:tcW w:w="254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1"/>
                <w:szCs w:val="11"/>
                <w:b w:val="1"/>
                <w:bCs w:val="1"/>
                <w:color w:val="auto"/>
              </w:rPr>
              <w:t>Three Months Ended September 30,</w:t>
            </w: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3"/>
          </w:tcPr>
          <w:p>
            <w:pPr>
              <w:ind w:left="280"/>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5180" w:type="dxa"/>
            <w:vAlign w:val="bottom"/>
            <w:tcBorders>
              <w:bottom w:val="single" w:sz="8" w:color="DBDBDB"/>
            </w:tcBorders>
          </w:tcPr>
          <w:p>
            <w:pPr>
              <w:spacing w:after="0"/>
              <w:rPr>
                <w:sz w:val="11"/>
                <w:szCs w:val="11"/>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2026</w:t>
            </w: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2025</w:t>
            </w:r>
          </w:p>
        </w:tc>
      </w:tr>
      <w:tr>
        <w:trPr>
          <w:trHeight w:val="133"/>
        </w:trPr>
        <w:tc>
          <w:tcPr>
            <w:tcW w:w="5180" w:type="dxa"/>
            <w:vAlign w:val="bottom"/>
            <w:shd w:val="clear" w:color="auto" w:fill="DBDBDB"/>
          </w:tcPr>
          <w:p>
            <w:pPr>
              <w:spacing w:after="0"/>
              <w:rPr>
                <w:sz w:val="20"/>
                <w:szCs w:val="20"/>
                <w:color w:val="auto"/>
              </w:rPr>
            </w:pPr>
            <w:r>
              <w:rPr>
                <w:rFonts w:ascii="Arial" w:cs="Arial" w:eastAsia="Arial" w:hAnsi="Arial"/>
                <w:sz w:val="11"/>
                <w:szCs w:val="11"/>
                <w:color w:val="auto"/>
              </w:rPr>
              <w:t>Balance - Beginning of period</w:t>
            </w:r>
          </w:p>
        </w:tc>
        <w:tc>
          <w:tcPr>
            <w:tcW w:w="1000" w:type="dxa"/>
            <w:vAlign w:val="bottom"/>
            <w:shd w:val="clear" w:color="auto" w:fill="DBDBDB"/>
          </w:tcPr>
          <w:p>
            <w:pPr>
              <w:jc w:val="right"/>
              <w:ind w:right="88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1,548.4</w:t>
            </w:r>
          </w:p>
        </w:tc>
        <w:tc>
          <w:tcPr>
            <w:tcW w:w="1020" w:type="dxa"/>
            <w:vAlign w:val="bottom"/>
            <w:shd w:val="clear" w:color="auto" w:fill="DBDBDB"/>
          </w:tcPr>
          <w:p>
            <w:pPr>
              <w:jc w:val="right"/>
              <w:ind w:right="886"/>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1,060.7</w:t>
            </w:r>
          </w:p>
        </w:tc>
        <w:tc>
          <w:tcPr>
            <w:tcW w:w="38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1,392.7</w:t>
            </w:r>
          </w:p>
        </w:tc>
        <w:tc>
          <w:tcPr>
            <w:tcW w:w="38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957.0</w:t>
            </w:r>
          </w:p>
        </w:tc>
      </w:tr>
      <w:tr>
        <w:trPr>
          <w:trHeight w:val="144"/>
        </w:trPr>
        <w:tc>
          <w:tcPr>
            <w:tcW w:w="5180" w:type="dxa"/>
            <w:vAlign w:val="bottom"/>
          </w:tcPr>
          <w:p>
            <w:pPr>
              <w:ind w:left="80"/>
              <w:spacing w:after="0" w:line="144" w:lineRule="exact"/>
              <w:rPr>
                <w:sz w:val="20"/>
                <w:szCs w:val="20"/>
                <w:color w:val="auto"/>
              </w:rPr>
            </w:pPr>
            <w:r>
              <w:rPr>
                <w:rFonts w:ascii="Arial" w:cs="Arial" w:eastAsia="Arial" w:hAnsi="Arial"/>
                <w:sz w:val="11"/>
                <w:szCs w:val="11"/>
                <w:color w:val="auto"/>
              </w:rPr>
              <w:t>Net new advisory assets</w:t>
            </w:r>
            <w:r>
              <w:rPr>
                <w:rFonts w:ascii="Arial" w:cs="Arial" w:eastAsia="Arial" w:hAnsi="Arial"/>
                <w:sz w:val="14"/>
                <w:szCs w:val="14"/>
                <w:color w:val="auto"/>
                <w:vertAlign w:val="subscript"/>
              </w:rPr>
              <w:t>(1)</w:t>
            </w:r>
          </w:p>
        </w:tc>
        <w:tc>
          <w:tcPr>
            <w:tcW w:w="10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33.1</w:t>
            </w:r>
          </w:p>
        </w:tc>
        <w:tc>
          <w:tcPr>
            <w:tcW w:w="10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229.0</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89.6</w:t>
            </w:r>
          </w:p>
        </w:tc>
        <w:tc>
          <w:tcPr>
            <w:tcW w:w="3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289.7</w:t>
            </w:r>
          </w:p>
        </w:tc>
      </w:tr>
      <w:tr>
        <w:trPr>
          <w:trHeight w:val="144"/>
        </w:trPr>
        <w:tc>
          <w:tcPr>
            <w:tcW w:w="5180" w:type="dxa"/>
            <w:vAlign w:val="bottom"/>
            <w:shd w:val="clear" w:color="auto" w:fill="DBDBDB"/>
          </w:tcPr>
          <w:p>
            <w:pPr>
              <w:ind w:left="80"/>
              <w:spacing w:after="0" w:line="144" w:lineRule="exact"/>
              <w:rPr>
                <w:sz w:val="20"/>
                <w:szCs w:val="20"/>
                <w:color w:val="auto"/>
              </w:rPr>
            </w:pPr>
            <w:r>
              <w:rPr>
                <w:rFonts w:ascii="Arial" w:cs="Arial" w:eastAsia="Arial" w:hAnsi="Arial"/>
                <w:sz w:val="11"/>
                <w:szCs w:val="11"/>
                <w:color w:val="auto"/>
              </w:rPr>
              <w:t>Market impact</w:t>
            </w:r>
            <w:r>
              <w:rPr>
                <w:rFonts w:ascii="Arial" w:cs="Arial" w:eastAsia="Arial" w:hAnsi="Arial"/>
                <w:sz w:val="14"/>
                <w:szCs w:val="14"/>
                <w:color w:val="auto"/>
                <w:vertAlign w:val="subscript"/>
              </w:rPr>
              <w:t>(2)</w:t>
            </w:r>
          </w:p>
        </w:tc>
        <w:tc>
          <w:tcPr>
            <w:tcW w:w="1000" w:type="dxa"/>
            <w:vAlign w:val="bottom"/>
            <w:tcBorders>
              <w:bottom w:val="single" w:sz="8" w:color="auto"/>
            </w:tcBorders>
            <w:shd w:val="clear" w:color="auto" w:fill="DBDBDB"/>
          </w:tcPr>
          <w:p>
            <w:pPr>
              <w:spacing w:after="0"/>
              <w:rPr>
                <w:sz w:val="12"/>
                <w:szCs w:val="12"/>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(20.5)</w:t>
            </w:r>
          </w:p>
        </w:tc>
        <w:tc>
          <w:tcPr>
            <w:tcW w:w="102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57.2</w:t>
            </w:r>
          </w:p>
        </w:tc>
        <w:tc>
          <w:tcPr>
            <w:tcW w:w="380" w:type="dxa"/>
            <w:vAlign w:val="bottom"/>
            <w:tcBorders>
              <w:bottom w:val="single" w:sz="8" w:color="auto"/>
            </w:tcBorders>
            <w:shd w:val="clear" w:color="auto" w:fill="DBDBDB"/>
          </w:tcPr>
          <w:p>
            <w:pPr>
              <w:spacing w:after="0"/>
              <w:rPr>
                <w:sz w:val="12"/>
                <w:szCs w:val="1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78.7</w:t>
            </w:r>
          </w:p>
        </w:tc>
        <w:tc>
          <w:tcPr>
            <w:tcW w:w="380" w:type="dxa"/>
            <w:vAlign w:val="bottom"/>
            <w:tcBorders>
              <w:bottom w:val="single" w:sz="8" w:color="auto"/>
            </w:tcBorders>
            <w:shd w:val="clear" w:color="auto" w:fill="DBDBDB"/>
          </w:tcPr>
          <w:p>
            <w:pPr>
              <w:spacing w:after="0"/>
              <w:rPr>
                <w:sz w:val="12"/>
                <w:szCs w:val="12"/>
                <w:color w:val="auto"/>
              </w:rPr>
            </w:pPr>
          </w:p>
        </w:tc>
        <w:tc>
          <w:tcPr>
            <w:tcW w:w="11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100.2</w:t>
            </w:r>
          </w:p>
        </w:tc>
      </w:tr>
      <w:tr>
        <w:trPr>
          <w:trHeight w:val="133"/>
        </w:trPr>
        <w:tc>
          <w:tcPr>
            <w:tcW w:w="5180" w:type="dxa"/>
            <w:vAlign w:val="bottom"/>
          </w:tcPr>
          <w:p>
            <w:pPr>
              <w:spacing w:after="0"/>
              <w:rPr>
                <w:sz w:val="20"/>
                <w:szCs w:val="20"/>
                <w:color w:val="auto"/>
              </w:rPr>
            </w:pPr>
            <w:r>
              <w:rPr>
                <w:rFonts w:ascii="Arial" w:cs="Arial" w:eastAsia="Arial" w:hAnsi="Arial"/>
                <w:sz w:val="11"/>
                <w:szCs w:val="11"/>
                <w:color w:val="auto"/>
              </w:rPr>
              <w:t>Balance - End of period</w:t>
            </w:r>
          </w:p>
        </w:tc>
        <w:tc>
          <w:tcPr>
            <w:tcW w:w="1000" w:type="dxa"/>
            <w:vAlign w:val="bottom"/>
            <w:tcBorders>
              <w:bottom w:val="single" w:sz="8" w:color="auto"/>
            </w:tcBorders>
          </w:tcPr>
          <w:p>
            <w:pPr>
              <w:jc w:val="right"/>
              <w:ind w:right="88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1,561.0</w:t>
            </w:r>
          </w:p>
        </w:tc>
        <w:tc>
          <w:tcPr>
            <w:tcW w:w="1020" w:type="dxa"/>
            <w:vAlign w:val="bottom"/>
            <w:tcBorders>
              <w:bottom w:val="single" w:sz="8" w:color="auto"/>
            </w:tcBorders>
          </w:tcPr>
          <w:p>
            <w:pPr>
              <w:jc w:val="right"/>
              <w:ind w:right="88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1,346.9</w:t>
            </w: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1,561.0</w:t>
            </w: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1,346.9</w:t>
            </w: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328" w:right="400" w:hanging="328"/>
        <w:spacing w:after="0" w:line="264" w:lineRule="auto"/>
        <w:tabs>
          <w:tab w:leader="none" w:pos="319" w:val="left"/>
        </w:tabs>
        <w:numPr>
          <w:ilvl w:val="0"/>
          <w:numId w:val="16"/>
        </w:numPr>
        <w:rPr>
          <w:rFonts w:ascii="Arial" w:cs="Arial" w:eastAsia="Arial" w:hAnsi="Arial"/>
          <w:sz w:val="10"/>
          <w:szCs w:val="10"/>
          <w:color w:val="auto"/>
        </w:rPr>
      </w:pPr>
      <w:r>
        <w:rPr>
          <w:rFonts w:ascii="Arial" w:cs="Arial" w:eastAsia="Arial" w:hAnsi="Arial"/>
          <w:sz w:val="10"/>
          <w:szCs w:val="10"/>
          <w:color w:val="auto"/>
        </w:rPr>
        <w:t>Net new advisory assets consist of total client deposits into custodied advisory accounts less total client withdrawals from custodied advisory accounts, plus dividends, plus interest, minus advisory fees. We consider conversions from and to brokerage accounts as deposits and withdrawals, respectively.</w:t>
      </w:r>
    </w:p>
    <w:p>
      <w:pPr>
        <w:spacing w:after="0" w:line="17" w:lineRule="exact"/>
        <w:rPr>
          <w:rFonts w:ascii="Arial" w:cs="Arial" w:eastAsia="Arial" w:hAnsi="Arial"/>
          <w:sz w:val="10"/>
          <w:szCs w:val="10"/>
          <w:color w:val="auto"/>
        </w:rPr>
      </w:pPr>
    </w:p>
    <w:p>
      <w:pPr>
        <w:ind w:left="308" w:hanging="308"/>
        <w:spacing w:after="0"/>
        <w:tabs>
          <w:tab w:leader="none" w:pos="308" w:val="left"/>
        </w:tabs>
        <w:numPr>
          <w:ilvl w:val="0"/>
          <w:numId w:val="16"/>
        </w:numPr>
        <w:rPr>
          <w:rFonts w:ascii="Arial" w:cs="Arial" w:eastAsia="Arial" w:hAnsi="Arial"/>
          <w:sz w:val="10"/>
          <w:szCs w:val="10"/>
          <w:color w:val="auto"/>
        </w:rPr>
      </w:pPr>
      <w:r>
        <w:rPr>
          <w:rFonts w:ascii="Arial" w:cs="Arial" w:eastAsia="Arial" w:hAnsi="Arial"/>
          <w:sz w:val="10"/>
          <w:szCs w:val="10"/>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66" w:lineRule="exact"/>
        <w:rPr>
          <w:sz w:val="20"/>
          <w:szCs w:val="20"/>
          <w:color w:val="auto"/>
        </w:rPr>
      </w:pPr>
    </w:p>
    <w:p>
      <w:pPr>
        <w:ind w:left="8" w:right="200"/>
        <w:spacing w:after="0" w:line="286" w:lineRule="auto"/>
        <w:rPr>
          <w:sz w:val="20"/>
          <w:szCs w:val="20"/>
          <w:color w:val="auto"/>
        </w:rPr>
      </w:pPr>
      <w:r>
        <w:rPr>
          <w:rFonts w:ascii="Arial" w:cs="Arial" w:eastAsia="Arial" w:hAnsi="Arial"/>
          <w:sz w:val="12"/>
          <w:szCs w:val="12"/>
          <w:color w:val="auto"/>
        </w:rPr>
        <w:t>Advisory revenue increased during the three and nine months ended September 30, 2026 as compared to the same periods in 2025 due primarily to an increase in advisory asset balances and the acquisition of Commonwealth.</w:t>
      </w:r>
    </w:p>
    <w:p>
      <w:pPr>
        <w:spacing w:after="0" w:line="200" w:lineRule="exact"/>
        <w:rPr>
          <w:sz w:val="20"/>
          <w:szCs w:val="20"/>
          <w:color w:val="auto"/>
        </w:rPr>
      </w:pPr>
    </w:p>
    <w:p>
      <w:pPr>
        <w:spacing w:after="0" w:line="2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4" w:name="page15"/>
    <w:bookmarkEnd w:id="14"/>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Commission</w:t>
      </w:r>
    </w:p>
    <w:p>
      <w:pPr>
        <w:spacing w:after="0" w:line="76" w:lineRule="exact"/>
        <w:rPr>
          <w:sz w:val="20"/>
          <w:szCs w:val="20"/>
          <w:color w:val="auto"/>
        </w:rPr>
      </w:pPr>
    </w:p>
    <w:p>
      <w:pPr>
        <w:ind w:left="8" w:right="20"/>
        <w:spacing w:after="0" w:line="257" w:lineRule="auto"/>
        <w:rPr>
          <w:sz w:val="20"/>
          <w:szCs w:val="20"/>
          <w:color w:val="auto"/>
        </w:rPr>
      </w:pPr>
      <w:r>
        <w:rPr>
          <w:rFonts w:ascii="Arial" w:cs="Arial" w:eastAsia="Arial" w:hAnsi="Arial"/>
          <w:sz w:val="12"/>
          <w:szCs w:val="12"/>
          <w:color w:val="auto"/>
        </w:rPr>
        <w:t xml:space="preserve">We generate two types of commission revenue: (1) sales-based commissions that are recognized at the point of sale on the trade date and are based on a percentage of an investment product’s current market value at the time of purchase and (2) trailing commissions that are recognized over time as earned and are generally based on the market value of investment holdings in trail-eligible assets. Sales-based commission revenue, which occurs when clients trade securities or purchase various types of investment products, primarily represents gross commissions generated by our advisors and can vary from period to period based on the overall economic environment, number of trading days in the reporting period and investment activity of our advisors’ clients. We earn trailing commission revenue primarily on mutual funds and variable annuities held by clients of our advisors. See Note 3 - </w:t>
      </w:r>
      <w:r>
        <w:rPr>
          <w:rFonts w:ascii="Arial" w:cs="Arial" w:eastAsia="Arial" w:hAnsi="Arial"/>
          <w:sz w:val="12"/>
          <w:szCs w:val="12"/>
          <w:i w:val="1"/>
          <w:iCs w:val="1"/>
          <w:color w:val="auto"/>
        </w:rPr>
        <w:t>Revenue</w:t>
      </w:r>
      <w:r>
        <w:rPr>
          <w:rFonts w:ascii="Arial" w:cs="Arial" w:eastAsia="Arial" w:hAnsi="Arial"/>
          <w:sz w:val="12"/>
          <w:szCs w:val="12"/>
          <w:color w:val="auto"/>
        </w:rPr>
        <w:t>, within the notes to the condensed consolidated financial statements for further detail regarding our commission revenue by product category.</w:t>
      </w:r>
    </w:p>
    <w:p>
      <w:pPr>
        <w:spacing w:after="0" w:line="4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components of our commission revenue for the periods presented (in thousands):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1"/>
                <w:szCs w:val="11"/>
                <w:b w:val="1"/>
                <w:bCs w:val="1"/>
                <w:color w:val="auto"/>
                <w:w w:val="99"/>
              </w:rPr>
              <w:t>Three Months Ended September 30,</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1"/>
                <w:szCs w:val="11"/>
                <w:b w:val="1"/>
                <w:bCs w:val="1"/>
                <w:color w:val="auto"/>
                <w:w w:val="99"/>
              </w:rPr>
              <w:t>Nine Months Ended September 30,</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3"/>
        </w:trPr>
        <w:tc>
          <w:tcPr>
            <w:tcW w:w="2620" w:type="dxa"/>
            <w:vAlign w:val="bottom"/>
            <w:tcBorders>
              <w:bottom w:val="single" w:sz="8" w:color="DBDBDB"/>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2026</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2025</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 Change</w:t>
            </w: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 Change</w:t>
            </w: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2026</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2025</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 Change</w:t>
            </w:r>
          </w:p>
        </w:tc>
        <w:tc>
          <w:tcPr>
            <w:tcW w:w="116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 Change</w:t>
            </w:r>
          </w:p>
        </w:tc>
      </w:tr>
      <w:tr>
        <w:trPr>
          <w:trHeight w:val="133"/>
        </w:trPr>
        <w:tc>
          <w:tcPr>
            <w:tcW w:w="2620" w:type="dxa"/>
            <w:vAlign w:val="bottom"/>
            <w:shd w:val="clear" w:color="auto" w:fill="DBDBDB"/>
          </w:tcPr>
          <w:p>
            <w:pPr>
              <w:spacing w:after="0"/>
              <w:rPr>
                <w:sz w:val="20"/>
                <w:szCs w:val="20"/>
                <w:color w:val="auto"/>
              </w:rPr>
            </w:pPr>
            <w:r>
              <w:rPr>
                <w:rFonts w:ascii="Arial" w:cs="Arial" w:eastAsia="Arial" w:hAnsi="Arial"/>
                <w:sz w:val="11"/>
                <w:szCs w:val="11"/>
                <w:color w:val="auto"/>
              </w:rPr>
              <w:t>Sales-based</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742,852</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695,029</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47,823</w:t>
            </w:r>
          </w:p>
        </w:tc>
        <w:tc>
          <w:tcPr>
            <w:tcW w:w="920" w:type="dxa"/>
            <w:vAlign w:val="bottom"/>
            <w:shd w:val="clear" w:color="auto" w:fill="DBDBDB"/>
          </w:tcPr>
          <w:p>
            <w:pPr>
              <w:spacing w:after="0"/>
              <w:rPr>
                <w:sz w:val="11"/>
                <w:szCs w:val="11"/>
                <w:color w:val="auto"/>
              </w:rPr>
            </w:pPr>
          </w:p>
        </w:tc>
        <w:tc>
          <w:tcPr>
            <w:tcW w:w="360" w:type="dxa"/>
            <w:vAlign w:val="bottom"/>
            <w:gridSpan w:val="2"/>
            <w:shd w:val="clear" w:color="auto" w:fill="DBDBDB"/>
          </w:tcPr>
          <w:p>
            <w:pPr>
              <w:ind w:left="80"/>
              <w:spacing w:after="0"/>
              <w:rPr>
                <w:sz w:val="20"/>
                <w:szCs w:val="20"/>
                <w:color w:val="auto"/>
              </w:rPr>
            </w:pPr>
            <w:r>
              <w:rPr>
                <w:rFonts w:ascii="Arial" w:cs="Arial" w:eastAsia="Arial" w:hAnsi="Arial"/>
                <w:sz w:val="11"/>
                <w:szCs w:val="11"/>
                <w:color w:val="auto"/>
              </w:rPr>
              <w:t>7% $</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2,176,422</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1,924,859</w:t>
            </w:r>
          </w:p>
        </w:tc>
        <w:tc>
          <w:tcPr>
            <w:tcW w:w="18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251,563</w:t>
            </w:r>
          </w:p>
        </w:tc>
        <w:tc>
          <w:tcPr>
            <w:tcW w:w="1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w:t>
            </w:r>
          </w:p>
        </w:tc>
      </w:tr>
      <w:tr>
        <w:trPr>
          <w:trHeight w:val="143"/>
        </w:trPr>
        <w:tc>
          <w:tcPr>
            <w:tcW w:w="26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Trailing</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507,904</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492,426</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15,478</w:t>
            </w:r>
          </w:p>
        </w:tc>
        <w:tc>
          <w:tcPr>
            <w:tcW w:w="920" w:type="dxa"/>
            <w:vAlign w:val="bottom"/>
            <w:tcBorders>
              <w:bottom w:val="single" w:sz="8" w:color="DBDBDB"/>
            </w:tcBorders>
          </w:tcPr>
          <w:p>
            <w:pPr>
              <w:spacing w:after="0"/>
              <w:rPr>
                <w:sz w:val="12"/>
                <w:szCs w:val="12"/>
                <w:color w:val="auto"/>
              </w:rPr>
            </w:pPr>
          </w:p>
        </w:tc>
        <w:tc>
          <w:tcPr>
            <w:tcW w:w="24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w w:val="87"/>
              </w:rPr>
              <w:t>3%</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1,498,441</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1,348,440</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150,001</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1"/>
                <w:szCs w:val="11"/>
                <w:color w:val="auto"/>
              </w:rPr>
              <w:t>11%</w:t>
            </w:r>
          </w:p>
        </w:tc>
      </w:tr>
      <w:tr>
        <w:trPr>
          <w:trHeight w:val="134"/>
        </w:trPr>
        <w:tc>
          <w:tcPr>
            <w:tcW w:w="2620" w:type="dxa"/>
            <w:vAlign w:val="bottom"/>
            <w:shd w:val="clear" w:color="auto" w:fill="DBDBDB"/>
          </w:tcPr>
          <w:p>
            <w:pPr>
              <w:ind w:left="100"/>
              <w:spacing w:after="0"/>
              <w:rPr>
                <w:sz w:val="20"/>
                <w:szCs w:val="20"/>
                <w:color w:val="auto"/>
              </w:rPr>
            </w:pPr>
            <w:r>
              <w:rPr>
                <w:rFonts w:ascii="Arial" w:cs="Arial" w:eastAsia="Arial" w:hAnsi="Arial"/>
                <w:sz w:val="11"/>
                <w:szCs w:val="11"/>
                <w:color w:val="auto"/>
              </w:rPr>
              <w:t>Total commission revenue</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1,250,756</w:t>
            </w: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1,187,455</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63,301</w:t>
            </w:r>
          </w:p>
        </w:tc>
        <w:tc>
          <w:tcPr>
            <w:tcW w:w="920" w:type="dxa"/>
            <w:vAlign w:val="bottom"/>
            <w:shd w:val="clear" w:color="auto" w:fill="DBDBDB"/>
          </w:tcPr>
          <w:p>
            <w:pPr>
              <w:spacing w:after="0"/>
              <w:rPr>
                <w:sz w:val="11"/>
                <w:szCs w:val="11"/>
                <w:color w:val="auto"/>
              </w:rPr>
            </w:pPr>
          </w:p>
        </w:tc>
        <w:tc>
          <w:tcPr>
            <w:tcW w:w="360" w:type="dxa"/>
            <w:vAlign w:val="bottom"/>
            <w:gridSpan w:val="2"/>
            <w:shd w:val="clear" w:color="auto" w:fill="DBDBDB"/>
          </w:tcPr>
          <w:p>
            <w:pPr>
              <w:ind w:left="80"/>
              <w:spacing w:after="0"/>
              <w:rPr>
                <w:sz w:val="20"/>
                <w:szCs w:val="20"/>
                <w:color w:val="auto"/>
              </w:rPr>
            </w:pPr>
            <w:r>
              <w:rPr>
                <w:rFonts w:ascii="Arial" w:cs="Arial" w:eastAsia="Arial" w:hAnsi="Arial"/>
                <w:sz w:val="11"/>
                <w:szCs w:val="11"/>
                <w:color w:val="auto"/>
              </w:rPr>
              <w:t>5% $</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3,674,863</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3,273,299</w:t>
            </w:r>
          </w:p>
        </w:tc>
        <w:tc>
          <w:tcPr>
            <w:tcW w:w="18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401,564</w:t>
            </w:r>
          </w:p>
        </w:tc>
        <w:tc>
          <w:tcPr>
            <w:tcW w:w="1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w:t>
            </w:r>
          </w:p>
        </w:tc>
      </w:tr>
      <w:tr>
        <w:trPr>
          <w:trHeight w:val="36"/>
        </w:trPr>
        <w:tc>
          <w:tcPr>
            <w:tcW w:w="2620" w:type="dxa"/>
            <w:vAlign w:val="bottom"/>
            <w:shd w:val="clear" w:color="auto" w:fill="DBDBDB"/>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920" w:type="dxa"/>
            <w:vAlign w:val="bottom"/>
            <w:shd w:val="clear" w:color="auto" w:fill="DBDBDB"/>
          </w:tcPr>
          <w:p>
            <w:pPr>
              <w:spacing w:after="0"/>
              <w:rPr>
                <w:sz w:val="3"/>
                <w:szCs w:val="3"/>
                <w:color w:val="auto"/>
              </w:rPr>
            </w:pPr>
          </w:p>
        </w:tc>
        <w:tc>
          <w:tcPr>
            <w:tcW w:w="240" w:type="dxa"/>
            <w:vAlign w:val="bottom"/>
            <w:shd w:val="clear" w:color="auto" w:fill="DBDBDB"/>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160" w:type="dxa"/>
            <w:vAlign w:val="bottom"/>
            <w:shd w:val="clear" w:color="auto" w:fill="DBDBDB"/>
          </w:tcPr>
          <w:p>
            <w:pPr>
              <w:spacing w:after="0"/>
              <w:rPr>
                <w:sz w:val="3"/>
                <w:szCs w:val="3"/>
                <w:color w:val="auto"/>
              </w:rPr>
            </w:pPr>
          </w:p>
        </w:tc>
      </w:tr>
    </w:tbl>
    <w:p>
      <w:pPr>
        <w:spacing w:after="0" w:line="122" w:lineRule="exact"/>
        <w:rPr>
          <w:sz w:val="20"/>
          <w:szCs w:val="20"/>
          <w:color w:val="auto"/>
        </w:rPr>
      </w:pPr>
    </w:p>
    <w:p>
      <w:pPr>
        <w:ind w:left="8" w:right="320"/>
        <w:spacing w:after="0" w:line="268" w:lineRule="auto"/>
        <w:rPr>
          <w:sz w:val="20"/>
          <w:szCs w:val="20"/>
          <w:color w:val="auto"/>
        </w:rPr>
      </w:pPr>
      <w:r>
        <w:rPr>
          <w:rFonts w:ascii="Arial" w:cs="Arial" w:eastAsia="Arial" w:hAnsi="Arial"/>
          <w:sz w:val="12"/>
          <w:szCs w:val="12"/>
          <w:color w:val="auto"/>
        </w:rPr>
        <w:t>The increase in sales-based commission revenue for the three and nine months ended September 30, 2026 compared to 2025 was primarily driven by an increase in sales of annuities. The increase in trailing commission revenue for the three and nine months ended September 30, 2026 compared to 2025 was primarily due to continued growth in trail earning assets held by customers and the acquisition of Commonwealth.</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activity impacting brokerage assets for the periods presented (in billions):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220" w:type="dxa"/>
            <w:vAlign w:val="bottom"/>
          </w:tcPr>
          <w:p>
            <w:pPr>
              <w:spacing w:after="0"/>
              <w:rPr>
                <w:sz w:val="12"/>
                <w:szCs w:val="12"/>
                <w:color w:val="auto"/>
              </w:rPr>
            </w:pPr>
          </w:p>
        </w:tc>
        <w:tc>
          <w:tcPr>
            <w:tcW w:w="2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1"/>
                <w:szCs w:val="11"/>
                <w:b w:val="1"/>
                <w:bCs w:val="1"/>
                <w:color w:val="auto"/>
              </w:rPr>
              <w:t>Three Months Ended September 30,</w:t>
            </w: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5220" w:type="dxa"/>
            <w:vAlign w:val="bottom"/>
            <w:tcBorders>
              <w:bottom w:val="single" w:sz="8" w:color="DBDBDB"/>
            </w:tcBorders>
          </w:tcPr>
          <w:p>
            <w:pPr>
              <w:spacing w:after="0"/>
              <w:rPr>
                <w:sz w:val="11"/>
                <w:szCs w:val="11"/>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2026</w:t>
            </w:r>
          </w:p>
        </w:tc>
        <w:tc>
          <w:tcPr>
            <w:tcW w:w="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2026</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2025</w:t>
            </w:r>
          </w:p>
        </w:tc>
      </w:tr>
      <w:tr>
        <w:trPr>
          <w:trHeight w:val="133"/>
        </w:trPr>
        <w:tc>
          <w:tcPr>
            <w:tcW w:w="5220" w:type="dxa"/>
            <w:vAlign w:val="bottom"/>
            <w:shd w:val="clear" w:color="auto" w:fill="DBDBDB"/>
          </w:tcPr>
          <w:p>
            <w:pPr>
              <w:spacing w:after="0"/>
              <w:rPr>
                <w:sz w:val="20"/>
                <w:szCs w:val="20"/>
                <w:color w:val="auto"/>
              </w:rPr>
            </w:pPr>
            <w:r>
              <w:rPr>
                <w:rFonts w:ascii="Arial" w:cs="Arial" w:eastAsia="Arial" w:hAnsi="Arial"/>
                <w:sz w:val="11"/>
                <w:szCs w:val="11"/>
                <w:color w:val="auto"/>
              </w:rPr>
              <w:t>Balance - Beginning of period</w:t>
            </w:r>
          </w:p>
        </w:tc>
        <w:tc>
          <w:tcPr>
            <w:tcW w:w="1040" w:type="dxa"/>
            <w:vAlign w:val="bottom"/>
            <w:shd w:val="clear" w:color="auto" w:fill="DBDBDB"/>
          </w:tcPr>
          <w:p>
            <w:pPr>
              <w:jc w:val="right"/>
              <w:ind w:right="90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1,014.3</w:t>
            </w:r>
          </w:p>
        </w:tc>
        <w:tc>
          <w:tcPr>
            <w:tcW w:w="1080" w:type="dxa"/>
            <w:vAlign w:val="bottom"/>
            <w:shd w:val="clear" w:color="auto" w:fill="DBDBDB"/>
          </w:tcPr>
          <w:p>
            <w:pPr>
              <w:jc w:val="right"/>
              <w:ind w:right="97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858.5</w:t>
            </w:r>
          </w:p>
        </w:tc>
        <w:tc>
          <w:tcPr>
            <w:tcW w:w="34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977.9</w:t>
            </w:r>
          </w:p>
        </w:tc>
        <w:tc>
          <w:tcPr>
            <w:tcW w:w="360" w:type="dxa"/>
            <w:vAlign w:val="bottom"/>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783.7</w:t>
            </w:r>
          </w:p>
        </w:tc>
      </w:tr>
      <w:tr>
        <w:trPr>
          <w:trHeight w:val="143"/>
        </w:trPr>
        <w:tc>
          <w:tcPr>
            <w:tcW w:w="5220" w:type="dxa"/>
            <w:vAlign w:val="bottom"/>
          </w:tcPr>
          <w:p>
            <w:pPr>
              <w:ind w:left="80"/>
              <w:spacing w:after="0"/>
              <w:rPr>
                <w:sz w:val="20"/>
                <w:szCs w:val="20"/>
                <w:color w:val="auto"/>
              </w:rPr>
            </w:pPr>
            <w:r>
              <w:rPr>
                <w:rFonts w:ascii="Arial" w:cs="Arial" w:eastAsia="Arial" w:hAnsi="Arial"/>
                <w:sz w:val="11"/>
                <w:szCs w:val="11"/>
                <w:color w:val="auto"/>
              </w:rPr>
              <w:t>Net new brokerage assets</w:t>
            </w:r>
            <w:r>
              <w:rPr>
                <w:rFonts w:ascii="Arial" w:cs="Arial" w:eastAsia="Arial" w:hAnsi="Arial"/>
                <w:sz w:val="7"/>
                <w:szCs w:val="7"/>
                <w:color w:val="auto"/>
              </w:rPr>
              <w:t>(1)</w:t>
            </w:r>
          </w:p>
        </w:tc>
        <w:tc>
          <w:tcPr>
            <w:tcW w:w="10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w:t>
            </w:r>
          </w:p>
        </w:tc>
        <w:tc>
          <w:tcPr>
            <w:tcW w:w="10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78.7</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(15.5)</w:t>
            </w:r>
          </w:p>
        </w:tc>
        <w:tc>
          <w:tcPr>
            <w:tcW w:w="36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117.3</w:t>
            </w:r>
          </w:p>
        </w:tc>
      </w:tr>
      <w:tr>
        <w:trPr>
          <w:trHeight w:val="144"/>
        </w:trPr>
        <w:tc>
          <w:tcPr>
            <w:tcW w:w="5220" w:type="dxa"/>
            <w:vAlign w:val="bottom"/>
            <w:shd w:val="clear" w:color="auto" w:fill="DBDBDB"/>
          </w:tcPr>
          <w:p>
            <w:pPr>
              <w:ind w:left="80"/>
              <w:spacing w:after="0"/>
              <w:rPr>
                <w:sz w:val="20"/>
                <w:szCs w:val="20"/>
                <w:color w:val="auto"/>
              </w:rPr>
            </w:pPr>
            <w:r>
              <w:rPr>
                <w:rFonts w:ascii="Arial" w:cs="Arial" w:eastAsia="Arial" w:hAnsi="Arial"/>
                <w:sz w:val="11"/>
                <w:szCs w:val="11"/>
                <w:color w:val="auto"/>
              </w:rPr>
              <w:t>Market impact</w:t>
            </w:r>
            <w:r>
              <w:rPr>
                <w:rFonts w:ascii="Arial" w:cs="Arial" w:eastAsia="Arial" w:hAnsi="Arial"/>
                <w:sz w:val="7"/>
                <w:szCs w:val="7"/>
                <w:color w:val="auto"/>
              </w:rPr>
              <w:t>(2)</w:t>
            </w:r>
          </w:p>
        </w:tc>
        <w:tc>
          <w:tcPr>
            <w:tcW w:w="1040" w:type="dxa"/>
            <w:vAlign w:val="bottom"/>
            <w:tcBorders>
              <w:bottom w:val="single" w:sz="8" w:color="auto"/>
            </w:tcBorders>
            <w:shd w:val="clear" w:color="auto" w:fill="DBDBDB"/>
          </w:tcPr>
          <w:p>
            <w:pPr>
              <w:spacing w:after="0"/>
              <w:rPr>
                <w:sz w:val="12"/>
                <w:szCs w:val="12"/>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(6.7)</w:t>
            </w:r>
          </w:p>
        </w:tc>
        <w:tc>
          <w:tcPr>
            <w:tcW w:w="108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30.5</w:t>
            </w:r>
          </w:p>
        </w:tc>
        <w:tc>
          <w:tcPr>
            <w:tcW w:w="340" w:type="dxa"/>
            <w:vAlign w:val="bottom"/>
            <w:tcBorders>
              <w:bottom w:val="single" w:sz="8" w:color="auto"/>
            </w:tcBorders>
            <w:shd w:val="clear" w:color="auto" w:fill="DBDBDB"/>
          </w:tcPr>
          <w:p>
            <w:pPr>
              <w:spacing w:after="0"/>
              <w:rPr>
                <w:sz w:val="12"/>
                <w:szCs w:val="1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41.2</w:t>
            </w:r>
          </w:p>
        </w:tc>
        <w:tc>
          <w:tcPr>
            <w:tcW w:w="36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66.7</w:t>
            </w:r>
          </w:p>
        </w:tc>
      </w:tr>
      <w:tr>
        <w:trPr>
          <w:trHeight w:val="134"/>
        </w:trPr>
        <w:tc>
          <w:tcPr>
            <w:tcW w:w="5220" w:type="dxa"/>
            <w:vAlign w:val="bottom"/>
          </w:tcPr>
          <w:p>
            <w:pPr>
              <w:spacing w:after="0"/>
              <w:rPr>
                <w:sz w:val="20"/>
                <w:szCs w:val="20"/>
                <w:color w:val="auto"/>
              </w:rPr>
            </w:pPr>
            <w:r>
              <w:rPr>
                <w:rFonts w:ascii="Arial" w:cs="Arial" w:eastAsia="Arial" w:hAnsi="Arial"/>
                <w:sz w:val="11"/>
                <w:szCs w:val="11"/>
                <w:color w:val="auto"/>
              </w:rPr>
              <w:t>Balance - End of period</w:t>
            </w:r>
          </w:p>
        </w:tc>
        <w:tc>
          <w:tcPr>
            <w:tcW w:w="104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1,003.6</w:t>
            </w: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967.7</w:t>
            </w: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1,003.6</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967.7</w:t>
            </w:r>
          </w:p>
        </w:tc>
      </w:tr>
      <w:tr>
        <w:trPr>
          <w:trHeight w:val="20"/>
        </w:trPr>
        <w:tc>
          <w:tcPr>
            <w:tcW w:w="5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75" w:lineRule="exact"/>
        <w:rPr>
          <w:sz w:val="20"/>
          <w:szCs w:val="20"/>
          <w:color w:val="auto"/>
        </w:rPr>
      </w:pPr>
    </w:p>
    <w:p>
      <w:pPr>
        <w:ind w:left="328" w:right="540" w:hanging="328"/>
        <w:spacing w:after="0" w:line="264" w:lineRule="auto"/>
        <w:tabs>
          <w:tab w:leader="none" w:pos="148" w:val="left"/>
        </w:tabs>
        <w:numPr>
          <w:ilvl w:val="0"/>
          <w:numId w:val="17"/>
        </w:numPr>
        <w:rPr>
          <w:rFonts w:ascii="Arial" w:cs="Arial" w:eastAsia="Arial" w:hAnsi="Arial"/>
          <w:sz w:val="10"/>
          <w:szCs w:val="10"/>
          <w:color w:val="auto"/>
        </w:rPr>
      </w:pPr>
      <w:r>
        <w:rPr>
          <w:rFonts w:ascii="Arial" w:cs="Arial" w:eastAsia="Arial" w:hAnsi="Arial"/>
          <w:sz w:val="10"/>
          <w:szCs w:val="10"/>
          <w:color w:val="auto"/>
        </w:rPr>
        <w:t>Net new brokerage assets consist of total client deposits into brokerage accounts less total client withdrawals from brokerage accounts, plus dividends, plus interest. We consider conversions from and to advisory accounts as deposits and withdrawals, respectively.</w:t>
      </w:r>
    </w:p>
    <w:p>
      <w:pPr>
        <w:spacing w:after="0" w:line="44" w:lineRule="exact"/>
        <w:rPr>
          <w:rFonts w:ascii="Arial" w:cs="Arial" w:eastAsia="Arial" w:hAnsi="Arial"/>
          <w:sz w:val="10"/>
          <w:szCs w:val="10"/>
          <w:color w:val="auto"/>
        </w:rPr>
      </w:pPr>
    </w:p>
    <w:p>
      <w:pPr>
        <w:ind w:left="148" w:hanging="148"/>
        <w:spacing w:after="0"/>
        <w:tabs>
          <w:tab w:leader="none" w:pos="148" w:val="left"/>
        </w:tabs>
        <w:numPr>
          <w:ilvl w:val="0"/>
          <w:numId w:val="17"/>
        </w:numPr>
        <w:rPr>
          <w:rFonts w:ascii="Arial" w:cs="Arial" w:eastAsia="Arial" w:hAnsi="Arial"/>
          <w:sz w:val="10"/>
          <w:szCs w:val="10"/>
          <w:color w:val="auto"/>
        </w:rPr>
      </w:pPr>
      <w:r>
        <w:rPr>
          <w:rFonts w:ascii="Arial" w:cs="Arial" w:eastAsia="Arial" w:hAnsi="Arial"/>
          <w:sz w:val="10"/>
          <w:szCs w:val="10"/>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Asset-Based</w:t>
      </w:r>
    </w:p>
    <w:p>
      <w:pPr>
        <w:spacing w:after="0" w:line="76" w:lineRule="exact"/>
        <w:rPr>
          <w:sz w:val="20"/>
          <w:szCs w:val="20"/>
          <w:color w:val="auto"/>
        </w:rPr>
      </w:pPr>
    </w:p>
    <w:p>
      <w:pPr>
        <w:ind w:left="8" w:right="20"/>
        <w:spacing w:after="0" w:line="256" w:lineRule="auto"/>
        <w:rPr>
          <w:sz w:val="20"/>
          <w:szCs w:val="20"/>
          <w:color w:val="auto"/>
        </w:rPr>
      </w:pPr>
      <w:r>
        <w:rPr>
          <w:rFonts w:ascii="Arial" w:cs="Arial" w:eastAsia="Arial" w:hAnsi="Arial"/>
          <w:sz w:val="12"/>
          <w:szCs w:val="12"/>
          <w:color w:val="auto"/>
        </w:rPr>
        <w:t>Asset-based revenue consists of fees from our client cash programs, fees from our sponsorship programs with financial product manufacturers and fees from omnibus processing and networking services (collectively referred to as “recordkeeping”). Client cash revenue is generated on advisors’ clients’ cash balances in insured bank sweep accounts and money market accounts. We also receive fees from certain financial product manufacturers in connection with sponsorship programs that support our marketing and sales force education and training efforts. Compensation for these performance obligations is either a fixed fee, a percentage of the average annual amount of product sponsor assets held in advisors’ clients’ accounts, a percentage of new sales or a combination. Omnibus processing revenue is paid to us by mutual fund product sponsors or their affiliates and is based on the value of mutual fund assets in accounts for which the Company provides omnibus processing services and the number of accounts in which the related mutual fund positions are held. Networking revenue on brokerage assets is correlated to the number of positions we administer and is paid to us by mutual fund product sponsors and annuity product manufacturers.</w:t>
      </w:r>
    </w:p>
    <w:p>
      <w:pPr>
        <w:spacing w:after="0" w:line="50" w:lineRule="exact"/>
        <w:rPr>
          <w:sz w:val="20"/>
          <w:szCs w:val="20"/>
          <w:color w:val="auto"/>
        </w:rPr>
      </w:pPr>
    </w:p>
    <w:p>
      <w:pPr>
        <w:ind w:left="8" w:right="120"/>
        <w:spacing w:after="0" w:line="268" w:lineRule="auto"/>
        <w:rPr>
          <w:sz w:val="20"/>
          <w:szCs w:val="20"/>
          <w:color w:val="auto"/>
        </w:rPr>
      </w:pPr>
      <w:r>
        <w:rPr>
          <w:rFonts w:ascii="Arial" w:cs="Arial" w:eastAsia="Arial" w:hAnsi="Arial"/>
          <w:sz w:val="12"/>
          <w:szCs w:val="12"/>
          <w:color w:val="auto"/>
        </w:rPr>
        <w:t>Asset-based revenue for the three and nine months ended September 30, 2026 increased by $79.8 million and $ 338.2 million, respectively, compared to the same periods in 2025 due to increases in client cash and other asset-based revenue. Other asset-based revenue for the three and nine months ended September 30, 2026 increased compared to 2025 primarily due to increases in billable assets, recordkeeping and sponsorship program revenue. Client cash revenue for the three and nine months ended September 30, 2026 increased compared to 2025 due to</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right="460"/>
        <w:spacing w:after="0" w:line="268" w:lineRule="auto"/>
        <w:rPr>
          <w:sz w:val="20"/>
          <w:szCs w:val="20"/>
          <w:color w:val="auto"/>
        </w:rPr>
      </w:pPr>
      <w:r>
        <w:rPr>
          <w:rFonts w:ascii="Arial" w:cs="Arial" w:eastAsia="Arial" w:hAnsi="Arial"/>
          <w:sz w:val="12"/>
          <w:szCs w:val="12"/>
          <w:color w:val="auto"/>
        </w:rPr>
        <w:t>higher average client cash balances during the three and nine months ended September 30, 2026 as compared to 2025. For the three months ended September 30, 2026, our average client cash balances increased to $53.2 billion compared to $50.3 billion for the same period in 2025. For the nine months ended September 30, 2026, our average client cash balances increased to $54.2 billion compared to $49.9 billion for the same period in 2025.</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Service and Fee</w:t>
      </w:r>
    </w:p>
    <w:p>
      <w:pPr>
        <w:spacing w:after="0" w:line="76"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Service and fee revenue is generated from advisor and retail investor services, including technology, insurance, conferences, licensing, business services and planning and advice services, Individual Retirement Account (“IRA”) custodian and other client account fees. We charge separate fees to RIAs on our Independent RIA advisory platform for technology, clearing, administrative, oversight and custody services, which may vary. We also host certain advisor conferences that serve as training, education, sales and marketing events for which we charge sponsors a fee. Service and fee revenue for the three and nine months ended September 30, 2026 increased compared to 2025, primarily due to the brokerage account fees assessed on retirement and non-retirement clients.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Transaction</w:t>
      </w:r>
    </w:p>
    <w:p>
      <w:pPr>
        <w:spacing w:after="0" w:line="67"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Transaction revenue includes transaction charges generated in both advisory and brokerage accounts from mutual funds, exchange-traded funds and fixed income products. Transaction revenue for the three and nine months ended September 30, 2026 increased compared to 2025, primarily due to increases in the number of transactions and transaction charges for managed assets.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Advisory and Commission</w:t>
      </w:r>
    </w:p>
    <w:p>
      <w:pPr>
        <w:spacing w:after="0" w:line="76"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Advisory and commission expense consists of the following: payout amounts that are earned by and paid out to advisors and institutions based on advisory and commission revenue earned on each client’s account, production-based bonuses earned by advisors and institutions based on the levels of advisory and commission revenue they produce, compensation and benefits paid to employee advisors, share-based compensation expense from equity awards granted to advisors and institutions based on the fair value of the awards at grant date and the deferred advisory and commission fee expense associated with mark-to-market gains or losses on the non-qualified deferred compensation plan offered to our advisors.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our payout rate, which is a statistical or operating measure,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20" w:type="dxa"/>
            <w:vAlign w:val="bottom"/>
          </w:tcPr>
          <w:p>
            <w:pPr>
              <w:spacing w:after="0"/>
              <w:rPr>
                <w:sz w:val="12"/>
                <w:szCs w:val="12"/>
                <w:color w:val="auto"/>
              </w:rPr>
            </w:pPr>
          </w:p>
        </w:tc>
        <w:tc>
          <w:tcPr>
            <w:tcW w:w="2360" w:type="dxa"/>
            <w:vAlign w:val="bottom"/>
            <w:tcBorders>
              <w:bottom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rPr>
              <w:t>Three Months Ended September 30,</w:t>
            </w:r>
          </w:p>
        </w:tc>
        <w:tc>
          <w:tcPr>
            <w:tcW w:w="1560" w:type="dxa"/>
            <w:vAlign w:val="bottom"/>
          </w:tcPr>
          <w:p>
            <w:pPr>
              <w:spacing w:after="0"/>
              <w:rPr>
                <w:sz w:val="12"/>
                <w:szCs w:val="12"/>
                <w:color w:val="auto"/>
              </w:rPr>
            </w:pPr>
          </w:p>
        </w:tc>
        <w:tc>
          <w:tcPr>
            <w:tcW w:w="228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Nine Months Ended September 30,</w:t>
            </w:r>
          </w:p>
        </w:tc>
        <w:tc>
          <w:tcPr>
            <w:tcW w:w="1580" w:type="dxa"/>
            <w:vAlign w:val="bottom"/>
          </w:tcPr>
          <w:p>
            <w:pPr>
              <w:spacing w:after="0"/>
              <w:rPr>
                <w:sz w:val="12"/>
                <w:szCs w:val="12"/>
                <w:color w:val="auto"/>
              </w:rPr>
            </w:pPr>
          </w:p>
        </w:tc>
      </w:tr>
      <w:tr>
        <w:trPr>
          <w:trHeight w:val="133"/>
        </w:trPr>
        <w:tc>
          <w:tcPr>
            <w:tcW w:w="3520" w:type="dxa"/>
            <w:vAlign w:val="bottom"/>
            <w:tcBorders>
              <w:bottom w:val="single" w:sz="8" w:color="DBDBDB"/>
            </w:tcBorders>
          </w:tcPr>
          <w:p>
            <w:pPr>
              <w:spacing w:after="0"/>
              <w:rPr>
                <w:sz w:val="11"/>
                <w:szCs w:val="11"/>
                <w:color w:val="auto"/>
              </w:rPr>
            </w:pPr>
          </w:p>
        </w:tc>
        <w:tc>
          <w:tcPr>
            <w:tcW w:w="12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2026</w:t>
            </w:r>
          </w:p>
        </w:tc>
        <w:tc>
          <w:tcPr>
            <w:tcW w:w="11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2025</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c>
          <w:tcPr>
            <w:tcW w:w="11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2026</w:t>
            </w:r>
          </w:p>
        </w:tc>
        <w:tc>
          <w:tcPr>
            <w:tcW w:w="11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2025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r>
      <w:tr>
        <w:trPr>
          <w:trHeight w:val="133"/>
        </w:trPr>
        <w:tc>
          <w:tcPr>
            <w:tcW w:w="3520" w:type="dxa"/>
            <w:vAlign w:val="bottom"/>
            <w:shd w:val="clear" w:color="auto" w:fill="DBDBDB"/>
          </w:tcPr>
          <w:p>
            <w:pPr>
              <w:spacing w:after="0"/>
              <w:rPr>
                <w:sz w:val="20"/>
                <w:szCs w:val="20"/>
                <w:color w:val="auto"/>
              </w:rPr>
            </w:pPr>
            <w:r>
              <w:rPr>
                <w:rFonts w:ascii="Arial" w:cs="Arial" w:eastAsia="Arial" w:hAnsi="Arial"/>
                <w:sz w:val="11"/>
                <w:szCs w:val="11"/>
                <w:color w:val="auto"/>
              </w:rPr>
              <w:t>Payout rate</w:t>
            </w:r>
          </w:p>
        </w:tc>
        <w:tc>
          <w:tcPr>
            <w:tcW w:w="1200" w:type="dxa"/>
            <w:vAlign w:val="bottom"/>
            <w:shd w:val="clear" w:color="auto" w:fill="DBDBDB"/>
          </w:tcPr>
          <w:p>
            <w:pPr>
              <w:jc w:val="right"/>
              <w:ind w:right="346"/>
              <w:spacing w:after="0"/>
              <w:rPr>
                <w:sz w:val="20"/>
                <w:szCs w:val="20"/>
                <w:color w:val="auto"/>
              </w:rPr>
            </w:pPr>
            <w:r>
              <w:rPr>
                <w:rFonts w:ascii="Arial" w:cs="Arial" w:eastAsia="Arial" w:hAnsi="Arial"/>
                <w:sz w:val="11"/>
                <w:szCs w:val="11"/>
                <w:color w:val="auto"/>
              </w:rPr>
              <w:t>87.98%</w:t>
            </w:r>
          </w:p>
        </w:tc>
        <w:tc>
          <w:tcPr>
            <w:tcW w:w="1160" w:type="dxa"/>
            <w:vAlign w:val="bottom"/>
            <w:shd w:val="clear" w:color="auto" w:fill="DBDBDB"/>
          </w:tcPr>
          <w:p>
            <w:pPr>
              <w:jc w:val="right"/>
              <w:ind w:right="326"/>
              <w:spacing w:after="0"/>
              <w:rPr>
                <w:sz w:val="20"/>
                <w:szCs w:val="20"/>
                <w:color w:val="auto"/>
              </w:rPr>
            </w:pPr>
            <w:r>
              <w:rPr>
                <w:rFonts w:ascii="Arial" w:cs="Arial" w:eastAsia="Arial" w:hAnsi="Arial"/>
                <w:sz w:val="11"/>
                <w:szCs w:val="11"/>
                <w:color w:val="auto"/>
              </w:rPr>
              <w:t>87.47%</w:t>
            </w:r>
          </w:p>
        </w:tc>
        <w:tc>
          <w:tcPr>
            <w:tcW w:w="15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51 bps</w:t>
            </w:r>
          </w:p>
        </w:tc>
        <w:tc>
          <w:tcPr>
            <w:tcW w:w="1140" w:type="dxa"/>
            <w:vAlign w:val="bottom"/>
            <w:shd w:val="clear" w:color="auto" w:fill="DBDBDB"/>
          </w:tcPr>
          <w:p>
            <w:pPr>
              <w:jc w:val="right"/>
              <w:ind w:right="346"/>
              <w:spacing w:after="0"/>
              <w:rPr>
                <w:sz w:val="20"/>
                <w:szCs w:val="20"/>
                <w:color w:val="auto"/>
              </w:rPr>
            </w:pPr>
            <w:r>
              <w:rPr>
                <w:rFonts w:ascii="Arial" w:cs="Arial" w:eastAsia="Arial" w:hAnsi="Arial"/>
                <w:sz w:val="11"/>
                <w:szCs w:val="11"/>
                <w:color w:val="auto"/>
              </w:rPr>
              <w:t>87.56%</w:t>
            </w:r>
          </w:p>
        </w:tc>
        <w:tc>
          <w:tcPr>
            <w:tcW w:w="1140" w:type="dxa"/>
            <w:vAlign w:val="bottom"/>
            <w:shd w:val="clear" w:color="auto" w:fill="DBDBDB"/>
          </w:tcPr>
          <w:p>
            <w:pPr>
              <w:jc w:val="right"/>
              <w:ind w:right="346"/>
              <w:spacing w:after="0"/>
              <w:rPr>
                <w:sz w:val="20"/>
                <w:szCs w:val="20"/>
                <w:color w:val="auto"/>
              </w:rPr>
            </w:pPr>
            <w:r>
              <w:rPr>
                <w:rFonts w:ascii="Arial" w:cs="Arial" w:eastAsia="Arial" w:hAnsi="Arial"/>
                <w:sz w:val="11"/>
                <w:szCs w:val="11"/>
                <w:color w:val="auto"/>
              </w:rPr>
              <w:t>87.21%</w:t>
            </w:r>
          </w:p>
        </w:tc>
        <w:tc>
          <w:tcPr>
            <w:tcW w:w="158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35 bps</w:t>
            </w:r>
          </w:p>
        </w:tc>
      </w:tr>
    </w:tbl>
    <w:p>
      <w:pPr>
        <w:spacing w:after="0" w:line="113" w:lineRule="exact"/>
        <w:rPr>
          <w:sz w:val="20"/>
          <w:szCs w:val="20"/>
          <w:color w:val="auto"/>
        </w:rPr>
      </w:pPr>
    </w:p>
    <w:p>
      <w:pPr>
        <w:ind w:right="1440"/>
        <w:spacing w:after="0" w:line="406" w:lineRule="auto"/>
        <w:rPr>
          <w:sz w:val="20"/>
          <w:szCs w:val="20"/>
          <w:color w:val="auto"/>
        </w:rPr>
      </w:pPr>
      <w:r>
        <w:rPr>
          <w:rFonts w:ascii="Arial" w:cs="Arial" w:eastAsia="Arial" w:hAnsi="Arial"/>
          <w:sz w:val="12"/>
          <w:szCs w:val="12"/>
          <w:color w:val="auto"/>
        </w:rPr>
        <w:t xml:space="preserve">Our payout rate for the three and nine months ended September 30, 2026 increased compared to 2025, primarily due to changes in the mix of brokerage products and advisory platforms. </w:t>
      </w:r>
      <w:r>
        <w:rPr>
          <w:rFonts w:ascii="Arial" w:cs="Arial" w:eastAsia="Arial" w:hAnsi="Arial"/>
          <w:sz w:val="12"/>
          <w:szCs w:val="12"/>
          <w:i w:val="1"/>
          <w:iCs w:val="1"/>
          <w:color w:val="auto"/>
        </w:rPr>
        <w:t>Compensation and Benefits</w:t>
      </w:r>
    </w:p>
    <w:p>
      <w:pPr>
        <w:spacing w:after="0" w:line="1" w:lineRule="exact"/>
        <w:rPr>
          <w:sz w:val="20"/>
          <w:szCs w:val="20"/>
          <w:color w:val="auto"/>
        </w:rPr>
      </w:pPr>
    </w:p>
    <w:p>
      <w:pPr>
        <w:ind w:right="380"/>
        <w:spacing w:after="0" w:line="286" w:lineRule="auto"/>
        <w:rPr>
          <w:sz w:val="20"/>
          <w:szCs w:val="20"/>
          <w:color w:val="auto"/>
        </w:rPr>
      </w:pPr>
      <w:r>
        <w:rPr>
          <w:rFonts w:ascii="Arial" w:cs="Arial" w:eastAsia="Arial" w:hAnsi="Arial"/>
          <w:sz w:val="12"/>
          <w:szCs w:val="12"/>
          <w:color w:val="auto"/>
        </w:rPr>
        <w:t>Compensation and benefits expense includes salaries, wages, benefits, share-based compensation and related taxes for our employees, as well as compensation for temporary workers and contractors. The following table sets forth the number of employees for the periods presented: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9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September 30,</w:t>
            </w:r>
          </w:p>
        </w:tc>
        <w:tc>
          <w:tcPr>
            <w:tcW w:w="1580" w:type="dxa"/>
            <w:vAlign w:val="bottom"/>
          </w:tcPr>
          <w:p>
            <w:pPr>
              <w:spacing w:after="0"/>
              <w:rPr>
                <w:sz w:val="12"/>
                <w:szCs w:val="12"/>
                <w:color w:val="auto"/>
              </w:rPr>
            </w:pPr>
          </w:p>
        </w:tc>
      </w:tr>
      <w:tr>
        <w:trPr>
          <w:trHeight w:val="133"/>
        </w:trPr>
        <w:tc>
          <w:tcPr>
            <w:tcW w:w="6960" w:type="dxa"/>
            <w:vAlign w:val="bottom"/>
            <w:tcBorders>
              <w:bottom w:val="single" w:sz="8" w:color="DBDBDB"/>
            </w:tcBorders>
          </w:tcPr>
          <w:p>
            <w:pPr>
              <w:spacing w:after="0"/>
              <w:rPr>
                <w:sz w:val="11"/>
                <w:szCs w:val="11"/>
                <w:color w:val="auto"/>
              </w:rPr>
            </w:pPr>
          </w:p>
        </w:tc>
        <w:tc>
          <w:tcPr>
            <w:tcW w:w="9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2026</w:t>
            </w:r>
          </w:p>
        </w:tc>
        <w:tc>
          <w:tcPr>
            <w:tcW w:w="18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r>
      <w:tr>
        <w:trPr>
          <w:trHeight w:val="133"/>
        </w:trPr>
        <w:tc>
          <w:tcPr>
            <w:tcW w:w="6960" w:type="dxa"/>
            <w:vAlign w:val="bottom"/>
            <w:shd w:val="clear" w:color="auto" w:fill="DBDBDB"/>
          </w:tcPr>
          <w:p>
            <w:pPr>
              <w:spacing w:after="0"/>
              <w:rPr>
                <w:sz w:val="20"/>
                <w:szCs w:val="20"/>
                <w:color w:val="auto"/>
              </w:rPr>
            </w:pPr>
            <w:r>
              <w:rPr>
                <w:rFonts w:ascii="Arial" w:cs="Arial" w:eastAsia="Arial" w:hAnsi="Arial"/>
                <w:sz w:val="11"/>
                <w:szCs w:val="11"/>
                <w:color w:val="auto"/>
              </w:rPr>
              <w:t>Number of employees</w:t>
            </w:r>
          </w:p>
        </w:tc>
        <w:tc>
          <w:tcPr>
            <w:tcW w:w="92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10,417</w:t>
            </w:r>
          </w:p>
        </w:tc>
        <w:tc>
          <w:tcPr>
            <w:tcW w:w="1840" w:type="dxa"/>
            <w:vAlign w:val="bottom"/>
            <w:shd w:val="clear" w:color="auto" w:fill="DBDBDB"/>
          </w:tcPr>
          <w:p>
            <w:pPr>
              <w:jc w:val="right"/>
              <w:ind w:right="506"/>
              <w:spacing w:after="0"/>
              <w:rPr>
                <w:sz w:val="20"/>
                <w:szCs w:val="20"/>
                <w:color w:val="auto"/>
              </w:rPr>
            </w:pPr>
            <w:r>
              <w:rPr>
                <w:rFonts w:ascii="Arial" w:cs="Arial" w:eastAsia="Arial" w:hAnsi="Arial"/>
                <w:sz w:val="11"/>
                <w:szCs w:val="11"/>
                <w:color w:val="auto"/>
              </w:rPr>
              <w:t>10,116</w:t>
            </w:r>
          </w:p>
        </w:tc>
        <w:tc>
          <w:tcPr>
            <w:tcW w:w="1580" w:type="dxa"/>
            <w:vAlign w:val="bottom"/>
            <w:shd w:val="clear" w:color="auto" w:fill="DBDBDB"/>
          </w:tcPr>
          <w:p>
            <w:pPr>
              <w:jc w:val="right"/>
              <w:ind w:right="646"/>
              <w:spacing w:after="0"/>
              <w:rPr>
                <w:sz w:val="20"/>
                <w:szCs w:val="20"/>
                <w:color w:val="auto"/>
              </w:rPr>
            </w:pPr>
            <w:r>
              <w:rPr>
                <w:rFonts w:ascii="Arial" w:cs="Arial" w:eastAsia="Arial" w:hAnsi="Arial"/>
                <w:sz w:val="11"/>
                <w:szCs w:val="11"/>
                <w:color w:val="auto"/>
              </w:rPr>
              <w:t>3%</w:t>
            </w:r>
          </w:p>
        </w:tc>
      </w:tr>
    </w:tbl>
    <w:p>
      <w:pPr>
        <w:spacing w:after="0" w:line="122" w:lineRule="exact"/>
        <w:rPr>
          <w:sz w:val="20"/>
          <w:szCs w:val="20"/>
          <w:color w:val="auto"/>
        </w:rPr>
      </w:pPr>
    </w:p>
    <w:p>
      <w:pPr>
        <w:jc w:val="both"/>
        <w:ind w:right="100"/>
        <w:spacing w:after="0" w:line="268" w:lineRule="auto"/>
        <w:rPr>
          <w:sz w:val="20"/>
          <w:szCs w:val="20"/>
          <w:color w:val="auto"/>
        </w:rPr>
      </w:pPr>
      <w:r>
        <w:rPr>
          <w:rFonts w:ascii="Arial" w:cs="Arial" w:eastAsia="Arial" w:hAnsi="Arial"/>
          <w:sz w:val="12"/>
          <w:szCs w:val="12"/>
          <w:color w:val="auto"/>
        </w:rPr>
        <w:t xml:space="preserve">Compensation and benefits expense for the three and nine months ended September 30, 2026 decreased by $226.9 million and $127.2 million, respectively compared to 2025, primarily due to a decrease in post-combination compensation costs incurred in conjunction with the Commonwealth acquisition during the three months ended September 30, 2025, which were partially offset by an increase in headcount.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within the notes to the condensed consolidated financial statements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Promotional</w:t>
      </w:r>
    </w:p>
    <w:p>
      <w:pPr>
        <w:spacing w:after="0" w:line="76"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Promotional expense includes business development costs related to advisor recruitment and retention, costs related to hosting certain advisory conferences that serve as training, sales and marketing events, and other costs that support advisor business growth. Promotional expense for the three and nine months ended September 30,</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color w:val="auto"/>
        </w:rPr>
        <w:t>2026 increased by $27.2 million and $132.4 million, respectively, compared to 2025, primarily due to increases in recruited assets and advisors that led to higher costs to support transition assistance, retention, training and education, as well as increased legal expenses.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Occupancy and Equipment</w:t>
      </w:r>
    </w:p>
    <w:p>
      <w:pPr>
        <w:spacing w:after="0" w:line="76"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 xml:space="preserve">Occupancy and equipment expense includes the costs of leasing and maintaining our office spaces, software licensing and maintenance costs, and maintenance expense on computer hardware and other equipment. Occupancy and equipment expense for the three and nine months ended September 30, 2026 decreased by $150.3 million and $64.9 million, respectively, compared to 2025, primarily due to a decrease in acquisition related expenses incurred in conjunction with the Commonwealth acquisition during the three months ended September 30, 2025, partially offset by increased expenses related to software licenses and our technology portfolio.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within the notes to the condensed consolidated financial statements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76" w:lineRule="exact"/>
        <w:rPr>
          <w:sz w:val="20"/>
          <w:szCs w:val="20"/>
          <w:color w:val="auto"/>
        </w:rPr>
      </w:pPr>
    </w:p>
    <w:p>
      <w:pPr>
        <w:ind w:right="340"/>
        <w:spacing w:after="0" w:line="268" w:lineRule="auto"/>
        <w:rPr>
          <w:sz w:val="20"/>
          <w:szCs w:val="20"/>
          <w:color w:val="auto"/>
        </w:rPr>
      </w:pPr>
      <w:r>
        <w:rPr>
          <w:rFonts w:ascii="Arial" w:cs="Arial" w:eastAsia="Arial" w:hAnsi="Arial"/>
          <w:sz w:val="12"/>
          <w:szCs w:val="12"/>
          <w:color w:val="auto"/>
        </w:rPr>
        <w:t>Depreciation and amortization expense relates to the use of property and equipment, which includes internally developed software, hardware, leasehold improvements and other equipment. Depreciation and amortization expense for the three and nine months ended September 30, 2026 increased by $17.6 million and $44.5 million, respectively, compared to 2025, primarily due to our continued investment in technology to support integrations, enhance our advisor platform and experience, and support onboarding of institutions.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Amortization of Other Intangibles</w:t>
      </w:r>
    </w:p>
    <w:p>
      <w:pPr>
        <w:spacing w:after="0" w:line="76"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 xml:space="preserve">Amortization of other intangibles represents the benefits received for the use of long-lived intangible assets established through our acquisitions. Amortization of other intangibles for the nine months ended September 30, 2026 increased by $56.6 million compared to 2025, primarily due to additional intangible assets acquired in the past year.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within the notes to the condensed consolidated financial statements for additional information.</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Professional Services</w:t>
      </w:r>
    </w:p>
    <w:p>
      <w:pPr>
        <w:spacing w:after="0" w:line="112"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Professional services expense includes costs paid to outside firms for assistance with legal, accounting, technology, regulatory, marketing, and general corporate matters, as well as non-capitalized costs related to service and technology enhancements. Professional services expense for the three months ended September 30, 2026 decreased by $22.3 million compared to 2025, primarily due to a decrease in Commonwealth acquisition-related activity offset by increases related to technology enhancement projects</w:t>
      </w:r>
      <w:r>
        <w:rPr>
          <w:rFonts w:ascii="Arial" w:cs="Arial" w:eastAsia="Arial" w:hAnsi="Arial"/>
          <w:sz w:val="11"/>
          <w:szCs w:val="11"/>
          <w:i w:val="1"/>
          <w:iCs w:val="1"/>
          <w:color w:val="auto"/>
        </w:rPr>
        <w:t>.</w:t>
      </w:r>
      <w:r>
        <w:rPr>
          <w:rFonts w:ascii="Arial" w:cs="Arial" w:eastAsia="Arial" w:hAnsi="Arial"/>
          <w:sz w:val="11"/>
          <w:szCs w:val="11"/>
          <w:color w:val="auto"/>
        </w:rPr>
        <w:t xml:space="preserve"> See Note 4 - </w:t>
      </w:r>
      <w:r>
        <w:rPr>
          <w:rFonts w:ascii="Arial" w:cs="Arial" w:eastAsia="Arial" w:hAnsi="Arial"/>
          <w:sz w:val="11"/>
          <w:szCs w:val="11"/>
          <w:i w:val="1"/>
          <w:iCs w:val="1"/>
          <w:color w:val="auto"/>
        </w:rPr>
        <w:t>Acquisitions,</w:t>
      </w:r>
      <w:r>
        <w:rPr>
          <w:rFonts w:ascii="Arial" w:cs="Arial" w:eastAsia="Arial" w:hAnsi="Arial"/>
          <w:sz w:val="11"/>
          <w:szCs w:val="11"/>
          <w:color w:val="auto"/>
        </w:rPr>
        <w:t xml:space="preserve"> within the notes to the condensed consolidated financial statements for additional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Brokerage, Clearing and Exchange</w:t>
      </w:r>
    </w:p>
    <w:p>
      <w:pPr>
        <w:spacing w:after="0" w:line="76" w:lineRule="exact"/>
        <w:rPr>
          <w:sz w:val="20"/>
          <w:szCs w:val="20"/>
          <w:color w:val="auto"/>
        </w:rPr>
      </w:pPr>
    </w:p>
    <w:p>
      <w:pPr>
        <w:ind w:right="20"/>
        <w:spacing w:after="0" w:line="334" w:lineRule="auto"/>
        <w:rPr>
          <w:sz w:val="20"/>
          <w:szCs w:val="20"/>
          <w:color w:val="auto"/>
        </w:rPr>
      </w:pPr>
      <w:r>
        <w:rPr>
          <w:rFonts w:ascii="Arial" w:cs="Arial" w:eastAsia="Arial" w:hAnsi="Arial"/>
          <w:sz w:val="11"/>
          <w:szCs w:val="11"/>
          <w:color w:val="auto"/>
        </w:rPr>
        <w:t>Brokerage, clearing and exchange expense includes expenses originating from trading or clearing operations as well as any exchange membership fees. These fees fluctuate largely in line with the volume of sales and trading activity. Brokerage, clearing and exchange expense for the nine months ended September 30, 2026 increased by $25.9 million compared to 2025, primarily due to an increase in clearing charges.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w:t>
      </w:r>
    </w:p>
    <w:p>
      <w:pPr>
        <w:spacing w:after="0" w:line="112"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Other expense includes licensing fees, insurance, broker-dealer regulatory fees, travel-related expenses, fair value adjustments to contingent consideration liabilities, the costs of the investigation, settlement and resolution of regulatory matters (including customer restitution and remediation), and other miscellaneous expenses. Other expense for the nine months ended September 30, 2026 increased by $21.7 million compared to 2025, primarily due to fair value adjustments recorded on contingent earnout liabilities and increases in licensing fees.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Provision for Income Taxes</w:t>
      </w:r>
    </w:p>
    <w:p>
      <w:pPr>
        <w:spacing w:after="0" w:line="76" w:lineRule="exact"/>
        <w:rPr>
          <w:sz w:val="20"/>
          <w:szCs w:val="20"/>
          <w:color w:val="auto"/>
        </w:rPr>
      </w:pPr>
    </w:p>
    <w:p>
      <w:pPr>
        <w:ind w:right="60"/>
        <w:spacing w:after="0" w:line="274" w:lineRule="auto"/>
        <w:rPr>
          <w:sz w:val="20"/>
          <w:szCs w:val="20"/>
          <w:color w:val="auto"/>
        </w:rPr>
      </w:pPr>
      <w:r>
        <w:rPr>
          <w:rFonts w:ascii="Arial" w:cs="Arial" w:eastAsia="Arial" w:hAnsi="Arial"/>
          <w:sz w:val="11"/>
          <w:szCs w:val="11"/>
          <w:color w:val="auto"/>
        </w:rPr>
        <w:t>Our effective income tax rate was 26.5% and 13.5% for the three months ended September 30, 2026 and 2025, respectively, and 26.5% and 25.2% for the nine months ended September 30, 2026 and 2025, respectively. The Company’s effective income tax rate differs from the federal corporate tax rate of 21.0%, primarily as a result of state taxes, reserves for uncertain tax positions and non-deductible expenses. Our</w:t>
      </w:r>
    </w:p>
    <w:p>
      <w:pPr>
        <w:ind w:right="620"/>
        <w:spacing w:after="0" w:line="264" w:lineRule="auto"/>
        <w:rPr>
          <w:sz w:val="20"/>
          <w:szCs w:val="20"/>
          <w:color w:val="auto"/>
        </w:rPr>
      </w:pPr>
      <w:r>
        <w:rPr>
          <w:rFonts w:ascii="Arial" w:cs="Arial" w:eastAsia="Arial" w:hAnsi="Arial"/>
          <w:sz w:val="12"/>
          <w:szCs w:val="12"/>
          <w:color w:val="auto"/>
        </w:rPr>
        <w:t>effective income tax rate is reduced by tax benefits received from income tax credits as well as share-based compensation vesting and exercises</w:t>
      </w:r>
      <w:r>
        <w:rPr>
          <w:rFonts w:ascii="Arial" w:cs="Arial" w:eastAsia="Arial" w:hAnsi="Arial"/>
          <w:sz w:val="13"/>
          <w:szCs w:val="13"/>
          <w:color w:val="auto"/>
        </w:rPr>
        <w:t>.</w:t>
      </w:r>
      <w:r>
        <w:rPr>
          <w:rFonts w:ascii="Arial" w:cs="Arial" w:eastAsia="Arial" w:hAnsi="Arial"/>
          <w:sz w:val="12"/>
          <w:szCs w:val="12"/>
          <w:color w:val="auto"/>
        </w:rPr>
        <w:t xml:space="preserve"> The lower effective tax rate for the three months ended September 30, 2025 was primarily driven by the pre-tax book loss in the third quarter of 2025.</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7" w:name="page18"/>
    <w:bookmarkEnd w:id="1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78"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We have established liquidity and capital policies intended to support the execution of strategic initiatives, while meeting regulatory capital requirements and maintaining ongoing and sufficient liquidity. We believe liquidity is of critical importance to the Company and, in particular, to LPL Financial, our primary broker-dealer subsidiary. The objective of our policies is to ensure that we can meet our strategic, operational and regulatory liquidity and capital requirements under both normal operating conditions and under periods of stress in the financial markets.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Our liquidity needs are primarily driven by capital requirements at LPL Financial, interest due on our corporate debt and other capital returns to stockholders. Our liquidity needs at LPL Financial are driven primarily by the level and volatility of our client activity. Management maintains a set of liquidity sources and monitors certain business trends and market metrics closely in an effort to ensure we have sufficient liquidity. We believe that based on current levels of cash flows from operations and anticipated growth, together with available cash balances and external liquidity sources, including continued access to the equity and investment-grade debt markets, we have adequate liquidity to satisfy our short-term and long-term working capital needs, meet all of our obligations, and fund anticipated capital expenditures. The Company maintains ongoing access to the debt markets supported by our investment-grade credit profile, and we also have meaningful liquidity available at the parent level, which can be utilized to support funding needs across the organization as required.</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Parent Company Liquidity</w:t>
      </w:r>
    </w:p>
    <w:p>
      <w:pPr>
        <w:spacing w:after="0" w:line="76"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color w:val="auto"/>
        </w:rPr>
        <w:t>LPL Holdings, Inc. (the “Parent”), the direct holding company of our operating subsidiaries, considers its primary sources of liquidity to be dividends from and excess capital generated by LPL Financial, as well as capacity for additional borrowing under its $2.25 billion unsecured revolving credit facility, which it has the ability to borrow against for working capital and general corporate purposes.</w:t>
      </w:r>
    </w:p>
    <w:p>
      <w:pPr>
        <w:spacing w:after="0" w:line="31" w:lineRule="exact"/>
        <w:rPr>
          <w:sz w:val="20"/>
          <w:szCs w:val="20"/>
          <w:color w:val="auto"/>
        </w:rPr>
      </w:pPr>
    </w:p>
    <w:p>
      <w:pPr>
        <w:jc w:val="both"/>
        <w:ind w:right="600"/>
        <w:spacing w:after="0" w:line="268" w:lineRule="auto"/>
        <w:rPr>
          <w:sz w:val="20"/>
          <w:szCs w:val="20"/>
          <w:color w:val="auto"/>
        </w:rPr>
      </w:pPr>
      <w:r>
        <w:rPr>
          <w:rFonts w:ascii="Arial" w:cs="Arial" w:eastAsia="Arial" w:hAnsi="Arial"/>
          <w:sz w:val="12"/>
          <w:szCs w:val="12"/>
          <w:color w:val="auto"/>
        </w:rPr>
        <w:t>Dividends from and excess capital generated by LPL Financial are primarily generated through our cash flow from operations. Subject to regulatory approval or notification, capital generated by regulated subsidiaries can be distributed to the Parent to the extent the capital levels exceed regulatory requirements, Credit Agreement requirements and internal capital thresholds. During the nine months ended September 30, 2026 and 2025, LPL Financial paid dividends of $615.0 million and $800.0 million to the Parent, respectively.</w:t>
      </w:r>
    </w:p>
    <w:p>
      <w:pPr>
        <w:spacing w:after="0" w:line="42"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color w:val="auto"/>
        </w:rPr>
        <w:t>We believe Corporate Cash, a component of cash and equivalents, is a useful measure of the Parent’s liquidity as it represents the capital available for use in excess of the amount we are required to maintain pursuant to the Credit Agreement. Corporate Cash is the sum of cash and equivalents from the following: (1) cash and equivalents held at the Parent, (2) cash and equivalents held at regulated subsidiaries as defined by the Credit Agreement, which include LPL Financial, LPL Enterprise, The Private Trust Company, N.A. (“PTC”), and CES, in excess of the capital requirements of the Credit Agreement and (3) cash and equivalents held at non-regulated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components of Corporate Cash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60" w:type="dxa"/>
            <w:vAlign w:val="bottom"/>
            <w:tcBorders>
              <w:bottom w:val="single" w:sz="8" w:color="DBDBDB"/>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September 30, 2026</w:t>
            </w:r>
          </w:p>
        </w:tc>
        <w:tc>
          <w:tcPr>
            <w:tcW w:w="3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December 31, 2025</w:t>
            </w:r>
          </w:p>
        </w:tc>
      </w:tr>
      <w:tr>
        <w:trPr>
          <w:trHeight w:val="133"/>
        </w:trPr>
        <w:tc>
          <w:tcPr>
            <w:tcW w:w="71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Cash and equivalents</w:t>
            </w:r>
          </w:p>
        </w:tc>
        <w:tc>
          <w:tcPr>
            <w:tcW w:w="30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1,059,019</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1,037,378</w:t>
            </w:r>
          </w:p>
        </w:tc>
      </w:tr>
      <w:tr>
        <w:trPr>
          <w:trHeight w:val="143"/>
        </w:trPr>
        <w:tc>
          <w:tcPr>
            <w:tcW w:w="7160" w:type="dxa"/>
            <w:vAlign w:val="bottom"/>
          </w:tcPr>
          <w:p>
            <w:pPr>
              <w:ind w:left="80"/>
              <w:spacing w:after="0"/>
              <w:rPr>
                <w:sz w:val="20"/>
                <w:szCs w:val="20"/>
                <w:color w:val="auto"/>
              </w:rPr>
            </w:pPr>
            <w:r>
              <w:rPr>
                <w:rFonts w:ascii="Arial" w:cs="Arial" w:eastAsia="Arial" w:hAnsi="Arial"/>
                <w:sz w:val="11"/>
                <w:szCs w:val="11"/>
                <w:color w:val="auto"/>
              </w:rPr>
              <w:t>Cash at regulated subsidiaries</w:t>
            </w:r>
          </w:p>
        </w:tc>
        <w:tc>
          <w:tcPr>
            <w:tcW w:w="30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(985,736)</w:t>
            </w:r>
          </w:p>
        </w:tc>
        <w:tc>
          <w:tcPr>
            <w:tcW w:w="32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(925,356)</w:t>
            </w:r>
          </w:p>
        </w:tc>
      </w:tr>
      <w:tr>
        <w:trPr>
          <w:trHeight w:val="144"/>
        </w:trPr>
        <w:tc>
          <w:tcPr>
            <w:tcW w:w="7160" w:type="dxa"/>
            <w:vAlign w:val="bottom"/>
            <w:shd w:val="clear" w:color="auto" w:fill="DBDBDB"/>
          </w:tcPr>
          <w:p>
            <w:pPr>
              <w:ind w:left="80"/>
              <w:spacing w:after="0"/>
              <w:rPr>
                <w:sz w:val="20"/>
                <w:szCs w:val="20"/>
                <w:color w:val="auto"/>
              </w:rPr>
            </w:pPr>
            <w:r>
              <w:rPr>
                <w:rFonts w:ascii="Arial" w:cs="Arial" w:eastAsia="Arial" w:hAnsi="Arial"/>
                <w:sz w:val="11"/>
                <w:szCs w:val="11"/>
                <w:color w:val="auto"/>
              </w:rPr>
              <w:t>Excess cash at regulated subsidiaries per the Credit Agreement</w:t>
            </w:r>
          </w:p>
        </w:tc>
        <w:tc>
          <w:tcPr>
            <w:tcW w:w="30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489,476</w:t>
            </w:r>
          </w:p>
        </w:tc>
        <w:tc>
          <w:tcPr>
            <w:tcW w:w="32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357,693</w:t>
            </w:r>
          </w:p>
        </w:tc>
      </w:tr>
      <w:tr>
        <w:trPr>
          <w:trHeight w:val="150"/>
        </w:trPr>
        <w:tc>
          <w:tcPr>
            <w:tcW w:w="7160" w:type="dxa"/>
            <w:vAlign w:val="bottom"/>
            <w:tcBorders>
              <w:bottom w:val="single" w:sz="8" w:color="DBDBDB"/>
            </w:tcBorders>
          </w:tcPr>
          <w:p>
            <w:pPr>
              <w:ind w:left="140"/>
              <w:spacing w:after="0"/>
              <w:rPr>
                <w:sz w:val="20"/>
                <w:szCs w:val="20"/>
                <w:color w:val="auto"/>
              </w:rPr>
            </w:pPr>
            <w:r>
              <w:rPr>
                <w:rFonts w:ascii="Arial" w:cs="Arial" w:eastAsia="Arial" w:hAnsi="Arial"/>
                <w:sz w:val="11"/>
                <w:szCs w:val="11"/>
                <w:b w:val="1"/>
                <w:bCs w:val="1"/>
                <w:color w:val="auto"/>
              </w:rPr>
              <w:t>Corporate Cash</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562,759</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469,715</w:t>
            </w:r>
          </w:p>
        </w:tc>
      </w:tr>
      <w:tr>
        <w:trPr>
          <w:trHeight w:val="153"/>
        </w:trPr>
        <w:tc>
          <w:tcPr>
            <w:tcW w:w="716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76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760" w:type="dxa"/>
            <w:vAlign w:val="bottom"/>
            <w:shd w:val="clear" w:color="auto" w:fill="DBDBDB"/>
          </w:tcPr>
          <w:p>
            <w:pPr>
              <w:spacing w:after="0"/>
              <w:rPr>
                <w:sz w:val="13"/>
                <w:szCs w:val="13"/>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b w:val="1"/>
                <w:bCs w:val="1"/>
                <w:color w:val="auto"/>
              </w:rPr>
              <w:t>Corporate Cash</w:t>
            </w:r>
          </w:p>
        </w:tc>
        <w:tc>
          <w:tcPr>
            <w:tcW w:w="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44"/>
        </w:trPr>
        <w:tc>
          <w:tcPr>
            <w:tcW w:w="716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at the Parent</w:t>
            </w:r>
          </w:p>
        </w:tc>
        <w:tc>
          <w:tcPr>
            <w:tcW w:w="30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44,960</w:t>
            </w:r>
          </w:p>
        </w:tc>
        <w:tc>
          <w:tcPr>
            <w:tcW w:w="320" w:type="dxa"/>
            <w:vAlign w:val="bottom"/>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19,368</w:t>
            </w:r>
          </w:p>
        </w:tc>
      </w:tr>
      <w:tr>
        <w:trPr>
          <w:trHeight w:val="143"/>
        </w:trPr>
        <w:tc>
          <w:tcPr>
            <w:tcW w:w="7160" w:type="dxa"/>
            <w:vAlign w:val="bottom"/>
          </w:tcPr>
          <w:p>
            <w:pPr>
              <w:ind w:left="80"/>
              <w:spacing w:after="0"/>
              <w:rPr>
                <w:sz w:val="20"/>
                <w:szCs w:val="20"/>
                <w:color w:val="auto"/>
              </w:rPr>
            </w:pPr>
            <w:r>
              <w:rPr>
                <w:rFonts w:ascii="Arial" w:cs="Arial" w:eastAsia="Arial" w:hAnsi="Arial"/>
                <w:sz w:val="11"/>
                <w:szCs w:val="11"/>
                <w:color w:val="auto"/>
              </w:rPr>
              <w:t>Excess cash at regulated subsidiaries per the Credit Agreement</w:t>
            </w:r>
          </w:p>
        </w:tc>
        <w:tc>
          <w:tcPr>
            <w:tcW w:w="30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489,476</w:t>
            </w:r>
          </w:p>
        </w:tc>
        <w:tc>
          <w:tcPr>
            <w:tcW w:w="320" w:type="dxa"/>
            <w:vAlign w:val="bottom"/>
          </w:tcPr>
          <w:p>
            <w:pPr>
              <w:spacing w:after="0"/>
              <w:rPr>
                <w:sz w:val="12"/>
                <w:szCs w:val="12"/>
                <w:color w:val="auto"/>
              </w:rPr>
            </w:pPr>
          </w:p>
        </w:tc>
        <w:tc>
          <w:tcPr>
            <w:tcW w:w="1760" w:type="dxa"/>
            <w:vAlign w:val="bottom"/>
          </w:tcPr>
          <w:p>
            <w:pPr>
              <w:jc w:val="right"/>
              <w:ind w:right="6"/>
              <w:spacing w:after="0"/>
              <w:rPr>
                <w:sz w:val="20"/>
                <w:szCs w:val="20"/>
                <w:color w:val="auto"/>
              </w:rPr>
            </w:pPr>
            <w:r>
              <w:rPr>
                <w:rFonts w:ascii="Arial" w:cs="Arial" w:eastAsia="Arial" w:hAnsi="Arial"/>
                <w:sz w:val="11"/>
                <w:szCs w:val="11"/>
                <w:color w:val="auto"/>
              </w:rPr>
              <w:t>357,693</w:t>
            </w:r>
          </w:p>
        </w:tc>
      </w:tr>
      <w:tr>
        <w:trPr>
          <w:trHeight w:val="144"/>
        </w:trPr>
        <w:tc>
          <w:tcPr>
            <w:tcW w:w="716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at non-regulated subsidiaries</w:t>
            </w:r>
          </w:p>
        </w:tc>
        <w:tc>
          <w:tcPr>
            <w:tcW w:w="30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28,323</w:t>
            </w:r>
          </w:p>
        </w:tc>
        <w:tc>
          <w:tcPr>
            <w:tcW w:w="320" w:type="dxa"/>
            <w:vAlign w:val="bottom"/>
            <w:tcBorders>
              <w:bottom w:val="single" w:sz="8" w:color="auto"/>
            </w:tcBorders>
            <w:shd w:val="clear" w:color="auto" w:fill="DBDBDB"/>
          </w:tcPr>
          <w:p>
            <w:pPr>
              <w:spacing w:after="0"/>
              <w:rPr>
                <w:sz w:val="12"/>
                <w:szCs w:val="12"/>
                <w:color w:val="auto"/>
              </w:rPr>
            </w:pPr>
          </w:p>
        </w:tc>
        <w:tc>
          <w:tcPr>
            <w:tcW w:w="17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92,654</w:t>
            </w:r>
          </w:p>
        </w:tc>
      </w:tr>
      <w:tr>
        <w:trPr>
          <w:trHeight w:val="134"/>
        </w:trPr>
        <w:tc>
          <w:tcPr>
            <w:tcW w:w="7160" w:type="dxa"/>
            <w:vAlign w:val="bottom"/>
          </w:tcPr>
          <w:p>
            <w:pPr>
              <w:ind w:left="140"/>
              <w:spacing w:after="0"/>
              <w:rPr>
                <w:sz w:val="20"/>
                <w:szCs w:val="20"/>
                <w:color w:val="auto"/>
              </w:rPr>
            </w:pPr>
            <w:r>
              <w:rPr>
                <w:rFonts w:ascii="Arial" w:cs="Arial" w:eastAsia="Arial" w:hAnsi="Arial"/>
                <w:sz w:val="11"/>
                <w:szCs w:val="11"/>
                <w:b w:val="1"/>
                <w:bCs w:val="1"/>
                <w:color w:val="auto"/>
              </w:rPr>
              <w:t>Corporate Cash</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562,759</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469,715</w:t>
            </w: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160"/>
        <w:spacing w:after="0" w:line="286" w:lineRule="auto"/>
        <w:rPr>
          <w:sz w:val="20"/>
          <w:szCs w:val="20"/>
          <w:color w:val="auto"/>
        </w:rPr>
      </w:pPr>
      <w:r>
        <w:rPr>
          <w:rFonts w:ascii="Arial" w:cs="Arial" w:eastAsia="Arial" w:hAnsi="Arial"/>
          <w:sz w:val="12"/>
          <w:szCs w:val="12"/>
          <w:color w:val="auto"/>
        </w:rPr>
        <w:t>Corporate Cash is monitored as part of our liquidity risk management strategy. Corporate Cash increased by $93.0 million during the nine months ended September 30, 2026 as we continue our normal course of operations and reinvestments into the business.</w:t>
      </w:r>
    </w:p>
    <w:p>
      <w:pPr>
        <w:spacing w:after="0" w:line="31" w:lineRule="exact"/>
        <w:rPr>
          <w:sz w:val="20"/>
          <w:szCs w:val="20"/>
          <w:color w:val="auto"/>
        </w:rPr>
      </w:pPr>
    </w:p>
    <w:p>
      <w:pPr>
        <w:ind w:right="340"/>
        <w:spacing w:after="0" w:line="286" w:lineRule="auto"/>
        <w:rPr>
          <w:sz w:val="20"/>
          <w:szCs w:val="20"/>
          <w:color w:val="auto"/>
        </w:rPr>
      </w:pPr>
      <w:r>
        <w:rPr>
          <w:rFonts w:ascii="Arial" w:cs="Arial" w:eastAsia="Arial" w:hAnsi="Arial"/>
          <w:sz w:val="12"/>
          <w:szCs w:val="12"/>
          <w:color w:val="auto"/>
        </w:rPr>
        <w:t>We actively monitor changes to our liquidity needs caused by general business volumes and price volatility, including higher margin requirements of clearing corporations and exchanges, and stress scenarios involving a sustained market downturn and the persistence of current interest rates. We believe that based on current levels 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u w:val="single" w:color="auto"/>
          <w:color w:val="0000FF"/>
        </w:rPr>
        <w:t>Table of Contents</w:t>
      </w:r>
    </w:p>
    <w:p>
      <w:pPr>
        <w:spacing w:after="0" w:line="293"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operations and anticipated growth, our cash flow from operations, together with other available sources of funds, which include five uncommitted lines of credit, the revolving credit facility established through our Credit Agreement and the committed revolving credit facility of LPL Financial, will provide us with adequate liquidity to satisfy our short-term and long-term working capital needs, the payment of all of our obligations and the funding of anticipated capital expenditures.</w:t>
      </w:r>
    </w:p>
    <w:p>
      <w:pPr>
        <w:spacing w:after="0" w:line="42"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regularly evaluate our existing indebtedness, including potential issuances and refinancing opportunities, based on a number of factors, including our capital requirements, future prospects, contractual restrictions, the availability of refinancing on attractive terms and general market conditions. As of September 30, 2026, the earliest principal maturity date for our corporate debt with outstanding balances is in 2027 and our revolving credit facilities and uncommitted lines of credit mature between 2027 and 2029.</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Share Repurchases</w:t>
      </w:r>
    </w:p>
    <w:p>
      <w:pPr>
        <w:spacing w:after="0" w:line="67" w:lineRule="exact"/>
        <w:rPr>
          <w:sz w:val="20"/>
          <w:szCs w:val="20"/>
          <w:color w:val="auto"/>
        </w:rPr>
      </w:pPr>
    </w:p>
    <w:p>
      <w:pPr>
        <w:ind w:right="100"/>
        <w:spacing w:after="0"/>
        <w:rPr>
          <w:sz w:val="20"/>
          <w:szCs w:val="20"/>
          <w:color w:val="auto"/>
        </w:rPr>
      </w:pPr>
      <w:r>
        <w:rPr>
          <w:rFonts w:ascii="Arial" w:cs="Arial" w:eastAsia="Arial" w:hAnsi="Arial"/>
          <w:sz w:val="12"/>
          <w:szCs w:val="12"/>
          <w:color w:val="auto"/>
        </w:rPr>
        <w:t xml:space="preserve">We engage in a share repurchase program that was approved by our Board, pursuant to which we may repurchase our issued and outstanding shares of common stock from time to time. Purchases may be effected in open market or privately negotiated transactions. On July 23, 2026, the Board authorized a new repurchase program that increased the amount available for repurchases of the Company’s issued and outstanding common shares by $2.5 billion. Our current capital deployment framework remains focused on investing in organic growth first, pursuing acquisitions where appropriate and returning excess capital to stockholders. We repurchased approximately 1.9 million shares for a total of $610.0 million during the nine months ended September 30, 2026. As of September 30, 2026, we had $2.5 billion remaining under our repurchase program. The timing and amount of share repurchases, if any, is determined at our discretion within the constraints of our Credit Agreement, applicable laws and consideration of our general liquidity needs. See Part II, Item 2 - </w:t>
      </w:r>
      <w:r>
        <w:rPr>
          <w:rFonts w:ascii="Arial" w:cs="Arial" w:eastAsia="Arial" w:hAnsi="Arial"/>
          <w:sz w:val="12"/>
          <w:szCs w:val="12"/>
          <w:i w:val="1"/>
          <w:iCs w:val="1"/>
          <w:color w:val="auto"/>
        </w:rPr>
        <w:t>Unregistered Sales of Equity Securities and Use of Proceeds</w:t>
      </w:r>
      <w:r>
        <w:rPr>
          <w:rFonts w:ascii="Arial" w:cs="Arial" w:eastAsia="Arial" w:hAnsi="Arial"/>
          <w:sz w:val="12"/>
          <w:szCs w:val="12"/>
          <w:color w:val="auto"/>
        </w:rPr>
        <w:t xml:space="preserve"> and Note 11 - </w:t>
      </w:r>
      <w:r>
        <w:rPr>
          <w:rFonts w:ascii="Arial" w:cs="Arial" w:eastAsia="Arial" w:hAnsi="Arial"/>
          <w:sz w:val="12"/>
          <w:szCs w:val="12"/>
          <w:i w:val="1"/>
          <w:iCs w:val="1"/>
          <w:color w:val="auto"/>
        </w:rPr>
        <w:t>Stockholders’ Equity</w:t>
      </w:r>
      <w:r>
        <w:rPr>
          <w:rFonts w:ascii="Arial" w:cs="Arial" w:eastAsia="Arial" w:hAnsi="Arial"/>
          <w:sz w:val="12"/>
          <w:szCs w:val="12"/>
          <w:color w:val="auto"/>
        </w:rPr>
        <w:t>, within the notes to the condensed consolidated financial statements for additional information regarding our share repurchases.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Stock Dividends</w:t>
      </w:r>
    </w:p>
    <w:p>
      <w:pPr>
        <w:spacing w:after="0" w:line="76" w:lineRule="exact"/>
        <w:rPr>
          <w:sz w:val="20"/>
          <w:szCs w:val="20"/>
          <w:color w:val="auto"/>
        </w:rPr>
      </w:pPr>
    </w:p>
    <w:p>
      <w:pPr>
        <w:ind w:right="420"/>
        <w:spacing w:after="0" w:line="286" w:lineRule="auto"/>
        <w:rPr>
          <w:sz w:val="20"/>
          <w:szCs w:val="20"/>
          <w:color w:val="auto"/>
        </w:rPr>
      </w:pPr>
      <w:r>
        <w:rPr>
          <w:rFonts w:ascii="Arial" w:cs="Arial" w:eastAsia="Arial" w:hAnsi="Arial"/>
          <w:sz w:val="12"/>
          <w:szCs w:val="12"/>
          <w:color w:val="auto"/>
        </w:rPr>
        <w:t xml:space="preserve">The payment, timing and amount of any dividends are subject to approval by LPLFH’s Board, as well as certain limits under our Credit Agreement. See Note 11 - </w:t>
      </w:r>
      <w:r>
        <w:rPr>
          <w:rFonts w:ascii="Arial" w:cs="Arial" w:eastAsia="Arial" w:hAnsi="Arial"/>
          <w:sz w:val="12"/>
          <w:szCs w:val="12"/>
          <w:i w:val="1"/>
          <w:iCs w:val="1"/>
          <w:color w:val="auto"/>
        </w:rPr>
        <w:t>Stockholders’ Equity</w:t>
      </w:r>
      <w:r>
        <w:rPr>
          <w:rFonts w:ascii="Arial" w:cs="Arial" w:eastAsia="Arial" w:hAnsi="Arial"/>
          <w:sz w:val="12"/>
          <w:szCs w:val="12"/>
          <w:color w:val="auto"/>
        </w:rPr>
        <w:t>, within the notes to the condensed consolidated financial statements for additional information regarding our dividends.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LPL Financial Liquidity</w:t>
      </w:r>
    </w:p>
    <w:p>
      <w:pPr>
        <w:spacing w:after="0" w:line="157" w:lineRule="exact"/>
        <w:rPr>
          <w:sz w:val="20"/>
          <w:szCs w:val="20"/>
          <w:color w:val="auto"/>
        </w:rPr>
      </w:pPr>
    </w:p>
    <w:p>
      <w:pPr>
        <w:ind w:right="480"/>
        <w:spacing w:after="0" w:line="270" w:lineRule="auto"/>
        <w:rPr>
          <w:sz w:val="20"/>
          <w:szCs w:val="20"/>
          <w:color w:val="auto"/>
        </w:rPr>
      </w:pPr>
      <w:r>
        <w:rPr>
          <w:rFonts w:ascii="Arial" w:cs="Arial" w:eastAsia="Arial" w:hAnsi="Arial"/>
          <w:sz w:val="12"/>
          <w:szCs w:val="12"/>
          <w:color w:val="auto"/>
        </w:rPr>
        <w:t>LPL Financial relies primarily on client payables to fund margin lending. LPL Financial maintains additional liquidity through external lines of credit totaling $1.2 billion at September 30, 2026, as well as two additional lines of credit with unspecified limits. LPL Financial also maintains a line of credit with the Parent.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External Liquidity Sources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amounts outstanding and available under our external lines of credit at September 30, 2026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Description</w:t>
            </w:r>
          </w:p>
        </w:tc>
        <w:tc>
          <w:tcPr>
            <w:tcW w:w="2520" w:type="dxa"/>
            <w:vAlign w:val="bottom"/>
            <w:tcBorders>
              <w:bottom w:val="single" w:sz="8" w:color="auto"/>
            </w:tcBorders>
          </w:tcPr>
          <w:p>
            <w:pPr>
              <w:ind w:left="1120"/>
              <w:spacing w:after="0"/>
              <w:rPr>
                <w:sz w:val="20"/>
                <w:szCs w:val="20"/>
                <w:color w:val="auto"/>
              </w:rPr>
            </w:pPr>
            <w:r>
              <w:rPr>
                <w:rFonts w:ascii="Arial" w:cs="Arial" w:eastAsia="Arial" w:hAnsi="Arial"/>
                <w:sz w:val="11"/>
                <w:szCs w:val="11"/>
                <w:b w:val="1"/>
                <w:bCs w:val="1"/>
                <w:color w:val="auto"/>
              </w:rPr>
              <w:t>Borrower</w:t>
            </w:r>
          </w:p>
        </w:tc>
        <w:tc>
          <w:tcPr>
            <w:tcW w:w="178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Maturity Date</w:t>
            </w:r>
          </w:p>
        </w:tc>
        <w:tc>
          <w:tcPr>
            <w:tcW w:w="17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Outstanding</w:t>
            </w: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Available</w:t>
            </w:r>
          </w:p>
        </w:tc>
      </w:tr>
      <w:tr>
        <w:trPr>
          <w:trHeight w:val="133"/>
        </w:trPr>
        <w:tc>
          <w:tcPr>
            <w:tcW w:w="3100" w:type="dxa"/>
            <w:vAlign w:val="bottom"/>
            <w:shd w:val="clear" w:color="auto" w:fill="DBDBDB"/>
          </w:tcPr>
          <w:p>
            <w:pPr>
              <w:spacing w:after="0"/>
              <w:rPr>
                <w:sz w:val="20"/>
                <w:szCs w:val="20"/>
                <w:color w:val="auto"/>
              </w:rPr>
            </w:pPr>
            <w:r>
              <w:rPr>
                <w:rFonts w:ascii="Arial" w:cs="Arial" w:eastAsia="Arial" w:hAnsi="Arial"/>
                <w:sz w:val="11"/>
                <w:szCs w:val="11"/>
                <w:color w:val="auto"/>
              </w:rPr>
              <w:t>Senior unsecured, revolving credit facility</w:t>
            </w:r>
          </w:p>
        </w:tc>
        <w:tc>
          <w:tcPr>
            <w:tcW w:w="2520" w:type="dxa"/>
            <w:vAlign w:val="bottom"/>
            <w:shd w:val="clear" w:color="auto" w:fill="DBDBDB"/>
          </w:tcPr>
          <w:p>
            <w:pPr>
              <w:ind w:left="1120"/>
              <w:spacing w:after="0"/>
              <w:rPr>
                <w:sz w:val="20"/>
                <w:szCs w:val="20"/>
                <w:color w:val="auto"/>
              </w:rPr>
            </w:pPr>
            <w:r>
              <w:rPr>
                <w:rFonts w:ascii="Arial" w:cs="Arial" w:eastAsia="Arial" w:hAnsi="Arial"/>
                <w:sz w:val="11"/>
                <w:szCs w:val="11"/>
                <w:color w:val="auto"/>
              </w:rPr>
              <w:t>LPL Holdings, Inc.</w:t>
            </w:r>
          </w:p>
        </w:tc>
        <w:tc>
          <w:tcPr>
            <w:tcW w:w="1780" w:type="dxa"/>
            <w:vAlign w:val="bottom"/>
            <w:shd w:val="clear" w:color="auto" w:fill="DBDBDB"/>
          </w:tcPr>
          <w:p>
            <w:pPr>
              <w:ind w:left="520"/>
              <w:spacing w:after="0"/>
              <w:rPr>
                <w:sz w:val="20"/>
                <w:szCs w:val="20"/>
                <w:color w:val="auto"/>
              </w:rPr>
            </w:pPr>
            <w:r>
              <w:rPr>
                <w:rFonts w:ascii="Arial" w:cs="Arial" w:eastAsia="Arial" w:hAnsi="Arial"/>
                <w:sz w:val="11"/>
                <w:szCs w:val="11"/>
                <w:color w:val="auto"/>
              </w:rPr>
              <w:t>May 2029</w:t>
            </w:r>
          </w:p>
        </w:tc>
        <w:tc>
          <w:tcPr>
            <w:tcW w:w="1760" w:type="dxa"/>
            <w:vAlign w:val="bottom"/>
            <w:shd w:val="clear" w:color="auto" w:fill="DBDBDB"/>
          </w:tcPr>
          <w:p>
            <w:pPr>
              <w:jc w:val="right"/>
              <w:ind w:right="1066"/>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ind w:left="120"/>
              <w:spacing w:after="0"/>
              <w:rPr>
                <w:sz w:val="20"/>
                <w:szCs w:val="20"/>
                <w:color w:val="auto"/>
              </w:rPr>
            </w:pPr>
            <w:r>
              <w:rPr>
                <w:rFonts w:ascii="Arial" w:cs="Arial" w:eastAsia="Arial" w:hAnsi="Arial"/>
                <w:sz w:val="11"/>
                <w:szCs w:val="11"/>
                <w:color w:val="auto"/>
                <w:w w:val="97"/>
              </w:rPr>
              <w:t>616</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1,633</w:t>
            </w:r>
          </w:p>
        </w:tc>
      </w:tr>
      <w:tr>
        <w:trPr>
          <w:trHeight w:val="143"/>
        </w:trPr>
        <w:tc>
          <w:tcPr>
            <w:tcW w:w="3100" w:type="dxa"/>
            <w:vAlign w:val="bottom"/>
          </w:tcPr>
          <w:p>
            <w:pPr>
              <w:spacing w:after="0"/>
              <w:rPr>
                <w:sz w:val="20"/>
                <w:szCs w:val="20"/>
                <w:color w:val="auto"/>
              </w:rPr>
            </w:pPr>
            <w:r>
              <w:rPr>
                <w:rFonts w:ascii="Arial" w:cs="Arial" w:eastAsia="Arial" w:hAnsi="Arial"/>
                <w:sz w:val="11"/>
                <w:szCs w:val="11"/>
                <w:color w:val="auto"/>
              </w:rPr>
              <w:t>Broker-dealer revolving credit facility</w:t>
            </w:r>
          </w:p>
        </w:tc>
        <w:tc>
          <w:tcPr>
            <w:tcW w:w="2520" w:type="dxa"/>
            <w:vAlign w:val="bottom"/>
          </w:tcPr>
          <w:p>
            <w:pPr>
              <w:ind w:left="1120"/>
              <w:spacing w:after="0"/>
              <w:rPr>
                <w:sz w:val="20"/>
                <w:szCs w:val="20"/>
                <w:color w:val="auto"/>
              </w:rPr>
            </w:pPr>
            <w:r>
              <w:rPr>
                <w:rFonts w:ascii="Arial" w:cs="Arial" w:eastAsia="Arial" w:hAnsi="Arial"/>
                <w:sz w:val="11"/>
                <w:szCs w:val="11"/>
                <w:color w:val="auto"/>
              </w:rPr>
              <w:t>LPL Financial LLC</w:t>
            </w:r>
          </w:p>
        </w:tc>
        <w:tc>
          <w:tcPr>
            <w:tcW w:w="1780" w:type="dxa"/>
            <w:vAlign w:val="bottom"/>
          </w:tcPr>
          <w:p>
            <w:pPr>
              <w:ind w:left="520"/>
              <w:spacing w:after="0"/>
              <w:rPr>
                <w:sz w:val="20"/>
                <w:szCs w:val="20"/>
                <w:color w:val="auto"/>
              </w:rPr>
            </w:pPr>
            <w:r>
              <w:rPr>
                <w:rFonts w:ascii="Arial" w:cs="Arial" w:eastAsia="Arial" w:hAnsi="Arial"/>
                <w:sz w:val="11"/>
                <w:szCs w:val="11"/>
                <w:color w:val="auto"/>
              </w:rPr>
              <w:t>May 2027</w:t>
            </w:r>
          </w:p>
        </w:tc>
        <w:tc>
          <w:tcPr>
            <w:tcW w:w="1760" w:type="dxa"/>
            <w:vAlign w:val="bottom"/>
          </w:tcPr>
          <w:p>
            <w:pPr>
              <w:jc w:val="right"/>
              <w:ind w:right="1066"/>
              <w:spacing w:after="0"/>
              <w:rPr>
                <w:sz w:val="20"/>
                <w:szCs w:val="20"/>
                <w:color w:val="auto"/>
              </w:rPr>
            </w:pPr>
            <w:r>
              <w:rPr>
                <w:rFonts w:ascii="Arial" w:cs="Arial" w:eastAsia="Arial" w:hAnsi="Arial"/>
                <w:sz w:val="11"/>
                <w:szCs w:val="11"/>
                <w:color w:val="auto"/>
              </w:rPr>
              <w:t>$</w:t>
            </w:r>
          </w:p>
        </w:tc>
        <w:tc>
          <w:tcPr>
            <w:tcW w:w="320" w:type="dxa"/>
            <w:vAlign w:val="bottom"/>
          </w:tcPr>
          <w:p>
            <w:pPr>
              <w:ind w:left="180"/>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1,000</w:t>
            </w:r>
          </w:p>
        </w:tc>
      </w:tr>
      <w:tr>
        <w:trPr>
          <w:trHeight w:val="145"/>
        </w:trPr>
        <w:tc>
          <w:tcPr>
            <w:tcW w:w="3100" w:type="dxa"/>
            <w:vAlign w:val="bottom"/>
            <w:shd w:val="clear" w:color="auto" w:fill="DBDBDB"/>
          </w:tcPr>
          <w:p>
            <w:pPr>
              <w:spacing w:after="0"/>
              <w:rPr>
                <w:sz w:val="20"/>
                <w:szCs w:val="20"/>
                <w:color w:val="auto"/>
              </w:rPr>
            </w:pPr>
            <w:r>
              <w:rPr>
                <w:rFonts w:ascii="Arial" w:cs="Arial" w:eastAsia="Arial" w:hAnsi="Arial"/>
                <w:sz w:val="11"/>
                <w:szCs w:val="11"/>
                <w:color w:val="auto"/>
              </w:rPr>
              <w:t>Unsecured, uncommitted lines of credit</w:t>
            </w:r>
          </w:p>
        </w:tc>
        <w:tc>
          <w:tcPr>
            <w:tcW w:w="2520" w:type="dxa"/>
            <w:vAlign w:val="bottom"/>
            <w:shd w:val="clear" w:color="auto" w:fill="DBDBDB"/>
          </w:tcPr>
          <w:p>
            <w:pPr>
              <w:ind w:left="1120"/>
              <w:spacing w:after="0"/>
              <w:rPr>
                <w:sz w:val="20"/>
                <w:szCs w:val="20"/>
                <w:color w:val="auto"/>
              </w:rPr>
            </w:pPr>
            <w:r>
              <w:rPr>
                <w:rFonts w:ascii="Arial" w:cs="Arial" w:eastAsia="Arial" w:hAnsi="Arial"/>
                <w:sz w:val="11"/>
                <w:szCs w:val="11"/>
                <w:color w:val="auto"/>
              </w:rPr>
              <w:t>LPL Financial LLC</w:t>
            </w:r>
          </w:p>
        </w:tc>
        <w:tc>
          <w:tcPr>
            <w:tcW w:w="1780" w:type="dxa"/>
            <w:vAlign w:val="bottom"/>
            <w:shd w:val="clear" w:color="auto" w:fill="DBDBDB"/>
          </w:tcPr>
          <w:p>
            <w:pPr>
              <w:ind w:left="520"/>
              <w:spacing w:after="0"/>
              <w:rPr>
                <w:sz w:val="20"/>
                <w:szCs w:val="20"/>
                <w:color w:val="auto"/>
              </w:rPr>
            </w:pPr>
            <w:r>
              <w:rPr>
                <w:rFonts w:ascii="Arial" w:cs="Arial" w:eastAsia="Arial" w:hAnsi="Arial"/>
                <w:sz w:val="11"/>
                <w:szCs w:val="11"/>
                <w:color w:val="auto"/>
              </w:rPr>
              <w:t>None</w:t>
            </w:r>
          </w:p>
        </w:tc>
        <w:tc>
          <w:tcPr>
            <w:tcW w:w="1760" w:type="dxa"/>
            <w:vAlign w:val="bottom"/>
            <w:shd w:val="clear" w:color="auto" w:fill="DBDBDB"/>
          </w:tcPr>
          <w:p>
            <w:pPr>
              <w:jc w:val="right"/>
              <w:ind w:right="1066"/>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DBDBDB"/>
          </w:tcPr>
          <w:p>
            <w:pPr>
              <w:ind w:left="18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3100" w:type="dxa"/>
            <w:vAlign w:val="bottom"/>
          </w:tcPr>
          <w:p>
            <w:pPr>
              <w:spacing w:after="0"/>
              <w:rPr>
                <w:sz w:val="20"/>
                <w:szCs w:val="20"/>
                <w:color w:val="auto"/>
              </w:rPr>
            </w:pPr>
            <w:r>
              <w:rPr>
                <w:rFonts w:ascii="Arial" w:cs="Arial" w:eastAsia="Arial" w:hAnsi="Arial"/>
                <w:sz w:val="11"/>
                <w:szCs w:val="11"/>
                <w:color w:val="auto"/>
              </w:rPr>
              <w:t>Unsecured, uncommitted lines of credit</w:t>
            </w:r>
          </w:p>
        </w:tc>
        <w:tc>
          <w:tcPr>
            <w:tcW w:w="2520" w:type="dxa"/>
            <w:vAlign w:val="bottom"/>
          </w:tcPr>
          <w:p>
            <w:pPr>
              <w:ind w:left="1120"/>
              <w:spacing w:after="0"/>
              <w:rPr>
                <w:sz w:val="20"/>
                <w:szCs w:val="20"/>
                <w:color w:val="auto"/>
              </w:rPr>
            </w:pPr>
            <w:r>
              <w:rPr>
                <w:rFonts w:ascii="Arial" w:cs="Arial" w:eastAsia="Arial" w:hAnsi="Arial"/>
                <w:sz w:val="11"/>
                <w:szCs w:val="11"/>
                <w:color w:val="auto"/>
              </w:rPr>
              <w:t>LPL Financial LLC</w:t>
            </w:r>
          </w:p>
        </w:tc>
        <w:tc>
          <w:tcPr>
            <w:tcW w:w="1780" w:type="dxa"/>
            <w:vAlign w:val="bottom"/>
          </w:tcPr>
          <w:p>
            <w:pPr>
              <w:ind w:left="520"/>
              <w:spacing w:after="0"/>
              <w:rPr>
                <w:sz w:val="20"/>
                <w:szCs w:val="20"/>
                <w:color w:val="auto"/>
              </w:rPr>
            </w:pPr>
            <w:r>
              <w:rPr>
                <w:rFonts w:ascii="Arial" w:cs="Arial" w:eastAsia="Arial" w:hAnsi="Arial"/>
                <w:sz w:val="11"/>
                <w:szCs w:val="11"/>
                <w:color w:val="auto"/>
              </w:rPr>
              <w:t>None</w:t>
            </w:r>
          </w:p>
        </w:tc>
        <w:tc>
          <w:tcPr>
            <w:tcW w:w="1760" w:type="dxa"/>
            <w:vAlign w:val="bottom"/>
          </w:tcPr>
          <w:p>
            <w:pPr>
              <w:jc w:val="right"/>
              <w:ind w:right="1066"/>
              <w:spacing w:after="0"/>
              <w:rPr>
                <w:sz w:val="20"/>
                <w:szCs w:val="20"/>
                <w:color w:val="auto"/>
              </w:rPr>
            </w:pPr>
            <w:r>
              <w:rPr>
                <w:rFonts w:ascii="Arial" w:cs="Arial" w:eastAsia="Arial" w:hAnsi="Arial"/>
                <w:sz w:val="11"/>
                <w:szCs w:val="11"/>
                <w:color w:val="auto"/>
              </w:rPr>
              <w:t>$</w:t>
            </w:r>
          </w:p>
        </w:tc>
        <w:tc>
          <w:tcPr>
            <w:tcW w:w="640" w:type="dxa"/>
            <w:vAlign w:val="bottom"/>
            <w:gridSpan w:val="2"/>
          </w:tcPr>
          <w:p>
            <w:pPr>
              <w:ind w:left="180"/>
              <w:spacing w:after="0"/>
              <w:rPr>
                <w:sz w:val="20"/>
                <w:szCs w:val="20"/>
                <w:color w:val="auto"/>
              </w:rPr>
            </w:pPr>
            <w:r>
              <w:rPr>
                <w:rFonts w:ascii="Arial" w:cs="Arial" w:eastAsia="Arial" w:hAnsi="Arial"/>
                <w:sz w:val="11"/>
                <w:szCs w:val="11"/>
                <w:color w:val="auto"/>
              </w:rPr>
              <w:t>— $</w:t>
            </w:r>
          </w:p>
        </w:tc>
        <w:tc>
          <w:tcPr>
            <w:tcW w:w="1240" w:type="dxa"/>
            <w:vAlign w:val="bottom"/>
          </w:tcPr>
          <w:p>
            <w:pPr>
              <w:jc w:val="right"/>
              <w:spacing w:after="0"/>
              <w:rPr>
                <w:sz w:val="20"/>
                <w:szCs w:val="20"/>
                <w:color w:val="auto"/>
              </w:rPr>
            </w:pPr>
            <w:r>
              <w:rPr>
                <w:rFonts w:ascii="Arial" w:cs="Arial" w:eastAsia="Arial" w:hAnsi="Arial"/>
                <w:sz w:val="11"/>
                <w:szCs w:val="11"/>
                <w:color w:val="auto"/>
              </w:rPr>
              <w:t>50</w:t>
            </w:r>
          </w:p>
        </w:tc>
      </w:tr>
      <w:tr>
        <w:trPr>
          <w:trHeight w:val="145"/>
        </w:trPr>
        <w:tc>
          <w:tcPr>
            <w:tcW w:w="310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520" w:type="dxa"/>
            <w:vAlign w:val="bottom"/>
            <w:shd w:val="clear" w:color="auto" w:fill="DBDBDB"/>
          </w:tcPr>
          <w:p>
            <w:pPr>
              <w:ind w:left="1120"/>
              <w:spacing w:after="0"/>
              <w:rPr>
                <w:sz w:val="20"/>
                <w:szCs w:val="20"/>
                <w:color w:val="auto"/>
              </w:rPr>
            </w:pPr>
            <w:r>
              <w:rPr>
                <w:rFonts w:ascii="Arial" w:cs="Arial" w:eastAsia="Arial" w:hAnsi="Arial"/>
                <w:sz w:val="11"/>
                <w:szCs w:val="11"/>
                <w:color w:val="auto"/>
              </w:rPr>
              <w:t>LPL Financial LLC</w:t>
            </w:r>
          </w:p>
        </w:tc>
        <w:tc>
          <w:tcPr>
            <w:tcW w:w="1780" w:type="dxa"/>
            <w:vAlign w:val="bottom"/>
            <w:shd w:val="clear" w:color="auto" w:fill="DBDBDB"/>
          </w:tcPr>
          <w:p>
            <w:pPr>
              <w:ind w:left="520"/>
              <w:spacing w:after="0"/>
              <w:rPr>
                <w:sz w:val="20"/>
                <w:szCs w:val="20"/>
                <w:color w:val="auto"/>
              </w:rPr>
            </w:pPr>
            <w:r>
              <w:rPr>
                <w:rFonts w:ascii="Arial" w:cs="Arial" w:eastAsia="Arial" w:hAnsi="Arial"/>
                <w:sz w:val="11"/>
                <w:szCs w:val="11"/>
                <w:color w:val="auto"/>
              </w:rPr>
              <w:t>March 2028</w:t>
            </w:r>
          </w:p>
        </w:tc>
        <w:tc>
          <w:tcPr>
            <w:tcW w:w="1760" w:type="dxa"/>
            <w:vAlign w:val="bottom"/>
            <w:shd w:val="clear" w:color="auto" w:fill="DBDBDB"/>
          </w:tcPr>
          <w:p>
            <w:pPr>
              <w:jc w:val="right"/>
              <w:ind w:right="1066"/>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DBDBDB"/>
          </w:tcPr>
          <w:p>
            <w:pPr>
              <w:ind w:left="18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3100" w:type="dxa"/>
            <w:vAlign w:val="bottom"/>
          </w:tcPr>
          <w:p>
            <w:pPr>
              <w:spacing w:after="0"/>
              <w:rPr>
                <w:sz w:val="20"/>
                <w:szCs w:val="20"/>
                <w:color w:val="auto"/>
              </w:rPr>
            </w:pPr>
            <w:r>
              <w:rPr>
                <w:rFonts w:ascii="Arial" w:cs="Arial" w:eastAsia="Arial" w:hAnsi="Arial"/>
                <w:sz w:val="11"/>
                <w:szCs w:val="11"/>
                <w:color w:val="auto"/>
              </w:rPr>
              <w:t>Secured, uncommitted lines of credit</w:t>
            </w:r>
          </w:p>
        </w:tc>
        <w:tc>
          <w:tcPr>
            <w:tcW w:w="2520" w:type="dxa"/>
            <w:vAlign w:val="bottom"/>
          </w:tcPr>
          <w:p>
            <w:pPr>
              <w:ind w:left="1120"/>
              <w:spacing w:after="0"/>
              <w:rPr>
                <w:sz w:val="20"/>
                <w:szCs w:val="20"/>
                <w:color w:val="auto"/>
              </w:rPr>
            </w:pPr>
            <w:r>
              <w:rPr>
                <w:rFonts w:ascii="Arial" w:cs="Arial" w:eastAsia="Arial" w:hAnsi="Arial"/>
                <w:sz w:val="11"/>
                <w:szCs w:val="11"/>
                <w:color w:val="auto"/>
              </w:rPr>
              <w:t>LPL Financial LLC</w:t>
            </w:r>
          </w:p>
        </w:tc>
        <w:tc>
          <w:tcPr>
            <w:tcW w:w="1780" w:type="dxa"/>
            <w:vAlign w:val="bottom"/>
          </w:tcPr>
          <w:p>
            <w:pPr>
              <w:ind w:left="520"/>
              <w:spacing w:after="0"/>
              <w:rPr>
                <w:sz w:val="20"/>
                <w:szCs w:val="20"/>
                <w:color w:val="auto"/>
              </w:rPr>
            </w:pPr>
            <w:r>
              <w:rPr>
                <w:rFonts w:ascii="Arial" w:cs="Arial" w:eastAsia="Arial" w:hAnsi="Arial"/>
                <w:sz w:val="11"/>
                <w:szCs w:val="11"/>
                <w:color w:val="auto"/>
              </w:rPr>
              <w:t>None</w:t>
            </w:r>
          </w:p>
        </w:tc>
        <w:tc>
          <w:tcPr>
            <w:tcW w:w="1760" w:type="dxa"/>
            <w:vAlign w:val="bottom"/>
          </w:tcPr>
          <w:p>
            <w:pPr>
              <w:jc w:val="right"/>
              <w:ind w:right="1066"/>
              <w:spacing w:after="0"/>
              <w:rPr>
                <w:sz w:val="20"/>
                <w:szCs w:val="20"/>
                <w:color w:val="auto"/>
              </w:rPr>
            </w:pPr>
            <w:r>
              <w:rPr>
                <w:rFonts w:ascii="Arial" w:cs="Arial" w:eastAsia="Arial" w:hAnsi="Arial"/>
                <w:sz w:val="11"/>
                <w:szCs w:val="11"/>
                <w:color w:val="auto"/>
              </w:rPr>
              <w:t>$</w:t>
            </w:r>
          </w:p>
        </w:tc>
        <w:tc>
          <w:tcPr>
            <w:tcW w:w="320" w:type="dxa"/>
            <w:vAlign w:val="bottom"/>
          </w:tcPr>
          <w:p>
            <w:pPr>
              <w:ind w:left="1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unspecified</w:t>
            </w:r>
          </w:p>
        </w:tc>
      </w:tr>
      <w:tr>
        <w:trPr>
          <w:trHeight w:val="145"/>
        </w:trPr>
        <w:tc>
          <w:tcPr>
            <w:tcW w:w="310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520" w:type="dxa"/>
            <w:vAlign w:val="bottom"/>
            <w:shd w:val="clear" w:color="auto" w:fill="DBDBDB"/>
          </w:tcPr>
          <w:p>
            <w:pPr>
              <w:ind w:left="1120"/>
              <w:spacing w:after="0"/>
              <w:rPr>
                <w:sz w:val="20"/>
                <w:szCs w:val="20"/>
                <w:color w:val="auto"/>
              </w:rPr>
            </w:pPr>
            <w:r>
              <w:rPr>
                <w:rFonts w:ascii="Arial" w:cs="Arial" w:eastAsia="Arial" w:hAnsi="Arial"/>
                <w:sz w:val="11"/>
                <w:szCs w:val="11"/>
                <w:color w:val="auto"/>
              </w:rPr>
              <w:t>LPL Financial LLC</w:t>
            </w:r>
          </w:p>
        </w:tc>
        <w:tc>
          <w:tcPr>
            <w:tcW w:w="1780" w:type="dxa"/>
            <w:vAlign w:val="bottom"/>
            <w:shd w:val="clear" w:color="auto" w:fill="DBDBDB"/>
          </w:tcPr>
          <w:p>
            <w:pPr>
              <w:ind w:left="520"/>
              <w:spacing w:after="0"/>
              <w:rPr>
                <w:sz w:val="20"/>
                <w:szCs w:val="20"/>
                <w:color w:val="auto"/>
              </w:rPr>
            </w:pPr>
            <w:r>
              <w:rPr>
                <w:rFonts w:ascii="Arial" w:cs="Arial" w:eastAsia="Arial" w:hAnsi="Arial"/>
                <w:sz w:val="11"/>
                <w:szCs w:val="11"/>
                <w:color w:val="auto"/>
              </w:rPr>
              <w:t>None</w:t>
            </w:r>
          </w:p>
        </w:tc>
        <w:tc>
          <w:tcPr>
            <w:tcW w:w="1760" w:type="dxa"/>
            <w:vAlign w:val="bottom"/>
            <w:shd w:val="clear" w:color="auto" w:fill="DBDBDB"/>
          </w:tcPr>
          <w:p>
            <w:pPr>
              <w:jc w:val="right"/>
              <w:ind w:right="1066"/>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ind w:left="180"/>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unspecified</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Resources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Company seeks to manage capital levels in support of its business strategy of generating and effectively deploying capital for the benefit of our stockholders.</w:t>
      </w:r>
    </w:p>
    <w:p>
      <w:pPr>
        <w:spacing w:after="0" w:line="78"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equivalents on hand, the committed revolving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19" w:name="page20"/>
    <w:bookmarkEnd w:id="19"/>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right="60"/>
        <w:spacing w:after="0" w:line="334" w:lineRule="auto"/>
        <w:rPr>
          <w:sz w:val="20"/>
          <w:szCs w:val="20"/>
          <w:color w:val="auto"/>
        </w:rPr>
      </w:pPr>
      <w:r>
        <w:rPr>
          <w:rFonts w:ascii="Arial" w:cs="Arial" w:eastAsia="Arial" w:hAnsi="Arial"/>
          <w:sz w:val="11"/>
          <w:szCs w:val="11"/>
          <w:color w:val="auto"/>
        </w:rPr>
        <w:t>credit facility of LPL Financial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w:t>
      </w:r>
    </w:p>
    <w:p>
      <w:pPr>
        <w:spacing w:after="0" w:line="8" w:lineRule="exact"/>
        <w:rPr>
          <w:sz w:val="20"/>
          <w:szCs w:val="20"/>
          <w:color w:val="auto"/>
        </w:rPr>
      </w:pPr>
    </w:p>
    <w:p>
      <w:pPr>
        <w:ind w:right="260"/>
        <w:spacing w:after="0" w:line="286" w:lineRule="auto"/>
        <w:rPr>
          <w:sz w:val="20"/>
          <w:szCs w:val="20"/>
          <w:color w:val="auto"/>
        </w:rPr>
      </w:pPr>
      <w:r>
        <w:rPr>
          <w:rFonts w:ascii="Arial" w:cs="Arial" w:eastAsia="Arial" w:hAnsi="Arial"/>
          <w:sz w:val="12"/>
          <w:szCs w:val="12"/>
          <w:color w:val="auto"/>
        </w:rPr>
        <w:t>Our other working capital needs are primarily related to loans we are making to advisors and timing associated with receivables and payables, which we have satisfied in the past from internally generated cash flows.</w:t>
      </w:r>
    </w:p>
    <w:p>
      <w:pPr>
        <w:spacing w:after="0" w:line="22" w:lineRule="exact"/>
        <w:rPr>
          <w:sz w:val="20"/>
          <w:szCs w:val="20"/>
          <w:color w:val="auto"/>
        </w:rPr>
      </w:pPr>
    </w:p>
    <w:p>
      <w:pPr>
        <w:ind w:right="240"/>
        <w:spacing w:after="0" w:line="252" w:lineRule="auto"/>
        <w:rPr>
          <w:sz w:val="20"/>
          <w:szCs w:val="20"/>
          <w:color w:val="auto"/>
        </w:rPr>
      </w:pPr>
      <w:r>
        <w:rPr>
          <w:rFonts w:ascii="Arial" w:cs="Arial" w:eastAsia="Arial" w:hAnsi="Arial"/>
          <w:sz w:val="12"/>
          <w:szCs w:val="12"/>
          <w:color w:val="auto"/>
        </w:rPr>
        <w:t>We may sometimes be required to fund capital requirements necessary to effect client transactions in securities markets and cash sweep balances held at third-party banks that arise from the delayed receipt of client funds. These capital requirements are funded either with internally generated cash flows or, if needed, with funds drawn on our uncommitted lines of credit at LPL Financial or one of our revolving credit facilities.</w:t>
      </w:r>
    </w:p>
    <w:p>
      <w:pPr>
        <w:spacing w:after="0" w:line="51" w:lineRule="exact"/>
        <w:rPr>
          <w:sz w:val="20"/>
          <w:szCs w:val="20"/>
          <w:color w:val="auto"/>
        </w:rPr>
      </w:pPr>
    </w:p>
    <w:p>
      <w:pPr>
        <w:jc w:val="both"/>
        <w:ind w:right="60"/>
        <w:spacing w:after="0" w:line="268" w:lineRule="auto"/>
        <w:rPr>
          <w:sz w:val="20"/>
          <w:szCs w:val="20"/>
          <w:color w:val="auto"/>
        </w:rPr>
      </w:pPr>
      <w:r>
        <w:rPr>
          <w:rFonts w:ascii="Arial" w:cs="Arial" w:eastAsia="Arial" w:hAnsi="Arial"/>
          <w:sz w:val="12"/>
          <w:szCs w:val="12"/>
          <w:color w:val="auto"/>
        </w:rPr>
        <w:t>Our broker-dealer subsidiaries are subject to the SEC’s Uniform Net Capital Rule (Rule 15c3-1 under the Exchange Act), which requires the maintenance of minimum net capital. LPL Financial, our primary broker-dealer subsidiary, computes net capital requirements under the alternative method, which requires firms to maintain minimum net capital equal to the greater of $250,000 or 2% of aggregate debit balances arising from client transactions.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net capital position of the Company’s primary broker-dealer subsidiary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10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September 30, 2026</w:t>
            </w:r>
          </w:p>
        </w:tc>
      </w:tr>
      <w:tr>
        <w:trPr>
          <w:trHeight w:val="124"/>
        </w:trPr>
        <w:tc>
          <w:tcPr>
            <w:tcW w:w="910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LPL Financial LLC</w:t>
            </w:r>
          </w:p>
        </w:tc>
        <w:tc>
          <w:tcPr>
            <w:tcW w:w="340" w:type="dxa"/>
            <w:vAlign w:val="bottom"/>
            <w:shd w:val="clear" w:color="auto" w:fill="DBDBDB"/>
          </w:tcPr>
          <w:p>
            <w:pPr>
              <w:spacing w:after="0"/>
              <w:rPr>
                <w:sz w:val="10"/>
                <w:szCs w:val="10"/>
                <w:color w:val="auto"/>
              </w:rPr>
            </w:pPr>
          </w:p>
        </w:tc>
        <w:tc>
          <w:tcPr>
            <w:tcW w:w="1860" w:type="dxa"/>
            <w:vAlign w:val="bottom"/>
            <w:shd w:val="clear" w:color="auto" w:fill="DBDBDB"/>
          </w:tcPr>
          <w:p>
            <w:pPr>
              <w:spacing w:after="0"/>
              <w:rPr>
                <w:sz w:val="10"/>
                <w:szCs w:val="10"/>
                <w:color w:val="auto"/>
              </w:rPr>
            </w:pPr>
          </w:p>
        </w:tc>
      </w:tr>
      <w:tr>
        <w:trPr>
          <w:trHeight w:val="143"/>
        </w:trPr>
        <w:tc>
          <w:tcPr>
            <w:tcW w:w="9100" w:type="dxa"/>
            <w:vAlign w:val="bottom"/>
          </w:tcPr>
          <w:p>
            <w:pPr>
              <w:spacing w:after="0"/>
              <w:rPr>
                <w:sz w:val="20"/>
                <w:szCs w:val="20"/>
                <w:color w:val="auto"/>
              </w:rPr>
            </w:pPr>
            <w:r>
              <w:rPr>
                <w:rFonts w:ascii="Arial" w:cs="Arial" w:eastAsia="Arial" w:hAnsi="Arial"/>
                <w:sz w:val="11"/>
                <w:szCs w:val="11"/>
                <w:color w:val="auto"/>
              </w:rPr>
              <w:t>Net capital</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860" w:type="dxa"/>
            <w:vAlign w:val="bottom"/>
          </w:tcPr>
          <w:p>
            <w:pPr>
              <w:jc w:val="right"/>
              <w:ind w:right="6"/>
              <w:spacing w:after="0"/>
              <w:rPr>
                <w:sz w:val="20"/>
                <w:szCs w:val="20"/>
                <w:color w:val="auto"/>
              </w:rPr>
            </w:pPr>
            <w:r>
              <w:rPr>
                <w:rFonts w:ascii="Arial" w:cs="Arial" w:eastAsia="Arial" w:hAnsi="Arial"/>
                <w:sz w:val="11"/>
                <w:szCs w:val="11"/>
                <w:color w:val="auto"/>
              </w:rPr>
              <w:t>506,380</w:t>
            </w:r>
          </w:p>
        </w:tc>
      </w:tr>
      <w:tr>
        <w:trPr>
          <w:trHeight w:val="144"/>
        </w:trPr>
        <w:tc>
          <w:tcPr>
            <w:tcW w:w="9100" w:type="dxa"/>
            <w:vAlign w:val="bottom"/>
            <w:shd w:val="clear" w:color="auto" w:fill="DBDBDB"/>
          </w:tcPr>
          <w:p>
            <w:pPr>
              <w:spacing w:after="0"/>
              <w:rPr>
                <w:sz w:val="20"/>
                <w:szCs w:val="20"/>
                <w:color w:val="auto"/>
              </w:rPr>
            </w:pPr>
            <w:r>
              <w:rPr>
                <w:rFonts w:ascii="Arial" w:cs="Arial" w:eastAsia="Arial" w:hAnsi="Arial"/>
                <w:sz w:val="11"/>
                <w:szCs w:val="11"/>
                <w:color w:val="auto"/>
              </w:rPr>
              <w:t>Less: required net capital</w:t>
            </w:r>
          </w:p>
        </w:tc>
        <w:tc>
          <w:tcPr>
            <w:tcW w:w="340" w:type="dxa"/>
            <w:vAlign w:val="bottom"/>
            <w:tcBorders>
              <w:bottom w:val="single" w:sz="8" w:color="auto"/>
            </w:tcBorders>
            <w:shd w:val="clear" w:color="auto" w:fill="DBDBDB"/>
          </w:tcPr>
          <w:p>
            <w:pPr>
              <w:spacing w:after="0"/>
              <w:rPr>
                <w:sz w:val="12"/>
                <w:szCs w:val="12"/>
                <w:color w:val="auto"/>
              </w:rPr>
            </w:pPr>
          </w:p>
        </w:tc>
        <w:tc>
          <w:tcPr>
            <w:tcW w:w="18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27,826</w:t>
            </w:r>
          </w:p>
        </w:tc>
      </w:tr>
      <w:tr>
        <w:trPr>
          <w:trHeight w:val="134"/>
        </w:trPr>
        <w:tc>
          <w:tcPr>
            <w:tcW w:w="9100" w:type="dxa"/>
            <w:vAlign w:val="bottom"/>
          </w:tcPr>
          <w:p>
            <w:pPr>
              <w:spacing w:after="0"/>
              <w:rPr>
                <w:sz w:val="20"/>
                <w:szCs w:val="20"/>
                <w:color w:val="auto"/>
              </w:rPr>
            </w:pPr>
            <w:r>
              <w:rPr>
                <w:rFonts w:ascii="Arial" w:cs="Arial" w:eastAsia="Arial" w:hAnsi="Arial"/>
                <w:sz w:val="11"/>
                <w:szCs w:val="11"/>
                <w:color w:val="auto"/>
              </w:rPr>
              <w:t>Excess net capital</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478,554</w:t>
            </w:r>
          </w:p>
        </w:tc>
      </w:tr>
      <w:tr>
        <w:trPr>
          <w:trHeight w:val="20"/>
        </w:trPr>
        <w:tc>
          <w:tcPr>
            <w:tcW w:w="9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420"/>
        <w:spacing w:after="0" w:line="286" w:lineRule="auto"/>
        <w:rPr>
          <w:sz w:val="20"/>
          <w:szCs w:val="20"/>
          <w:color w:val="auto"/>
        </w:rPr>
      </w:pPr>
      <w:r>
        <w:rPr>
          <w:rFonts w:ascii="Arial" w:cs="Arial" w:eastAsia="Arial" w:hAnsi="Arial"/>
          <w:sz w:val="12"/>
          <w:szCs w:val="12"/>
          <w:color w:val="auto"/>
        </w:rPr>
        <w:t>Payment by our broker-dealer subsidiaries of dividends greater than 10% of their respective excess net capital during any 35-day rolling period requires approval from FINRA. In addition, each broker-dealer subsidiary’s ability to pay dividends would be restricted if its net capital would be less than 5% of aggregate customer debit balances.</w:t>
      </w:r>
    </w:p>
    <w:p>
      <w:pPr>
        <w:spacing w:after="0" w:line="31"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LPL Financial also acts as an introducing broker-dealer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spacing w:after="0" w:line="42" w:lineRule="exact"/>
        <w:rPr>
          <w:sz w:val="20"/>
          <w:szCs w:val="20"/>
          <w:color w:val="auto"/>
        </w:rPr>
      </w:pPr>
    </w:p>
    <w:p>
      <w:pPr>
        <w:ind w:right="280"/>
        <w:spacing w:after="0" w:line="268" w:lineRule="auto"/>
        <w:rPr>
          <w:sz w:val="20"/>
          <w:szCs w:val="20"/>
          <w:color w:val="auto"/>
        </w:rPr>
      </w:pPr>
      <w:r>
        <w:rPr>
          <w:rFonts w:ascii="Arial" w:cs="Arial" w:eastAsia="Arial" w:hAnsi="Arial"/>
          <w:sz w:val="12"/>
          <w:szCs w:val="12"/>
          <w:color w:val="auto"/>
        </w:rPr>
        <w:t>Our other regulated subsidiaries, including LPL Enterprise, CES, and PTC, are also subject to various regulatory capital requirements. Failure to meet the respective minimum capital requirements can result in certain mandatory and discretionary actions by regulators that, if undertaken, could have substantial monetary and non-monetary impacts on these subsidiaries’ operations. As of September 30, 2026, the Company’s other regulated subsidiaries met all capital adequacy requirements to which they were subject.</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Supplemental Guarantor Financial Information</w:t>
      </w:r>
    </w:p>
    <w:p>
      <w:pPr>
        <w:spacing w:after="0" w:line="76"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 xml:space="preserve">LPL Holdings, Inc. (the “Issuer”), a wholly owned subsidiary of LPL Financial Holdings Inc. (“LPLFH” and together with the Issuer, the “Obligor Group”), has in the past, and may in the future, issue, among other things, non-convertible debt securities that include full and unconditional guarantees by LPLFH. The debt securities issued by the Issuer may be fully and unconditionally guaranteed by LPLFH. LPLFH is a Delaware holding corporation that manages substantially all of its operations through investments in subsidiaries. See Note 1 - </w:t>
      </w:r>
      <w:r>
        <w:rPr>
          <w:rFonts w:ascii="Arial" w:cs="Arial" w:eastAsia="Arial" w:hAnsi="Arial"/>
          <w:sz w:val="12"/>
          <w:szCs w:val="12"/>
          <w:i w:val="1"/>
          <w:iCs w:val="1"/>
          <w:color w:val="auto"/>
        </w:rPr>
        <w:t>Organization and Description of the Company</w:t>
      </w:r>
      <w:r>
        <w:rPr>
          <w:rFonts w:ascii="Arial" w:cs="Arial" w:eastAsia="Arial" w:hAnsi="Arial"/>
          <w:sz w:val="12"/>
          <w:szCs w:val="12"/>
          <w:color w:val="auto"/>
        </w:rPr>
        <w:t xml:space="preserve"> and Note 9 </w:t>
      </w:r>
      <w:r>
        <w:rPr>
          <w:rFonts w:ascii="Arial" w:cs="Arial" w:eastAsia="Arial" w:hAnsi="Arial"/>
          <w:sz w:val="12"/>
          <w:szCs w:val="12"/>
          <w:i w:val="1"/>
          <w:iCs w:val="1"/>
          <w:color w:val="auto"/>
        </w:rPr>
        <w:t>- Corporate Debt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Borrowings, Net</w:t>
      </w:r>
      <w:r>
        <w:rPr>
          <w:rFonts w:ascii="Arial" w:cs="Arial" w:eastAsia="Arial" w:hAnsi="Arial"/>
          <w:sz w:val="12"/>
          <w:szCs w:val="12"/>
          <w:color w:val="auto"/>
        </w:rPr>
        <w:t>, within the notes to the condensed consolidated financial statements for additional information.</w:t>
      </w:r>
    </w:p>
    <w:p>
      <w:pPr>
        <w:spacing w:after="0" w:line="4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Pursuant to Rule 3-10 of Regulation S-X under the Securities Act of 1933, as amended, the following tables present unaudited summarized financial information for the Obligor Group on a combined basis. Balances and transactions between the Obligor Group have been eliminated. Financial information for non-guarantor subsidiaries, which includes all other subsidiaries of the Issuer, has been excluded and intercompany balances and transactions between the Obligor Group and non-guarantor subsidiaries are presented on separate lines. The summarized financial information below should be read in conjunction with the Company’s condensed consolidated financial statements contained herein as the summarized financial information for the Obligor Group may not be indicative of results of operations or financial position of the Issuer or LPLFH had they operated as independent entities.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present the summarized financial information for the periods presented (in thousands):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8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tcPr>
          <w:p>
            <w:pPr>
              <w:jc w:val="center"/>
              <w:ind w:right="726"/>
              <w:spacing w:after="0"/>
              <w:rPr>
                <w:sz w:val="20"/>
                <w:szCs w:val="20"/>
                <w:color w:val="auto"/>
              </w:rPr>
            </w:pPr>
            <w:r>
              <w:rPr>
                <w:rFonts w:ascii="Arial" w:cs="Arial" w:eastAsia="Arial" w:hAnsi="Arial"/>
                <w:sz w:val="11"/>
                <w:szCs w:val="11"/>
                <w:b w:val="1"/>
                <w:bCs w:val="1"/>
                <w:color w:val="auto"/>
                <w:w w:val="97"/>
              </w:rPr>
              <w:t>LPL Holdings, Inc. &amp; LPL Financial Holdings Inc.</w:t>
            </w:r>
          </w:p>
        </w:tc>
      </w:tr>
      <w:tr>
        <w:trPr>
          <w:trHeight w:val="133"/>
        </w:trPr>
        <w:tc>
          <w:tcPr>
            <w:tcW w:w="58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60" w:type="dxa"/>
            <w:vAlign w:val="bottom"/>
            <w:tcBorders>
              <w:bottom w:val="single" w:sz="8" w:color="auto"/>
            </w:tcBorders>
          </w:tcPr>
          <w:p>
            <w:pPr>
              <w:jc w:val="center"/>
              <w:ind w:right="706"/>
              <w:spacing w:after="0"/>
              <w:rPr>
                <w:sz w:val="20"/>
                <w:szCs w:val="20"/>
                <w:color w:val="auto"/>
              </w:rPr>
            </w:pPr>
            <w:r>
              <w:rPr>
                <w:rFonts w:ascii="Arial" w:cs="Arial" w:eastAsia="Arial" w:hAnsi="Arial"/>
                <w:sz w:val="11"/>
                <w:szCs w:val="11"/>
                <w:b w:val="1"/>
                <w:bCs w:val="1"/>
                <w:color w:val="auto"/>
                <w:w w:val="98"/>
              </w:rPr>
              <w:t>Nine Months Ended September 30,</w:t>
            </w:r>
          </w:p>
        </w:tc>
      </w:tr>
      <w:tr>
        <w:trPr>
          <w:trHeight w:val="133"/>
        </w:trPr>
        <w:tc>
          <w:tcPr>
            <w:tcW w:w="5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Combined Summarized Statements of Income</w:t>
            </w:r>
          </w:p>
        </w:tc>
        <w:tc>
          <w:tcPr>
            <w:tcW w:w="780" w:type="dxa"/>
            <w:vAlign w:val="bottom"/>
            <w:tcBorders>
              <w:bottom w:val="single" w:sz="8" w:color="auto"/>
            </w:tcBorders>
          </w:tcPr>
          <w:p>
            <w:pPr>
              <w:spacing w:after="0"/>
              <w:rPr>
                <w:sz w:val="11"/>
                <w:szCs w:val="11"/>
                <w:color w:val="auto"/>
              </w:rPr>
            </w:pPr>
          </w:p>
        </w:tc>
        <w:tc>
          <w:tcPr>
            <w:tcW w:w="4660" w:type="dxa"/>
            <w:vAlign w:val="bottom"/>
            <w:tcBorders>
              <w:bottom w:val="single" w:sz="8" w:color="auto"/>
            </w:tcBorders>
          </w:tcPr>
          <w:p>
            <w:pPr>
              <w:jc w:val="center"/>
              <w:ind w:right="726"/>
              <w:spacing w:after="0"/>
              <w:rPr>
                <w:sz w:val="20"/>
                <w:szCs w:val="20"/>
                <w:color w:val="auto"/>
              </w:rPr>
            </w:pPr>
            <w:r>
              <w:rPr>
                <w:rFonts w:ascii="Arial" w:cs="Arial" w:eastAsia="Arial" w:hAnsi="Arial"/>
                <w:sz w:val="11"/>
                <w:szCs w:val="11"/>
                <w:b w:val="1"/>
                <w:bCs w:val="1"/>
                <w:color w:val="auto"/>
                <w:w w:val="97"/>
              </w:rPr>
              <w:t>2026</w:t>
            </w:r>
          </w:p>
        </w:tc>
      </w:tr>
      <w:tr>
        <w:trPr>
          <w:trHeight w:val="133"/>
        </w:trPr>
        <w:tc>
          <w:tcPr>
            <w:tcW w:w="5860" w:type="dxa"/>
            <w:vAlign w:val="bottom"/>
            <w:shd w:val="clear" w:color="auto" w:fill="DBDBDB"/>
          </w:tcPr>
          <w:p>
            <w:pPr>
              <w:spacing w:after="0" w:line="133" w:lineRule="exact"/>
              <w:rPr>
                <w:sz w:val="20"/>
                <w:szCs w:val="20"/>
                <w:color w:val="auto"/>
              </w:rPr>
            </w:pPr>
            <w:r>
              <w:rPr>
                <w:rFonts w:ascii="Arial" w:cs="Arial" w:eastAsia="Arial" w:hAnsi="Arial"/>
                <w:sz w:val="11"/>
                <w:szCs w:val="11"/>
                <w:color w:val="auto"/>
              </w:rPr>
              <w:t>Revenues</w:t>
            </w:r>
            <w:r>
              <w:rPr>
                <w:rFonts w:ascii="Arial" w:cs="Arial" w:eastAsia="Arial" w:hAnsi="Arial"/>
                <w:sz w:val="14"/>
                <w:szCs w:val="14"/>
                <w:color w:val="auto"/>
                <w:vertAlign w:val="subscript"/>
              </w:rPr>
              <w:t>(1)</w:t>
            </w:r>
          </w:p>
        </w:tc>
        <w:tc>
          <w:tcPr>
            <w:tcW w:w="780" w:type="dxa"/>
            <w:vAlign w:val="bottom"/>
            <w:shd w:val="clear" w:color="auto" w:fill="DBDBDB"/>
          </w:tcPr>
          <w:p>
            <w:pPr>
              <w:jc w:val="right"/>
              <w:ind w:right="646"/>
              <w:spacing w:after="0"/>
              <w:rPr>
                <w:sz w:val="20"/>
                <w:szCs w:val="20"/>
                <w:color w:val="auto"/>
              </w:rPr>
            </w:pPr>
            <w:r>
              <w:rPr>
                <w:rFonts w:ascii="Arial" w:cs="Arial" w:eastAsia="Arial" w:hAnsi="Arial"/>
                <w:sz w:val="11"/>
                <w:szCs w:val="11"/>
                <w:color w:val="auto"/>
                <w:w w:val="97"/>
              </w:rPr>
              <w:t>$</w:t>
            </w:r>
          </w:p>
        </w:tc>
        <w:tc>
          <w:tcPr>
            <w:tcW w:w="4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111,346</w:t>
            </w:r>
          </w:p>
        </w:tc>
      </w:tr>
      <w:tr>
        <w:trPr>
          <w:trHeight w:val="143"/>
        </w:trPr>
        <w:tc>
          <w:tcPr>
            <w:tcW w:w="5860" w:type="dxa"/>
            <w:vAlign w:val="bottom"/>
          </w:tcPr>
          <w:p>
            <w:pPr>
              <w:spacing w:after="0"/>
              <w:rPr>
                <w:sz w:val="20"/>
                <w:szCs w:val="20"/>
                <w:color w:val="auto"/>
              </w:rPr>
            </w:pPr>
            <w:r>
              <w:rPr>
                <w:rFonts w:ascii="Arial" w:cs="Arial" w:eastAsia="Arial" w:hAnsi="Arial"/>
                <w:sz w:val="11"/>
                <w:szCs w:val="11"/>
                <w:color w:val="auto"/>
              </w:rPr>
              <w:t>Revenues from non-guarantor subsidiaries</w:t>
            </w:r>
          </w:p>
        </w:tc>
        <w:tc>
          <w:tcPr>
            <w:tcW w:w="780" w:type="dxa"/>
            <w:vAlign w:val="bottom"/>
          </w:tcPr>
          <w:p>
            <w:pPr>
              <w:spacing w:after="0"/>
              <w:rPr>
                <w:sz w:val="12"/>
                <w:szCs w:val="12"/>
                <w:color w:val="auto"/>
              </w:rPr>
            </w:pPr>
          </w:p>
        </w:tc>
        <w:tc>
          <w:tcPr>
            <w:tcW w:w="4660" w:type="dxa"/>
            <w:vAlign w:val="bottom"/>
          </w:tcPr>
          <w:p>
            <w:pPr>
              <w:jc w:val="right"/>
              <w:ind w:right="6"/>
              <w:spacing w:after="0"/>
              <w:rPr>
                <w:sz w:val="20"/>
                <w:szCs w:val="20"/>
                <w:color w:val="auto"/>
              </w:rPr>
            </w:pPr>
            <w:r>
              <w:rPr>
                <w:rFonts w:ascii="Arial" w:cs="Arial" w:eastAsia="Arial" w:hAnsi="Arial"/>
                <w:sz w:val="11"/>
                <w:szCs w:val="11"/>
                <w:color w:val="auto"/>
              </w:rPr>
              <w:t>20,581</w:t>
            </w:r>
          </w:p>
        </w:tc>
      </w:tr>
      <w:tr>
        <w:trPr>
          <w:trHeight w:val="145"/>
        </w:trPr>
        <w:tc>
          <w:tcPr>
            <w:tcW w:w="5860" w:type="dxa"/>
            <w:vAlign w:val="bottom"/>
            <w:shd w:val="clear" w:color="auto" w:fill="DBDBDB"/>
          </w:tcPr>
          <w:p>
            <w:pPr>
              <w:spacing w:after="0" w:line="145" w:lineRule="exact"/>
              <w:rPr>
                <w:sz w:val="20"/>
                <w:szCs w:val="20"/>
                <w:color w:val="auto"/>
              </w:rPr>
            </w:pPr>
            <w:r>
              <w:rPr>
                <w:rFonts w:ascii="Arial" w:cs="Arial" w:eastAsia="Arial" w:hAnsi="Arial"/>
                <w:sz w:val="11"/>
                <w:szCs w:val="11"/>
                <w:color w:val="auto"/>
              </w:rPr>
              <w:t>Advisory and commission expense</w:t>
            </w:r>
            <w:r>
              <w:rPr>
                <w:rFonts w:ascii="Arial" w:cs="Arial" w:eastAsia="Arial" w:hAnsi="Arial"/>
                <w:sz w:val="14"/>
                <w:szCs w:val="14"/>
                <w:color w:val="auto"/>
                <w:vertAlign w:val="subscript"/>
              </w:rPr>
              <w:t>(1)</w:t>
            </w:r>
          </w:p>
        </w:tc>
        <w:tc>
          <w:tcPr>
            <w:tcW w:w="780" w:type="dxa"/>
            <w:vAlign w:val="bottom"/>
            <w:shd w:val="clear" w:color="auto" w:fill="DBDBDB"/>
          </w:tcPr>
          <w:p>
            <w:pPr>
              <w:spacing w:after="0"/>
              <w:rPr>
                <w:sz w:val="12"/>
                <w:szCs w:val="12"/>
                <w:color w:val="auto"/>
              </w:rPr>
            </w:pPr>
          </w:p>
        </w:tc>
        <w:tc>
          <w:tcPr>
            <w:tcW w:w="4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115,889</w:t>
            </w:r>
          </w:p>
        </w:tc>
      </w:tr>
      <w:tr>
        <w:trPr>
          <w:trHeight w:val="143"/>
        </w:trPr>
        <w:tc>
          <w:tcPr>
            <w:tcW w:w="5860" w:type="dxa"/>
            <w:vAlign w:val="bottom"/>
          </w:tcPr>
          <w:p>
            <w:pPr>
              <w:spacing w:after="0"/>
              <w:rPr>
                <w:sz w:val="20"/>
                <w:szCs w:val="20"/>
                <w:color w:val="auto"/>
              </w:rPr>
            </w:pPr>
            <w:r>
              <w:rPr>
                <w:rFonts w:ascii="Arial" w:cs="Arial" w:eastAsia="Arial" w:hAnsi="Arial"/>
                <w:sz w:val="11"/>
                <w:szCs w:val="11"/>
                <w:color w:val="auto"/>
              </w:rPr>
              <w:t>Interest expense on borrowings</w:t>
            </w:r>
          </w:p>
        </w:tc>
        <w:tc>
          <w:tcPr>
            <w:tcW w:w="780" w:type="dxa"/>
            <w:vAlign w:val="bottom"/>
          </w:tcPr>
          <w:p>
            <w:pPr>
              <w:spacing w:after="0"/>
              <w:rPr>
                <w:sz w:val="12"/>
                <w:szCs w:val="12"/>
                <w:color w:val="auto"/>
              </w:rPr>
            </w:pPr>
          </w:p>
        </w:tc>
        <w:tc>
          <w:tcPr>
            <w:tcW w:w="4660" w:type="dxa"/>
            <w:vAlign w:val="bottom"/>
          </w:tcPr>
          <w:p>
            <w:pPr>
              <w:jc w:val="right"/>
              <w:ind w:right="6"/>
              <w:spacing w:after="0"/>
              <w:rPr>
                <w:sz w:val="20"/>
                <w:szCs w:val="20"/>
                <w:color w:val="auto"/>
              </w:rPr>
            </w:pPr>
            <w:r>
              <w:rPr>
                <w:rFonts w:ascii="Arial" w:cs="Arial" w:eastAsia="Arial" w:hAnsi="Arial"/>
                <w:sz w:val="11"/>
                <w:szCs w:val="11"/>
                <w:color w:val="auto"/>
              </w:rPr>
              <w:t>304,772</w:t>
            </w:r>
          </w:p>
        </w:tc>
      </w:tr>
      <w:tr>
        <w:trPr>
          <w:trHeight w:val="145"/>
        </w:trPr>
        <w:tc>
          <w:tcPr>
            <w:tcW w:w="5860" w:type="dxa"/>
            <w:vAlign w:val="bottom"/>
            <w:shd w:val="clear" w:color="auto" w:fill="DBDBDB"/>
          </w:tcPr>
          <w:p>
            <w:pPr>
              <w:spacing w:after="0"/>
              <w:rPr>
                <w:sz w:val="20"/>
                <w:szCs w:val="20"/>
                <w:color w:val="auto"/>
              </w:rPr>
            </w:pPr>
            <w:r>
              <w:rPr>
                <w:rFonts w:ascii="Arial" w:cs="Arial" w:eastAsia="Arial" w:hAnsi="Arial"/>
                <w:sz w:val="11"/>
                <w:szCs w:val="11"/>
                <w:color w:val="auto"/>
              </w:rPr>
              <w:t>Expenses from non-guarantor subsidiaries</w:t>
            </w:r>
          </w:p>
        </w:tc>
        <w:tc>
          <w:tcPr>
            <w:tcW w:w="780" w:type="dxa"/>
            <w:vAlign w:val="bottom"/>
            <w:shd w:val="clear" w:color="auto" w:fill="DBDBDB"/>
          </w:tcPr>
          <w:p>
            <w:pPr>
              <w:spacing w:after="0"/>
              <w:rPr>
                <w:sz w:val="12"/>
                <w:szCs w:val="12"/>
                <w:color w:val="auto"/>
              </w:rPr>
            </w:pPr>
          </w:p>
        </w:tc>
        <w:tc>
          <w:tcPr>
            <w:tcW w:w="46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26,843</w:t>
            </w:r>
          </w:p>
        </w:tc>
      </w:tr>
      <w:tr>
        <w:trPr>
          <w:trHeight w:val="143"/>
        </w:trPr>
        <w:tc>
          <w:tcPr>
            <w:tcW w:w="5860" w:type="dxa"/>
            <w:vAlign w:val="bottom"/>
          </w:tcPr>
          <w:p>
            <w:pPr>
              <w:spacing w:after="0"/>
              <w:rPr>
                <w:sz w:val="20"/>
                <w:szCs w:val="20"/>
                <w:color w:val="auto"/>
              </w:rPr>
            </w:pPr>
            <w:r>
              <w:rPr>
                <w:rFonts w:ascii="Arial" w:cs="Arial" w:eastAsia="Arial" w:hAnsi="Arial"/>
                <w:sz w:val="11"/>
                <w:szCs w:val="11"/>
                <w:color w:val="auto"/>
              </w:rPr>
              <w:t>Loss before provision for income taxes</w:t>
            </w:r>
          </w:p>
        </w:tc>
        <w:tc>
          <w:tcPr>
            <w:tcW w:w="780" w:type="dxa"/>
            <w:vAlign w:val="bottom"/>
          </w:tcPr>
          <w:p>
            <w:pPr>
              <w:spacing w:after="0"/>
              <w:rPr>
                <w:sz w:val="12"/>
                <w:szCs w:val="12"/>
                <w:color w:val="auto"/>
              </w:rPr>
            </w:pPr>
          </w:p>
        </w:tc>
        <w:tc>
          <w:tcPr>
            <w:tcW w:w="4660" w:type="dxa"/>
            <w:vAlign w:val="bottom"/>
          </w:tcPr>
          <w:p>
            <w:pPr>
              <w:jc w:val="right"/>
              <w:spacing w:after="0"/>
              <w:rPr>
                <w:sz w:val="20"/>
                <w:szCs w:val="20"/>
                <w:color w:val="auto"/>
              </w:rPr>
            </w:pPr>
            <w:r>
              <w:rPr>
                <w:rFonts w:ascii="Arial" w:cs="Arial" w:eastAsia="Arial" w:hAnsi="Arial"/>
                <w:sz w:val="11"/>
                <w:szCs w:val="11"/>
                <w:color w:val="auto"/>
              </w:rPr>
              <w:t>(404,754)</w:t>
            </w:r>
          </w:p>
        </w:tc>
      </w:tr>
      <w:tr>
        <w:trPr>
          <w:trHeight w:val="145"/>
        </w:trPr>
        <w:tc>
          <w:tcPr>
            <w:tcW w:w="5860" w:type="dxa"/>
            <w:vAlign w:val="bottom"/>
            <w:shd w:val="clear" w:color="auto" w:fill="DBDBDB"/>
          </w:tcPr>
          <w:p>
            <w:pPr>
              <w:spacing w:after="0"/>
              <w:rPr>
                <w:sz w:val="20"/>
                <w:szCs w:val="20"/>
                <w:color w:val="auto"/>
              </w:rPr>
            </w:pPr>
            <w:r>
              <w:rPr>
                <w:rFonts w:ascii="Arial" w:cs="Arial" w:eastAsia="Arial" w:hAnsi="Arial"/>
                <w:sz w:val="11"/>
                <w:szCs w:val="11"/>
                <w:color w:val="auto"/>
              </w:rPr>
              <w:t>Net loss</w:t>
            </w:r>
          </w:p>
        </w:tc>
        <w:tc>
          <w:tcPr>
            <w:tcW w:w="780" w:type="dxa"/>
            <w:vAlign w:val="bottom"/>
            <w:shd w:val="clear" w:color="auto" w:fill="DBDBDB"/>
          </w:tcPr>
          <w:p>
            <w:pPr>
              <w:spacing w:after="0"/>
              <w:rPr>
                <w:sz w:val="12"/>
                <w:szCs w:val="12"/>
                <w:color w:val="auto"/>
              </w:rPr>
            </w:pPr>
          </w:p>
        </w:tc>
        <w:tc>
          <w:tcPr>
            <w:tcW w:w="4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(298,464)</w:t>
            </w: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76" w:lineRule="exact"/>
        <w:rPr>
          <w:sz w:val="20"/>
          <w:szCs w:val="20"/>
          <w:color w:val="auto"/>
        </w:rPr>
      </w:pPr>
    </w:p>
    <w:p>
      <w:pPr>
        <w:ind w:left="328" w:right="100" w:hanging="328"/>
        <w:spacing w:after="0" w:line="264" w:lineRule="auto"/>
        <w:tabs>
          <w:tab w:leader="none" w:pos="319" w:val="left"/>
        </w:tabs>
        <w:numPr>
          <w:ilvl w:val="0"/>
          <w:numId w:val="18"/>
        </w:numPr>
        <w:rPr>
          <w:rFonts w:ascii="Arial" w:cs="Arial" w:eastAsia="Arial" w:hAnsi="Arial"/>
          <w:sz w:val="10"/>
          <w:szCs w:val="10"/>
          <w:color w:val="auto"/>
        </w:rPr>
      </w:pPr>
      <w:r>
        <w:rPr>
          <w:rFonts w:ascii="Arial" w:cs="Arial" w:eastAsia="Arial" w:hAnsi="Arial"/>
          <w:sz w:val="10"/>
          <w:szCs w:val="10"/>
          <w:color w:val="auto"/>
        </w:rPr>
        <w:t>Revenues primarily include unrealized gains and losses on assets held in the non-qualified deferred compensation plan offered to advisors and employees, while advisory and commission expense includes the deferred advisory and commission fee expense associated with mark-to-market gains or losses on the non-qualified deferred compensation plan offered to advisors.</w:t>
      </w:r>
    </w:p>
    <w:p>
      <w:pPr>
        <w:spacing w:after="0" w:line="7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60" w:type="dxa"/>
            <w:vAlign w:val="bottom"/>
            <w:tcBorders>
              <w:bottom w:val="single" w:sz="8" w:color="auto"/>
            </w:tcBorders>
            <w:gridSpan w:val="3"/>
          </w:tcPr>
          <w:p>
            <w:pPr>
              <w:jc w:val="right"/>
              <w:ind w:right="1126"/>
              <w:spacing w:after="0"/>
              <w:rPr>
                <w:sz w:val="20"/>
                <w:szCs w:val="20"/>
                <w:color w:val="auto"/>
              </w:rPr>
            </w:pPr>
            <w:r>
              <w:rPr>
                <w:rFonts w:ascii="Arial" w:cs="Arial" w:eastAsia="Arial" w:hAnsi="Arial"/>
                <w:sz w:val="11"/>
                <w:szCs w:val="11"/>
                <w:b w:val="1"/>
                <w:bCs w:val="1"/>
                <w:color w:val="auto"/>
              </w:rPr>
              <w:t>LPL Holdings, Inc. &amp; LPL Financial Holdings Inc.</w:t>
            </w:r>
          </w:p>
        </w:tc>
      </w:tr>
      <w:tr>
        <w:trPr>
          <w:trHeight w:val="133"/>
        </w:trPr>
        <w:tc>
          <w:tcPr>
            <w:tcW w:w="64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Combined Summarized Statements of Financial Condition</w:t>
            </w:r>
          </w:p>
        </w:tc>
        <w:tc>
          <w:tcPr>
            <w:tcW w:w="3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September 30, 2026</w:t>
            </w:r>
          </w:p>
        </w:tc>
        <w:tc>
          <w:tcPr>
            <w:tcW w:w="4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December 31, 2025</w:t>
            </w:r>
          </w:p>
        </w:tc>
      </w:tr>
      <w:tr>
        <w:trPr>
          <w:trHeight w:val="133"/>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Cash and equivalents</w:t>
            </w:r>
          </w:p>
        </w:tc>
        <w:tc>
          <w:tcPr>
            <w:tcW w:w="380" w:type="dxa"/>
            <w:vAlign w:val="bottom"/>
            <w:shd w:val="clear" w:color="auto" w:fill="DBDBDB"/>
          </w:tcPr>
          <w:p>
            <w:pPr>
              <w:jc w:val="right"/>
              <w:ind w:right="271"/>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44,960</w:t>
            </w:r>
          </w:p>
        </w:tc>
        <w:tc>
          <w:tcPr>
            <w:tcW w:w="420" w:type="dxa"/>
            <w:vAlign w:val="bottom"/>
            <w:shd w:val="clear" w:color="auto" w:fill="DBDBDB"/>
          </w:tcPr>
          <w:p>
            <w:pPr>
              <w:jc w:val="right"/>
              <w:ind w:right="266"/>
              <w:spacing w:after="0"/>
              <w:rPr>
                <w:sz w:val="20"/>
                <w:szCs w:val="20"/>
                <w:color w:val="auto"/>
              </w:rPr>
            </w:pPr>
            <w:r>
              <w:rPr>
                <w:rFonts w:ascii="Arial" w:cs="Arial" w:eastAsia="Arial" w:hAnsi="Arial"/>
                <w:sz w:val="11"/>
                <w:szCs w:val="11"/>
                <w:color w:val="auto"/>
              </w:rPr>
              <w:t>$</w:t>
            </w: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19,368</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Other receivables, net</w:t>
            </w:r>
          </w:p>
        </w:tc>
        <w:tc>
          <w:tcPr>
            <w:tcW w:w="3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2,583</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3,090</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Property and equipment, net</w:t>
            </w:r>
          </w:p>
        </w:tc>
        <w:tc>
          <w:tcPr>
            <w:tcW w:w="380" w:type="dxa"/>
            <w:vAlign w:val="bottom"/>
            <w:shd w:val="clear" w:color="auto" w:fill="DBDBDB"/>
          </w:tcPr>
          <w:p>
            <w:pPr>
              <w:spacing w:after="0"/>
              <w:rPr>
                <w:sz w:val="12"/>
                <w:szCs w:val="12"/>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181,941</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177,136</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Goodwill</w:t>
            </w:r>
          </w:p>
        </w:tc>
        <w:tc>
          <w:tcPr>
            <w:tcW w:w="3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1,395,505</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1,251,908</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Other intangibles, net</w:t>
            </w:r>
          </w:p>
        </w:tc>
        <w:tc>
          <w:tcPr>
            <w:tcW w:w="380" w:type="dxa"/>
            <w:vAlign w:val="bottom"/>
            <w:shd w:val="clear" w:color="auto" w:fill="DBDBDB"/>
          </w:tcPr>
          <w:p>
            <w:pPr>
              <w:spacing w:after="0"/>
              <w:rPr>
                <w:sz w:val="12"/>
                <w:szCs w:val="12"/>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78,604</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39,819</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Receivables from non-guarantor subsidiaries</w:t>
            </w:r>
          </w:p>
        </w:tc>
        <w:tc>
          <w:tcPr>
            <w:tcW w:w="3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28,392</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105,657</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Other assets</w:t>
            </w:r>
          </w:p>
        </w:tc>
        <w:tc>
          <w:tcPr>
            <w:tcW w:w="380" w:type="dxa"/>
            <w:vAlign w:val="bottom"/>
            <w:shd w:val="clear" w:color="auto" w:fill="DBDBDB"/>
          </w:tcPr>
          <w:p>
            <w:pPr>
              <w:spacing w:after="0"/>
              <w:rPr>
                <w:sz w:val="12"/>
                <w:szCs w:val="12"/>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1,676,519</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1,525,640</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Corporate debt and other borrowings, net</w:t>
            </w:r>
          </w:p>
        </w:tc>
        <w:tc>
          <w:tcPr>
            <w:tcW w:w="3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7,802,917</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7,258,694</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Accounts payable and accrued liabilities</w:t>
            </w:r>
          </w:p>
        </w:tc>
        <w:tc>
          <w:tcPr>
            <w:tcW w:w="380" w:type="dxa"/>
            <w:vAlign w:val="bottom"/>
            <w:shd w:val="clear" w:color="auto" w:fill="DBDBDB"/>
          </w:tcPr>
          <w:p>
            <w:pPr>
              <w:spacing w:after="0"/>
              <w:rPr>
                <w:sz w:val="12"/>
                <w:szCs w:val="12"/>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119,980</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83,637</w:t>
            </w:r>
          </w:p>
        </w:tc>
      </w:tr>
      <w:tr>
        <w:trPr>
          <w:trHeight w:val="143"/>
        </w:trPr>
        <w:tc>
          <w:tcPr>
            <w:tcW w:w="6460" w:type="dxa"/>
            <w:vAlign w:val="bottom"/>
          </w:tcPr>
          <w:p>
            <w:pPr>
              <w:spacing w:after="0"/>
              <w:rPr>
                <w:sz w:val="20"/>
                <w:szCs w:val="20"/>
                <w:color w:val="auto"/>
              </w:rPr>
            </w:pPr>
            <w:r>
              <w:rPr>
                <w:rFonts w:ascii="Arial" w:cs="Arial" w:eastAsia="Arial" w:hAnsi="Arial"/>
                <w:sz w:val="11"/>
                <w:szCs w:val="11"/>
                <w:color w:val="auto"/>
              </w:rPr>
              <w:t>Payables to non-guarantor subsidiaries</w:t>
            </w:r>
          </w:p>
        </w:tc>
        <w:tc>
          <w:tcPr>
            <w:tcW w:w="3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96,774</w:t>
            </w:r>
          </w:p>
        </w:tc>
        <w:tc>
          <w:tcPr>
            <w:tcW w:w="420" w:type="dxa"/>
            <w:vAlign w:val="bottom"/>
          </w:tcPr>
          <w:p>
            <w:pPr>
              <w:spacing w:after="0"/>
              <w:rPr>
                <w:sz w:val="12"/>
                <w:szCs w:val="12"/>
                <w:color w:val="auto"/>
              </w:rPr>
            </w:pPr>
          </w:p>
        </w:tc>
        <w:tc>
          <w:tcPr>
            <w:tcW w:w="2020" w:type="dxa"/>
            <w:vAlign w:val="bottom"/>
          </w:tcPr>
          <w:p>
            <w:pPr>
              <w:jc w:val="right"/>
              <w:ind w:right="6"/>
              <w:spacing w:after="0"/>
              <w:rPr>
                <w:sz w:val="20"/>
                <w:szCs w:val="20"/>
                <w:color w:val="auto"/>
              </w:rPr>
            </w:pPr>
            <w:r>
              <w:rPr>
                <w:rFonts w:ascii="Arial" w:cs="Arial" w:eastAsia="Arial" w:hAnsi="Arial"/>
                <w:sz w:val="11"/>
                <w:szCs w:val="11"/>
                <w:color w:val="auto"/>
              </w:rPr>
              <w:t>85,228</w:t>
            </w:r>
          </w:p>
        </w:tc>
      </w:tr>
      <w:tr>
        <w:trPr>
          <w:trHeight w:val="145"/>
        </w:trPr>
        <w:tc>
          <w:tcPr>
            <w:tcW w:w="6460" w:type="dxa"/>
            <w:vAlign w:val="bottom"/>
            <w:shd w:val="clear" w:color="auto" w:fill="DBDBDB"/>
          </w:tcPr>
          <w:p>
            <w:pPr>
              <w:spacing w:after="0"/>
              <w:rPr>
                <w:sz w:val="20"/>
                <w:szCs w:val="20"/>
                <w:color w:val="auto"/>
              </w:rPr>
            </w:pPr>
            <w:r>
              <w:rPr>
                <w:rFonts w:ascii="Arial" w:cs="Arial" w:eastAsia="Arial" w:hAnsi="Arial"/>
                <w:sz w:val="11"/>
                <w:szCs w:val="11"/>
                <w:color w:val="auto"/>
              </w:rPr>
              <w:t>Other liabilities</w:t>
            </w:r>
          </w:p>
        </w:tc>
        <w:tc>
          <w:tcPr>
            <w:tcW w:w="380" w:type="dxa"/>
            <w:vAlign w:val="bottom"/>
            <w:shd w:val="clear" w:color="auto" w:fill="DBDBDB"/>
          </w:tcPr>
          <w:p>
            <w:pPr>
              <w:spacing w:after="0"/>
              <w:rPr>
                <w:sz w:val="12"/>
                <w:szCs w:val="12"/>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1,763,512</w:t>
            </w:r>
          </w:p>
        </w:tc>
        <w:tc>
          <w:tcPr>
            <w:tcW w:w="420" w:type="dxa"/>
            <w:vAlign w:val="bottom"/>
            <w:shd w:val="clear" w:color="auto" w:fill="DBDBDB"/>
          </w:tcPr>
          <w:p>
            <w:pPr>
              <w:spacing w:after="0"/>
              <w:rPr>
                <w:sz w:val="12"/>
                <w:szCs w:val="12"/>
                <w:color w:val="auto"/>
              </w:rPr>
            </w:pPr>
          </w:p>
        </w:tc>
        <w:tc>
          <w:tcPr>
            <w:tcW w:w="2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1,568,879</w:t>
            </w:r>
          </w:p>
        </w:tc>
      </w:tr>
    </w:tbl>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Debt and Related Covenants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Credit Agreement contains a number of covenants that, among other things, restrict, subject to certain exceptions, our ability to:</w:t>
      </w:r>
    </w:p>
    <w:p>
      <w:pPr>
        <w:spacing w:after="0" w:line="42" w:lineRule="exact"/>
        <w:rPr>
          <w:sz w:val="20"/>
          <w:szCs w:val="20"/>
          <w:color w:val="auto"/>
        </w:rPr>
      </w:pPr>
    </w:p>
    <w:p>
      <w:pPr>
        <w:ind w:left="428" w:hanging="212"/>
        <w:spacing w:after="0"/>
        <w:tabs>
          <w:tab w:leader="none" w:pos="428" w:val="left"/>
        </w:tabs>
        <w:numPr>
          <w:ilvl w:val="0"/>
          <w:numId w:val="19"/>
        </w:numPr>
        <w:rPr>
          <w:rFonts w:ascii="Arial" w:cs="Arial" w:eastAsia="Arial" w:hAnsi="Arial"/>
          <w:sz w:val="12"/>
          <w:szCs w:val="12"/>
          <w:color w:val="auto"/>
        </w:rPr>
      </w:pPr>
      <w:r>
        <w:rPr>
          <w:rFonts w:ascii="Arial" w:cs="Arial" w:eastAsia="Arial" w:hAnsi="Arial"/>
          <w:sz w:val="12"/>
          <w:szCs w:val="12"/>
          <w:color w:val="auto"/>
        </w:rPr>
        <w:t>create liens;</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9"/>
        </w:numPr>
        <w:rPr>
          <w:rFonts w:ascii="Arial" w:cs="Arial" w:eastAsia="Arial" w:hAnsi="Arial"/>
          <w:sz w:val="12"/>
          <w:szCs w:val="12"/>
          <w:color w:val="auto"/>
        </w:rPr>
      </w:pPr>
      <w:r>
        <w:rPr>
          <w:rFonts w:ascii="Arial" w:cs="Arial" w:eastAsia="Arial" w:hAnsi="Arial"/>
          <w:sz w:val="12"/>
          <w:szCs w:val="12"/>
          <w:color w:val="auto"/>
        </w:rPr>
        <w:t>sell assets;</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9"/>
        </w:numPr>
        <w:rPr>
          <w:rFonts w:ascii="Arial" w:cs="Arial" w:eastAsia="Arial" w:hAnsi="Arial"/>
          <w:sz w:val="12"/>
          <w:szCs w:val="12"/>
          <w:color w:val="auto"/>
        </w:rPr>
      </w:pPr>
      <w:r>
        <w:rPr>
          <w:rFonts w:ascii="Arial" w:cs="Arial" w:eastAsia="Arial" w:hAnsi="Arial"/>
          <w:sz w:val="12"/>
          <w:szCs w:val="12"/>
          <w:color w:val="auto"/>
        </w:rPr>
        <w:t>engage in certain transactions with affiliates; and</w:t>
      </w:r>
    </w:p>
    <w:p>
      <w:pPr>
        <w:spacing w:after="0" w:line="42" w:lineRule="exact"/>
        <w:rPr>
          <w:rFonts w:ascii="Arial" w:cs="Arial" w:eastAsia="Arial" w:hAnsi="Arial"/>
          <w:sz w:val="12"/>
          <w:szCs w:val="12"/>
          <w:color w:val="auto"/>
        </w:rPr>
      </w:pPr>
    </w:p>
    <w:p>
      <w:pPr>
        <w:ind w:left="428" w:hanging="212"/>
        <w:spacing w:after="0"/>
        <w:tabs>
          <w:tab w:leader="none" w:pos="428"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consolidate, merge or transfer all or substantially all of our assets.</w:t>
      </w:r>
    </w:p>
    <w:p>
      <w:pPr>
        <w:spacing w:after="0" w:line="78" w:lineRule="exact"/>
        <w:rPr>
          <w:sz w:val="20"/>
          <w:szCs w:val="20"/>
          <w:color w:val="auto"/>
        </w:rPr>
      </w:pPr>
    </w:p>
    <w:p>
      <w:pPr>
        <w:ind w:left="8" w:right="100"/>
        <w:spacing w:after="0" w:line="262" w:lineRule="auto"/>
        <w:rPr>
          <w:sz w:val="20"/>
          <w:szCs w:val="20"/>
          <w:color w:val="auto"/>
        </w:rPr>
      </w:pPr>
      <w:r>
        <w:rPr>
          <w:rFonts w:ascii="Arial" w:cs="Arial" w:eastAsia="Arial" w:hAnsi="Arial"/>
          <w:sz w:val="12"/>
          <w:szCs w:val="12"/>
          <w:color w:val="auto"/>
        </w:rPr>
        <w:t>In addition, our revolving credit facility requires us to be in compliance with certain financial covenants as of the last day of each fiscal quarter. The financial covenants require the calculation of Credit Agreement EBITDA, as defined in, and calculated by management in accordance with, the Credit Agreement. The Credit Agreement defines Credit Agreement EBITDA as “Consolidated EBITDA,” which is Consolidated Net Income (as defined in the Credit Agreement) plus interest expense on borrowings, provision for income taxes, depreciation and amortization and amortization of other intangibles, and is further adjusted to exclude certain non-cash charges and other adjustments, and to include future expected cost savings, operating expense reductions or other synergies from certain transactions.</w:t>
      </w:r>
    </w:p>
    <w:p>
      <w:pPr>
        <w:spacing w:after="0" w:line="200" w:lineRule="exact"/>
        <w:rPr>
          <w:sz w:val="20"/>
          <w:szCs w:val="20"/>
          <w:color w:val="auto"/>
        </w:rPr>
      </w:pPr>
    </w:p>
    <w:p>
      <w:pPr>
        <w:spacing w:after="0" w:line="2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21" w:name="page22"/>
    <w:bookmarkEnd w:id="21"/>
    <w:p>
      <w:pPr>
        <w:spacing w:after="0"/>
        <w:rPr>
          <w:sz w:val="20"/>
          <w:szCs w:val="20"/>
          <w:color w:val="auto"/>
        </w:rPr>
      </w:pPr>
      <w:r>
        <w:rPr>
          <w:rFonts w:ascii="Arial" w:cs="Arial" w:eastAsia="Arial" w:hAnsi="Arial"/>
          <w:sz w:val="12"/>
          <w:szCs w:val="12"/>
          <w:u w:val="single" w:color="auto"/>
          <w:color w:val="0000FF"/>
        </w:rPr>
        <w:t>Table of Contents</w:t>
      </w:r>
    </w:p>
    <w:p>
      <w:pPr>
        <w:spacing w:after="0" w:line="365"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As of September 30, 2026, we were in compliance with our Credit Agreement financial covenants, which include a maximum Consolidated Total Debt to Consolidated EBITDA Ratio (as defined in the Credit Agreement) or “Leverage Ratio” and a minimum Consolidated EBITDA to Consolidated Interest Expense Ratio (as defined in the Credit Agreement) or “Interest Coverage.” The breach of these financial covenants would be subject to certain equity cure rights. The required ratios under our financial covenants and actual ratios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720" w:type="dxa"/>
            <w:vAlign w:val="bottom"/>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2026</w:t>
            </w:r>
          </w:p>
        </w:tc>
      </w:tr>
      <w:tr>
        <w:trPr>
          <w:trHeight w:val="133"/>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color w:val="auto"/>
              </w:rPr>
              <w:t>Financial Ratio</w:t>
            </w:r>
          </w:p>
        </w:tc>
        <w:tc>
          <w:tcPr>
            <w:tcW w:w="1760" w:type="dxa"/>
            <w:vAlign w:val="bottom"/>
            <w:tcBorders>
              <w:bottom w:val="single" w:sz="8" w:color="auto"/>
            </w:tcBorders>
          </w:tcPr>
          <w:p>
            <w:pPr>
              <w:jc w:val="center"/>
              <w:ind w:left="486"/>
              <w:spacing w:after="0"/>
              <w:rPr>
                <w:sz w:val="20"/>
                <w:szCs w:val="20"/>
                <w:color w:val="auto"/>
              </w:rPr>
            </w:pPr>
            <w:r>
              <w:rPr>
                <w:rFonts w:ascii="Arial" w:cs="Arial" w:eastAsia="Arial" w:hAnsi="Arial"/>
                <w:sz w:val="11"/>
                <w:szCs w:val="11"/>
                <w:b w:val="1"/>
                <w:bCs w:val="1"/>
                <w:color w:val="auto"/>
                <w:w w:val="97"/>
              </w:rPr>
              <w:t>Covenant Requirement</w:t>
            </w:r>
          </w:p>
        </w:tc>
        <w:tc>
          <w:tcPr>
            <w:tcW w:w="2800" w:type="dxa"/>
            <w:vAlign w:val="bottom"/>
            <w:tcBorders>
              <w:bottom w:val="single" w:sz="8" w:color="auto"/>
            </w:tcBorders>
          </w:tcPr>
          <w:p>
            <w:pPr>
              <w:jc w:val="center"/>
              <w:ind w:left="486"/>
              <w:spacing w:after="0"/>
              <w:rPr>
                <w:sz w:val="20"/>
                <w:szCs w:val="20"/>
                <w:color w:val="auto"/>
              </w:rPr>
            </w:pPr>
            <w:r>
              <w:rPr>
                <w:rFonts w:ascii="Arial" w:cs="Arial" w:eastAsia="Arial" w:hAnsi="Arial"/>
                <w:sz w:val="11"/>
                <w:szCs w:val="11"/>
                <w:b w:val="1"/>
                <w:bCs w:val="1"/>
                <w:color w:val="auto"/>
                <w:w w:val="96"/>
              </w:rPr>
              <w:t>Actual Ratio</w:t>
            </w:r>
          </w:p>
        </w:tc>
      </w:tr>
      <w:tr>
        <w:trPr>
          <w:trHeight w:val="133"/>
        </w:trPr>
        <w:tc>
          <w:tcPr>
            <w:tcW w:w="6720" w:type="dxa"/>
            <w:vAlign w:val="bottom"/>
            <w:shd w:val="clear" w:color="auto" w:fill="DBDBDB"/>
          </w:tcPr>
          <w:p>
            <w:pPr>
              <w:ind w:left="20"/>
              <w:spacing w:after="0"/>
              <w:rPr>
                <w:sz w:val="20"/>
                <w:szCs w:val="20"/>
                <w:color w:val="auto"/>
              </w:rPr>
            </w:pPr>
            <w:r>
              <w:rPr>
                <w:rFonts w:ascii="Arial" w:cs="Arial" w:eastAsia="Arial" w:hAnsi="Arial"/>
                <w:sz w:val="11"/>
                <w:szCs w:val="11"/>
                <w:color w:val="auto"/>
              </w:rPr>
              <w:t>Leverage Ratio (Maximum)</w:t>
            </w:r>
          </w:p>
        </w:tc>
        <w:tc>
          <w:tcPr>
            <w:tcW w:w="1760" w:type="dxa"/>
            <w:vAlign w:val="bottom"/>
            <w:shd w:val="clear" w:color="auto" w:fill="DBDBDB"/>
          </w:tcPr>
          <w:p>
            <w:pPr>
              <w:jc w:val="center"/>
              <w:ind w:left="466"/>
              <w:spacing w:after="0"/>
              <w:rPr>
                <w:sz w:val="20"/>
                <w:szCs w:val="20"/>
                <w:color w:val="auto"/>
              </w:rPr>
            </w:pPr>
            <w:r>
              <w:rPr>
                <w:rFonts w:ascii="Arial" w:cs="Arial" w:eastAsia="Arial" w:hAnsi="Arial"/>
                <w:sz w:val="11"/>
                <w:szCs w:val="11"/>
                <w:color w:val="auto"/>
              </w:rPr>
              <w:t>4.0</w:t>
            </w:r>
          </w:p>
        </w:tc>
        <w:tc>
          <w:tcPr>
            <w:tcW w:w="2800" w:type="dxa"/>
            <w:vAlign w:val="bottom"/>
            <w:shd w:val="clear" w:color="auto" w:fill="DBDBDB"/>
          </w:tcPr>
          <w:p>
            <w:pPr>
              <w:jc w:val="center"/>
              <w:ind w:left="486"/>
              <w:spacing w:after="0"/>
              <w:rPr>
                <w:sz w:val="20"/>
                <w:szCs w:val="20"/>
                <w:color w:val="auto"/>
              </w:rPr>
            </w:pPr>
            <w:r>
              <w:rPr>
                <w:rFonts w:ascii="Arial" w:cs="Arial" w:eastAsia="Arial" w:hAnsi="Arial"/>
                <w:sz w:val="11"/>
                <w:szCs w:val="11"/>
                <w:color w:val="auto"/>
              </w:rPr>
              <w:t>1.93</w:t>
            </w:r>
          </w:p>
        </w:tc>
      </w:tr>
      <w:tr>
        <w:trPr>
          <w:trHeight w:val="142"/>
        </w:trPr>
        <w:tc>
          <w:tcPr>
            <w:tcW w:w="6720" w:type="dxa"/>
            <w:vAlign w:val="bottom"/>
          </w:tcPr>
          <w:p>
            <w:pPr>
              <w:ind w:left="20"/>
              <w:spacing w:after="0"/>
              <w:rPr>
                <w:sz w:val="20"/>
                <w:szCs w:val="20"/>
                <w:color w:val="auto"/>
              </w:rPr>
            </w:pPr>
            <w:r>
              <w:rPr>
                <w:rFonts w:ascii="Arial" w:cs="Arial" w:eastAsia="Arial" w:hAnsi="Arial"/>
                <w:sz w:val="11"/>
                <w:szCs w:val="11"/>
                <w:color w:val="auto"/>
              </w:rPr>
              <w:t>Interest Coverage (Minimum)</w:t>
            </w:r>
          </w:p>
        </w:tc>
        <w:tc>
          <w:tcPr>
            <w:tcW w:w="1760" w:type="dxa"/>
            <w:vAlign w:val="bottom"/>
          </w:tcPr>
          <w:p>
            <w:pPr>
              <w:jc w:val="center"/>
              <w:ind w:left="466"/>
              <w:spacing w:after="0"/>
              <w:rPr>
                <w:sz w:val="20"/>
                <w:szCs w:val="20"/>
                <w:color w:val="auto"/>
              </w:rPr>
            </w:pPr>
            <w:r>
              <w:rPr>
                <w:rFonts w:ascii="Arial" w:cs="Arial" w:eastAsia="Arial" w:hAnsi="Arial"/>
                <w:sz w:val="11"/>
                <w:szCs w:val="11"/>
                <w:color w:val="auto"/>
              </w:rPr>
              <w:t>3.0</w:t>
            </w:r>
          </w:p>
        </w:tc>
        <w:tc>
          <w:tcPr>
            <w:tcW w:w="2800" w:type="dxa"/>
            <w:vAlign w:val="bottom"/>
          </w:tcPr>
          <w:p>
            <w:pPr>
              <w:jc w:val="center"/>
              <w:ind w:left="486"/>
              <w:spacing w:after="0"/>
              <w:rPr>
                <w:sz w:val="20"/>
                <w:szCs w:val="20"/>
                <w:color w:val="auto"/>
              </w:rPr>
            </w:pPr>
            <w:r>
              <w:rPr>
                <w:rFonts w:ascii="Arial" w:cs="Arial" w:eastAsia="Arial" w:hAnsi="Arial"/>
                <w:sz w:val="11"/>
                <w:szCs w:val="11"/>
                <w:color w:val="auto"/>
              </w:rPr>
              <w:t>9.34</w:t>
            </w:r>
          </w:p>
        </w:tc>
      </w:tr>
    </w:tbl>
    <w:p>
      <w:pPr>
        <w:spacing w:after="0" w:line="106"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Certain restrictive covenants under certain of our Indentures are currently suspended. However, a credit rating downgrade to a below investment grade rating could cause currently suspended restrictive covenants under certain of our Indentures to be automatically reinstated.</w:t>
      </w:r>
    </w:p>
    <w:p>
      <w:pPr>
        <w:spacing w:after="0" w:line="32" w:lineRule="exact"/>
        <w:rPr>
          <w:sz w:val="20"/>
          <w:szCs w:val="20"/>
          <w:color w:val="auto"/>
        </w:rPr>
      </w:pPr>
    </w:p>
    <w:p>
      <w:pPr>
        <w:ind w:right="1560"/>
        <w:spacing w:after="0" w:line="438" w:lineRule="auto"/>
        <w:rPr>
          <w:sz w:val="20"/>
          <w:szCs w:val="20"/>
          <w:color w:val="auto"/>
        </w:rPr>
      </w:pPr>
      <w:r>
        <w:rPr>
          <w:rFonts w:ascii="Arial" w:cs="Arial" w:eastAsia="Arial" w:hAnsi="Arial"/>
          <w:sz w:val="12"/>
          <w:szCs w:val="12"/>
          <w:color w:val="auto"/>
        </w:rPr>
        <w:t xml:space="preserve">See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xml:space="preserve"> within the notes to the condensed consolidated financial statements for additional information regarding the Credit Agreement. </w:t>
      </w:r>
      <w:r>
        <w:rPr>
          <w:rFonts w:ascii="Arial" w:cs="Arial" w:eastAsia="Arial" w:hAnsi="Arial"/>
          <w:sz w:val="12"/>
          <w:szCs w:val="12"/>
          <w:b w:val="1"/>
          <w:bCs w:val="1"/>
          <w:color w:val="auto"/>
        </w:rPr>
        <w:t>Contractual Obligations</w:t>
      </w:r>
    </w:p>
    <w:p>
      <w:pPr>
        <w:ind w:right="60"/>
        <w:spacing w:after="0" w:line="262" w:lineRule="auto"/>
        <w:rPr>
          <w:sz w:val="20"/>
          <w:szCs w:val="20"/>
          <w:color w:val="auto"/>
        </w:rPr>
      </w:pPr>
      <w:r>
        <w:rPr>
          <w:rFonts w:ascii="Arial" w:cs="Arial" w:eastAsia="Arial" w:hAnsi="Arial"/>
          <w:sz w:val="12"/>
          <w:szCs w:val="12"/>
          <w:color w:val="auto"/>
        </w:rPr>
        <w:t xml:space="preserve">During the nine months ended September 30, 2026, there were no material changes in our contractual obligations, other than in the ordinary course of business, from those disclosed in our 2025 Annual Report on Form 10-K.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xml:space="preserve"> and Note 10 -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within the notes to the condensed consolidated financial statements, as well as the Contractual Obligations section within Part II, </w:t>
      </w:r>
      <w:r>
        <w:rPr>
          <w:rFonts w:ascii="Arial" w:cs="Arial" w:eastAsia="Arial" w:hAnsi="Arial"/>
          <w:sz w:val="12"/>
          <w:szCs w:val="12"/>
          <w:i w:val="1"/>
          <w:iCs w:val="1"/>
          <w:color w:val="auto"/>
        </w:rPr>
        <w:t>“Item 7. Management’s Discussion and Analysis of Financial Condition and Results of Operations”</w:t>
      </w:r>
      <w:r>
        <w:rPr>
          <w:rFonts w:ascii="Arial" w:cs="Arial" w:eastAsia="Arial" w:hAnsi="Arial"/>
          <w:sz w:val="12"/>
          <w:szCs w:val="12"/>
          <w:color w:val="auto"/>
        </w:rPr>
        <w:t xml:space="preserve"> in our 2025 Annual Report on Form 10-K, for further detail.</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Management</w:t>
      </w:r>
    </w:p>
    <w:p>
      <w:pPr>
        <w:spacing w:after="0" w:line="78" w:lineRule="exact"/>
        <w:rPr>
          <w:sz w:val="20"/>
          <w:szCs w:val="20"/>
          <w:color w:val="auto"/>
        </w:rPr>
      </w:pPr>
    </w:p>
    <w:p>
      <w:pPr>
        <w:ind w:right="380"/>
        <w:spacing w:after="0" w:line="268" w:lineRule="auto"/>
        <w:rPr>
          <w:sz w:val="20"/>
          <w:szCs w:val="20"/>
          <w:color w:val="auto"/>
        </w:rPr>
      </w:pPr>
      <w:r>
        <w:rPr>
          <w:rFonts w:ascii="Arial" w:cs="Arial" w:eastAsia="Arial" w:hAnsi="Arial"/>
          <w:sz w:val="12"/>
          <w:szCs w:val="12"/>
          <w:color w:val="auto"/>
        </w:rPr>
        <w:t>Risk is an inherent part of our business activities. To manage risk, we have implemented an enterprise risk management (“ERM”) framework that supports a resilient and adaptive risk-focused organization, designed to enable us to navigate uncertainties, make informed and consistent decisions, and seize growth opportunities. This framework facilitates the incorporation of risk assessment into decision-making processes, enables execution of our business strategy, and protects the Company and our franchise.</w:t>
      </w:r>
    </w:p>
    <w:p>
      <w:pPr>
        <w:spacing w:after="0" w:line="69" w:lineRule="exact"/>
        <w:rPr>
          <w:sz w:val="20"/>
          <w:szCs w:val="20"/>
          <w:color w:val="auto"/>
        </w:rPr>
      </w:pPr>
    </w:p>
    <w:p>
      <w:pPr>
        <w:ind w:right="500"/>
        <w:spacing w:after="0" w:line="270" w:lineRule="auto"/>
        <w:rPr>
          <w:sz w:val="20"/>
          <w:szCs w:val="20"/>
          <w:color w:val="auto"/>
        </w:rPr>
      </w:pPr>
      <w:r>
        <w:rPr>
          <w:rFonts w:ascii="Arial" w:cs="Arial" w:eastAsia="Arial" w:hAnsi="Arial"/>
          <w:sz w:val="12"/>
          <w:szCs w:val="12"/>
          <w:color w:val="auto"/>
        </w:rPr>
        <w:t>Our Company-wide risk appetite statement is a crucial component of our risk governance framework. It defines the overall level and types of risk we are prepared to accept in order to achieve our strategic objectives and business plan. This statement categorizes risks into strategic, technology, regulatory compliance, operational, liquidity, reputational, credit, interest rate, and market risks.</w:t>
      </w:r>
    </w:p>
    <w:p>
      <w:pPr>
        <w:spacing w:after="0" w:line="77" w:lineRule="exact"/>
        <w:rPr>
          <w:sz w:val="20"/>
          <w:szCs w:val="20"/>
          <w:color w:val="auto"/>
        </w:rPr>
      </w:pPr>
    </w:p>
    <w:p>
      <w:pPr>
        <w:ind w:right="180"/>
        <w:spacing w:after="0" w:line="257" w:lineRule="auto"/>
        <w:rPr>
          <w:sz w:val="20"/>
          <w:szCs w:val="20"/>
          <w:color w:val="auto"/>
        </w:rPr>
      </w:pPr>
      <w:r>
        <w:rPr>
          <w:rFonts w:ascii="Arial" w:cs="Arial" w:eastAsia="Arial" w:hAnsi="Arial"/>
          <w:sz w:val="12"/>
          <w:szCs w:val="12"/>
          <w:color w:val="auto"/>
        </w:rPr>
        <w:t xml:space="preserve">Additionally, this framework aims to ensure policies and procedures are in place and appropriately designed to identify and manage risk at appropriate levels throughout the Company and within various departments. We have established advisor-facing and internal written policies and procedures that govern the conduct of our advisors and employees. Our advisor-facing policies are specifically designed to provide guidelines and procedures that ensure advisors adhere to regulatory requirements and maintain ethical standards in their professional conduct while our internal policies cover a wide range of topics designed to promote compliance, consistency, risk management, and culture and values across the Company. Please consult the </w:t>
      </w:r>
      <w:r>
        <w:rPr>
          <w:rFonts w:ascii="Arial" w:cs="Arial" w:eastAsia="Arial" w:hAnsi="Arial"/>
          <w:sz w:val="12"/>
          <w:szCs w:val="12"/>
          <w:i w:val="1"/>
          <w:iCs w:val="1"/>
          <w:color w:val="auto"/>
        </w:rPr>
        <w:t>“Risks Related to Our Technology”</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“Risks Related to Our Business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Industry” </w:t>
      </w:r>
      <w:r>
        <w:rPr>
          <w:rFonts w:ascii="Arial" w:cs="Arial" w:eastAsia="Arial" w:hAnsi="Arial"/>
          <w:sz w:val="12"/>
          <w:szCs w:val="12"/>
          <w:color w:val="auto"/>
        </w:rPr>
        <w:t>sections within Part I,</w:t>
      </w:r>
      <w:r>
        <w:rPr>
          <w:rFonts w:ascii="Arial" w:cs="Arial" w:eastAsia="Arial" w:hAnsi="Arial"/>
          <w:sz w:val="12"/>
          <w:szCs w:val="12"/>
          <w:i w:val="1"/>
          <w:iCs w:val="1"/>
          <w:color w:val="auto"/>
        </w:rPr>
        <w:t xml:space="preserve"> “Item 1A. Risk Factors”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“Risk Management” </w:t>
      </w:r>
      <w:r>
        <w:rPr>
          <w:rFonts w:ascii="Arial" w:cs="Arial" w:eastAsia="Arial" w:hAnsi="Arial"/>
          <w:sz w:val="12"/>
          <w:szCs w:val="12"/>
          <w:color w:val="auto"/>
        </w:rPr>
        <w:t>section within Part II, “</w:t>
      </w:r>
      <w:r>
        <w:rPr>
          <w:rFonts w:ascii="Arial" w:cs="Arial" w:eastAsia="Arial" w:hAnsi="Arial"/>
          <w:sz w:val="12"/>
          <w:szCs w:val="12"/>
          <w:i w:val="1"/>
          <w:iCs w:val="1"/>
          <w:color w:val="auto"/>
        </w:rPr>
        <w:t xml:space="preserve">Item 7. Management’s Discussion and Analysis of Financial Condition and Results of Operations” </w:t>
      </w:r>
      <w:r>
        <w:rPr>
          <w:rFonts w:ascii="Arial" w:cs="Arial" w:eastAsia="Arial" w:hAnsi="Arial"/>
          <w:sz w:val="12"/>
          <w:szCs w:val="12"/>
          <w:color w:val="auto"/>
        </w:rPr>
        <w:t>in our</w:t>
      </w:r>
      <w:r>
        <w:rPr>
          <w:rFonts w:ascii="Arial" w:cs="Arial" w:eastAsia="Arial" w:hAnsi="Arial"/>
          <w:sz w:val="12"/>
          <w:szCs w:val="12"/>
          <w:i w:val="1"/>
          <w:iCs w:val="1"/>
          <w:color w:val="auto"/>
        </w:rPr>
        <w:t xml:space="preserve"> </w:t>
      </w:r>
      <w:r>
        <w:rPr>
          <w:rFonts w:ascii="Arial" w:cs="Arial" w:eastAsia="Arial" w:hAnsi="Arial"/>
          <w:sz w:val="12"/>
          <w:szCs w:val="12"/>
          <w:color w:val="auto"/>
        </w:rPr>
        <w:t>2025 Annual Report on Form 10-K for more information about our risks, our risk management policies and procedures, the potential related effects on our operations, and our ERM framework.</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Operational Risk</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Operational risk refers to the risk of loss resulting from inadequate or failed processes and/or systems as a result of external events and is inherent in all Company activities. Please consult the “</w:t>
      </w:r>
      <w:r>
        <w:rPr>
          <w:rFonts w:ascii="Arial" w:cs="Arial" w:eastAsia="Arial" w:hAnsi="Arial"/>
          <w:sz w:val="12"/>
          <w:szCs w:val="12"/>
          <w:i w:val="1"/>
          <w:iCs w:val="1"/>
          <w:color w:val="auto"/>
        </w:rPr>
        <w:t>Risk Management”</w:t>
      </w:r>
      <w:r>
        <w:rPr>
          <w:rFonts w:ascii="Arial" w:cs="Arial" w:eastAsia="Arial" w:hAnsi="Arial"/>
          <w:sz w:val="12"/>
          <w:szCs w:val="12"/>
          <w:color w:val="auto"/>
        </w:rPr>
        <w:t xml:space="preserve"> section within Part II, </w:t>
      </w:r>
      <w:r>
        <w:rPr>
          <w:rFonts w:ascii="Arial" w:cs="Arial" w:eastAsia="Arial" w:hAnsi="Arial"/>
          <w:sz w:val="12"/>
          <w:szCs w:val="12"/>
          <w:i w:val="1"/>
          <w:iCs w:val="1"/>
          <w:color w:val="auto"/>
        </w:rPr>
        <w:t>“Item 7. Management’s Discussion and Analysis of Financial Condition and Results of Operations”</w:t>
      </w:r>
      <w:r>
        <w:rPr>
          <w:rFonts w:ascii="Arial" w:cs="Arial" w:eastAsia="Arial" w:hAnsi="Arial"/>
          <w:sz w:val="12"/>
          <w:szCs w:val="12"/>
          <w:color w:val="auto"/>
        </w:rPr>
        <w:t xml:space="preserve"> included in our 2025 Annual Report on Form 10-K for more information about the operational risks that we face.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2" w:name="page23"/>
    <w:bookmarkEnd w:id="2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Regulatory and Compliance Risk</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 xml:space="preserve">The regulatory environment in which we operate is discussed in detail within Part I, </w:t>
      </w:r>
      <w:r>
        <w:rPr>
          <w:rFonts w:ascii="Arial" w:cs="Arial" w:eastAsia="Arial" w:hAnsi="Arial"/>
          <w:sz w:val="12"/>
          <w:szCs w:val="12"/>
          <w:i w:val="1"/>
          <w:iCs w:val="1"/>
          <w:color w:val="auto"/>
        </w:rPr>
        <w:t>“Item 1. Business”</w:t>
      </w:r>
      <w:r>
        <w:rPr>
          <w:rFonts w:ascii="Arial" w:cs="Arial" w:eastAsia="Arial" w:hAnsi="Arial"/>
          <w:sz w:val="12"/>
          <w:szCs w:val="12"/>
          <w:color w:val="auto"/>
        </w:rPr>
        <w:t xml:space="preserve"> in our 2025 Annual Report on Form 10-K. In recent years, and during the periods presented in this Quarterly Report on Form 10-Q, we have observed the SEC, FINRA, the U.S. Department of Labor and state regulators broaden the scope, frequency and depth of their examinations and inquiries to include greater emphasis on the quality, consistency and oversight of our compliance systems and programs. Please consult the </w:t>
      </w:r>
      <w:r>
        <w:rPr>
          <w:rFonts w:ascii="Arial" w:cs="Arial" w:eastAsia="Arial" w:hAnsi="Arial"/>
          <w:sz w:val="12"/>
          <w:szCs w:val="12"/>
          <w:i w:val="1"/>
          <w:iCs w:val="1"/>
          <w:color w:val="auto"/>
        </w:rPr>
        <w:t>“Risks Related to Our Regulatory Environment”</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“Risks Related to Our Business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Industry” </w:t>
      </w:r>
      <w:r>
        <w:rPr>
          <w:rFonts w:ascii="Arial" w:cs="Arial" w:eastAsia="Arial" w:hAnsi="Arial"/>
          <w:sz w:val="12"/>
          <w:szCs w:val="12"/>
          <w:color w:val="auto"/>
        </w:rPr>
        <w:t>sections within Part I,</w:t>
      </w:r>
      <w:r>
        <w:rPr>
          <w:rFonts w:ascii="Arial" w:cs="Arial" w:eastAsia="Arial" w:hAnsi="Arial"/>
          <w:sz w:val="12"/>
          <w:szCs w:val="12"/>
          <w:i w:val="1"/>
          <w:iCs w:val="1"/>
          <w:color w:val="auto"/>
        </w:rPr>
        <w:t xml:space="preserve"> “Item 1A. Risk Factors” </w:t>
      </w:r>
      <w:r>
        <w:rPr>
          <w:rFonts w:ascii="Arial" w:cs="Arial" w:eastAsia="Arial" w:hAnsi="Arial"/>
          <w:sz w:val="12"/>
          <w:szCs w:val="12"/>
          <w:color w:val="auto"/>
        </w:rPr>
        <w:t>in our 2025 Annual Report on Form 10-K for more information about the risks associated with operating within our regulatory environment, pending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matters and the potential related effects on our operations.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78"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color w:val="auto"/>
        </w:rPr>
        <w:t xml:space="preserve">In the notes to our consolidated financial statements and in Part II, </w:t>
      </w:r>
      <w:r>
        <w:rPr>
          <w:rFonts w:ascii="Arial" w:cs="Arial" w:eastAsia="Arial" w:hAnsi="Arial"/>
          <w:sz w:val="12"/>
          <w:szCs w:val="12"/>
          <w:i w:val="1"/>
          <w:iCs w:val="1"/>
          <w:color w:val="auto"/>
        </w:rPr>
        <w:t>“Item 7. Management’s Discussion and Analysis of Financial Condition and Results of Operations”</w:t>
      </w:r>
      <w:r>
        <w:rPr>
          <w:rFonts w:ascii="Arial" w:cs="Arial" w:eastAsia="Arial" w:hAnsi="Arial"/>
          <w:sz w:val="12"/>
          <w:szCs w:val="12"/>
          <w:color w:val="auto"/>
        </w:rPr>
        <w:t xml:space="preserve"> included in our 2025 Annual Report on Form 10-K, we have disclosed those accounting policies that we consider to be most significant in determining our results of operations and financial condition and involve a higher degree of judgment and complexity. There have been no changes to those policies that we consider to be material since the filing of our 2025 Annual Report on Form 10-K. The accounting principles used in preparing our condensed consolidated financial statements conform in all material respects to GAAP.</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3" w:name="page24"/>
    <w:bookmarkEnd w:id="23"/>
    <w:p>
      <w:pPr>
        <w:spacing w:after="0"/>
        <w:rPr>
          <w:sz w:val="20"/>
          <w:szCs w:val="20"/>
          <w:color w:val="auto"/>
        </w:rPr>
      </w:pPr>
      <w:r>
        <w:rPr>
          <w:rFonts w:ascii="Arial" w:cs="Arial" w:eastAsia="Arial" w:hAnsi="Arial"/>
          <w:sz w:val="12"/>
          <w:szCs w:val="12"/>
          <w:u w:val="single" w:color="auto"/>
          <w:color w:val="0000FF"/>
        </w:rPr>
        <w:t>Table of Contents</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 (unaudited)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data)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80" w:type="dxa"/>
            <w:vAlign w:val="bottom"/>
          </w:tcPr>
          <w:p>
            <w:pPr>
              <w:spacing w:after="0"/>
              <w:rPr>
                <w:sz w:val="12"/>
                <w:szCs w:val="12"/>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3"/>
          </w:tcPr>
          <w:p>
            <w:pPr>
              <w:jc w:val="right"/>
              <w:ind w:right="48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5380" w:type="dxa"/>
            <w:vAlign w:val="bottom"/>
            <w:tcBorders>
              <w:bottom w:val="single" w:sz="8" w:color="DBDBDB"/>
            </w:tcBorders>
          </w:tcPr>
          <w:p>
            <w:pPr>
              <w:spacing w:after="0"/>
              <w:rPr>
                <w:sz w:val="11"/>
                <w:szCs w:val="1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2026</w:t>
            </w:r>
          </w:p>
        </w:tc>
        <w:tc>
          <w:tcPr>
            <w:tcW w:w="5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2026</w:t>
            </w: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2025</w:t>
            </w:r>
          </w:p>
        </w:tc>
      </w:tr>
      <w:tr>
        <w:trPr>
          <w:trHeight w:val="124"/>
        </w:trPr>
        <w:tc>
          <w:tcPr>
            <w:tcW w:w="5380" w:type="dxa"/>
            <w:vAlign w:val="bottom"/>
            <w:shd w:val="clear" w:color="auto" w:fill="DBDBDB"/>
          </w:tcPr>
          <w:p>
            <w:pPr>
              <w:spacing w:after="0" w:line="122" w:lineRule="exact"/>
              <w:rPr>
                <w:sz w:val="20"/>
                <w:szCs w:val="20"/>
                <w:color w:val="auto"/>
              </w:rPr>
            </w:pPr>
            <w:r>
              <w:rPr>
                <w:rFonts w:ascii="Arial" w:cs="Arial" w:eastAsia="Arial" w:hAnsi="Arial"/>
                <w:sz w:val="11"/>
                <w:szCs w:val="11"/>
                <w:color w:val="auto"/>
              </w:rPr>
              <w:t>REVENUE</w:t>
            </w:r>
          </w:p>
        </w:tc>
        <w:tc>
          <w:tcPr>
            <w:tcW w:w="94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98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30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c>
          <w:tcPr>
            <w:tcW w:w="36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r>
      <w:tr>
        <w:trPr>
          <w:trHeight w:val="143"/>
        </w:trPr>
        <w:tc>
          <w:tcPr>
            <w:tcW w:w="5380" w:type="dxa"/>
            <w:vAlign w:val="bottom"/>
          </w:tcPr>
          <w:p>
            <w:pPr>
              <w:ind w:left="220"/>
              <w:spacing w:after="0"/>
              <w:rPr>
                <w:sz w:val="20"/>
                <w:szCs w:val="20"/>
                <w:color w:val="auto"/>
              </w:rPr>
            </w:pPr>
            <w:r>
              <w:rPr>
                <w:rFonts w:ascii="Arial" w:cs="Arial" w:eastAsia="Arial" w:hAnsi="Arial"/>
                <w:sz w:val="11"/>
                <w:szCs w:val="11"/>
                <w:color w:val="auto"/>
              </w:rPr>
              <w:t>Advisory</w:t>
            </w:r>
          </w:p>
        </w:tc>
        <w:tc>
          <w:tcPr>
            <w:tcW w:w="940" w:type="dxa"/>
            <w:vAlign w:val="bottom"/>
          </w:tcPr>
          <w:p>
            <w:pPr>
              <w:jc w:val="right"/>
              <w:ind w:right="83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2,872,928</w:t>
            </w:r>
          </w:p>
        </w:tc>
        <w:tc>
          <w:tcPr>
            <w:tcW w:w="980" w:type="dxa"/>
            <w:vAlign w:val="bottom"/>
          </w:tcPr>
          <w:p>
            <w:pPr>
              <w:jc w:val="right"/>
              <w:ind w:right="82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2,210,499</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8,120,380</w:t>
            </w:r>
          </w:p>
        </w:tc>
        <w:tc>
          <w:tcPr>
            <w:tcW w:w="36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5,617,482</w:t>
            </w:r>
          </w:p>
        </w:tc>
      </w:tr>
      <w:tr>
        <w:trPr>
          <w:trHeight w:val="145"/>
        </w:trPr>
        <w:tc>
          <w:tcPr>
            <w:tcW w:w="53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Commission:</w:t>
            </w:r>
          </w:p>
        </w:tc>
        <w:tc>
          <w:tcPr>
            <w:tcW w:w="94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r>
      <w:tr>
        <w:trPr>
          <w:trHeight w:val="143"/>
        </w:trPr>
        <w:tc>
          <w:tcPr>
            <w:tcW w:w="5380" w:type="dxa"/>
            <w:vAlign w:val="bottom"/>
          </w:tcPr>
          <w:p>
            <w:pPr>
              <w:ind w:left="320"/>
              <w:spacing w:after="0"/>
              <w:rPr>
                <w:sz w:val="20"/>
                <w:szCs w:val="20"/>
                <w:color w:val="auto"/>
              </w:rPr>
            </w:pPr>
            <w:r>
              <w:rPr>
                <w:rFonts w:ascii="Arial" w:cs="Arial" w:eastAsia="Arial" w:hAnsi="Arial"/>
                <w:sz w:val="11"/>
                <w:szCs w:val="11"/>
                <w:color w:val="auto"/>
              </w:rPr>
              <w:t>Sales-based</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742,852</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695,029</w:t>
            </w: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2,176,422</w:t>
            </w:r>
          </w:p>
        </w:tc>
        <w:tc>
          <w:tcPr>
            <w:tcW w:w="36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1,924,859</w:t>
            </w:r>
          </w:p>
        </w:tc>
      </w:tr>
      <w:tr>
        <w:trPr>
          <w:trHeight w:val="145"/>
        </w:trPr>
        <w:tc>
          <w:tcPr>
            <w:tcW w:w="5380" w:type="dxa"/>
            <w:vAlign w:val="bottom"/>
            <w:shd w:val="clear" w:color="auto" w:fill="DBDBDB"/>
          </w:tcPr>
          <w:p>
            <w:pPr>
              <w:ind w:left="320"/>
              <w:spacing w:after="0"/>
              <w:rPr>
                <w:sz w:val="20"/>
                <w:szCs w:val="20"/>
                <w:color w:val="auto"/>
              </w:rPr>
            </w:pPr>
            <w:r>
              <w:rPr>
                <w:rFonts w:ascii="Arial" w:cs="Arial" w:eastAsia="Arial" w:hAnsi="Arial"/>
                <w:sz w:val="11"/>
                <w:szCs w:val="11"/>
                <w:color w:val="auto"/>
              </w:rPr>
              <w:t>Trailing</w:t>
            </w:r>
          </w:p>
        </w:tc>
        <w:tc>
          <w:tcPr>
            <w:tcW w:w="94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507,904</w:t>
            </w:r>
          </w:p>
        </w:tc>
        <w:tc>
          <w:tcPr>
            <w:tcW w:w="98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492,426</w:t>
            </w:r>
          </w:p>
        </w:tc>
        <w:tc>
          <w:tcPr>
            <w:tcW w:w="30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1,498,441</w:t>
            </w:r>
          </w:p>
        </w:tc>
        <w:tc>
          <w:tcPr>
            <w:tcW w:w="36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1,348,440</w:t>
            </w:r>
          </w:p>
        </w:tc>
      </w:tr>
      <w:tr>
        <w:trPr>
          <w:trHeight w:val="132"/>
        </w:trPr>
        <w:tc>
          <w:tcPr>
            <w:tcW w:w="5380" w:type="dxa"/>
            <w:vAlign w:val="bottom"/>
          </w:tcPr>
          <w:p>
            <w:pPr>
              <w:ind w:left="220"/>
              <w:spacing w:after="0"/>
              <w:rPr>
                <w:sz w:val="20"/>
                <w:szCs w:val="20"/>
                <w:color w:val="auto"/>
              </w:rPr>
            </w:pPr>
            <w:r>
              <w:rPr>
                <w:rFonts w:ascii="Arial" w:cs="Arial" w:eastAsia="Arial" w:hAnsi="Arial"/>
                <w:sz w:val="11"/>
                <w:szCs w:val="11"/>
                <w:color w:val="auto"/>
              </w:rPr>
              <w:t>Total commission</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1,250,756</w:t>
            </w:r>
          </w:p>
        </w:tc>
        <w:tc>
          <w:tcPr>
            <w:tcW w:w="9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1,187,455</w:t>
            </w:r>
          </w:p>
        </w:tc>
        <w:tc>
          <w:tcPr>
            <w:tcW w:w="3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3,674,863</w:t>
            </w:r>
          </w:p>
        </w:tc>
        <w:tc>
          <w:tcPr>
            <w:tcW w:w="360" w:type="dxa"/>
            <w:vAlign w:val="bottom"/>
          </w:tcPr>
          <w:p>
            <w:pPr>
              <w:spacing w:after="0"/>
              <w:rPr>
                <w:sz w:val="11"/>
                <w:szCs w:val="11"/>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3,273,299</w:t>
            </w:r>
          </w:p>
        </w:tc>
      </w:tr>
      <w:tr>
        <w:trPr>
          <w:trHeight w:val="145"/>
        </w:trPr>
        <w:tc>
          <w:tcPr>
            <w:tcW w:w="53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Asset-based:</w:t>
            </w:r>
          </w:p>
        </w:tc>
        <w:tc>
          <w:tcPr>
            <w:tcW w:w="94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r>
      <w:tr>
        <w:trPr>
          <w:trHeight w:val="143"/>
        </w:trPr>
        <w:tc>
          <w:tcPr>
            <w:tcW w:w="5380" w:type="dxa"/>
            <w:vAlign w:val="bottom"/>
          </w:tcPr>
          <w:p>
            <w:pPr>
              <w:ind w:left="320"/>
              <w:spacing w:after="0"/>
              <w:rPr>
                <w:sz w:val="20"/>
                <w:szCs w:val="20"/>
                <w:color w:val="auto"/>
              </w:rPr>
            </w:pPr>
            <w:r>
              <w:rPr>
                <w:rFonts w:ascii="Arial" w:cs="Arial" w:eastAsia="Arial" w:hAnsi="Arial"/>
                <w:sz w:val="11"/>
                <w:szCs w:val="11"/>
                <w:color w:val="auto"/>
              </w:rPr>
              <w:t>Client cash</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461,471</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428,190</w:t>
            </w: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1,350,297</w:t>
            </w:r>
          </w:p>
        </w:tc>
        <w:tc>
          <w:tcPr>
            <w:tcW w:w="36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1,217,553</w:t>
            </w:r>
          </w:p>
        </w:tc>
      </w:tr>
      <w:tr>
        <w:trPr>
          <w:trHeight w:val="145"/>
        </w:trPr>
        <w:tc>
          <w:tcPr>
            <w:tcW w:w="5380" w:type="dxa"/>
            <w:vAlign w:val="bottom"/>
            <w:shd w:val="clear" w:color="auto" w:fill="DBDBDB"/>
          </w:tcPr>
          <w:p>
            <w:pPr>
              <w:ind w:left="320"/>
              <w:spacing w:after="0"/>
              <w:rPr>
                <w:sz w:val="20"/>
                <w:szCs w:val="20"/>
                <w:color w:val="auto"/>
              </w:rPr>
            </w:pPr>
            <w:r>
              <w:rPr>
                <w:rFonts w:ascii="Arial" w:cs="Arial" w:eastAsia="Arial" w:hAnsi="Arial"/>
                <w:sz w:val="11"/>
                <w:szCs w:val="11"/>
                <w:color w:val="auto"/>
              </w:rPr>
              <w:t>Other asset-based</w:t>
            </w:r>
          </w:p>
        </w:tc>
        <w:tc>
          <w:tcPr>
            <w:tcW w:w="94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400,613</w:t>
            </w:r>
          </w:p>
        </w:tc>
        <w:tc>
          <w:tcPr>
            <w:tcW w:w="98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354,090</w:t>
            </w:r>
          </w:p>
        </w:tc>
        <w:tc>
          <w:tcPr>
            <w:tcW w:w="30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1,167,736</w:t>
            </w:r>
          </w:p>
        </w:tc>
        <w:tc>
          <w:tcPr>
            <w:tcW w:w="36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962,315</w:t>
            </w:r>
          </w:p>
        </w:tc>
      </w:tr>
      <w:tr>
        <w:trPr>
          <w:trHeight w:val="132"/>
        </w:trPr>
        <w:tc>
          <w:tcPr>
            <w:tcW w:w="5380" w:type="dxa"/>
            <w:vAlign w:val="bottom"/>
          </w:tcPr>
          <w:p>
            <w:pPr>
              <w:ind w:left="220"/>
              <w:spacing w:after="0"/>
              <w:rPr>
                <w:sz w:val="20"/>
                <w:szCs w:val="20"/>
                <w:color w:val="auto"/>
              </w:rPr>
            </w:pPr>
            <w:r>
              <w:rPr>
                <w:rFonts w:ascii="Arial" w:cs="Arial" w:eastAsia="Arial" w:hAnsi="Arial"/>
                <w:sz w:val="11"/>
                <w:szCs w:val="11"/>
                <w:color w:val="auto"/>
              </w:rPr>
              <w:t>Total asset-based</w:t>
            </w:r>
          </w:p>
        </w:tc>
        <w:tc>
          <w:tcPr>
            <w:tcW w:w="9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862,084</w:t>
            </w:r>
          </w:p>
        </w:tc>
        <w:tc>
          <w:tcPr>
            <w:tcW w:w="9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782,280</w:t>
            </w:r>
          </w:p>
        </w:tc>
        <w:tc>
          <w:tcPr>
            <w:tcW w:w="3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2,518,033</w:t>
            </w:r>
          </w:p>
        </w:tc>
        <w:tc>
          <w:tcPr>
            <w:tcW w:w="360" w:type="dxa"/>
            <w:vAlign w:val="bottom"/>
          </w:tcPr>
          <w:p>
            <w:pPr>
              <w:spacing w:after="0"/>
              <w:rPr>
                <w:sz w:val="11"/>
                <w:szCs w:val="11"/>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2,179,868</w:t>
            </w:r>
          </w:p>
        </w:tc>
      </w:tr>
      <w:tr>
        <w:trPr>
          <w:trHeight w:val="145"/>
        </w:trPr>
        <w:tc>
          <w:tcPr>
            <w:tcW w:w="53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Service and fee</w:t>
            </w:r>
          </w:p>
        </w:tc>
        <w:tc>
          <w:tcPr>
            <w:tcW w:w="9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218,055</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174,715</w:t>
            </w:r>
          </w:p>
        </w:tc>
        <w:tc>
          <w:tcPr>
            <w:tcW w:w="3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637,918</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471,753</w:t>
            </w:r>
          </w:p>
        </w:tc>
      </w:tr>
      <w:tr>
        <w:trPr>
          <w:trHeight w:val="143"/>
        </w:trPr>
        <w:tc>
          <w:tcPr>
            <w:tcW w:w="5380" w:type="dxa"/>
            <w:vAlign w:val="bottom"/>
          </w:tcPr>
          <w:p>
            <w:pPr>
              <w:ind w:left="220"/>
              <w:spacing w:after="0"/>
              <w:rPr>
                <w:sz w:val="20"/>
                <w:szCs w:val="20"/>
                <w:color w:val="auto"/>
              </w:rPr>
            </w:pPr>
            <w:r>
              <w:rPr>
                <w:rFonts w:ascii="Arial" w:cs="Arial" w:eastAsia="Arial" w:hAnsi="Arial"/>
                <w:sz w:val="11"/>
                <w:szCs w:val="11"/>
                <w:color w:val="auto"/>
              </w:rPr>
              <w:t>Transaction</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79,120</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67,260</w:t>
            </w: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242,878</w:t>
            </w:r>
          </w:p>
        </w:tc>
        <w:tc>
          <w:tcPr>
            <w:tcW w:w="36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195,665</w:t>
            </w:r>
          </w:p>
        </w:tc>
      </w:tr>
      <w:tr>
        <w:trPr>
          <w:trHeight w:val="145"/>
        </w:trPr>
        <w:tc>
          <w:tcPr>
            <w:tcW w:w="53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Interest income, net</w:t>
            </w:r>
          </w:p>
        </w:tc>
        <w:tc>
          <w:tcPr>
            <w:tcW w:w="9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48,699</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60,859</w:t>
            </w:r>
          </w:p>
        </w:tc>
        <w:tc>
          <w:tcPr>
            <w:tcW w:w="3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140,406</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181,651</w:t>
            </w:r>
          </w:p>
        </w:tc>
      </w:tr>
      <w:tr>
        <w:trPr>
          <w:trHeight w:val="143"/>
        </w:trPr>
        <w:tc>
          <w:tcPr>
            <w:tcW w:w="538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Other</w:t>
            </w: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12,388</w:t>
            </w: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68,909</w:t>
            </w: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134,609</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137,291</w:t>
            </w:r>
          </w:p>
        </w:tc>
      </w:tr>
      <w:tr>
        <w:trPr>
          <w:trHeight w:val="134"/>
        </w:trPr>
        <w:tc>
          <w:tcPr>
            <w:tcW w:w="5380" w:type="dxa"/>
            <w:vAlign w:val="bottom"/>
            <w:shd w:val="clear" w:color="auto" w:fill="DBDBDB"/>
          </w:tcPr>
          <w:p>
            <w:pPr>
              <w:ind w:left="320"/>
              <w:spacing w:after="0"/>
              <w:rPr>
                <w:sz w:val="20"/>
                <w:szCs w:val="20"/>
                <w:color w:val="auto"/>
              </w:rPr>
            </w:pPr>
            <w:r>
              <w:rPr>
                <w:rFonts w:ascii="Arial" w:cs="Arial" w:eastAsia="Arial" w:hAnsi="Arial"/>
                <w:sz w:val="11"/>
                <w:szCs w:val="11"/>
                <w:color w:val="auto"/>
              </w:rPr>
              <w:t>Total revenue</w:t>
            </w:r>
          </w:p>
        </w:tc>
        <w:tc>
          <w:tcPr>
            <w:tcW w:w="940" w:type="dxa"/>
            <w:vAlign w:val="bottom"/>
            <w:tcBorders>
              <w:bottom w:val="single" w:sz="8" w:color="auto"/>
            </w:tcBorders>
            <w:shd w:val="clear" w:color="auto" w:fill="DBDBDB"/>
          </w:tcPr>
          <w:p>
            <w:pPr>
              <w:spacing w:after="0"/>
              <w:rPr>
                <w:sz w:val="11"/>
                <w:szCs w:val="11"/>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5,344,030</w:t>
            </w:r>
          </w:p>
        </w:tc>
        <w:tc>
          <w:tcPr>
            <w:tcW w:w="980" w:type="dxa"/>
            <w:vAlign w:val="bottom"/>
            <w:tcBorders>
              <w:bottom w:val="single" w:sz="8" w:color="auto"/>
            </w:tcBorders>
            <w:shd w:val="clear" w:color="auto" w:fill="DBDBDB"/>
          </w:tcPr>
          <w:p>
            <w:pPr>
              <w:spacing w:after="0"/>
              <w:rPr>
                <w:sz w:val="11"/>
                <w:szCs w:val="11"/>
                <w:color w:val="auto"/>
              </w:rPr>
            </w:pPr>
          </w:p>
        </w:tc>
        <w:tc>
          <w:tcPr>
            <w:tcW w:w="5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4,551,977</w:t>
            </w:r>
          </w:p>
        </w:tc>
        <w:tc>
          <w:tcPr>
            <w:tcW w:w="300" w:type="dxa"/>
            <w:vAlign w:val="bottom"/>
            <w:tcBorders>
              <w:bottom w:val="single" w:sz="8" w:color="auto"/>
            </w:tcBorders>
            <w:shd w:val="clear" w:color="auto" w:fill="DBDBDB"/>
          </w:tcPr>
          <w:p>
            <w:pPr>
              <w:spacing w:after="0"/>
              <w:rPr>
                <w:sz w:val="11"/>
                <w:szCs w:val="1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15,469,087</w:t>
            </w:r>
          </w:p>
        </w:tc>
        <w:tc>
          <w:tcPr>
            <w:tcW w:w="360" w:type="dxa"/>
            <w:vAlign w:val="bottom"/>
            <w:tcBorders>
              <w:bottom w:val="single" w:sz="8" w:color="auto"/>
            </w:tcBorders>
            <w:shd w:val="clear" w:color="auto" w:fill="DBDBDB"/>
          </w:tcPr>
          <w:p>
            <w:pPr>
              <w:spacing w:after="0"/>
              <w:rPr>
                <w:sz w:val="11"/>
                <w:szCs w:val="11"/>
                <w:color w:val="auto"/>
              </w:rPr>
            </w:pPr>
          </w:p>
        </w:tc>
        <w:tc>
          <w:tcPr>
            <w:tcW w:w="11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12,057,009</w:t>
            </w:r>
          </w:p>
        </w:tc>
      </w:tr>
      <w:tr>
        <w:trPr>
          <w:trHeight w:val="123"/>
        </w:trPr>
        <w:tc>
          <w:tcPr>
            <w:tcW w:w="5380" w:type="dxa"/>
            <w:vAlign w:val="bottom"/>
          </w:tcPr>
          <w:p>
            <w:pPr>
              <w:spacing w:after="0" w:line="122" w:lineRule="exact"/>
              <w:rPr>
                <w:sz w:val="20"/>
                <w:szCs w:val="20"/>
                <w:color w:val="auto"/>
              </w:rPr>
            </w:pPr>
            <w:r>
              <w:rPr>
                <w:rFonts w:ascii="Arial" w:cs="Arial" w:eastAsia="Arial" w:hAnsi="Arial"/>
                <w:sz w:val="11"/>
                <w:szCs w:val="11"/>
                <w:color w:val="auto"/>
              </w:rPr>
              <w:t>EXPENSE</w:t>
            </w: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5"/>
        </w:trPr>
        <w:tc>
          <w:tcPr>
            <w:tcW w:w="53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Advisory and commission</w:t>
            </w:r>
          </w:p>
        </w:tc>
        <w:tc>
          <w:tcPr>
            <w:tcW w:w="9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3,632,732</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3,025,274</w:t>
            </w:r>
          </w:p>
        </w:tc>
        <w:tc>
          <w:tcPr>
            <w:tcW w:w="3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10,431,105</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7,862,364</w:t>
            </w:r>
          </w:p>
        </w:tc>
      </w:tr>
      <w:tr>
        <w:trPr>
          <w:trHeight w:val="143"/>
        </w:trPr>
        <w:tc>
          <w:tcPr>
            <w:tcW w:w="5380" w:type="dxa"/>
            <w:vAlign w:val="bottom"/>
          </w:tcPr>
          <w:p>
            <w:pPr>
              <w:ind w:left="220"/>
              <w:spacing w:after="0"/>
              <w:rPr>
                <w:sz w:val="20"/>
                <w:szCs w:val="20"/>
                <w:color w:val="auto"/>
              </w:rPr>
            </w:pPr>
            <w:r>
              <w:rPr>
                <w:rFonts w:ascii="Arial" w:cs="Arial" w:eastAsia="Arial" w:hAnsi="Arial"/>
                <w:sz w:val="11"/>
                <w:szCs w:val="11"/>
                <w:color w:val="auto"/>
              </w:rPr>
              <w:t>Compensation and benefits</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358,512</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585,409</w:t>
            </w: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1,082,864</w:t>
            </w:r>
          </w:p>
        </w:tc>
        <w:tc>
          <w:tcPr>
            <w:tcW w:w="36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1,210,055</w:t>
            </w:r>
          </w:p>
        </w:tc>
      </w:tr>
      <w:tr>
        <w:trPr>
          <w:trHeight w:val="145"/>
        </w:trPr>
        <w:tc>
          <w:tcPr>
            <w:tcW w:w="53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Promotional</w:t>
            </w:r>
          </w:p>
        </w:tc>
        <w:tc>
          <w:tcPr>
            <w:tcW w:w="9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235,733</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208,547</w:t>
            </w:r>
          </w:p>
        </w:tc>
        <w:tc>
          <w:tcPr>
            <w:tcW w:w="3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664,163</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531,744</w:t>
            </w:r>
          </w:p>
        </w:tc>
      </w:tr>
      <w:tr>
        <w:trPr>
          <w:trHeight w:val="143"/>
        </w:trPr>
        <w:tc>
          <w:tcPr>
            <w:tcW w:w="5380" w:type="dxa"/>
            <w:vAlign w:val="bottom"/>
          </w:tcPr>
          <w:p>
            <w:pPr>
              <w:ind w:left="220"/>
              <w:spacing w:after="0"/>
              <w:rPr>
                <w:sz w:val="20"/>
                <w:szCs w:val="20"/>
                <w:color w:val="auto"/>
              </w:rPr>
            </w:pPr>
            <w:r>
              <w:rPr>
                <w:rFonts w:ascii="Arial" w:cs="Arial" w:eastAsia="Arial" w:hAnsi="Arial"/>
                <w:sz w:val="11"/>
                <w:szCs w:val="11"/>
                <w:color w:val="auto"/>
              </w:rPr>
              <w:t>Occupancy and equipment</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149,380</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299,680</w:t>
            </w: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393,445</w:t>
            </w:r>
          </w:p>
        </w:tc>
        <w:tc>
          <w:tcPr>
            <w:tcW w:w="36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458,363</w:t>
            </w:r>
          </w:p>
        </w:tc>
      </w:tr>
      <w:tr>
        <w:trPr>
          <w:trHeight w:val="145"/>
        </w:trPr>
        <w:tc>
          <w:tcPr>
            <w:tcW w:w="53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Depreciation and amortization</w:t>
            </w:r>
          </w:p>
        </w:tc>
        <w:tc>
          <w:tcPr>
            <w:tcW w:w="9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117,287</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99,722</w:t>
            </w:r>
          </w:p>
        </w:tc>
        <w:tc>
          <w:tcPr>
            <w:tcW w:w="3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332,843</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288,309</w:t>
            </w:r>
          </w:p>
        </w:tc>
      </w:tr>
      <w:tr>
        <w:trPr>
          <w:trHeight w:val="143"/>
        </w:trPr>
        <w:tc>
          <w:tcPr>
            <w:tcW w:w="5380" w:type="dxa"/>
            <w:vAlign w:val="bottom"/>
          </w:tcPr>
          <w:p>
            <w:pPr>
              <w:ind w:left="220"/>
              <w:spacing w:after="0"/>
              <w:rPr>
                <w:sz w:val="20"/>
                <w:szCs w:val="20"/>
                <w:color w:val="auto"/>
              </w:rPr>
            </w:pPr>
            <w:r>
              <w:rPr>
                <w:rFonts w:ascii="Arial" w:cs="Arial" w:eastAsia="Arial" w:hAnsi="Arial"/>
                <w:sz w:val="11"/>
                <w:szCs w:val="11"/>
                <w:color w:val="auto"/>
              </w:rPr>
              <w:t>Interest expense on borrowings</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105,834</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106,295</w:t>
            </w: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307,628</w:t>
            </w:r>
          </w:p>
        </w:tc>
        <w:tc>
          <w:tcPr>
            <w:tcW w:w="36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297,793</w:t>
            </w:r>
          </w:p>
        </w:tc>
      </w:tr>
      <w:tr>
        <w:trPr>
          <w:trHeight w:val="145"/>
        </w:trPr>
        <w:tc>
          <w:tcPr>
            <w:tcW w:w="53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Amortization of other intangibles</w:t>
            </w:r>
          </w:p>
        </w:tc>
        <w:tc>
          <w:tcPr>
            <w:tcW w:w="9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72,844</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64,706</w:t>
            </w:r>
          </w:p>
        </w:tc>
        <w:tc>
          <w:tcPr>
            <w:tcW w:w="3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210,960</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154,330</w:t>
            </w:r>
          </w:p>
        </w:tc>
      </w:tr>
      <w:tr>
        <w:trPr>
          <w:trHeight w:val="143"/>
        </w:trPr>
        <w:tc>
          <w:tcPr>
            <w:tcW w:w="5380" w:type="dxa"/>
            <w:vAlign w:val="bottom"/>
          </w:tcPr>
          <w:p>
            <w:pPr>
              <w:ind w:left="220"/>
              <w:spacing w:after="0"/>
              <w:rPr>
                <w:sz w:val="20"/>
                <w:szCs w:val="20"/>
                <w:color w:val="auto"/>
              </w:rPr>
            </w:pPr>
            <w:r>
              <w:rPr>
                <w:rFonts w:ascii="Arial" w:cs="Arial" w:eastAsia="Arial" w:hAnsi="Arial"/>
                <w:sz w:val="11"/>
                <w:szCs w:val="11"/>
                <w:color w:val="auto"/>
              </w:rPr>
              <w:t>Professional services</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53,250</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75,507</w:t>
            </w: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154,388</w:t>
            </w:r>
          </w:p>
        </w:tc>
        <w:tc>
          <w:tcPr>
            <w:tcW w:w="36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152,925</w:t>
            </w:r>
          </w:p>
        </w:tc>
      </w:tr>
      <w:tr>
        <w:trPr>
          <w:trHeight w:val="145"/>
        </w:trPr>
        <w:tc>
          <w:tcPr>
            <w:tcW w:w="53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Brokerage, clearing and exchange</w:t>
            </w:r>
          </w:p>
        </w:tc>
        <w:tc>
          <w:tcPr>
            <w:tcW w:w="940" w:type="dxa"/>
            <w:vAlign w:val="bottom"/>
            <w:shd w:val="clear" w:color="auto" w:fill="DBDBDB"/>
          </w:tcPr>
          <w:p>
            <w:pPr>
              <w:spacing w:after="0"/>
              <w:rPr>
                <w:sz w:val="12"/>
                <w:szCs w:val="12"/>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49,139</w:t>
            </w:r>
          </w:p>
        </w:tc>
        <w:tc>
          <w:tcPr>
            <w:tcW w:w="980" w:type="dxa"/>
            <w:vAlign w:val="bottom"/>
            <w:shd w:val="clear" w:color="auto" w:fill="DBDBDB"/>
          </w:tcPr>
          <w:p>
            <w:pPr>
              <w:spacing w:after="0"/>
              <w:rPr>
                <w:sz w:val="12"/>
                <w:szCs w:val="12"/>
                <w:color w:val="auto"/>
              </w:rPr>
            </w:pPr>
          </w:p>
        </w:tc>
        <w:tc>
          <w:tcPr>
            <w:tcW w:w="5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43,282</w:t>
            </w:r>
          </w:p>
        </w:tc>
        <w:tc>
          <w:tcPr>
            <w:tcW w:w="3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156,632</w:t>
            </w:r>
          </w:p>
        </w:tc>
        <w:tc>
          <w:tcPr>
            <w:tcW w:w="360" w:type="dxa"/>
            <w:vAlign w:val="bottom"/>
            <w:shd w:val="clear" w:color="auto" w:fill="DBDBDB"/>
          </w:tcPr>
          <w:p>
            <w:pPr>
              <w:spacing w:after="0"/>
              <w:rPr>
                <w:sz w:val="12"/>
                <w:szCs w:val="12"/>
                <w:color w:val="auto"/>
              </w:rPr>
            </w:pPr>
          </w:p>
        </w:tc>
        <w:tc>
          <w:tcPr>
            <w:tcW w:w="11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130,710</w:t>
            </w:r>
          </w:p>
        </w:tc>
      </w:tr>
      <w:tr>
        <w:trPr>
          <w:trHeight w:val="143"/>
        </w:trPr>
        <w:tc>
          <w:tcPr>
            <w:tcW w:w="5380" w:type="dxa"/>
            <w:vAlign w:val="bottom"/>
          </w:tcPr>
          <w:p>
            <w:pPr>
              <w:ind w:left="220"/>
              <w:spacing w:after="0"/>
              <w:rPr>
                <w:sz w:val="20"/>
                <w:szCs w:val="20"/>
                <w:color w:val="auto"/>
              </w:rPr>
            </w:pPr>
            <w:r>
              <w:rPr>
                <w:rFonts w:ascii="Arial" w:cs="Arial" w:eastAsia="Arial" w:hAnsi="Arial"/>
                <w:sz w:val="11"/>
                <w:szCs w:val="11"/>
                <w:color w:val="auto"/>
              </w:rPr>
              <w:t>Communications and data processing</w:t>
            </w:r>
          </w:p>
        </w:tc>
        <w:tc>
          <w:tcPr>
            <w:tcW w:w="9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23,978</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23,060</w:t>
            </w: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73,645</w:t>
            </w:r>
          </w:p>
        </w:tc>
        <w:tc>
          <w:tcPr>
            <w:tcW w:w="36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63,983</w:t>
            </w:r>
          </w:p>
        </w:tc>
      </w:tr>
      <w:tr>
        <w:trPr>
          <w:trHeight w:val="145"/>
        </w:trPr>
        <w:tc>
          <w:tcPr>
            <w:tcW w:w="53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w:t>
            </w:r>
          </w:p>
        </w:tc>
        <w:tc>
          <w:tcPr>
            <w:tcW w:w="94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60,215</w:t>
            </w:r>
          </w:p>
        </w:tc>
        <w:tc>
          <w:tcPr>
            <w:tcW w:w="98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54,606</w:t>
            </w:r>
          </w:p>
        </w:tc>
        <w:tc>
          <w:tcPr>
            <w:tcW w:w="30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176,200</w:t>
            </w:r>
          </w:p>
        </w:tc>
        <w:tc>
          <w:tcPr>
            <w:tcW w:w="36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154,487</w:t>
            </w:r>
          </w:p>
        </w:tc>
      </w:tr>
      <w:tr>
        <w:trPr>
          <w:trHeight w:val="132"/>
        </w:trPr>
        <w:tc>
          <w:tcPr>
            <w:tcW w:w="5380" w:type="dxa"/>
            <w:vAlign w:val="bottom"/>
            <w:tcBorders>
              <w:bottom w:val="single" w:sz="8" w:color="DBDBDB"/>
            </w:tcBorders>
          </w:tcPr>
          <w:p>
            <w:pPr>
              <w:ind w:left="320"/>
              <w:spacing w:after="0"/>
              <w:rPr>
                <w:sz w:val="20"/>
                <w:szCs w:val="20"/>
                <w:color w:val="auto"/>
              </w:rPr>
            </w:pPr>
            <w:r>
              <w:rPr>
                <w:rFonts w:ascii="Arial" w:cs="Arial" w:eastAsia="Arial" w:hAnsi="Arial"/>
                <w:sz w:val="11"/>
                <w:szCs w:val="11"/>
                <w:color w:val="auto"/>
              </w:rPr>
              <w:t>Total expense</w:t>
            </w:r>
          </w:p>
        </w:tc>
        <w:tc>
          <w:tcPr>
            <w:tcW w:w="9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4,858,904</w:t>
            </w:r>
          </w:p>
        </w:tc>
        <w:tc>
          <w:tcPr>
            <w:tcW w:w="9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4,586,088</w:t>
            </w: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13,983,873</w:t>
            </w: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11,305,063</w:t>
            </w:r>
          </w:p>
        </w:tc>
      </w:tr>
      <w:tr>
        <w:trPr>
          <w:trHeight w:val="134"/>
        </w:trPr>
        <w:tc>
          <w:tcPr>
            <w:tcW w:w="5380" w:type="dxa"/>
            <w:vAlign w:val="bottom"/>
            <w:shd w:val="clear" w:color="auto" w:fill="DBDBDB"/>
          </w:tcPr>
          <w:p>
            <w:pPr>
              <w:ind w:left="40"/>
              <w:spacing w:after="0"/>
              <w:rPr>
                <w:sz w:val="20"/>
                <w:szCs w:val="20"/>
                <w:color w:val="auto"/>
              </w:rPr>
            </w:pPr>
            <w:r>
              <w:rPr>
                <w:rFonts w:ascii="Arial" w:cs="Arial" w:eastAsia="Arial" w:hAnsi="Arial"/>
                <w:sz w:val="11"/>
                <w:szCs w:val="11"/>
                <w:color w:val="auto"/>
              </w:rPr>
              <w:t>INCOME(LOSS) BEFORE PROVISION FOR (BENEFIT FROM) INCOME TAXES</w:t>
            </w:r>
          </w:p>
        </w:tc>
        <w:tc>
          <w:tcPr>
            <w:tcW w:w="940" w:type="dxa"/>
            <w:vAlign w:val="bottom"/>
            <w:shd w:val="clear" w:color="auto" w:fill="DBDBDB"/>
          </w:tcPr>
          <w:p>
            <w:pPr>
              <w:spacing w:after="0"/>
              <w:rPr>
                <w:sz w:val="11"/>
                <w:szCs w:val="11"/>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485,126</w:t>
            </w:r>
          </w:p>
        </w:tc>
        <w:tc>
          <w:tcPr>
            <w:tcW w:w="980" w:type="dxa"/>
            <w:vAlign w:val="bottom"/>
            <w:shd w:val="clear" w:color="auto" w:fill="DBDBDB"/>
          </w:tcPr>
          <w:p>
            <w:pPr>
              <w:spacing w:after="0"/>
              <w:rPr>
                <w:sz w:val="11"/>
                <w:szCs w:val="11"/>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(34,111)</w:t>
            </w:r>
          </w:p>
        </w:tc>
        <w:tc>
          <w:tcPr>
            <w:tcW w:w="300" w:type="dxa"/>
            <w:vAlign w:val="bottom"/>
            <w:shd w:val="clear" w:color="auto" w:fill="DBDBDB"/>
          </w:tcPr>
          <w:p>
            <w:pPr>
              <w:spacing w:after="0"/>
              <w:rPr>
                <w:sz w:val="11"/>
                <w:szCs w:val="1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1,485,214</w:t>
            </w:r>
          </w:p>
        </w:tc>
        <w:tc>
          <w:tcPr>
            <w:tcW w:w="360" w:type="dxa"/>
            <w:vAlign w:val="bottom"/>
            <w:shd w:val="clear" w:color="auto" w:fill="DBDBDB"/>
          </w:tcPr>
          <w:p>
            <w:pPr>
              <w:spacing w:after="0"/>
              <w:rPr>
                <w:sz w:val="11"/>
                <w:szCs w:val="11"/>
                <w:color w:val="auto"/>
              </w:rPr>
            </w:pPr>
          </w:p>
        </w:tc>
        <w:tc>
          <w:tcPr>
            <w:tcW w:w="11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751,946</w:t>
            </w:r>
          </w:p>
        </w:tc>
      </w:tr>
      <w:tr>
        <w:trPr>
          <w:trHeight w:val="143"/>
        </w:trPr>
        <w:tc>
          <w:tcPr>
            <w:tcW w:w="5380" w:type="dxa"/>
            <w:vAlign w:val="bottom"/>
            <w:tcBorders>
              <w:bottom w:val="single" w:sz="8" w:color="DBDBDB"/>
            </w:tcBorders>
          </w:tcPr>
          <w:p>
            <w:pPr>
              <w:ind w:left="40"/>
              <w:spacing w:after="0"/>
              <w:rPr>
                <w:sz w:val="20"/>
                <w:szCs w:val="20"/>
                <w:color w:val="auto"/>
              </w:rPr>
            </w:pPr>
            <w:r>
              <w:rPr>
                <w:rFonts w:ascii="Arial" w:cs="Arial" w:eastAsia="Arial" w:hAnsi="Arial"/>
                <w:sz w:val="11"/>
                <w:szCs w:val="11"/>
                <w:color w:val="auto"/>
              </w:rPr>
              <w:t>PROVISION FOR (BENEFIT FROM) INCOME TAXES</w:t>
            </w: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128,565</w:t>
            </w: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(4,594)</w:t>
            </w: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392,988</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189,641</w:t>
            </w:r>
          </w:p>
        </w:tc>
      </w:tr>
      <w:tr>
        <w:trPr>
          <w:trHeight w:val="150"/>
        </w:trPr>
        <w:tc>
          <w:tcPr>
            <w:tcW w:w="538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1"/>
                <w:szCs w:val="11"/>
                <w:color w:val="auto"/>
              </w:rPr>
              <w:t>NET INCOME (LOSS)</w:t>
            </w:r>
          </w:p>
        </w:tc>
        <w:tc>
          <w:tcPr>
            <w:tcW w:w="940" w:type="dxa"/>
            <w:vAlign w:val="bottom"/>
            <w:tcBorders>
              <w:bottom w:val="single" w:sz="8" w:color="auto"/>
            </w:tcBorders>
            <w:shd w:val="clear" w:color="auto" w:fill="DBDBDB"/>
          </w:tcPr>
          <w:p>
            <w:pPr>
              <w:jc w:val="right"/>
              <w:ind w:right="83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356,561</w:t>
            </w:r>
          </w:p>
        </w:tc>
        <w:tc>
          <w:tcPr>
            <w:tcW w:w="980" w:type="dxa"/>
            <w:vAlign w:val="bottom"/>
            <w:tcBorders>
              <w:bottom w:val="single" w:sz="8" w:color="auto"/>
            </w:tcBorders>
            <w:shd w:val="clear" w:color="auto" w:fill="DBDBDB"/>
          </w:tcPr>
          <w:p>
            <w:pPr>
              <w:jc w:val="right"/>
              <w:ind w:right="8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(29,517)</w:t>
            </w:r>
          </w:p>
        </w:tc>
        <w:tc>
          <w:tcPr>
            <w:tcW w:w="300" w:type="dxa"/>
            <w:vAlign w:val="bottom"/>
            <w:tcBorders>
              <w:bottom w:val="single" w:sz="8" w:color="auto"/>
            </w:tcBorders>
            <w:shd w:val="clear" w:color="auto" w:fill="DBDBDB"/>
          </w:tcPr>
          <w:p>
            <w:pPr>
              <w:jc w:val="right"/>
              <w:ind w:right="19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1,092,226</w:t>
            </w:r>
          </w:p>
        </w:tc>
        <w:tc>
          <w:tcPr>
            <w:tcW w:w="36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562,305</w:t>
            </w:r>
          </w:p>
        </w:tc>
      </w:tr>
      <w:tr>
        <w:trPr>
          <w:trHeight w:val="36"/>
        </w:trPr>
        <w:tc>
          <w:tcPr>
            <w:tcW w:w="5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60"/>
        </w:trPr>
        <w:tc>
          <w:tcPr>
            <w:tcW w:w="53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Earnings (loss) per share, basic</w:t>
            </w:r>
          </w:p>
        </w:tc>
        <w:tc>
          <w:tcPr>
            <w:tcW w:w="940" w:type="dxa"/>
            <w:vAlign w:val="bottom"/>
            <w:tcBorders>
              <w:bottom w:val="single" w:sz="8" w:color="auto"/>
            </w:tcBorders>
            <w:shd w:val="clear" w:color="auto" w:fill="DBDBDB"/>
          </w:tcPr>
          <w:p>
            <w:pPr>
              <w:jc w:val="right"/>
              <w:ind w:right="83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4.53</w:t>
            </w:r>
          </w:p>
        </w:tc>
        <w:tc>
          <w:tcPr>
            <w:tcW w:w="980" w:type="dxa"/>
            <w:vAlign w:val="bottom"/>
            <w:tcBorders>
              <w:bottom w:val="single" w:sz="8" w:color="auto"/>
            </w:tcBorders>
            <w:shd w:val="clear" w:color="auto" w:fill="DBDBDB"/>
          </w:tcPr>
          <w:p>
            <w:pPr>
              <w:jc w:val="right"/>
              <w:ind w:right="8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(0.37)</w:t>
            </w:r>
          </w:p>
        </w:tc>
        <w:tc>
          <w:tcPr>
            <w:tcW w:w="300" w:type="dxa"/>
            <w:vAlign w:val="bottom"/>
            <w:tcBorders>
              <w:bottom w:val="single" w:sz="8" w:color="auto"/>
            </w:tcBorders>
            <w:shd w:val="clear" w:color="auto" w:fill="DBDBDB"/>
          </w:tcPr>
          <w:p>
            <w:pPr>
              <w:jc w:val="right"/>
              <w:ind w:right="19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13.74</w:t>
            </w:r>
          </w:p>
        </w:tc>
        <w:tc>
          <w:tcPr>
            <w:tcW w:w="36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7.19</w:t>
            </w:r>
          </w:p>
        </w:tc>
      </w:tr>
      <w:tr>
        <w:trPr>
          <w:trHeight w:val="160"/>
        </w:trPr>
        <w:tc>
          <w:tcPr>
            <w:tcW w:w="538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Earnings (loss) per share, diluted</w:t>
            </w: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4.52</w:t>
            </w:r>
          </w:p>
        </w:tc>
        <w:tc>
          <w:tcPr>
            <w:tcW w:w="980" w:type="dxa"/>
            <w:vAlign w:val="bottom"/>
            <w:tcBorders>
              <w:bottom w:val="single" w:sz="8" w:color="auto"/>
            </w:tcBorders>
          </w:tcPr>
          <w:p>
            <w:pPr>
              <w:jc w:val="right"/>
              <w:ind w:right="8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(0.37)</w:t>
            </w: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13.68</w:t>
            </w: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7.15</w:t>
            </w:r>
          </w:p>
        </w:tc>
      </w:tr>
      <w:tr>
        <w:trPr>
          <w:trHeight w:val="160"/>
        </w:trPr>
        <w:tc>
          <w:tcPr>
            <w:tcW w:w="53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Weighted-average shares outstanding, basic</w:t>
            </w:r>
          </w:p>
        </w:tc>
        <w:tc>
          <w:tcPr>
            <w:tcW w:w="940" w:type="dxa"/>
            <w:vAlign w:val="bottom"/>
            <w:tcBorders>
              <w:bottom w:val="single" w:sz="8" w:color="auto"/>
            </w:tcBorders>
            <w:shd w:val="clear" w:color="auto" w:fill="DBDBDB"/>
          </w:tcPr>
          <w:p>
            <w:pPr>
              <w:spacing w:after="0"/>
              <w:rPr>
                <w:sz w:val="13"/>
                <w:szCs w:val="13"/>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78,658</w:t>
            </w:r>
          </w:p>
        </w:tc>
        <w:tc>
          <w:tcPr>
            <w:tcW w:w="980" w:type="dxa"/>
            <w:vAlign w:val="bottom"/>
            <w:tcBorders>
              <w:bottom w:val="single" w:sz="8" w:color="auto"/>
            </w:tcBorders>
            <w:shd w:val="clear" w:color="auto" w:fill="DBDBDB"/>
          </w:tcPr>
          <w:p>
            <w:pPr>
              <w:spacing w:after="0"/>
              <w:rPr>
                <w:sz w:val="13"/>
                <w:szCs w:val="13"/>
                <w:color w:val="auto"/>
              </w:rPr>
            </w:pPr>
          </w:p>
        </w:tc>
        <w:tc>
          <w:tcPr>
            <w:tcW w:w="5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80,017</w:t>
            </w:r>
          </w:p>
        </w:tc>
        <w:tc>
          <w:tcPr>
            <w:tcW w:w="300" w:type="dxa"/>
            <w:vAlign w:val="bottom"/>
            <w:tcBorders>
              <w:bottom w:val="single" w:sz="8" w:color="auto"/>
            </w:tcBorders>
            <w:shd w:val="clear" w:color="auto" w:fill="DBDBDB"/>
          </w:tcPr>
          <w:p>
            <w:pPr>
              <w:spacing w:after="0"/>
              <w:rPr>
                <w:sz w:val="13"/>
                <w:szCs w:val="13"/>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79,515</w:t>
            </w:r>
          </w:p>
        </w:tc>
        <w:tc>
          <w:tcPr>
            <w:tcW w:w="360" w:type="dxa"/>
            <w:vAlign w:val="bottom"/>
            <w:tcBorders>
              <w:bottom w:val="single" w:sz="8" w:color="auto"/>
            </w:tcBorders>
            <w:shd w:val="clear" w:color="auto" w:fill="DBDBDB"/>
          </w:tcPr>
          <w:p>
            <w:pPr>
              <w:spacing w:after="0"/>
              <w:rPr>
                <w:sz w:val="13"/>
                <w:szCs w:val="13"/>
                <w:color w:val="auto"/>
              </w:rPr>
            </w:pPr>
          </w:p>
        </w:tc>
        <w:tc>
          <w:tcPr>
            <w:tcW w:w="11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78,220</w:t>
            </w:r>
          </w:p>
        </w:tc>
      </w:tr>
      <w:tr>
        <w:trPr>
          <w:trHeight w:val="144"/>
        </w:trPr>
        <w:tc>
          <w:tcPr>
            <w:tcW w:w="5380" w:type="dxa"/>
            <w:vAlign w:val="bottom"/>
          </w:tcPr>
          <w:p>
            <w:pPr>
              <w:ind w:left="220"/>
              <w:spacing w:after="0"/>
              <w:rPr>
                <w:sz w:val="20"/>
                <w:szCs w:val="20"/>
                <w:color w:val="auto"/>
              </w:rPr>
            </w:pPr>
            <w:r>
              <w:rPr>
                <w:rFonts w:ascii="Arial" w:cs="Arial" w:eastAsia="Arial" w:hAnsi="Arial"/>
                <w:sz w:val="11"/>
                <w:szCs w:val="11"/>
                <w:color w:val="auto"/>
              </w:rPr>
              <w:t>Weighted-average shares outstanding, diluted</w:t>
            </w: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78,968</w:t>
            </w: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80,357</w:t>
            </w: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79,814</w:t>
            </w: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78,594</w:t>
            </w:r>
          </w:p>
        </w:tc>
      </w:tr>
      <w:tr>
        <w:trPr>
          <w:trHeight w:val="20"/>
        </w:trPr>
        <w:tc>
          <w:tcPr>
            <w:tcW w:w="5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u w:val="single" w:color="auto"/>
          <w:color w:val="0000FF"/>
        </w:rPr>
        <w:t>Table of Contents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Condensed Consolidated Statements of Financial Condition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(In thousands, except share data)</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(Unaudited)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44"/>
        </w:trPr>
        <w:tc>
          <w:tcPr>
            <w:tcW w:w="20" w:type="dxa"/>
            <w:vAlign w:val="bottom"/>
            <w:tcBorders>
              <w:bottom w:val="single" w:sz="8" w:color="DBDBDB"/>
            </w:tcBorders>
          </w:tcPr>
          <w:p>
            <w:pPr>
              <w:spacing w:after="0"/>
              <w:rPr>
                <w:sz w:val="12"/>
                <w:szCs w:val="12"/>
                <w:color w:val="auto"/>
              </w:rPr>
            </w:pPr>
          </w:p>
        </w:tc>
        <w:tc>
          <w:tcPr>
            <w:tcW w:w="860" w:type="dxa"/>
            <w:vAlign w:val="bottom"/>
            <w:tcBorders>
              <w:bottom w:val="single" w:sz="8" w:color="DBDBDB"/>
            </w:tcBorders>
          </w:tcPr>
          <w:p>
            <w:pPr>
              <w:spacing w:after="0"/>
              <w:rPr>
                <w:sz w:val="12"/>
                <w:szCs w:val="12"/>
                <w:color w:val="auto"/>
              </w:rPr>
            </w:pPr>
          </w:p>
        </w:tc>
        <w:tc>
          <w:tcPr>
            <w:tcW w:w="380" w:type="dxa"/>
            <w:vAlign w:val="bottom"/>
            <w:tcBorders>
              <w:bottom w:val="single" w:sz="8" w:color="DBDBDB"/>
            </w:tcBorders>
          </w:tcPr>
          <w:p>
            <w:pPr>
              <w:spacing w:after="0"/>
              <w:rPr>
                <w:sz w:val="12"/>
                <w:szCs w:val="12"/>
                <w:color w:val="auto"/>
              </w:rPr>
            </w:pPr>
          </w:p>
        </w:tc>
        <w:tc>
          <w:tcPr>
            <w:tcW w:w="360" w:type="dxa"/>
            <w:vAlign w:val="bottom"/>
            <w:tcBorders>
              <w:bottom w:val="single" w:sz="8" w:color="DBDBDB"/>
            </w:tcBorders>
          </w:tcPr>
          <w:p>
            <w:pPr>
              <w:spacing w:after="0"/>
              <w:rPr>
                <w:sz w:val="12"/>
                <w:szCs w:val="12"/>
                <w:color w:val="auto"/>
              </w:rPr>
            </w:pPr>
          </w:p>
        </w:tc>
        <w:tc>
          <w:tcPr>
            <w:tcW w:w="180" w:type="dxa"/>
            <w:vAlign w:val="bottom"/>
            <w:tcBorders>
              <w:bottom w:val="single" w:sz="8" w:color="DBDBDB"/>
            </w:tcBorders>
          </w:tcPr>
          <w:p>
            <w:pPr>
              <w:spacing w:after="0"/>
              <w:rPr>
                <w:sz w:val="12"/>
                <w:szCs w:val="12"/>
                <w:color w:val="auto"/>
              </w:rPr>
            </w:pPr>
          </w:p>
        </w:tc>
        <w:tc>
          <w:tcPr>
            <w:tcW w:w="460" w:type="dxa"/>
            <w:vAlign w:val="bottom"/>
            <w:tcBorders>
              <w:bottom w:val="single" w:sz="8" w:color="DBDBDB"/>
            </w:tcBorders>
          </w:tcPr>
          <w:p>
            <w:pPr>
              <w:spacing w:after="0"/>
              <w:rPr>
                <w:sz w:val="12"/>
                <w:szCs w:val="12"/>
                <w:color w:val="auto"/>
              </w:rPr>
            </w:pPr>
          </w:p>
        </w:tc>
        <w:tc>
          <w:tcPr>
            <w:tcW w:w="940" w:type="dxa"/>
            <w:vAlign w:val="bottom"/>
            <w:tcBorders>
              <w:bottom w:val="single" w:sz="8" w:color="DBDBDB"/>
            </w:tcBorders>
          </w:tcPr>
          <w:p>
            <w:pPr>
              <w:spacing w:after="0"/>
              <w:rPr>
                <w:sz w:val="12"/>
                <w:szCs w:val="12"/>
                <w:color w:val="auto"/>
              </w:rPr>
            </w:pPr>
          </w:p>
        </w:tc>
        <w:tc>
          <w:tcPr>
            <w:tcW w:w="4020" w:type="dxa"/>
            <w:vAlign w:val="bottom"/>
            <w:tcBorders>
              <w:bottom w:val="single" w:sz="8" w:color="DBDBDB"/>
            </w:tcBorders>
            <w:gridSpan w:val="2"/>
          </w:tcPr>
          <w:p>
            <w:pPr>
              <w:jc w:val="center"/>
              <w:ind w:right="3166"/>
              <w:spacing w:after="0"/>
              <w:rPr>
                <w:sz w:val="20"/>
                <w:szCs w:val="20"/>
                <w:color w:val="auto"/>
              </w:rPr>
            </w:pPr>
            <w:r>
              <w:rPr>
                <w:rFonts w:ascii="Arial" w:cs="Arial" w:eastAsia="Arial" w:hAnsi="Arial"/>
                <w:sz w:val="11"/>
                <w:szCs w:val="11"/>
                <w:b w:val="1"/>
                <w:bCs w:val="1"/>
                <w:color w:val="auto"/>
                <w:w w:val="99"/>
              </w:rPr>
              <w:t>ASSETS</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September 30, 2026</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December 31, 2025</w:t>
            </w:r>
          </w:p>
        </w:tc>
      </w:tr>
      <w:tr>
        <w:trPr>
          <w:trHeight w:val="133"/>
        </w:trPr>
        <w:tc>
          <w:tcPr>
            <w:tcW w:w="7220" w:type="dxa"/>
            <w:vAlign w:val="bottom"/>
            <w:gridSpan w:val="9"/>
            <w:shd w:val="clear" w:color="auto" w:fill="DBDBDB"/>
          </w:tcPr>
          <w:p>
            <w:pPr>
              <w:ind w:left="20"/>
              <w:spacing w:after="0" w:line="122" w:lineRule="exact"/>
              <w:rPr>
                <w:sz w:val="20"/>
                <w:szCs w:val="20"/>
                <w:color w:val="auto"/>
              </w:rPr>
            </w:pPr>
            <w:r>
              <w:rPr>
                <w:rFonts w:ascii="Arial" w:cs="Arial" w:eastAsia="Arial" w:hAnsi="Arial"/>
                <w:sz w:val="11"/>
                <w:szCs w:val="11"/>
                <w:color w:val="auto"/>
              </w:rPr>
              <w:t>Cash and equivalents</w:t>
            </w:r>
          </w:p>
        </w:tc>
        <w:tc>
          <w:tcPr>
            <w:tcW w:w="280" w:type="dxa"/>
            <w:vAlign w:val="bottom"/>
            <w:shd w:val="clear" w:color="auto" w:fill="DBDBDB"/>
          </w:tcPr>
          <w:p>
            <w:pPr>
              <w:jc w:val="right"/>
              <w:ind w:right="171"/>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1,059,019</w:t>
            </w: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1,037,378</w:t>
            </w:r>
          </w:p>
        </w:tc>
      </w:tr>
      <w:tr>
        <w:trPr>
          <w:trHeight w:val="143"/>
        </w:trPr>
        <w:tc>
          <w:tcPr>
            <w:tcW w:w="7220" w:type="dxa"/>
            <w:vAlign w:val="bottom"/>
            <w:gridSpan w:val="9"/>
          </w:tcPr>
          <w:p>
            <w:pPr>
              <w:ind w:left="20"/>
              <w:spacing w:after="0"/>
              <w:rPr>
                <w:sz w:val="20"/>
                <w:szCs w:val="20"/>
                <w:color w:val="auto"/>
              </w:rPr>
            </w:pPr>
            <w:r>
              <w:rPr>
                <w:rFonts w:ascii="Arial" w:cs="Arial" w:eastAsia="Arial" w:hAnsi="Arial"/>
                <w:sz w:val="11"/>
                <w:szCs w:val="11"/>
                <w:color w:val="auto"/>
              </w:rPr>
              <w:t>Cash and equivalents segregated under federal or other regulations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1,694,088</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1,792,064</w:t>
            </w:r>
          </w:p>
        </w:tc>
      </w:tr>
      <w:tr>
        <w:trPr>
          <w:trHeight w:val="145"/>
        </w:trPr>
        <w:tc>
          <w:tcPr>
            <w:tcW w:w="7220" w:type="dxa"/>
            <w:vAlign w:val="bottom"/>
            <w:gridSpan w:val="9"/>
            <w:shd w:val="clear" w:color="auto" w:fill="DBDBDB"/>
          </w:tcPr>
          <w:p>
            <w:pPr>
              <w:ind w:left="20"/>
              <w:spacing w:after="0"/>
              <w:rPr>
                <w:sz w:val="20"/>
                <w:szCs w:val="20"/>
                <w:color w:val="auto"/>
              </w:rPr>
            </w:pPr>
            <w:r>
              <w:rPr>
                <w:rFonts w:ascii="Arial" w:cs="Arial" w:eastAsia="Arial" w:hAnsi="Arial"/>
                <w:sz w:val="11"/>
                <w:szCs w:val="11"/>
                <w:color w:val="auto"/>
              </w:rPr>
              <w:t>Restricted cash</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149,970</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225,298</w:t>
            </w:r>
          </w:p>
        </w:tc>
      </w:tr>
      <w:tr>
        <w:trPr>
          <w:trHeight w:val="143"/>
        </w:trPr>
        <w:tc>
          <w:tcPr>
            <w:tcW w:w="7220" w:type="dxa"/>
            <w:vAlign w:val="bottom"/>
            <w:gridSpan w:val="9"/>
          </w:tcPr>
          <w:p>
            <w:pPr>
              <w:ind w:left="20"/>
              <w:spacing w:after="0"/>
              <w:rPr>
                <w:sz w:val="20"/>
                <w:szCs w:val="20"/>
                <w:color w:val="auto"/>
              </w:rPr>
            </w:pPr>
            <w:r>
              <w:rPr>
                <w:rFonts w:ascii="Arial" w:cs="Arial" w:eastAsia="Arial" w:hAnsi="Arial"/>
                <w:sz w:val="11"/>
                <w:szCs w:val="11"/>
                <w:color w:val="auto"/>
              </w:rPr>
              <w:t>Receivables from clients, net</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1,119,673</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803,206</w:t>
            </w:r>
          </w:p>
        </w:tc>
      </w:tr>
      <w:tr>
        <w:trPr>
          <w:trHeight w:val="145"/>
        </w:trPr>
        <w:tc>
          <w:tcPr>
            <w:tcW w:w="7220" w:type="dxa"/>
            <w:vAlign w:val="bottom"/>
            <w:gridSpan w:val="9"/>
            <w:shd w:val="clear" w:color="auto" w:fill="DBDBDB"/>
          </w:tcPr>
          <w:p>
            <w:pPr>
              <w:ind w:left="20"/>
              <w:spacing w:after="0"/>
              <w:rPr>
                <w:sz w:val="20"/>
                <w:szCs w:val="20"/>
                <w:color w:val="auto"/>
              </w:rPr>
            </w:pPr>
            <w:r>
              <w:rPr>
                <w:rFonts w:ascii="Arial" w:cs="Arial" w:eastAsia="Arial" w:hAnsi="Arial"/>
                <w:sz w:val="11"/>
                <w:szCs w:val="11"/>
                <w:color w:val="auto"/>
              </w:rPr>
              <w:t>Receivables from brokers, dealers and clearing organizations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110,715</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70,897</w:t>
            </w:r>
          </w:p>
        </w:tc>
      </w:tr>
      <w:tr>
        <w:trPr>
          <w:trHeight w:val="143"/>
        </w:trPr>
        <w:tc>
          <w:tcPr>
            <w:tcW w:w="7220" w:type="dxa"/>
            <w:vAlign w:val="bottom"/>
            <w:gridSpan w:val="9"/>
          </w:tcPr>
          <w:p>
            <w:pPr>
              <w:ind w:left="20"/>
              <w:spacing w:after="0"/>
              <w:rPr>
                <w:sz w:val="20"/>
                <w:szCs w:val="20"/>
                <w:color w:val="auto"/>
              </w:rPr>
            </w:pPr>
            <w:r>
              <w:rPr>
                <w:rFonts w:ascii="Arial" w:cs="Arial" w:eastAsia="Arial" w:hAnsi="Arial"/>
                <w:sz w:val="11"/>
                <w:szCs w:val="11"/>
                <w:color w:val="auto"/>
              </w:rPr>
              <w:t>Advisor loans, net</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3,979,817</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3,681,512</w:t>
            </w:r>
          </w:p>
        </w:tc>
      </w:tr>
      <w:tr>
        <w:trPr>
          <w:trHeight w:val="145"/>
        </w:trPr>
        <w:tc>
          <w:tcPr>
            <w:tcW w:w="7220" w:type="dxa"/>
            <w:vAlign w:val="bottom"/>
            <w:gridSpan w:val="9"/>
            <w:shd w:val="clear" w:color="auto" w:fill="DBDBDB"/>
          </w:tcPr>
          <w:p>
            <w:pPr>
              <w:ind w:left="20"/>
              <w:spacing w:after="0"/>
              <w:rPr>
                <w:sz w:val="20"/>
                <w:szCs w:val="20"/>
                <w:color w:val="auto"/>
              </w:rPr>
            </w:pPr>
            <w:r>
              <w:rPr>
                <w:rFonts w:ascii="Arial" w:cs="Arial" w:eastAsia="Arial" w:hAnsi="Arial"/>
                <w:sz w:val="11"/>
                <w:szCs w:val="11"/>
                <w:color w:val="auto"/>
              </w:rPr>
              <w:t>Other receivables,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1,323,879</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1,203,539</w:t>
            </w:r>
          </w:p>
        </w:tc>
      </w:tr>
      <w:tr>
        <w:trPr>
          <w:trHeight w:val="143"/>
        </w:trPr>
        <w:tc>
          <w:tcPr>
            <w:tcW w:w="7220" w:type="dxa"/>
            <w:vAlign w:val="bottom"/>
            <w:gridSpan w:val="9"/>
          </w:tcPr>
          <w:p>
            <w:pPr>
              <w:ind w:left="20"/>
              <w:spacing w:after="0"/>
              <w:rPr>
                <w:sz w:val="20"/>
                <w:szCs w:val="20"/>
                <w:color w:val="auto"/>
              </w:rPr>
            </w:pPr>
            <w:r>
              <w:rPr>
                <w:rFonts w:ascii="Arial" w:cs="Arial" w:eastAsia="Arial" w:hAnsi="Arial"/>
                <w:sz w:val="11"/>
                <w:szCs w:val="11"/>
                <w:color w:val="auto"/>
              </w:rPr>
              <w:t>Investment securities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155,287</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91,528</w:t>
            </w:r>
          </w:p>
        </w:tc>
      </w:tr>
      <w:tr>
        <w:trPr>
          <w:trHeight w:val="145"/>
        </w:trPr>
        <w:tc>
          <w:tcPr>
            <w:tcW w:w="7220" w:type="dxa"/>
            <w:vAlign w:val="bottom"/>
            <w:gridSpan w:val="9"/>
            <w:shd w:val="clear" w:color="auto" w:fill="DBDBDB"/>
          </w:tcPr>
          <w:p>
            <w:pPr>
              <w:ind w:left="20"/>
              <w:spacing w:after="0"/>
              <w:rPr>
                <w:sz w:val="20"/>
                <w:szCs w:val="20"/>
                <w:color w:val="auto"/>
              </w:rPr>
            </w:pPr>
            <w:r>
              <w:rPr>
                <w:rFonts w:ascii="Arial" w:cs="Arial" w:eastAsia="Arial" w:hAnsi="Arial"/>
                <w:sz w:val="11"/>
                <w:szCs w:val="11"/>
                <w:color w:val="auto"/>
              </w:rPr>
              <w:t>Property and equipment,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1,681,641</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1,409,376</w:t>
            </w:r>
          </w:p>
        </w:tc>
      </w:tr>
      <w:tr>
        <w:trPr>
          <w:trHeight w:val="143"/>
        </w:trPr>
        <w:tc>
          <w:tcPr>
            <w:tcW w:w="7220" w:type="dxa"/>
            <w:vAlign w:val="bottom"/>
            <w:gridSpan w:val="9"/>
          </w:tcPr>
          <w:p>
            <w:pPr>
              <w:ind w:left="20"/>
              <w:spacing w:after="0"/>
              <w:rPr>
                <w:sz w:val="20"/>
                <w:szCs w:val="20"/>
                <w:color w:val="auto"/>
              </w:rPr>
            </w:pPr>
            <w:r>
              <w:rPr>
                <w:rFonts w:ascii="Arial" w:cs="Arial" w:eastAsia="Arial" w:hAnsi="Arial"/>
                <w:sz w:val="11"/>
                <w:szCs w:val="11"/>
                <w:color w:val="auto"/>
              </w:rPr>
              <w:t>Goodwill</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2,699,747</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2,644,723</w:t>
            </w:r>
          </w:p>
        </w:tc>
      </w:tr>
      <w:tr>
        <w:trPr>
          <w:trHeight w:val="145"/>
        </w:trPr>
        <w:tc>
          <w:tcPr>
            <w:tcW w:w="7220" w:type="dxa"/>
            <w:vAlign w:val="bottom"/>
            <w:gridSpan w:val="9"/>
            <w:shd w:val="clear" w:color="auto" w:fill="DBDBDB"/>
          </w:tcPr>
          <w:p>
            <w:pPr>
              <w:ind w:left="20"/>
              <w:spacing w:after="0"/>
              <w:rPr>
                <w:sz w:val="20"/>
                <w:szCs w:val="20"/>
                <w:color w:val="auto"/>
              </w:rPr>
            </w:pPr>
            <w:r>
              <w:rPr>
                <w:rFonts w:ascii="Arial" w:cs="Arial" w:eastAsia="Arial" w:hAnsi="Arial"/>
                <w:sz w:val="11"/>
                <w:szCs w:val="11"/>
                <w:color w:val="auto"/>
              </w:rPr>
              <w:t>Other intangibles,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3,472,226</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3,330,788</w:t>
            </w:r>
          </w:p>
        </w:tc>
      </w:tr>
      <w:tr>
        <w:trPr>
          <w:trHeight w:val="143"/>
        </w:trPr>
        <w:tc>
          <w:tcPr>
            <w:tcW w:w="7220" w:type="dxa"/>
            <w:vAlign w:val="bottom"/>
            <w:tcBorders>
              <w:bottom w:val="single" w:sz="8" w:color="DBDBDB"/>
            </w:tcBorders>
            <w:gridSpan w:val="9"/>
          </w:tcPr>
          <w:p>
            <w:pPr>
              <w:ind w:left="20"/>
              <w:spacing w:after="0"/>
              <w:rPr>
                <w:sz w:val="20"/>
                <w:szCs w:val="20"/>
                <w:color w:val="auto"/>
              </w:rPr>
            </w:pPr>
            <w:r>
              <w:rPr>
                <w:rFonts w:ascii="Arial" w:cs="Arial" w:eastAsia="Arial" w:hAnsi="Arial"/>
                <w:sz w:val="11"/>
                <w:szCs w:val="11"/>
                <w:color w:val="auto"/>
              </w:rPr>
              <w:t>Other assets</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2,424,558</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2,202,444</w:t>
            </w:r>
          </w:p>
        </w:tc>
      </w:tr>
      <w:tr>
        <w:trPr>
          <w:trHeight w:val="154"/>
        </w:trPr>
        <w:tc>
          <w:tcPr>
            <w:tcW w:w="7220" w:type="dxa"/>
            <w:vAlign w:val="bottom"/>
            <w:tcBorders>
              <w:bottom w:val="single" w:sz="8" w:color="DBDBDB"/>
            </w:tcBorders>
            <w:gridSpan w:val="9"/>
            <w:shd w:val="clear" w:color="auto" w:fill="DBDBDB"/>
          </w:tcPr>
          <w:p>
            <w:pPr>
              <w:ind w:left="20"/>
              <w:spacing w:after="0"/>
              <w:rPr>
                <w:sz w:val="20"/>
                <w:szCs w:val="20"/>
                <w:color w:val="auto"/>
              </w:rPr>
            </w:pPr>
            <w:r>
              <w:rPr>
                <w:rFonts w:ascii="Arial" w:cs="Arial" w:eastAsia="Arial" w:hAnsi="Arial"/>
                <w:sz w:val="11"/>
                <w:szCs w:val="11"/>
                <w:color w:val="auto"/>
              </w:rPr>
              <w:t>Total assets</w:t>
            </w:r>
          </w:p>
        </w:tc>
        <w:tc>
          <w:tcPr>
            <w:tcW w:w="280" w:type="dxa"/>
            <w:vAlign w:val="bottom"/>
            <w:tcBorders>
              <w:bottom w:val="single" w:sz="8" w:color="auto"/>
            </w:tcBorders>
            <w:shd w:val="clear" w:color="auto" w:fill="DBDBDB"/>
          </w:tcPr>
          <w:p>
            <w:pPr>
              <w:jc w:val="right"/>
              <w:ind w:right="171"/>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19,870,620</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18,492,753</w:t>
            </w:r>
          </w:p>
        </w:tc>
      </w:tr>
      <w:tr>
        <w:trPr>
          <w:trHeight w:val="122"/>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960" w:type="dxa"/>
            <w:vAlign w:val="bottom"/>
            <w:gridSpan w:val="3"/>
          </w:tcPr>
          <w:p>
            <w:pPr>
              <w:jc w:val="center"/>
              <w:ind w:right="2226"/>
              <w:spacing w:after="0" w:line="122" w:lineRule="exact"/>
              <w:rPr>
                <w:sz w:val="20"/>
                <w:szCs w:val="20"/>
                <w:color w:val="auto"/>
              </w:rPr>
            </w:pPr>
            <w:r>
              <w:rPr>
                <w:rFonts w:ascii="Arial" w:cs="Arial" w:eastAsia="Arial" w:hAnsi="Arial"/>
                <w:sz w:val="11"/>
                <w:szCs w:val="11"/>
                <w:b w:val="1"/>
                <w:bCs w:val="1"/>
                <w:color w:val="auto"/>
                <w:w w:val="98"/>
              </w:rPr>
              <w:t>LIABILITIES AND STOCKHOLDERS’ EQUITY</w:t>
            </w:r>
          </w:p>
        </w:tc>
        <w:tc>
          <w:tcPr>
            <w:tcW w:w="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44"/>
        </w:trPr>
        <w:tc>
          <w:tcPr>
            <w:tcW w:w="7220" w:type="dxa"/>
            <w:vAlign w:val="bottom"/>
            <w:gridSpan w:val="9"/>
            <w:shd w:val="clear" w:color="auto" w:fill="DBDBDB"/>
          </w:tcPr>
          <w:p>
            <w:pPr>
              <w:ind w:left="20"/>
              <w:spacing w:after="0"/>
              <w:rPr>
                <w:sz w:val="20"/>
                <w:szCs w:val="20"/>
                <w:color w:val="auto"/>
              </w:rPr>
            </w:pPr>
            <w:r>
              <w:rPr>
                <w:rFonts w:ascii="Arial" w:cs="Arial" w:eastAsia="Arial" w:hAnsi="Arial"/>
                <w:sz w:val="11"/>
                <w:szCs w:val="11"/>
                <w:color w:val="auto"/>
              </w:rPr>
              <w:t>LIABILITIES: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r>
      <w:tr>
        <w:trPr>
          <w:trHeight w:val="143"/>
        </w:trPr>
        <w:tc>
          <w:tcPr>
            <w:tcW w:w="20" w:type="dxa"/>
            <w:vAlign w:val="bottom"/>
          </w:tcPr>
          <w:p>
            <w:pPr>
              <w:spacing w:after="0"/>
              <w:rPr>
                <w:sz w:val="12"/>
                <w:szCs w:val="12"/>
                <w:color w:val="auto"/>
              </w:rPr>
            </w:pPr>
          </w:p>
        </w:tc>
        <w:tc>
          <w:tcPr>
            <w:tcW w:w="7200" w:type="dxa"/>
            <w:vAlign w:val="bottom"/>
            <w:gridSpan w:val="8"/>
          </w:tcPr>
          <w:p>
            <w:pPr>
              <w:ind w:left="80"/>
              <w:spacing w:after="0"/>
              <w:rPr>
                <w:sz w:val="20"/>
                <w:szCs w:val="20"/>
                <w:color w:val="auto"/>
              </w:rPr>
            </w:pPr>
            <w:r>
              <w:rPr>
                <w:rFonts w:ascii="Arial" w:cs="Arial" w:eastAsia="Arial" w:hAnsi="Arial"/>
                <w:sz w:val="11"/>
                <w:szCs w:val="11"/>
                <w:color w:val="auto"/>
              </w:rPr>
              <w:t>Client payables</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2,256,906</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2,308,275</w:t>
            </w:r>
          </w:p>
        </w:tc>
      </w:tr>
      <w:tr>
        <w:trPr>
          <w:trHeight w:val="145"/>
        </w:trPr>
        <w:tc>
          <w:tcPr>
            <w:tcW w:w="20" w:type="dxa"/>
            <w:vAlign w:val="bottom"/>
            <w:shd w:val="clear" w:color="auto" w:fill="DBDBDB"/>
          </w:tcPr>
          <w:p>
            <w:pPr>
              <w:spacing w:after="0"/>
              <w:rPr>
                <w:sz w:val="12"/>
                <w:szCs w:val="12"/>
                <w:color w:val="auto"/>
              </w:rPr>
            </w:pPr>
          </w:p>
        </w:tc>
        <w:tc>
          <w:tcPr>
            <w:tcW w:w="7200" w:type="dxa"/>
            <w:vAlign w:val="bottom"/>
            <w:gridSpan w:val="8"/>
            <w:shd w:val="clear" w:color="auto" w:fill="DBDBDB"/>
          </w:tcPr>
          <w:p>
            <w:pPr>
              <w:ind w:left="80"/>
              <w:spacing w:after="0"/>
              <w:rPr>
                <w:sz w:val="20"/>
                <w:szCs w:val="20"/>
                <w:color w:val="auto"/>
              </w:rPr>
            </w:pPr>
            <w:r>
              <w:rPr>
                <w:rFonts w:ascii="Arial" w:cs="Arial" w:eastAsia="Arial" w:hAnsi="Arial"/>
                <w:sz w:val="11"/>
                <w:szCs w:val="11"/>
                <w:color w:val="auto"/>
              </w:rPr>
              <w:t>Payables to brokers, dealers and clearing organizations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217,055</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150,520</w:t>
            </w:r>
          </w:p>
        </w:tc>
      </w:tr>
      <w:tr>
        <w:trPr>
          <w:trHeight w:val="143"/>
        </w:trPr>
        <w:tc>
          <w:tcPr>
            <w:tcW w:w="20" w:type="dxa"/>
            <w:vAlign w:val="bottom"/>
          </w:tcPr>
          <w:p>
            <w:pPr>
              <w:spacing w:after="0"/>
              <w:rPr>
                <w:sz w:val="12"/>
                <w:szCs w:val="12"/>
                <w:color w:val="auto"/>
              </w:rPr>
            </w:pPr>
          </w:p>
        </w:tc>
        <w:tc>
          <w:tcPr>
            <w:tcW w:w="7200" w:type="dxa"/>
            <w:vAlign w:val="bottom"/>
            <w:gridSpan w:val="8"/>
          </w:tcPr>
          <w:p>
            <w:pPr>
              <w:ind w:left="80"/>
              <w:spacing w:after="0"/>
              <w:rPr>
                <w:sz w:val="20"/>
                <w:szCs w:val="20"/>
                <w:color w:val="auto"/>
              </w:rPr>
            </w:pPr>
            <w:r>
              <w:rPr>
                <w:rFonts w:ascii="Arial" w:cs="Arial" w:eastAsia="Arial" w:hAnsi="Arial"/>
                <w:sz w:val="11"/>
                <w:szCs w:val="11"/>
                <w:color w:val="auto"/>
              </w:rPr>
              <w:t>Accrued advisory and commission expenses payable</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403,041</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361,623</w:t>
            </w:r>
          </w:p>
        </w:tc>
      </w:tr>
      <w:tr>
        <w:trPr>
          <w:trHeight w:val="145"/>
        </w:trPr>
        <w:tc>
          <w:tcPr>
            <w:tcW w:w="20" w:type="dxa"/>
            <w:vAlign w:val="bottom"/>
            <w:shd w:val="clear" w:color="auto" w:fill="DBDBDB"/>
          </w:tcPr>
          <w:p>
            <w:pPr>
              <w:spacing w:after="0"/>
              <w:rPr>
                <w:sz w:val="12"/>
                <w:szCs w:val="12"/>
                <w:color w:val="auto"/>
              </w:rPr>
            </w:pPr>
          </w:p>
        </w:tc>
        <w:tc>
          <w:tcPr>
            <w:tcW w:w="7200" w:type="dxa"/>
            <w:vAlign w:val="bottom"/>
            <w:gridSpan w:val="8"/>
            <w:shd w:val="clear" w:color="auto" w:fill="DBDBDB"/>
          </w:tcPr>
          <w:p>
            <w:pPr>
              <w:ind w:left="80"/>
              <w:spacing w:after="0"/>
              <w:rPr>
                <w:sz w:val="20"/>
                <w:szCs w:val="20"/>
                <w:color w:val="auto"/>
              </w:rPr>
            </w:pPr>
            <w:r>
              <w:rPr>
                <w:rFonts w:ascii="Arial" w:cs="Arial" w:eastAsia="Arial" w:hAnsi="Arial"/>
                <w:sz w:val="11"/>
                <w:szCs w:val="11"/>
                <w:color w:val="auto"/>
              </w:rPr>
              <w:t>Corporate debt and other borrowings,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7,802,917</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7,258,694</w:t>
            </w:r>
          </w:p>
        </w:tc>
      </w:tr>
      <w:tr>
        <w:trPr>
          <w:trHeight w:val="143"/>
        </w:trPr>
        <w:tc>
          <w:tcPr>
            <w:tcW w:w="20" w:type="dxa"/>
            <w:vAlign w:val="bottom"/>
          </w:tcPr>
          <w:p>
            <w:pPr>
              <w:spacing w:after="0"/>
              <w:rPr>
                <w:sz w:val="12"/>
                <w:szCs w:val="12"/>
                <w:color w:val="auto"/>
              </w:rPr>
            </w:pPr>
          </w:p>
        </w:tc>
        <w:tc>
          <w:tcPr>
            <w:tcW w:w="7200" w:type="dxa"/>
            <w:vAlign w:val="bottom"/>
            <w:gridSpan w:val="8"/>
          </w:tcPr>
          <w:p>
            <w:pPr>
              <w:ind w:left="80"/>
              <w:spacing w:after="0"/>
              <w:rPr>
                <w:sz w:val="20"/>
                <w:szCs w:val="20"/>
                <w:color w:val="auto"/>
              </w:rPr>
            </w:pPr>
            <w:r>
              <w:rPr>
                <w:rFonts w:ascii="Arial" w:cs="Arial" w:eastAsia="Arial" w:hAnsi="Arial"/>
                <w:sz w:val="11"/>
                <w:szCs w:val="11"/>
                <w:color w:val="auto"/>
              </w:rPr>
              <w:t>Accounts payable and accrued liabilities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782,312</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821,641</w:t>
            </w:r>
          </w:p>
        </w:tc>
      </w:tr>
      <w:tr>
        <w:trPr>
          <w:trHeight w:val="145"/>
        </w:trPr>
        <w:tc>
          <w:tcPr>
            <w:tcW w:w="20" w:type="dxa"/>
            <w:vAlign w:val="bottom"/>
            <w:shd w:val="clear" w:color="auto" w:fill="DBDBDB"/>
          </w:tcPr>
          <w:p>
            <w:pPr>
              <w:spacing w:after="0"/>
              <w:rPr>
                <w:sz w:val="12"/>
                <w:szCs w:val="12"/>
                <w:color w:val="auto"/>
              </w:rPr>
            </w:pPr>
          </w:p>
        </w:tc>
        <w:tc>
          <w:tcPr>
            <w:tcW w:w="7200" w:type="dxa"/>
            <w:vAlign w:val="bottom"/>
            <w:gridSpan w:val="8"/>
            <w:shd w:val="clear" w:color="auto" w:fill="DBDBDB"/>
          </w:tcPr>
          <w:p>
            <w:pPr>
              <w:ind w:left="80"/>
              <w:spacing w:after="0"/>
              <w:rPr>
                <w:sz w:val="20"/>
                <w:szCs w:val="20"/>
                <w:color w:val="auto"/>
              </w:rPr>
            </w:pPr>
            <w:r>
              <w:rPr>
                <w:rFonts w:ascii="Arial" w:cs="Arial" w:eastAsia="Arial" w:hAnsi="Arial"/>
                <w:sz w:val="11"/>
                <w:szCs w:val="11"/>
                <w:color w:val="auto"/>
              </w:rPr>
              <w:t>Other liabilities</w:t>
            </w:r>
          </w:p>
        </w:tc>
        <w:tc>
          <w:tcPr>
            <w:tcW w:w="280" w:type="dxa"/>
            <w:vAlign w:val="bottom"/>
            <w:tcBorders>
              <w:bottom w:val="single" w:sz="8" w:color="auto"/>
            </w:tcBorders>
            <w:shd w:val="clear" w:color="auto" w:fill="DBDBDB"/>
          </w:tcPr>
          <w:p>
            <w:pPr>
              <w:spacing w:after="0"/>
              <w:rPr>
                <w:sz w:val="12"/>
                <w:szCs w:val="1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2,596,071</w:t>
            </w:r>
          </w:p>
        </w:tc>
        <w:tc>
          <w:tcPr>
            <w:tcW w:w="280" w:type="dxa"/>
            <w:vAlign w:val="bottom"/>
            <w:tcBorders>
              <w:bottom w:val="single" w:sz="8" w:color="auto"/>
            </w:tcBorders>
            <w:shd w:val="clear" w:color="auto" w:fill="DBDBDB"/>
          </w:tcPr>
          <w:p>
            <w:pPr>
              <w:spacing w:after="0"/>
              <w:rPr>
                <w:sz w:val="12"/>
                <w:szCs w:val="12"/>
                <w:color w:val="auto"/>
              </w:rPr>
            </w:pPr>
          </w:p>
        </w:tc>
        <w:tc>
          <w:tcPr>
            <w:tcW w:w="1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2,247,515</w:t>
            </w:r>
          </w:p>
        </w:tc>
      </w:tr>
      <w:tr>
        <w:trPr>
          <w:trHeight w:val="132"/>
        </w:trPr>
        <w:tc>
          <w:tcPr>
            <w:tcW w:w="20" w:type="dxa"/>
            <w:vAlign w:val="bottom"/>
            <w:tcBorders>
              <w:bottom w:val="single" w:sz="8" w:color="DBDBDB"/>
            </w:tcBorders>
          </w:tcPr>
          <w:p>
            <w:pPr>
              <w:spacing w:after="0"/>
              <w:rPr>
                <w:sz w:val="11"/>
                <w:szCs w:val="11"/>
                <w:color w:val="auto"/>
              </w:rPr>
            </w:pPr>
          </w:p>
        </w:tc>
        <w:tc>
          <w:tcPr>
            <w:tcW w:w="7200" w:type="dxa"/>
            <w:vAlign w:val="bottom"/>
            <w:tcBorders>
              <w:bottom w:val="single" w:sz="8" w:color="DBDBDB"/>
            </w:tcBorders>
            <w:gridSpan w:val="8"/>
          </w:tcPr>
          <w:p>
            <w:pPr>
              <w:ind w:left="200"/>
              <w:spacing w:after="0" w:line="122" w:lineRule="exact"/>
              <w:rPr>
                <w:sz w:val="20"/>
                <w:szCs w:val="20"/>
                <w:color w:val="auto"/>
              </w:rPr>
            </w:pPr>
            <w:r>
              <w:rPr>
                <w:rFonts w:ascii="Arial" w:cs="Arial" w:eastAsia="Arial" w:hAnsi="Arial"/>
                <w:sz w:val="11"/>
                <w:szCs w:val="11"/>
                <w:color w:val="auto"/>
              </w:rPr>
              <w:t>Total liabilities</w:t>
            </w:r>
          </w:p>
        </w:tc>
        <w:tc>
          <w:tcPr>
            <w:tcW w:w="2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14,058,302</w:t>
            </w:r>
          </w:p>
        </w:tc>
        <w:tc>
          <w:tcPr>
            <w:tcW w:w="2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13,148,268</w:t>
            </w:r>
          </w:p>
        </w:tc>
      </w:tr>
      <w:tr>
        <w:trPr>
          <w:trHeight w:val="125"/>
        </w:trPr>
        <w:tc>
          <w:tcPr>
            <w:tcW w:w="2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380" w:type="dxa"/>
            <w:vAlign w:val="bottom"/>
            <w:shd w:val="clear" w:color="auto" w:fill="DBDBDB"/>
          </w:tcPr>
          <w:p>
            <w:pPr>
              <w:spacing w:after="0"/>
              <w:rPr>
                <w:sz w:val="10"/>
                <w:szCs w:val="10"/>
                <w:color w:val="auto"/>
              </w:rPr>
            </w:pPr>
          </w:p>
        </w:tc>
        <w:tc>
          <w:tcPr>
            <w:tcW w:w="36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338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7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700" w:type="dxa"/>
            <w:vAlign w:val="bottom"/>
            <w:shd w:val="clear" w:color="auto" w:fill="DBDBDB"/>
          </w:tcPr>
          <w:p>
            <w:pPr>
              <w:spacing w:after="0"/>
              <w:rPr>
                <w:sz w:val="10"/>
                <w:szCs w:val="10"/>
                <w:color w:val="auto"/>
              </w:rPr>
            </w:pPr>
          </w:p>
        </w:tc>
      </w:tr>
      <w:tr>
        <w:trPr>
          <w:trHeight w:val="143"/>
        </w:trPr>
        <w:tc>
          <w:tcPr>
            <w:tcW w:w="7220" w:type="dxa"/>
            <w:vAlign w:val="bottom"/>
            <w:gridSpan w:val="9"/>
          </w:tcPr>
          <w:p>
            <w:pPr>
              <w:ind w:left="20"/>
              <w:spacing w:after="0"/>
              <w:rPr>
                <w:sz w:val="20"/>
                <w:szCs w:val="20"/>
                <w:color w:val="auto"/>
              </w:rPr>
            </w:pPr>
            <w:r>
              <w:rPr>
                <w:rFonts w:ascii="Arial" w:cs="Arial" w:eastAsia="Arial" w:hAnsi="Arial"/>
                <w:sz w:val="11"/>
                <w:szCs w:val="11"/>
                <w:color w:val="auto"/>
              </w:rPr>
              <w:t>Commitments and contingencies (Note 10)</w:t>
            </w: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09"/>
        </w:trPr>
        <w:tc>
          <w:tcPr>
            <w:tcW w:w="1620" w:type="dxa"/>
            <w:vAlign w:val="bottom"/>
            <w:gridSpan w:val="4"/>
            <w:shd w:val="clear" w:color="auto" w:fill="DBDBDB"/>
          </w:tcPr>
          <w:p>
            <w:pPr>
              <w:ind w:left="20"/>
              <w:spacing w:after="0" w:line="110" w:lineRule="exact"/>
              <w:rPr>
                <w:sz w:val="20"/>
                <w:szCs w:val="20"/>
                <w:color w:val="auto"/>
              </w:rPr>
            </w:pPr>
            <w:r>
              <w:rPr>
                <w:rFonts w:ascii="Arial" w:cs="Arial" w:eastAsia="Arial" w:hAnsi="Arial"/>
                <w:sz w:val="11"/>
                <w:szCs w:val="11"/>
                <w:color w:val="auto"/>
                <w:w w:val="96"/>
              </w:rPr>
              <w:t>Common stock, $0.001 par value;</w:t>
            </w:r>
          </w:p>
        </w:tc>
        <w:tc>
          <w:tcPr>
            <w:tcW w:w="640" w:type="dxa"/>
            <w:vAlign w:val="bottom"/>
            <w:gridSpan w:val="2"/>
            <w:shd w:val="clear" w:color="auto" w:fill="DBDBDB"/>
          </w:tcPr>
          <w:p>
            <w:pPr>
              <w:jc w:val="right"/>
              <w:spacing w:after="0" w:line="110" w:lineRule="exact"/>
              <w:rPr>
                <w:sz w:val="20"/>
                <w:szCs w:val="20"/>
                <w:color w:val="auto"/>
              </w:rPr>
            </w:pPr>
            <w:r>
              <w:rPr>
                <w:rFonts w:ascii="Arial" w:cs="Arial" w:eastAsia="Arial" w:hAnsi="Arial"/>
                <w:sz w:val="11"/>
                <w:szCs w:val="11"/>
                <w:color w:val="auto"/>
                <w:highlight w:val="lightGray"/>
              </w:rPr>
              <w:t>600,000,000</w:t>
            </w:r>
          </w:p>
        </w:tc>
        <w:tc>
          <w:tcPr>
            <w:tcW w:w="940" w:type="dxa"/>
            <w:vAlign w:val="bottom"/>
            <w:shd w:val="clear" w:color="auto" w:fill="DBDBDB"/>
          </w:tcPr>
          <w:p>
            <w:pPr>
              <w:ind w:left="20"/>
              <w:spacing w:after="0" w:line="110" w:lineRule="exact"/>
              <w:rPr>
                <w:sz w:val="20"/>
                <w:szCs w:val="20"/>
                <w:color w:val="auto"/>
              </w:rPr>
            </w:pPr>
            <w:r>
              <w:rPr>
                <w:rFonts w:ascii="Arial" w:cs="Arial" w:eastAsia="Arial" w:hAnsi="Arial"/>
                <w:sz w:val="11"/>
                <w:szCs w:val="11"/>
                <w:color w:val="auto"/>
                <w:w w:val="99"/>
              </w:rPr>
              <w:t>shares authorized;</w:t>
            </w:r>
          </w:p>
        </w:tc>
        <w:tc>
          <w:tcPr>
            <w:tcW w:w="640" w:type="dxa"/>
            <w:vAlign w:val="bottom"/>
            <w:shd w:val="clear" w:color="auto" w:fill="DBDBDB"/>
          </w:tcPr>
          <w:p>
            <w:pPr>
              <w:jc w:val="right"/>
              <w:spacing w:after="0" w:line="110" w:lineRule="exact"/>
              <w:rPr>
                <w:sz w:val="20"/>
                <w:szCs w:val="20"/>
                <w:color w:val="auto"/>
              </w:rPr>
            </w:pPr>
            <w:r>
              <w:rPr>
                <w:rFonts w:ascii="Arial" w:cs="Arial" w:eastAsia="Arial" w:hAnsi="Arial"/>
                <w:sz w:val="11"/>
                <w:szCs w:val="11"/>
                <w:color w:val="auto"/>
                <w:highlight w:val="lightGray"/>
                <w:w w:val="94"/>
              </w:rPr>
              <w:t>136,850,801</w:t>
            </w:r>
          </w:p>
        </w:tc>
        <w:tc>
          <w:tcPr>
            <w:tcW w:w="3380" w:type="dxa"/>
            <w:vAlign w:val="bottom"/>
            <w:shd w:val="clear" w:color="auto" w:fill="DBDBDB"/>
          </w:tcPr>
          <w:p>
            <w:pPr>
              <w:spacing w:after="0" w:line="110" w:lineRule="exact"/>
              <w:rPr>
                <w:sz w:val="20"/>
                <w:szCs w:val="20"/>
                <w:color w:val="auto"/>
              </w:rPr>
            </w:pPr>
            <w:r>
              <w:rPr>
                <w:rFonts w:ascii="Arial" w:cs="Arial" w:eastAsia="Arial" w:hAnsi="Arial"/>
                <w:sz w:val="11"/>
                <w:szCs w:val="11"/>
                <w:color w:val="auto"/>
              </w:rPr>
              <w:t>and 136,637,544 shares issued at September 30, 2026 and</w:t>
            </w:r>
          </w:p>
        </w:tc>
        <w:tc>
          <w:tcPr>
            <w:tcW w:w="280" w:type="dxa"/>
            <w:vAlign w:val="bottom"/>
            <w:shd w:val="clear" w:color="auto" w:fill="DBDBDB"/>
          </w:tcPr>
          <w:p>
            <w:pPr>
              <w:spacing w:after="0"/>
              <w:rPr>
                <w:sz w:val="9"/>
                <w:szCs w:val="9"/>
                <w:color w:val="auto"/>
              </w:rPr>
            </w:pPr>
          </w:p>
        </w:tc>
        <w:tc>
          <w:tcPr>
            <w:tcW w:w="1700" w:type="dxa"/>
            <w:vAlign w:val="bottom"/>
            <w:shd w:val="clear" w:color="auto" w:fill="DBDBDB"/>
          </w:tcPr>
          <w:p>
            <w:pPr>
              <w:jc w:val="right"/>
              <w:spacing w:after="0" w:line="110" w:lineRule="exact"/>
              <w:rPr>
                <w:sz w:val="20"/>
                <w:szCs w:val="20"/>
                <w:color w:val="auto"/>
              </w:rPr>
            </w:pPr>
            <w:r>
              <w:rPr>
                <w:rFonts w:ascii="Arial" w:cs="Arial" w:eastAsia="Arial" w:hAnsi="Arial"/>
                <w:sz w:val="11"/>
                <w:szCs w:val="11"/>
                <w:color w:val="auto"/>
              </w:rPr>
              <w:t>137</w:t>
            </w:r>
          </w:p>
        </w:tc>
        <w:tc>
          <w:tcPr>
            <w:tcW w:w="280" w:type="dxa"/>
            <w:vAlign w:val="bottom"/>
            <w:shd w:val="clear" w:color="auto" w:fill="DBDBDB"/>
          </w:tcPr>
          <w:p>
            <w:pPr>
              <w:spacing w:after="0"/>
              <w:rPr>
                <w:sz w:val="9"/>
                <w:szCs w:val="9"/>
                <w:color w:val="auto"/>
              </w:rPr>
            </w:pPr>
          </w:p>
        </w:tc>
        <w:tc>
          <w:tcPr>
            <w:tcW w:w="1700" w:type="dxa"/>
            <w:vAlign w:val="bottom"/>
            <w:shd w:val="clear" w:color="auto" w:fill="DBDBDB"/>
          </w:tcPr>
          <w:p>
            <w:pPr>
              <w:jc w:val="right"/>
              <w:ind w:right="6"/>
              <w:spacing w:after="0" w:line="110" w:lineRule="exact"/>
              <w:rPr>
                <w:sz w:val="20"/>
                <w:szCs w:val="20"/>
                <w:color w:val="auto"/>
              </w:rPr>
            </w:pPr>
            <w:r>
              <w:rPr>
                <w:rFonts w:ascii="Arial" w:cs="Arial" w:eastAsia="Arial" w:hAnsi="Arial"/>
                <w:sz w:val="11"/>
                <w:szCs w:val="11"/>
                <w:color w:val="auto"/>
              </w:rPr>
              <w:t>136</w:t>
            </w:r>
          </w:p>
        </w:tc>
      </w:tr>
      <w:tr>
        <w:trPr>
          <w:trHeight w:val="144"/>
        </w:trPr>
        <w:tc>
          <w:tcPr>
            <w:tcW w:w="1620" w:type="dxa"/>
            <w:vAlign w:val="bottom"/>
            <w:gridSpan w:val="4"/>
            <w:shd w:val="clear" w:color="auto" w:fill="DBDBDB"/>
          </w:tcPr>
          <w:p>
            <w:pPr>
              <w:ind w:left="20"/>
              <w:spacing w:after="0"/>
              <w:rPr>
                <w:sz w:val="20"/>
                <w:szCs w:val="20"/>
                <w:color w:val="auto"/>
              </w:rPr>
            </w:pPr>
            <w:r>
              <w:rPr>
                <w:rFonts w:ascii="Arial" w:cs="Arial" w:eastAsia="Arial" w:hAnsi="Arial"/>
                <w:sz w:val="11"/>
                <w:szCs w:val="11"/>
                <w:color w:val="auto"/>
                <w:w w:val="98"/>
              </w:rPr>
              <w:t>December 31, 2025, respectively</w:t>
            </w:r>
          </w:p>
        </w:tc>
        <w:tc>
          <w:tcPr>
            <w:tcW w:w="18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33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r>
      <w:tr>
        <w:trPr>
          <w:trHeight w:val="143"/>
        </w:trPr>
        <w:tc>
          <w:tcPr>
            <w:tcW w:w="20" w:type="dxa"/>
            <w:vAlign w:val="bottom"/>
          </w:tcPr>
          <w:p>
            <w:pPr>
              <w:spacing w:after="0"/>
              <w:rPr>
                <w:sz w:val="12"/>
                <w:szCs w:val="12"/>
                <w:color w:val="auto"/>
              </w:rPr>
            </w:pPr>
          </w:p>
        </w:tc>
        <w:tc>
          <w:tcPr>
            <w:tcW w:w="7200" w:type="dxa"/>
            <w:vAlign w:val="bottom"/>
            <w:gridSpan w:val="8"/>
          </w:tcPr>
          <w:p>
            <w:pPr>
              <w:ind w:left="100"/>
              <w:spacing w:after="0"/>
              <w:rPr>
                <w:sz w:val="20"/>
                <w:szCs w:val="20"/>
                <w:color w:val="auto"/>
              </w:rPr>
            </w:pPr>
            <w:r>
              <w:rPr>
                <w:rFonts w:ascii="Arial" w:cs="Arial" w:eastAsia="Arial" w:hAnsi="Arial"/>
                <w:sz w:val="11"/>
                <w:szCs w:val="11"/>
                <w:color w:val="auto"/>
              </w:rPr>
              <w:t>Additional paid-in capital</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3,924,639</w:t>
            </w:r>
          </w:p>
        </w:tc>
        <w:tc>
          <w:tcPr>
            <w:tcW w:w="280" w:type="dxa"/>
            <w:vAlign w:val="bottom"/>
          </w:tcPr>
          <w:p>
            <w:pPr>
              <w:spacing w:after="0"/>
              <w:rPr>
                <w:sz w:val="12"/>
                <w:szCs w:val="12"/>
                <w:color w:val="auto"/>
              </w:rPr>
            </w:pPr>
          </w:p>
        </w:tc>
        <w:tc>
          <w:tcPr>
            <w:tcW w:w="1700" w:type="dxa"/>
            <w:vAlign w:val="bottom"/>
          </w:tcPr>
          <w:p>
            <w:pPr>
              <w:jc w:val="right"/>
              <w:ind w:right="6"/>
              <w:spacing w:after="0"/>
              <w:rPr>
                <w:sz w:val="20"/>
                <w:szCs w:val="20"/>
                <w:color w:val="auto"/>
              </w:rPr>
            </w:pPr>
            <w:r>
              <w:rPr>
                <w:rFonts w:ascii="Arial" w:cs="Arial" w:eastAsia="Arial" w:hAnsi="Arial"/>
                <w:sz w:val="11"/>
                <w:szCs w:val="11"/>
                <w:color w:val="auto"/>
              </w:rPr>
              <w:t>3,843,017</w:t>
            </w:r>
          </w:p>
        </w:tc>
      </w:tr>
      <w:tr>
        <w:trPr>
          <w:trHeight w:val="145"/>
        </w:trPr>
        <w:tc>
          <w:tcPr>
            <w:tcW w:w="1260" w:type="dxa"/>
            <w:vAlign w:val="bottom"/>
            <w:gridSpan w:val="3"/>
            <w:shd w:val="clear" w:color="auto" w:fill="DBDBDB"/>
          </w:tcPr>
          <w:p>
            <w:pPr>
              <w:ind w:left="20"/>
              <w:spacing w:after="0"/>
              <w:rPr>
                <w:sz w:val="20"/>
                <w:szCs w:val="20"/>
                <w:color w:val="auto"/>
              </w:rPr>
            </w:pPr>
            <w:r>
              <w:rPr>
                <w:rFonts w:ascii="Arial" w:cs="Arial" w:eastAsia="Arial" w:hAnsi="Arial"/>
                <w:sz w:val="11"/>
                <w:szCs w:val="11"/>
                <w:color w:val="auto"/>
                <w:w w:val="97"/>
              </w:rPr>
              <w:t>Treasury stock, at cost —</w:t>
            </w:r>
          </w:p>
        </w:tc>
        <w:tc>
          <w:tcPr>
            <w:tcW w:w="54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highlight w:val="lightGray"/>
                <w:w w:val="94"/>
              </w:rPr>
              <w:t>58,540,091</w:t>
            </w:r>
          </w:p>
        </w:tc>
        <w:tc>
          <w:tcPr>
            <w:tcW w:w="5420" w:type="dxa"/>
            <w:vAlign w:val="bottom"/>
            <w:gridSpan w:val="4"/>
            <w:shd w:val="clear" w:color="auto" w:fill="DBDBDB"/>
          </w:tcPr>
          <w:p>
            <w:pPr>
              <w:ind w:left="40"/>
              <w:spacing w:after="0"/>
              <w:rPr>
                <w:sz w:val="20"/>
                <w:szCs w:val="20"/>
                <w:color w:val="auto"/>
              </w:rPr>
            </w:pPr>
            <w:r>
              <w:rPr>
                <w:rFonts w:ascii="Arial" w:cs="Arial" w:eastAsia="Arial" w:hAnsi="Arial"/>
                <w:sz w:val="11"/>
                <w:szCs w:val="11"/>
                <w:color w:val="auto"/>
              </w:rPr>
              <w:t>and 56,576,672 shares at September 30, 2026 and December 31, 2025, respectively</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(4,968,083)</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(4,333,725)</w:t>
            </w:r>
          </w:p>
        </w:tc>
      </w:tr>
      <w:tr>
        <w:trPr>
          <w:trHeight w:val="139"/>
        </w:trPr>
        <w:tc>
          <w:tcPr>
            <w:tcW w:w="20" w:type="dxa"/>
            <w:vAlign w:val="bottom"/>
            <w:tcBorders>
              <w:bottom w:val="single" w:sz="8" w:color="DBDBDB"/>
            </w:tcBorders>
          </w:tcPr>
          <w:p>
            <w:pPr>
              <w:spacing w:after="0"/>
              <w:rPr>
                <w:sz w:val="12"/>
                <w:szCs w:val="12"/>
                <w:color w:val="auto"/>
              </w:rPr>
            </w:pPr>
          </w:p>
        </w:tc>
        <w:tc>
          <w:tcPr>
            <w:tcW w:w="8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highlight w:val="lightGray"/>
                <w:w w:val="94"/>
              </w:rPr>
              <w:t>Retained earnings</w:t>
            </w:r>
          </w:p>
        </w:tc>
        <w:tc>
          <w:tcPr>
            <w:tcW w:w="6340" w:type="dxa"/>
            <w:vAlign w:val="bottom"/>
            <w:tcBorders>
              <w:bottom w:val="single" w:sz="8" w:color="DBDBDB"/>
            </w:tcBorders>
            <w:gridSpan w:val="7"/>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6,855,625</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5,835,057</w:t>
            </w:r>
          </w:p>
        </w:tc>
      </w:tr>
      <w:tr>
        <w:trPr>
          <w:trHeight w:val="138"/>
        </w:trPr>
        <w:tc>
          <w:tcPr>
            <w:tcW w:w="20" w:type="dxa"/>
            <w:vAlign w:val="bottom"/>
            <w:shd w:val="clear" w:color="auto" w:fill="DBDBDB"/>
          </w:tcPr>
          <w:p>
            <w:pPr>
              <w:spacing w:after="0"/>
              <w:rPr>
                <w:sz w:val="11"/>
                <w:szCs w:val="11"/>
                <w:color w:val="auto"/>
              </w:rPr>
            </w:pPr>
          </w:p>
        </w:tc>
        <w:tc>
          <w:tcPr>
            <w:tcW w:w="7200" w:type="dxa"/>
            <w:vAlign w:val="bottom"/>
            <w:gridSpan w:val="8"/>
            <w:shd w:val="clear" w:color="auto" w:fill="DBDBDB"/>
          </w:tcPr>
          <w:p>
            <w:pPr>
              <w:ind w:left="200"/>
              <w:spacing w:after="0"/>
              <w:rPr>
                <w:sz w:val="20"/>
                <w:szCs w:val="20"/>
                <w:color w:val="auto"/>
              </w:rPr>
            </w:pPr>
            <w:r>
              <w:rPr>
                <w:rFonts w:ascii="Arial" w:cs="Arial" w:eastAsia="Arial" w:hAnsi="Arial"/>
                <w:sz w:val="11"/>
                <w:szCs w:val="11"/>
                <w:color w:val="auto"/>
              </w:rPr>
              <w:t>Total stockholders’ equity</w:t>
            </w:r>
          </w:p>
        </w:tc>
        <w:tc>
          <w:tcPr>
            <w:tcW w:w="280" w:type="dxa"/>
            <w:vAlign w:val="bottom"/>
            <w:tcBorders>
              <w:bottom w:val="single" w:sz="8" w:color="auto"/>
            </w:tcBorders>
            <w:shd w:val="clear" w:color="auto" w:fill="DBDBDB"/>
          </w:tcPr>
          <w:p>
            <w:pPr>
              <w:spacing w:after="0"/>
              <w:rPr>
                <w:sz w:val="11"/>
                <w:szCs w:val="1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5,812,318</w:t>
            </w:r>
          </w:p>
        </w:tc>
        <w:tc>
          <w:tcPr>
            <w:tcW w:w="280" w:type="dxa"/>
            <w:vAlign w:val="bottom"/>
            <w:tcBorders>
              <w:bottom w:val="single" w:sz="8" w:color="auto"/>
            </w:tcBorders>
            <w:shd w:val="clear" w:color="auto" w:fill="DBDBDB"/>
          </w:tcPr>
          <w:p>
            <w:pPr>
              <w:spacing w:after="0"/>
              <w:rPr>
                <w:sz w:val="11"/>
                <w:szCs w:val="11"/>
                <w:color w:val="auto"/>
              </w:rPr>
            </w:pPr>
          </w:p>
        </w:tc>
        <w:tc>
          <w:tcPr>
            <w:tcW w:w="1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5,344,485</w:t>
            </w:r>
          </w:p>
        </w:tc>
      </w:tr>
      <w:tr>
        <w:trPr>
          <w:trHeight w:val="132"/>
        </w:trPr>
        <w:tc>
          <w:tcPr>
            <w:tcW w:w="7220" w:type="dxa"/>
            <w:vAlign w:val="bottom"/>
            <w:gridSpan w:val="9"/>
          </w:tcPr>
          <w:p>
            <w:pPr>
              <w:ind w:left="20"/>
              <w:spacing w:after="0" w:line="122" w:lineRule="exact"/>
              <w:rPr>
                <w:sz w:val="20"/>
                <w:szCs w:val="20"/>
                <w:color w:val="auto"/>
              </w:rPr>
            </w:pPr>
            <w:r>
              <w:rPr>
                <w:rFonts w:ascii="Arial" w:cs="Arial" w:eastAsia="Arial" w:hAnsi="Arial"/>
                <w:sz w:val="11"/>
                <w:szCs w:val="11"/>
                <w:color w:val="auto"/>
              </w:rPr>
              <w:t>Total liabilities and stockholders’ equity</w:t>
            </w: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19,870,620</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18,492,753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25" w:name="page26"/>
    <w:bookmarkEnd w:id="25"/>
    <w:p>
      <w:pPr>
        <w:spacing w:after="0"/>
        <w:rPr>
          <w:sz w:val="20"/>
          <w:szCs w:val="20"/>
          <w:color w:val="auto"/>
        </w:rPr>
      </w:pPr>
      <w:r>
        <w:rPr>
          <w:rFonts w:ascii="Arial" w:cs="Arial" w:eastAsia="Arial" w:hAnsi="Arial"/>
          <w:sz w:val="12"/>
          <w:szCs w:val="12"/>
          <w:u w:val="single" w:color="auto"/>
          <w:color w:val="0000FF"/>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right"/>
              <w:ind w:right="32"/>
              <w:spacing w:after="0"/>
              <w:rPr>
                <w:sz w:val="20"/>
                <w:szCs w:val="20"/>
                <w:color w:val="auto"/>
              </w:rPr>
            </w:pPr>
            <w:r>
              <w:rPr>
                <w:rFonts w:ascii="Times New Roman" w:cs="Times New Roman" w:eastAsia="Times New Roman" w:hAnsi="Times New Roman"/>
                <w:sz w:val="14"/>
                <w:szCs w:val="14"/>
                <w:color w:val="auto"/>
              </w:rPr>
              <w:t>Three Months Ended September 30, 2025</w:t>
            </w: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3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gridSpan w:val="3"/>
            <w:vMerge w:val="restart"/>
          </w:tcPr>
          <w:p>
            <w:pPr>
              <w:jc w:val="right"/>
              <w:ind w:right="432"/>
              <w:spacing w:after="0"/>
              <w:rPr>
                <w:sz w:val="20"/>
                <w:szCs w:val="20"/>
                <w:color w:val="auto"/>
              </w:rPr>
            </w:pPr>
            <w:r>
              <w:rPr>
                <w:rFonts w:ascii="Arial" w:cs="Arial" w:eastAsia="Arial" w:hAnsi="Arial"/>
                <w:sz w:val="10"/>
                <w:szCs w:val="10"/>
                <w:b w:val="1"/>
                <w:bCs w:val="1"/>
                <w:color w:val="auto"/>
              </w:rPr>
              <w:t>Common Stock</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tcPr>
          <w:p>
            <w:pPr>
              <w:jc w:val="center"/>
              <w:ind w:right="160"/>
              <w:spacing w:after="0" w:line="91" w:lineRule="exact"/>
              <w:rPr>
                <w:sz w:val="20"/>
                <w:szCs w:val="20"/>
                <w:color w:val="auto"/>
              </w:rPr>
            </w:pPr>
            <w:r>
              <w:rPr>
                <w:rFonts w:ascii="Arial" w:cs="Arial" w:eastAsia="Arial" w:hAnsi="Arial"/>
                <w:sz w:val="10"/>
                <w:szCs w:val="10"/>
                <w:b w:val="1"/>
                <w:bCs w:val="1"/>
                <w:color w:val="auto"/>
                <w:w w:val="93"/>
              </w:rPr>
              <w:t>Additional</w:t>
            </w:r>
          </w:p>
        </w:tc>
        <w:tc>
          <w:tcPr>
            <w:tcW w:w="1880" w:type="dxa"/>
            <w:vAlign w:val="bottom"/>
            <w:gridSpan w:val="4"/>
            <w:vMerge w:val="restart"/>
          </w:tcPr>
          <w:p>
            <w:pPr>
              <w:jc w:val="right"/>
              <w:ind w:right="492"/>
              <w:spacing w:after="0"/>
              <w:rPr>
                <w:sz w:val="20"/>
                <w:szCs w:val="20"/>
                <w:color w:val="auto"/>
              </w:rPr>
            </w:pPr>
            <w:r>
              <w:rPr>
                <w:rFonts w:ascii="Arial" w:cs="Arial" w:eastAsia="Arial" w:hAnsi="Arial"/>
                <w:sz w:val="10"/>
                <w:szCs w:val="10"/>
                <w:b w:val="1"/>
                <w:bCs w:val="1"/>
                <w:color w:val="auto"/>
              </w:rPr>
              <w:t>Treasury Stock</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tcPr>
          <w:p>
            <w:pPr>
              <w:jc w:val="center"/>
              <w:ind w:right="46"/>
              <w:spacing w:after="0" w:line="91"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39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tcPr>
          <w:p>
            <w:pPr>
              <w:jc w:val="center"/>
              <w:ind w:right="140"/>
              <w:spacing w:after="0" w:line="69" w:lineRule="exact"/>
              <w:rPr>
                <w:sz w:val="20"/>
                <w:szCs w:val="20"/>
                <w:color w:val="auto"/>
              </w:rPr>
            </w:pPr>
            <w:r>
              <w:rPr>
                <w:rFonts w:ascii="Arial" w:cs="Arial" w:eastAsia="Arial" w:hAnsi="Arial"/>
                <w:sz w:val="7"/>
                <w:szCs w:val="7"/>
                <w:b w:val="1"/>
                <w:bCs w:val="1"/>
                <w:color w:val="auto"/>
              </w:rPr>
              <w:t>Paid-In</w:t>
            </w:r>
          </w:p>
        </w:tc>
        <w:tc>
          <w:tcPr>
            <w:tcW w:w="1880" w:type="dxa"/>
            <w:vAlign w:val="bottom"/>
            <w:tcBorders>
              <w:bottom w:val="single" w:sz="8" w:color="auto"/>
            </w:tcBorders>
            <w:gridSpan w:val="4"/>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jc w:val="right"/>
              <w:ind w:right="113"/>
              <w:spacing w:after="0" w:line="69" w:lineRule="exact"/>
              <w:rPr>
                <w:sz w:val="20"/>
                <w:szCs w:val="20"/>
                <w:color w:val="auto"/>
              </w:rPr>
            </w:pPr>
            <w:r>
              <w:rPr>
                <w:rFonts w:ascii="Arial" w:cs="Arial" w:eastAsia="Arial" w:hAnsi="Arial"/>
                <w:sz w:val="7"/>
                <w:szCs w:val="7"/>
                <w:b w:val="1"/>
                <w:bCs w:val="1"/>
                <w:color w:val="auto"/>
              </w:rPr>
              <w:t>Retained</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tcPr>
          <w:p>
            <w:pPr>
              <w:jc w:val="center"/>
              <w:ind w:right="46"/>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4"/>
        </w:trPr>
        <w:tc>
          <w:tcPr>
            <w:tcW w:w="40" w:type="dxa"/>
            <w:vAlign w:val="bottom"/>
            <w:tcBorders>
              <w:bottom w:val="single" w:sz="8" w:color="DBDBDB"/>
            </w:tcBorders>
          </w:tcPr>
          <w:p>
            <w:pPr>
              <w:spacing w:after="0"/>
              <w:rPr>
                <w:sz w:val="11"/>
                <w:szCs w:val="11"/>
                <w:color w:val="auto"/>
              </w:rPr>
            </w:pPr>
          </w:p>
        </w:tc>
        <w:tc>
          <w:tcPr>
            <w:tcW w:w="3980" w:type="dxa"/>
            <w:vAlign w:val="bottom"/>
            <w:tcBorders>
              <w:bottom w:val="single" w:sz="8" w:color="DBDBDB"/>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Shares</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0"/>
                <w:szCs w:val="10"/>
                <w:b w:val="1"/>
                <w:bCs w:val="1"/>
                <w:color w:val="auto"/>
                <w:w w:val="95"/>
              </w:rPr>
              <w:t>Capital</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b w:val="1"/>
                <w:bCs w:val="1"/>
                <w:color w:val="auto"/>
              </w:rPr>
              <w:t>Earnings</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center"/>
              <w:ind w:right="46"/>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4"/>
        </w:trPr>
        <w:tc>
          <w:tcPr>
            <w:tcW w:w="40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BALANCE — June 30, 2025</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136,603</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136</w:t>
            </w:r>
          </w:p>
        </w:tc>
        <w:tc>
          <w:tcPr>
            <w:tcW w:w="160" w:type="dxa"/>
            <w:vAlign w:val="bottom"/>
            <w:gridSpan w:val="2"/>
            <w:shd w:val="clear" w:color="auto" w:fill="DBDBDB"/>
          </w:tcPr>
          <w:p>
            <w:pPr>
              <w:jc w:val="right"/>
              <w:ind w:right="10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3,787,009</w:t>
            </w:r>
          </w:p>
        </w:tc>
        <w:tc>
          <w:tcPr>
            <w:tcW w:w="40" w:type="dxa"/>
            <w:vAlign w:val="bottom"/>
            <w:shd w:val="clear" w:color="auto" w:fill="DBDBDB"/>
          </w:tcPr>
          <w:p>
            <w:pPr>
              <w:spacing w:after="0"/>
              <w:rPr>
                <w:sz w:val="10"/>
                <w:szCs w:val="10"/>
                <w:color w:val="auto"/>
              </w:rPr>
            </w:pP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56,599</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(4,332,275)</w:t>
            </w:r>
          </w:p>
        </w:tc>
        <w:tc>
          <w:tcPr>
            <w:tcW w:w="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5,619,546</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5,074,416</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20"/>
              <w:spacing w:after="0"/>
              <w:rPr>
                <w:sz w:val="20"/>
                <w:szCs w:val="20"/>
                <w:color w:val="auto"/>
              </w:rPr>
            </w:pPr>
            <w:r>
              <w:rPr>
                <w:rFonts w:ascii="Arial" w:cs="Arial" w:eastAsia="Arial" w:hAnsi="Arial"/>
                <w:sz w:val="10"/>
                <w:szCs w:val="10"/>
                <w:color w:val="auto"/>
              </w:rPr>
              <w:t>Net loss</w:t>
            </w:r>
          </w:p>
        </w:tc>
        <w:tc>
          <w:tcPr>
            <w:tcW w:w="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(29,517)</w:t>
            </w:r>
          </w:p>
        </w:tc>
        <w:tc>
          <w:tcPr>
            <w:tcW w:w="100" w:type="dxa"/>
            <w:vAlign w:val="bottom"/>
          </w:tcPr>
          <w:p>
            <w:pPr>
              <w:spacing w:after="0"/>
              <w:rPr>
                <w:sz w:val="11"/>
                <w:szCs w:val="11"/>
                <w:color w:val="auto"/>
              </w:rPr>
            </w:pP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(29,517)</w:t>
            </w:r>
          </w:p>
        </w:tc>
        <w:tc>
          <w:tcPr>
            <w:tcW w:w="0" w:type="dxa"/>
            <w:vAlign w:val="bottom"/>
          </w:tcPr>
          <w:p>
            <w:pPr>
              <w:spacing w:after="0"/>
              <w:rPr>
                <w:sz w:val="1"/>
                <w:szCs w:val="1"/>
                <w:color w:val="auto"/>
              </w:rPr>
            </w:pPr>
          </w:p>
        </w:tc>
      </w:tr>
      <w:tr>
        <w:trPr>
          <w:trHeight w:val="138"/>
        </w:trPr>
        <w:tc>
          <w:tcPr>
            <w:tcW w:w="40" w:type="dxa"/>
            <w:vAlign w:val="bottom"/>
            <w:shd w:val="clear" w:color="auto" w:fill="DBDBDB"/>
          </w:tcPr>
          <w:p>
            <w:pPr>
              <w:spacing w:after="0"/>
              <w:rPr>
                <w:sz w:val="12"/>
                <w:szCs w:val="12"/>
                <w:color w:val="auto"/>
              </w:rPr>
            </w:pPr>
          </w:p>
        </w:tc>
        <w:tc>
          <w:tcPr>
            <w:tcW w:w="3980" w:type="dxa"/>
            <w:vAlign w:val="bottom"/>
            <w:shd w:val="clear" w:color="auto" w:fill="DBDBDB"/>
          </w:tcPr>
          <w:p>
            <w:pPr>
              <w:ind w:left="20"/>
              <w:spacing w:after="0"/>
              <w:rPr>
                <w:sz w:val="20"/>
                <w:szCs w:val="20"/>
                <w:color w:val="auto"/>
              </w:rPr>
            </w:pPr>
            <w:r>
              <w:rPr>
                <w:rFonts w:ascii="Arial" w:cs="Arial" w:eastAsia="Arial" w:hAnsi="Arial"/>
                <w:sz w:val="10"/>
                <w:szCs w:val="10"/>
                <w:color w:val="auto"/>
              </w:rPr>
              <w:t>Issuance of common stock to settle restricted stock units</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23</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40" w:type="dxa"/>
            <w:vAlign w:val="bottom"/>
            <w:gridSpan w:val="2"/>
            <w:shd w:val="clear" w:color="auto" w:fill="DBDBDB"/>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shd w:val="clear" w:color="auto" w:fill="DBDBDB"/>
          </w:tcPr>
          <w:p>
            <w:pPr>
              <w:spacing w:after="0"/>
              <w:rPr>
                <w:sz w:val="12"/>
                <w:szCs w:val="12"/>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5</w:t>
            </w:r>
          </w:p>
        </w:tc>
        <w:tc>
          <w:tcPr>
            <w:tcW w:w="10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(1,647)</w:t>
            </w:r>
          </w:p>
        </w:tc>
        <w:tc>
          <w:tcPr>
            <w:tcW w:w="14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2"/>
                <w:szCs w:val="12"/>
                <w:color w:val="auto"/>
              </w:rPr>
            </w:pP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(1,647)</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20"/>
              <w:spacing w:after="0"/>
              <w:rPr>
                <w:sz w:val="20"/>
                <w:szCs w:val="20"/>
                <w:color w:val="auto"/>
              </w:rPr>
            </w:pPr>
            <w:r>
              <w:rPr>
                <w:rFonts w:ascii="Arial" w:cs="Arial" w:eastAsia="Arial" w:hAnsi="Arial"/>
                <w:sz w:val="10"/>
                <w:szCs w:val="10"/>
                <w:color w:val="auto"/>
              </w:rPr>
              <w:t>Cash dividends on common stock - $0.30 per share</w:t>
            </w:r>
          </w:p>
        </w:tc>
        <w:tc>
          <w:tcPr>
            <w:tcW w:w="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(24,005)</w:t>
            </w:r>
          </w:p>
        </w:tc>
        <w:tc>
          <w:tcPr>
            <w:tcW w:w="100" w:type="dxa"/>
            <w:vAlign w:val="bottom"/>
          </w:tcPr>
          <w:p>
            <w:pPr>
              <w:spacing w:after="0"/>
              <w:rPr>
                <w:sz w:val="11"/>
                <w:szCs w:val="11"/>
                <w:color w:val="auto"/>
              </w:rPr>
            </w:pP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(24,005)</w:t>
            </w:r>
          </w:p>
        </w:tc>
        <w:tc>
          <w:tcPr>
            <w:tcW w:w="0" w:type="dxa"/>
            <w:vAlign w:val="bottom"/>
          </w:tcPr>
          <w:p>
            <w:pPr>
              <w:spacing w:after="0"/>
              <w:rPr>
                <w:sz w:val="1"/>
                <w:szCs w:val="1"/>
                <w:color w:val="auto"/>
              </w:rPr>
            </w:pPr>
          </w:p>
        </w:tc>
      </w:tr>
      <w:tr>
        <w:trPr>
          <w:trHeight w:val="138"/>
        </w:trPr>
        <w:tc>
          <w:tcPr>
            <w:tcW w:w="40" w:type="dxa"/>
            <w:vAlign w:val="bottom"/>
            <w:shd w:val="clear" w:color="auto" w:fill="DBDBDB"/>
          </w:tcPr>
          <w:p>
            <w:pPr>
              <w:spacing w:after="0"/>
              <w:rPr>
                <w:sz w:val="12"/>
                <w:szCs w:val="12"/>
                <w:color w:val="auto"/>
              </w:rPr>
            </w:pPr>
          </w:p>
        </w:tc>
        <w:tc>
          <w:tcPr>
            <w:tcW w:w="3980" w:type="dxa"/>
            <w:vAlign w:val="bottom"/>
            <w:shd w:val="clear" w:color="auto" w:fill="DBDBDB"/>
          </w:tcPr>
          <w:p>
            <w:pPr>
              <w:ind w:left="20"/>
              <w:spacing w:after="0"/>
              <w:rPr>
                <w:sz w:val="20"/>
                <w:szCs w:val="20"/>
                <w:color w:val="auto"/>
              </w:rPr>
            </w:pPr>
            <w:r>
              <w:rPr>
                <w:rFonts w:ascii="Arial" w:cs="Arial" w:eastAsia="Arial" w:hAnsi="Arial"/>
                <w:sz w:val="10"/>
                <w:szCs w:val="10"/>
                <w:color w:val="auto"/>
              </w:rPr>
              <w:t>Stock option exercises and other</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2</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88</w:t>
            </w:r>
          </w:p>
        </w:tc>
        <w:tc>
          <w:tcPr>
            <w:tcW w:w="40" w:type="dxa"/>
            <w:vAlign w:val="bottom"/>
            <w:shd w:val="clear" w:color="auto" w:fill="DBDBDB"/>
          </w:tcPr>
          <w:p>
            <w:pPr>
              <w:spacing w:after="0"/>
              <w:rPr>
                <w:sz w:val="12"/>
                <w:szCs w:val="12"/>
                <w:color w:val="auto"/>
              </w:rPr>
            </w:pP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2"/>
              <w:spacing w:after="0"/>
              <w:rPr>
                <w:sz w:val="20"/>
                <w:szCs w:val="20"/>
                <w:color w:val="auto"/>
              </w:rPr>
            </w:pPr>
            <w:r>
              <w:rPr>
                <w:rFonts w:ascii="Arial" w:cs="Arial" w:eastAsia="Arial" w:hAnsi="Arial"/>
                <w:sz w:val="10"/>
                <w:szCs w:val="10"/>
                <w:color w:val="auto"/>
              </w:rPr>
              <w:t>478</w:t>
            </w:r>
          </w:p>
        </w:tc>
        <w:tc>
          <w:tcPr>
            <w:tcW w:w="14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3,716</w:t>
            </w:r>
          </w:p>
        </w:tc>
        <w:tc>
          <w:tcPr>
            <w:tcW w:w="100" w:type="dxa"/>
            <w:vAlign w:val="bottom"/>
            <w:shd w:val="clear" w:color="auto" w:fill="DBDBDB"/>
          </w:tcPr>
          <w:p>
            <w:pPr>
              <w:spacing w:after="0"/>
              <w:rPr>
                <w:sz w:val="12"/>
                <w:szCs w:val="12"/>
                <w:color w:val="auto"/>
              </w:rPr>
            </w:pP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4,282</w:t>
            </w:r>
          </w:p>
        </w:tc>
        <w:tc>
          <w:tcPr>
            <w:tcW w:w="0" w:type="dxa"/>
            <w:vAlign w:val="bottom"/>
          </w:tcPr>
          <w:p>
            <w:pPr>
              <w:spacing w:after="0"/>
              <w:rPr>
                <w:sz w:val="1"/>
                <w:szCs w:val="1"/>
                <w:color w:val="auto"/>
              </w:rPr>
            </w:pPr>
          </w:p>
        </w:tc>
      </w:tr>
      <w:tr>
        <w:trPr>
          <w:trHeight w:val="132"/>
        </w:trPr>
        <w:tc>
          <w:tcPr>
            <w:tcW w:w="40" w:type="dxa"/>
            <w:vAlign w:val="bottom"/>
            <w:tcBorders>
              <w:bottom w:val="single" w:sz="8" w:color="DBDBDB"/>
            </w:tcBorders>
          </w:tcPr>
          <w:p>
            <w:pPr>
              <w:spacing w:after="0"/>
              <w:rPr>
                <w:sz w:val="11"/>
                <w:szCs w:val="11"/>
                <w:color w:val="auto"/>
              </w:rPr>
            </w:pPr>
          </w:p>
        </w:tc>
        <w:tc>
          <w:tcPr>
            <w:tcW w:w="3980" w:type="dxa"/>
            <w:vAlign w:val="bottom"/>
            <w:tcBorders>
              <w:bottom w:val="single" w:sz="8" w:color="DBDBDB"/>
            </w:tcBorders>
          </w:tcPr>
          <w:p>
            <w:pPr>
              <w:ind w:left="20"/>
              <w:spacing w:after="0"/>
              <w:rPr>
                <w:sz w:val="20"/>
                <w:szCs w:val="20"/>
                <w:color w:val="auto"/>
              </w:rPr>
            </w:pPr>
            <w:r>
              <w:rPr>
                <w:rFonts w:ascii="Arial" w:cs="Arial" w:eastAsia="Arial" w:hAnsi="Arial"/>
                <w:sz w:val="10"/>
                <w:szCs w:val="10"/>
                <w:color w:val="auto"/>
              </w:rPr>
              <w:t>Share-based compensation</w:t>
            </w: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19,409</w:t>
            </w: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19,409</w:t>
            </w:r>
          </w:p>
        </w:tc>
        <w:tc>
          <w:tcPr>
            <w:tcW w:w="0" w:type="dxa"/>
            <w:vAlign w:val="bottom"/>
          </w:tcPr>
          <w:p>
            <w:pPr>
              <w:spacing w:after="0"/>
              <w:rPr>
                <w:sz w:val="1"/>
                <w:szCs w:val="1"/>
                <w:color w:val="auto"/>
              </w:rPr>
            </w:pPr>
          </w:p>
        </w:tc>
      </w:tr>
      <w:tr>
        <w:trPr>
          <w:trHeight w:val="143"/>
        </w:trPr>
        <w:tc>
          <w:tcPr>
            <w:tcW w:w="40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0"/>
                <w:szCs w:val="10"/>
                <w:color w:val="auto"/>
              </w:rPr>
              <w:t>BALANCE — September 30, 2025</w:t>
            </w:r>
          </w:p>
        </w:tc>
        <w:tc>
          <w:tcPr>
            <w:tcW w:w="8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0"/>
                <w:szCs w:val="10"/>
                <w:color w:val="auto"/>
              </w:rPr>
              <w:t>136,628</w:t>
            </w:r>
          </w:p>
        </w:tc>
        <w:tc>
          <w:tcPr>
            <w:tcW w:w="16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136</w:t>
            </w:r>
          </w:p>
        </w:tc>
        <w:tc>
          <w:tcPr>
            <w:tcW w:w="160" w:type="dxa"/>
            <w:vAlign w:val="bottom"/>
            <w:tcBorders>
              <w:bottom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3,806,506</w:t>
            </w:r>
          </w:p>
        </w:tc>
        <w:tc>
          <w:tcPr>
            <w:tcW w:w="40" w:type="dxa"/>
            <w:vAlign w:val="bottom"/>
            <w:tcBorders>
              <w:bottom w:val="single" w:sz="8" w:color="auto"/>
            </w:tcBorders>
            <w:shd w:val="clear" w:color="auto" w:fill="DBDBDB"/>
          </w:tcPr>
          <w:p>
            <w:pPr>
              <w:spacing w:after="0"/>
              <w:rPr>
                <w:sz w:val="12"/>
                <w:szCs w:val="12"/>
                <w:color w:val="auto"/>
              </w:rPr>
            </w:pPr>
          </w:p>
        </w:tc>
        <w:tc>
          <w:tcPr>
            <w:tcW w:w="8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0"/>
                <w:szCs w:val="10"/>
                <w:color w:val="auto"/>
              </w:rPr>
              <w:t>56,591</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0"/>
                <w:szCs w:val="10"/>
                <w:color w:val="auto"/>
              </w:rPr>
              <w:t>(4,333,444)</w:t>
            </w:r>
          </w:p>
        </w:tc>
        <w:tc>
          <w:tcPr>
            <w:tcW w:w="14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0"/>
                <w:szCs w:val="10"/>
                <w:color w:val="auto"/>
              </w:rPr>
              <w:t>5,569,740</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0"/>
                <w:szCs w:val="10"/>
                <w:color w:val="auto"/>
              </w:rPr>
              <w:t>5,042,938</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jc w:val="right"/>
              <w:ind w:right="52"/>
              <w:spacing w:after="0"/>
              <w:rPr>
                <w:sz w:val="20"/>
                <w:szCs w:val="20"/>
                <w:color w:val="auto"/>
              </w:rPr>
            </w:pPr>
            <w:r>
              <w:rPr>
                <w:rFonts w:ascii="Arial" w:cs="Arial" w:eastAsia="Arial" w:hAnsi="Arial"/>
                <w:sz w:val="12"/>
                <w:szCs w:val="12"/>
                <w:b w:val="1"/>
                <w:bCs w:val="1"/>
                <w:color w:val="auto"/>
              </w:rPr>
              <w:t>Three Months Ended September 30, 2026</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3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gridSpan w:val="3"/>
            <w:vMerge w:val="restart"/>
          </w:tcPr>
          <w:p>
            <w:pPr>
              <w:jc w:val="right"/>
              <w:ind w:right="432"/>
              <w:spacing w:after="0"/>
              <w:rPr>
                <w:sz w:val="20"/>
                <w:szCs w:val="20"/>
                <w:color w:val="auto"/>
              </w:rPr>
            </w:pPr>
            <w:r>
              <w:rPr>
                <w:rFonts w:ascii="Arial" w:cs="Arial" w:eastAsia="Arial" w:hAnsi="Arial"/>
                <w:sz w:val="10"/>
                <w:szCs w:val="10"/>
                <w:b w:val="1"/>
                <w:bCs w:val="1"/>
                <w:color w:val="auto"/>
              </w:rPr>
              <w:t>Common Stock</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tcPr>
          <w:p>
            <w:pPr>
              <w:jc w:val="center"/>
              <w:ind w:right="160"/>
              <w:spacing w:after="0" w:line="91" w:lineRule="exact"/>
              <w:rPr>
                <w:sz w:val="20"/>
                <w:szCs w:val="20"/>
                <w:color w:val="auto"/>
              </w:rPr>
            </w:pPr>
            <w:r>
              <w:rPr>
                <w:rFonts w:ascii="Arial" w:cs="Arial" w:eastAsia="Arial" w:hAnsi="Arial"/>
                <w:sz w:val="10"/>
                <w:szCs w:val="10"/>
                <w:b w:val="1"/>
                <w:bCs w:val="1"/>
                <w:color w:val="auto"/>
                <w:w w:val="93"/>
              </w:rPr>
              <w:t>Additional</w:t>
            </w:r>
          </w:p>
        </w:tc>
        <w:tc>
          <w:tcPr>
            <w:tcW w:w="1880" w:type="dxa"/>
            <w:vAlign w:val="bottom"/>
            <w:gridSpan w:val="4"/>
            <w:vMerge w:val="restart"/>
          </w:tcPr>
          <w:p>
            <w:pPr>
              <w:jc w:val="right"/>
              <w:ind w:right="492"/>
              <w:spacing w:after="0"/>
              <w:rPr>
                <w:sz w:val="20"/>
                <w:szCs w:val="20"/>
                <w:color w:val="auto"/>
              </w:rPr>
            </w:pPr>
            <w:r>
              <w:rPr>
                <w:rFonts w:ascii="Arial" w:cs="Arial" w:eastAsia="Arial" w:hAnsi="Arial"/>
                <w:sz w:val="10"/>
                <w:szCs w:val="10"/>
                <w:b w:val="1"/>
                <w:bCs w:val="1"/>
                <w:color w:val="auto"/>
              </w:rPr>
              <w:t>Treasury Stock</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tcPr>
          <w:p>
            <w:pPr>
              <w:jc w:val="center"/>
              <w:ind w:right="46"/>
              <w:spacing w:after="0" w:line="91"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39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tcPr>
          <w:p>
            <w:pPr>
              <w:jc w:val="center"/>
              <w:ind w:right="140"/>
              <w:spacing w:after="0" w:line="69" w:lineRule="exact"/>
              <w:rPr>
                <w:sz w:val="20"/>
                <w:szCs w:val="20"/>
                <w:color w:val="auto"/>
              </w:rPr>
            </w:pPr>
            <w:r>
              <w:rPr>
                <w:rFonts w:ascii="Arial" w:cs="Arial" w:eastAsia="Arial" w:hAnsi="Arial"/>
                <w:sz w:val="7"/>
                <w:szCs w:val="7"/>
                <w:b w:val="1"/>
                <w:bCs w:val="1"/>
                <w:color w:val="auto"/>
              </w:rPr>
              <w:t>Paid-In</w:t>
            </w:r>
          </w:p>
        </w:tc>
        <w:tc>
          <w:tcPr>
            <w:tcW w:w="1880" w:type="dxa"/>
            <w:vAlign w:val="bottom"/>
            <w:tcBorders>
              <w:bottom w:val="single" w:sz="8" w:color="auto"/>
            </w:tcBorders>
            <w:gridSpan w:val="4"/>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jc w:val="right"/>
              <w:ind w:right="113"/>
              <w:spacing w:after="0" w:line="69" w:lineRule="exact"/>
              <w:rPr>
                <w:sz w:val="20"/>
                <w:szCs w:val="20"/>
                <w:color w:val="auto"/>
              </w:rPr>
            </w:pPr>
            <w:r>
              <w:rPr>
                <w:rFonts w:ascii="Arial" w:cs="Arial" w:eastAsia="Arial" w:hAnsi="Arial"/>
                <w:sz w:val="7"/>
                <w:szCs w:val="7"/>
                <w:b w:val="1"/>
                <w:bCs w:val="1"/>
                <w:color w:val="auto"/>
              </w:rPr>
              <w:t>Retained</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tcPr>
          <w:p>
            <w:pPr>
              <w:jc w:val="center"/>
              <w:ind w:right="46"/>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4"/>
        </w:trPr>
        <w:tc>
          <w:tcPr>
            <w:tcW w:w="40" w:type="dxa"/>
            <w:vAlign w:val="bottom"/>
            <w:tcBorders>
              <w:bottom w:val="single" w:sz="8" w:color="DBDBDB"/>
            </w:tcBorders>
          </w:tcPr>
          <w:p>
            <w:pPr>
              <w:spacing w:after="0"/>
              <w:rPr>
                <w:sz w:val="11"/>
                <w:szCs w:val="11"/>
                <w:color w:val="auto"/>
              </w:rPr>
            </w:pPr>
          </w:p>
        </w:tc>
        <w:tc>
          <w:tcPr>
            <w:tcW w:w="3980" w:type="dxa"/>
            <w:vAlign w:val="bottom"/>
            <w:tcBorders>
              <w:bottom w:val="single" w:sz="8" w:color="DBDBDB"/>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Shares</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0"/>
                <w:szCs w:val="10"/>
                <w:b w:val="1"/>
                <w:bCs w:val="1"/>
                <w:color w:val="auto"/>
                <w:w w:val="95"/>
              </w:rPr>
              <w:t>Capital</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b w:val="1"/>
                <w:bCs w:val="1"/>
                <w:color w:val="auto"/>
              </w:rPr>
              <w:t>Earnings</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center"/>
              <w:ind w:right="46"/>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4"/>
        </w:trPr>
        <w:tc>
          <w:tcPr>
            <w:tcW w:w="4020" w:type="dxa"/>
            <w:vAlign w:val="bottom"/>
            <w:gridSpan w:val="2"/>
            <w:shd w:val="clear" w:color="auto" w:fill="DBDBDB"/>
          </w:tcPr>
          <w:p>
            <w:pPr>
              <w:spacing w:after="0"/>
              <w:rPr>
                <w:sz w:val="20"/>
                <w:szCs w:val="20"/>
                <w:color w:val="auto"/>
              </w:rPr>
            </w:pPr>
            <w:r>
              <w:rPr>
                <w:rFonts w:ascii="Arial" w:cs="Arial" w:eastAsia="Arial" w:hAnsi="Arial"/>
                <w:sz w:val="10"/>
                <w:szCs w:val="10"/>
                <w:color w:val="auto"/>
              </w:rPr>
              <w:t>BALANCE — June 30, 2026</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136,822</w:t>
            </w:r>
          </w:p>
        </w:tc>
        <w:tc>
          <w:tcPr>
            <w:tcW w:w="160" w:type="dxa"/>
            <w:vAlign w:val="bottom"/>
            <w:shd w:val="clear" w:color="auto" w:fill="DBDBDB"/>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137</w:t>
            </w:r>
          </w:p>
        </w:tc>
        <w:tc>
          <w:tcPr>
            <w:tcW w:w="160" w:type="dxa"/>
            <w:vAlign w:val="bottom"/>
            <w:gridSpan w:val="2"/>
            <w:shd w:val="clear" w:color="auto" w:fill="DBDBDB"/>
          </w:tcPr>
          <w:p>
            <w:pPr>
              <w:jc w:val="right"/>
              <w:ind w:right="10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3,898,694</w:t>
            </w:r>
          </w:p>
        </w:tc>
        <w:tc>
          <w:tcPr>
            <w:tcW w:w="40" w:type="dxa"/>
            <w:vAlign w:val="bottom"/>
            <w:shd w:val="clear" w:color="auto" w:fill="DBDBDB"/>
          </w:tcPr>
          <w:p>
            <w:pPr>
              <w:spacing w:after="0"/>
              <w:rPr>
                <w:sz w:val="10"/>
                <w:szCs w:val="10"/>
                <w:color w:val="auto"/>
              </w:rPr>
            </w:pP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57,661</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(4,664,666)</w:t>
            </w:r>
          </w:p>
        </w:tc>
        <w:tc>
          <w:tcPr>
            <w:tcW w:w="14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6,522,675</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5,756,840</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356,561</w:t>
            </w:r>
          </w:p>
        </w:tc>
        <w:tc>
          <w:tcPr>
            <w:tcW w:w="100" w:type="dxa"/>
            <w:vAlign w:val="bottom"/>
          </w:tcPr>
          <w:p>
            <w:pPr>
              <w:spacing w:after="0"/>
              <w:rPr>
                <w:sz w:val="11"/>
                <w:szCs w:val="11"/>
                <w:color w:val="auto"/>
              </w:rPr>
            </w:pP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356,561</w:t>
            </w:r>
          </w:p>
        </w:tc>
        <w:tc>
          <w:tcPr>
            <w:tcW w:w="0" w:type="dxa"/>
            <w:vAlign w:val="bottom"/>
          </w:tcPr>
          <w:p>
            <w:pPr>
              <w:spacing w:after="0"/>
              <w:rPr>
                <w:sz w:val="1"/>
                <w:szCs w:val="1"/>
                <w:color w:val="auto"/>
              </w:rPr>
            </w:pPr>
          </w:p>
        </w:tc>
      </w:tr>
      <w:tr>
        <w:trPr>
          <w:trHeight w:val="138"/>
        </w:trPr>
        <w:tc>
          <w:tcPr>
            <w:tcW w:w="40" w:type="dxa"/>
            <w:vAlign w:val="bottom"/>
            <w:shd w:val="clear" w:color="auto" w:fill="DBDBDB"/>
          </w:tcPr>
          <w:p>
            <w:pPr>
              <w:spacing w:after="0"/>
              <w:rPr>
                <w:sz w:val="12"/>
                <w:szCs w:val="12"/>
                <w:color w:val="auto"/>
              </w:rPr>
            </w:pPr>
          </w:p>
        </w:tc>
        <w:tc>
          <w:tcPr>
            <w:tcW w:w="3980" w:type="dxa"/>
            <w:vAlign w:val="bottom"/>
            <w:shd w:val="clear" w:color="auto" w:fill="DBDBDB"/>
          </w:tcPr>
          <w:p>
            <w:pPr>
              <w:ind w:left="20"/>
              <w:spacing w:after="0"/>
              <w:rPr>
                <w:sz w:val="20"/>
                <w:szCs w:val="20"/>
                <w:color w:val="auto"/>
              </w:rPr>
            </w:pPr>
            <w:r>
              <w:rPr>
                <w:rFonts w:ascii="Arial" w:cs="Arial" w:eastAsia="Arial" w:hAnsi="Arial"/>
                <w:sz w:val="10"/>
                <w:szCs w:val="10"/>
                <w:color w:val="auto"/>
              </w:rPr>
              <w:t>Issuance of common stock to settle restricted stock units</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19</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40" w:type="dxa"/>
            <w:vAlign w:val="bottom"/>
            <w:gridSpan w:val="2"/>
            <w:shd w:val="clear" w:color="auto" w:fill="DBDBDB"/>
          </w:tcPr>
          <w:p>
            <w:pPr>
              <w:jc w:val="right"/>
              <w:ind w:right="40"/>
              <w:spacing w:after="0"/>
              <w:rPr>
                <w:sz w:val="20"/>
                <w:szCs w:val="20"/>
                <w:color w:val="auto"/>
              </w:rPr>
            </w:pPr>
            <w:r>
              <w:rPr>
                <w:rFonts w:ascii="Arial" w:cs="Arial" w:eastAsia="Arial" w:hAnsi="Arial"/>
                <w:sz w:val="10"/>
                <w:szCs w:val="10"/>
                <w:color w:val="auto"/>
              </w:rPr>
              <w:t>—</w:t>
            </w:r>
          </w:p>
        </w:tc>
        <w:tc>
          <w:tcPr>
            <w:tcW w:w="740" w:type="dxa"/>
            <w:vAlign w:val="bottom"/>
            <w:shd w:val="clear" w:color="auto" w:fill="DBDBDB"/>
          </w:tcPr>
          <w:p>
            <w:pPr>
              <w:spacing w:after="0"/>
              <w:rPr>
                <w:sz w:val="12"/>
                <w:szCs w:val="12"/>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3</w:t>
            </w:r>
          </w:p>
        </w:tc>
        <w:tc>
          <w:tcPr>
            <w:tcW w:w="10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(1,184)</w:t>
            </w:r>
          </w:p>
        </w:tc>
        <w:tc>
          <w:tcPr>
            <w:tcW w:w="14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2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2"/>
                <w:szCs w:val="12"/>
                <w:color w:val="auto"/>
              </w:rPr>
            </w:pP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(1,184)</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20"/>
              <w:spacing w:after="0"/>
              <w:rPr>
                <w:sz w:val="20"/>
                <w:szCs w:val="20"/>
                <w:color w:val="auto"/>
              </w:rPr>
            </w:pPr>
            <w:r>
              <w:rPr>
                <w:rFonts w:ascii="Arial" w:cs="Arial" w:eastAsia="Arial" w:hAnsi="Arial"/>
                <w:sz w:val="10"/>
                <w:szCs w:val="10"/>
                <w:color w:val="auto"/>
              </w:rPr>
              <w:t>Treasury stock purchases</w:t>
            </w:r>
          </w:p>
        </w:tc>
        <w:tc>
          <w:tcPr>
            <w:tcW w:w="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spacing w:after="0"/>
              <w:rPr>
                <w:sz w:val="20"/>
                <w:szCs w:val="20"/>
                <w:color w:val="auto"/>
              </w:rPr>
            </w:pPr>
            <w:r>
              <w:rPr>
                <w:rFonts w:ascii="Arial" w:cs="Arial" w:eastAsia="Arial" w:hAnsi="Arial"/>
                <w:sz w:val="10"/>
                <w:szCs w:val="10"/>
                <w:color w:val="auto"/>
              </w:rPr>
              <w:t>893</w:t>
            </w:r>
          </w:p>
        </w:tc>
        <w:tc>
          <w:tcPr>
            <w:tcW w:w="10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(303,420)</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(303,420)</w:t>
            </w:r>
          </w:p>
        </w:tc>
        <w:tc>
          <w:tcPr>
            <w:tcW w:w="0" w:type="dxa"/>
            <w:vAlign w:val="bottom"/>
          </w:tcPr>
          <w:p>
            <w:pPr>
              <w:spacing w:after="0"/>
              <w:rPr>
                <w:sz w:val="1"/>
                <w:szCs w:val="1"/>
                <w:color w:val="auto"/>
              </w:rPr>
            </w:pPr>
          </w:p>
        </w:tc>
      </w:tr>
      <w:tr>
        <w:trPr>
          <w:trHeight w:val="138"/>
        </w:trPr>
        <w:tc>
          <w:tcPr>
            <w:tcW w:w="40" w:type="dxa"/>
            <w:vAlign w:val="bottom"/>
            <w:shd w:val="clear" w:color="auto" w:fill="DBDBDB"/>
          </w:tcPr>
          <w:p>
            <w:pPr>
              <w:spacing w:after="0"/>
              <w:rPr>
                <w:sz w:val="12"/>
                <w:szCs w:val="12"/>
                <w:color w:val="auto"/>
              </w:rPr>
            </w:pPr>
          </w:p>
        </w:tc>
        <w:tc>
          <w:tcPr>
            <w:tcW w:w="3980" w:type="dxa"/>
            <w:vAlign w:val="bottom"/>
            <w:shd w:val="clear" w:color="auto" w:fill="DBDBDB"/>
          </w:tcPr>
          <w:p>
            <w:pPr>
              <w:ind w:left="20"/>
              <w:spacing w:after="0"/>
              <w:rPr>
                <w:sz w:val="20"/>
                <w:szCs w:val="20"/>
                <w:color w:val="auto"/>
              </w:rPr>
            </w:pPr>
            <w:r>
              <w:rPr>
                <w:rFonts w:ascii="Arial" w:cs="Arial" w:eastAsia="Arial" w:hAnsi="Arial"/>
                <w:sz w:val="10"/>
                <w:szCs w:val="10"/>
                <w:color w:val="auto"/>
              </w:rPr>
              <w:t>Cash dividends on common stock - $0.30 per share</w:t>
            </w:r>
          </w:p>
        </w:tc>
        <w:tc>
          <w:tcPr>
            <w:tcW w:w="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40" w:type="dxa"/>
            <w:vAlign w:val="bottom"/>
            <w:gridSpan w:val="2"/>
            <w:shd w:val="clear" w:color="auto" w:fill="DBDBDB"/>
          </w:tcPr>
          <w:p>
            <w:pPr>
              <w:jc w:val="right"/>
              <w:ind w:right="4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2"/>
              <w:spacing w:after="0"/>
              <w:rPr>
                <w:sz w:val="20"/>
                <w:szCs w:val="20"/>
                <w:color w:val="auto"/>
              </w:rPr>
            </w:pPr>
            <w:r>
              <w:rPr>
                <w:rFonts w:ascii="Arial" w:cs="Arial" w:eastAsia="Arial" w:hAnsi="Arial"/>
                <w:sz w:val="10"/>
                <w:szCs w:val="10"/>
                <w:color w:val="auto"/>
              </w:rPr>
              <w:t>—</w:t>
            </w:r>
          </w:p>
        </w:tc>
        <w:tc>
          <w:tcPr>
            <w:tcW w:w="140" w:type="dxa"/>
            <w:vAlign w:val="bottom"/>
            <w:shd w:val="clear" w:color="auto" w:fill="DBDBDB"/>
          </w:tcPr>
          <w:p>
            <w:pPr>
              <w:spacing w:after="0"/>
              <w:rPr>
                <w:sz w:val="12"/>
                <w:szCs w:val="12"/>
                <w:color w:val="auto"/>
              </w:rPr>
            </w:pP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(23,602)</w:t>
            </w:r>
          </w:p>
        </w:tc>
        <w:tc>
          <w:tcPr>
            <w:tcW w:w="100" w:type="dxa"/>
            <w:vAlign w:val="bottom"/>
            <w:shd w:val="clear" w:color="auto" w:fill="DBDBDB"/>
          </w:tcPr>
          <w:p>
            <w:pPr>
              <w:spacing w:after="0"/>
              <w:rPr>
                <w:sz w:val="12"/>
                <w:szCs w:val="12"/>
                <w:color w:val="auto"/>
              </w:rPr>
            </w:pP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(23,602)</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20"/>
              <w:spacing w:after="0"/>
              <w:rPr>
                <w:sz w:val="20"/>
                <w:szCs w:val="20"/>
                <w:color w:val="auto"/>
              </w:rPr>
            </w:pPr>
            <w:r>
              <w:rPr>
                <w:rFonts w:ascii="Arial" w:cs="Arial" w:eastAsia="Arial" w:hAnsi="Arial"/>
                <w:sz w:val="10"/>
                <w:szCs w:val="10"/>
                <w:color w:val="auto"/>
              </w:rPr>
              <w:t>Stock option exercises and other</w:t>
            </w:r>
          </w:p>
        </w:tc>
        <w:tc>
          <w:tcPr>
            <w:tcW w:w="840" w:type="dxa"/>
            <w:vAlign w:val="bottom"/>
            <w:gridSpan w:val="2"/>
          </w:tcPr>
          <w:p>
            <w:pPr>
              <w:jc w:val="right"/>
              <w:spacing w:after="0"/>
              <w:rPr>
                <w:sz w:val="20"/>
                <w:szCs w:val="20"/>
                <w:color w:val="auto"/>
              </w:rPr>
            </w:pPr>
            <w:r>
              <w:rPr>
                <w:rFonts w:ascii="Arial" w:cs="Arial" w:eastAsia="Arial" w:hAnsi="Arial"/>
                <w:sz w:val="10"/>
                <w:szCs w:val="10"/>
                <w:color w:val="auto"/>
              </w:rPr>
              <w:t>10</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3,892</w:t>
            </w:r>
          </w:p>
        </w:tc>
        <w:tc>
          <w:tcPr>
            <w:tcW w:w="40" w:type="dxa"/>
            <w:vAlign w:val="bottom"/>
          </w:tcPr>
          <w:p>
            <w:pPr>
              <w:spacing w:after="0"/>
              <w:rPr>
                <w:sz w:val="11"/>
                <w:szCs w:val="11"/>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1"/>
                <w:szCs w:val="11"/>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0"/>
                <w:szCs w:val="10"/>
                <w:color w:val="auto"/>
              </w:rPr>
              <w:t>1,187</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5,070</w:t>
            </w:r>
          </w:p>
        </w:tc>
        <w:tc>
          <w:tcPr>
            <w:tcW w:w="0" w:type="dxa"/>
            <w:vAlign w:val="bottom"/>
          </w:tcPr>
          <w:p>
            <w:pPr>
              <w:spacing w:after="0"/>
              <w:rPr>
                <w:sz w:val="1"/>
                <w:szCs w:val="1"/>
                <w:color w:val="auto"/>
              </w:rPr>
            </w:pPr>
          </w:p>
        </w:tc>
      </w:tr>
      <w:tr>
        <w:trPr>
          <w:trHeight w:val="135"/>
        </w:trPr>
        <w:tc>
          <w:tcPr>
            <w:tcW w:w="40" w:type="dxa"/>
            <w:vAlign w:val="bottom"/>
            <w:shd w:val="clear" w:color="auto" w:fill="DBDBDB"/>
          </w:tcPr>
          <w:p>
            <w:pPr>
              <w:spacing w:after="0"/>
              <w:rPr>
                <w:sz w:val="11"/>
                <w:szCs w:val="11"/>
                <w:color w:val="auto"/>
              </w:rPr>
            </w:pPr>
          </w:p>
        </w:tc>
        <w:tc>
          <w:tcPr>
            <w:tcW w:w="3980" w:type="dxa"/>
            <w:vAlign w:val="bottom"/>
            <w:shd w:val="clear" w:color="auto" w:fill="DBDBDB"/>
          </w:tcPr>
          <w:p>
            <w:pPr>
              <w:ind w:left="20"/>
              <w:spacing w:after="0"/>
              <w:rPr>
                <w:sz w:val="20"/>
                <w:szCs w:val="20"/>
                <w:color w:val="auto"/>
              </w:rPr>
            </w:pPr>
            <w:r>
              <w:rPr>
                <w:rFonts w:ascii="Arial" w:cs="Arial" w:eastAsia="Arial" w:hAnsi="Arial"/>
                <w:sz w:val="10"/>
                <w:szCs w:val="10"/>
                <w:color w:val="auto"/>
              </w:rPr>
              <w:t>Share-based compensation</w:t>
            </w:r>
          </w:p>
        </w:tc>
        <w:tc>
          <w:tcPr>
            <w:tcW w:w="20" w:type="dxa"/>
            <w:vAlign w:val="bottom"/>
            <w:tcBorders>
              <w:bottom w:val="single" w:sz="8" w:color="auto"/>
            </w:tcBorders>
            <w:shd w:val="clear" w:color="auto" w:fill="DBDBDB"/>
          </w:tcPr>
          <w:p>
            <w:pPr>
              <w:spacing w:after="0"/>
              <w:rPr>
                <w:sz w:val="11"/>
                <w:szCs w:val="1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DBDBDB"/>
          </w:tcPr>
          <w:p>
            <w:pPr>
              <w:spacing w:after="0"/>
              <w:rPr>
                <w:sz w:val="11"/>
                <w:szCs w:val="11"/>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shd w:val="clear" w:color="auto" w:fill="DBDBDB"/>
          </w:tcPr>
          <w:p>
            <w:pPr>
              <w:spacing w:after="0"/>
              <w:rPr>
                <w:sz w:val="11"/>
                <w:szCs w:val="11"/>
                <w:color w:val="auto"/>
              </w:rPr>
            </w:pPr>
          </w:p>
        </w:tc>
        <w:tc>
          <w:tcPr>
            <w:tcW w:w="140" w:type="dxa"/>
            <w:vAlign w:val="bottom"/>
            <w:tcBorders>
              <w:bottom w:val="single" w:sz="8" w:color="auto"/>
            </w:tcBorders>
            <w:shd w:val="clear" w:color="auto" w:fill="DBDBDB"/>
          </w:tcPr>
          <w:p>
            <w:pPr>
              <w:spacing w:after="0"/>
              <w:rPr>
                <w:sz w:val="11"/>
                <w:szCs w:val="11"/>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22,053</w:t>
            </w:r>
          </w:p>
        </w:tc>
        <w:tc>
          <w:tcPr>
            <w:tcW w:w="40" w:type="dxa"/>
            <w:vAlign w:val="bottom"/>
            <w:tcBorders>
              <w:bottom w:val="single" w:sz="8" w:color="auto"/>
            </w:tcBorders>
            <w:shd w:val="clear" w:color="auto" w:fill="DBDBDB"/>
          </w:tcPr>
          <w:p>
            <w:pPr>
              <w:spacing w:after="0"/>
              <w:rPr>
                <w:sz w:val="11"/>
                <w:szCs w:val="11"/>
                <w:color w:val="auto"/>
              </w:rPr>
            </w:pPr>
          </w:p>
        </w:tc>
        <w:tc>
          <w:tcPr>
            <w:tcW w:w="8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DBDBDB"/>
          </w:tcPr>
          <w:p>
            <w:pPr>
              <w:spacing w:after="0"/>
              <w:rPr>
                <w:sz w:val="11"/>
                <w:szCs w:val="11"/>
                <w:color w:val="auto"/>
              </w:rPr>
            </w:pPr>
          </w:p>
        </w:tc>
        <w:tc>
          <w:tcPr>
            <w:tcW w:w="1060" w:type="dxa"/>
            <w:vAlign w:val="bottom"/>
            <w:tcBorders>
              <w:bottom w:val="single" w:sz="8" w:color="auto"/>
            </w:tcBorders>
            <w:gridSpan w:val="2"/>
            <w:shd w:val="clear" w:color="auto" w:fill="DBDBDB"/>
          </w:tcPr>
          <w:p>
            <w:pPr>
              <w:jc w:val="right"/>
              <w:ind w:right="1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DBDBDB"/>
          </w:tcPr>
          <w:p>
            <w:pPr>
              <w:spacing w:after="0"/>
              <w:rPr>
                <w:sz w:val="11"/>
                <w:szCs w:val="11"/>
                <w:color w:val="auto"/>
              </w:rPr>
            </w:pPr>
          </w:p>
        </w:tc>
        <w:tc>
          <w:tcPr>
            <w:tcW w:w="800" w:type="dxa"/>
            <w:vAlign w:val="bottom"/>
            <w:tcBorders>
              <w:bottom w:val="single" w:sz="8" w:color="auto"/>
            </w:tcBorders>
            <w:shd w:val="clear" w:color="auto" w:fill="DBDBDB"/>
          </w:tcPr>
          <w:p>
            <w:pPr>
              <w:spacing w:after="0"/>
              <w:rPr>
                <w:sz w:val="11"/>
                <w:szCs w:val="11"/>
                <w:color w:val="auto"/>
              </w:rPr>
            </w:pP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DBDBDB"/>
          </w:tcPr>
          <w:p>
            <w:pPr>
              <w:spacing w:after="0"/>
              <w:rPr>
                <w:sz w:val="11"/>
                <w:szCs w:val="11"/>
                <w:color w:val="auto"/>
              </w:rPr>
            </w:pPr>
          </w:p>
        </w:tc>
        <w:tc>
          <w:tcPr>
            <w:tcW w:w="12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0"/>
                <w:szCs w:val="10"/>
                <w:color w:val="auto"/>
              </w:rPr>
              <w:t>22,053</w:t>
            </w:r>
          </w:p>
        </w:tc>
        <w:tc>
          <w:tcPr>
            <w:tcW w:w="0" w:type="dxa"/>
            <w:vAlign w:val="bottom"/>
          </w:tcPr>
          <w:p>
            <w:pPr>
              <w:spacing w:after="0"/>
              <w:rPr>
                <w:sz w:val="1"/>
                <w:szCs w:val="1"/>
                <w:color w:val="auto"/>
              </w:rPr>
            </w:pPr>
          </w:p>
        </w:tc>
      </w:tr>
      <w:tr>
        <w:trPr>
          <w:trHeight w:val="127"/>
        </w:trPr>
        <w:tc>
          <w:tcPr>
            <w:tcW w:w="4020" w:type="dxa"/>
            <w:vAlign w:val="bottom"/>
            <w:gridSpan w:val="2"/>
          </w:tcPr>
          <w:p>
            <w:pPr>
              <w:spacing w:after="0"/>
              <w:rPr>
                <w:sz w:val="20"/>
                <w:szCs w:val="20"/>
                <w:color w:val="auto"/>
              </w:rPr>
            </w:pPr>
            <w:r>
              <w:rPr>
                <w:rFonts w:ascii="Arial" w:cs="Arial" w:eastAsia="Arial" w:hAnsi="Arial"/>
                <w:sz w:val="10"/>
                <w:szCs w:val="10"/>
                <w:color w:val="auto"/>
              </w:rPr>
              <w:t>BALANCE — September 30, 2026</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136,851</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w:t>
            </w:r>
          </w:p>
        </w:tc>
        <w:tc>
          <w:tcPr>
            <w:tcW w:w="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3,924,639</w:t>
            </w: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58,540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(4,968,083)</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6,855,625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5,812,318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Nine Months Ended September 30, 2025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3"/>
            <w:vMerge w:val="restart"/>
          </w:tcPr>
          <w:p>
            <w:pPr>
              <w:jc w:val="right"/>
              <w:ind w:right="412"/>
              <w:spacing w:after="0"/>
              <w:rPr>
                <w:sz w:val="20"/>
                <w:szCs w:val="20"/>
                <w:color w:val="auto"/>
              </w:rPr>
            </w:pPr>
            <w:r>
              <w:rPr>
                <w:rFonts w:ascii="Arial" w:cs="Arial" w:eastAsia="Arial" w:hAnsi="Arial"/>
                <w:sz w:val="10"/>
                <w:szCs w:val="10"/>
                <w:b w:val="1"/>
                <w:bCs w:val="1"/>
                <w:color w:val="auto"/>
              </w:rPr>
              <w:t>Common Stock</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Additional</w:t>
            </w:r>
          </w:p>
        </w:tc>
        <w:tc>
          <w:tcPr>
            <w:tcW w:w="1880" w:type="dxa"/>
            <w:vAlign w:val="bottom"/>
            <w:gridSpan w:val="4"/>
            <w:vMerge w:val="restart"/>
          </w:tcPr>
          <w:p>
            <w:pPr>
              <w:jc w:val="right"/>
              <w:ind w:right="552"/>
              <w:spacing w:after="0"/>
              <w:rPr>
                <w:sz w:val="20"/>
                <w:szCs w:val="20"/>
                <w:color w:val="auto"/>
              </w:rPr>
            </w:pPr>
            <w:r>
              <w:rPr>
                <w:rFonts w:ascii="Arial" w:cs="Arial" w:eastAsia="Arial" w:hAnsi="Arial"/>
                <w:sz w:val="10"/>
                <w:szCs w:val="10"/>
                <w:b w:val="1"/>
                <w:bCs w:val="1"/>
                <w:color w:val="auto"/>
              </w:rPr>
              <w:t>Treasury Stock</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526"/>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39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6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jc w:val="center"/>
              <w:ind w:right="71"/>
              <w:spacing w:after="0" w:line="78" w:lineRule="exact"/>
              <w:rPr>
                <w:sz w:val="20"/>
                <w:szCs w:val="20"/>
                <w:color w:val="auto"/>
              </w:rPr>
            </w:pPr>
            <w:r>
              <w:rPr>
                <w:rFonts w:ascii="Arial" w:cs="Arial" w:eastAsia="Arial" w:hAnsi="Arial"/>
                <w:sz w:val="8"/>
                <w:szCs w:val="8"/>
                <w:b w:val="1"/>
                <w:bCs w:val="1"/>
                <w:color w:val="auto"/>
              </w:rPr>
              <w:t>Paid-In</w:t>
            </w:r>
          </w:p>
        </w:tc>
        <w:tc>
          <w:tcPr>
            <w:tcW w:w="4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jc w:val="right"/>
              <w:ind w:right="273"/>
              <w:spacing w:after="0" w:line="78" w:lineRule="exact"/>
              <w:rPr>
                <w:sz w:val="20"/>
                <w:szCs w:val="20"/>
                <w:color w:val="auto"/>
              </w:rPr>
            </w:pPr>
            <w:r>
              <w:rPr>
                <w:rFonts w:ascii="Arial" w:cs="Arial" w:eastAsia="Arial" w:hAnsi="Arial"/>
                <w:sz w:val="8"/>
                <w:szCs w:val="8"/>
                <w:b w:val="1"/>
                <w:bCs w:val="1"/>
                <w:color w:val="auto"/>
              </w:rPr>
              <w:t>Retained</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tcPr>
          <w:p>
            <w:pPr>
              <w:jc w:val="center"/>
              <w:ind w:right="506"/>
              <w:spacing w:after="0" w:line="78"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3980" w:type="dxa"/>
            <w:vAlign w:val="bottom"/>
            <w:tcBorders>
              <w:bottom w:val="single" w:sz="8" w:color="DBDBDB"/>
            </w:tcBorders>
          </w:tcPr>
          <w:p>
            <w:pPr>
              <w:spacing w:after="0"/>
              <w:rPr>
                <w:sz w:val="10"/>
                <w:szCs w:val="10"/>
                <w:color w:val="auto"/>
              </w:rPr>
            </w:pPr>
          </w:p>
        </w:tc>
        <w:tc>
          <w:tcPr>
            <w:tcW w:w="20" w:type="dxa"/>
            <w:vAlign w:val="bottom"/>
            <w:tcBorders>
              <w:bottom w:val="single" w:sz="8" w:color="DBDBDB"/>
            </w:tcBorders>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Shares</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0"/>
                <w:szCs w:val="10"/>
                <w:b w:val="1"/>
                <w:bCs w:val="1"/>
                <w:color w:val="auto"/>
                <w:w w:val="89"/>
              </w:rPr>
              <w:t>Capital</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Shares</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95"/>
              </w:rPr>
              <w:t>Amount</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b w:val="1"/>
                <w:bCs w:val="1"/>
                <w:color w:val="auto"/>
              </w:rPr>
              <w:t>Earnings</w:t>
            </w: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293"/>
              <w:spacing w:after="0"/>
              <w:rPr>
                <w:sz w:val="20"/>
                <w:szCs w:val="20"/>
                <w:color w:val="auto"/>
              </w:rPr>
            </w:pPr>
            <w:r>
              <w:rPr>
                <w:rFonts w:ascii="Arial" w:cs="Arial" w:eastAsia="Arial" w:hAnsi="Arial"/>
                <w:sz w:val="10"/>
                <w:szCs w:val="10"/>
                <w:b w:val="1"/>
                <w:bCs w:val="1"/>
                <w:color w:val="auto"/>
                <w:w w:val="98"/>
              </w:rPr>
              <w:t>Equity</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3980" w:type="dxa"/>
            <w:vAlign w:val="bottom"/>
            <w:shd w:val="clear" w:color="auto" w:fill="DBDBDB"/>
          </w:tcPr>
          <w:p>
            <w:pPr>
              <w:ind w:left="20"/>
              <w:spacing w:after="0"/>
              <w:rPr>
                <w:sz w:val="20"/>
                <w:szCs w:val="20"/>
                <w:color w:val="auto"/>
              </w:rPr>
            </w:pPr>
            <w:r>
              <w:rPr>
                <w:rFonts w:ascii="Arial" w:cs="Arial" w:eastAsia="Arial" w:hAnsi="Arial"/>
                <w:sz w:val="10"/>
                <w:szCs w:val="10"/>
                <w:color w:val="auto"/>
              </w:rPr>
              <w:t>BALANCE — December 31, 2024</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130,915</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131</w:t>
            </w:r>
          </w:p>
        </w:tc>
        <w:tc>
          <w:tcPr>
            <w:tcW w:w="160" w:type="dxa"/>
            <w:vAlign w:val="bottom"/>
            <w:gridSpan w:val="2"/>
            <w:shd w:val="clear" w:color="auto" w:fill="DBDBDB"/>
          </w:tcPr>
          <w:p>
            <w:pPr>
              <w:jc w:val="right"/>
              <w:ind w:right="60"/>
              <w:spacing w:after="0"/>
              <w:rPr>
                <w:sz w:val="20"/>
                <w:szCs w:val="20"/>
                <w:color w:val="auto"/>
              </w:rPr>
            </w:pPr>
            <w:r>
              <w:rPr>
                <w:rFonts w:ascii="Arial" w:cs="Arial" w:eastAsia="Arial" w:hAnsi="Arial"/>
                <w:sz w:val="10"/>
                <w:szCs w:val="10"/>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2,066,268</w:t>
            </w:r>
          </w:p>
        </w:tc>
        <w:tc>
          <w:tcPr>
            <w:tcW w:w="40" w:type="dxa"/>
            <w:vAlign w:val="bottom"/>
            <w:shd w:val="clear" w:color="auto" w:fill="DBDBDB"/>
          </w:tcPr>
          <w:p>
            <w:pPr>
              <w:spacing w:after="0"/>
              <w:rPr>
                <w:sz w:val="10"/>
                <w:szCs w:val="1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56,254</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0"/>
                <w:szCs w:val="1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(4,202,322)</w:t>
            </w:r>
          </w:p>
        </w:tc>
        <w:tc>
          <w:tcPr>
            <w:tcW w:w="1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DBDBDB"/>
          </w:tcPr>
          <w:p>
            <w:pPr>
              <w:spacing w:after="0"/>
              <w:rPr>
                <w:sz w:val="10"/>
                <w:szCs w:val="10"/>
                <w:color w:val="auto"/>
              </w:rPr>
            </w:pPr>
          </w:p>
        </w:tc>
        <w:tc>
          <w:tcPr>
            <w:tcW w:w="80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5,066,525</w:t>
            </w: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DBDBDB"/>
          </w:tcPr>
          <w:p>
            <w:pPr>
              <w:spacing w:after="0"/>
              <w:rPr>
                <w:sz w:val="10"/>
                <w:szCs w:val="1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2,930,602</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60"/>
              <w:spacing w:after="0"/>
              <w:rPr>
                <w:sz w:val="20"/>
                <w:szCs w:val="20"/>
                <w:color w:val="auto"/>
              </w:rPr>
            </w:pPr>
            <w:r>
              <w:rPr>
                <w:rFonts w:ascii="Arial" w:cs="Arial" w:eastAsia="Arial" w:hAnsi="Arial"/>
                <w:sz w:val="10"/>
                <w:szCs w:val="10"/>
                <w:color w:val="auto"/>
              </w:rPr>
              <w:t>Net income</w:t>
            </w:r>
          </w:p>
        </w:tc>
        <w:tc>
          <w:tcPr>
            <w:tcW w:w="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562,305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562,305</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3980" w:type="dxa"/>
            <w:vAlign w:val="bottom"/>
            <w:shd w:val="clear" w:color="auto" w:fill="DBDBDB"/>
          </w:tcPr>
          <w:p>
            <w:pPr>
              <w:ind w:left="60"/>
              <w:spacing w:after="0"/>
              <w:rPr>
                <w:sz w:val="20"/>
                <w:szCs w:val="20"/>
                <w:color w:val="auto"/>
              </w:rPr>
            </w:pPr>
            <w:r>
              <w:rPr>
                <w:rFonts w:ascii="Arial" w:cs="Arial" w:eastAsia="Arial" w:hAnsi="Arial"/>
                <w:sz w:val="10"/>
                <w:szCs w:val="10"/>
                <w:color w:val="auto"/>
              </w:rPr>
              <w:t>Issuance of common stock to settle restricted stock units</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260</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40" w:type="dxa"/>
            <w:vAlign w:val="bottom"/>
            <w:gridSpan w:val="2"/>
            <w:shd w:val="clear" w:color="auto" w:fill="DBDBDB"/>
          </w:tcPr>
          <w:p>
            <w:pPr>
              <w:jc w:val="right"/>
              <w:ind w:right="80"/>
              <w:spacing w:after="0"/>
              <w:rPr>
                <w:sz w:val="20"/>
                <w:szCs w:val="20"/>
                <w:color w:val="auto"/>
              </w:rPr>
            </w:pPr>
            <w:r>
              <w:rPr>
                <w:rFonts w:ascii="Arial" w:cs="Arial" w:eastAsia="Arial" w:hAnsi="Arial"/>
                <w:sz w:val="10"/>
                <w:szCs w:val="10"/>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91</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(32,648)</w:t>
            </w:r>
          </w:p>
        </w:tc>
        <w:tc>
          <w:tcPr>
            <w:tcW w:w="1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(32,648)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60"/>
              <w:spacing w:after="0"/>
              <w:rPr>
                <w:sz w:val="20"/>
                <w:szCs w:val="20"/>
                <w:color w:val="auto"/>
              </w:rPr>
            </w:pPr>
            <w:r>
              <w:rPr>
                <w:rFonts w:ascii="Arial" w:cs="Arial" w:eastAsia="Arial" w:hAnsi="Arial"/>
                <w:sz w:val="10"/>
                <w:szCs w:val="10"/>
                <w:color w:val="auto"/>
              </w:rPr>
              <w:t>Treasury stock purchases</w:t>
            </w:r>
          </w:p>
        </w:tc>
        <w:tc>
          <w:tcPr>
            <w:tcW w:w="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289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(100,004)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(100,004)</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3980" w:type="dxa"/>
            <w:vAlign w:val="bottom"/>
            <w:shd w:val="clear" w:color="auto" w:fill="DBDBDB"/>
          </w:tcPr>
          <w:p>
            <w:pPr>
              <w:ind w:left="60"/>
              <w:spacing w:after="0"/>
              <w:rPr>
                <w:sz w:val="20"/>
                <w:szCs w:val="20"/>
                <w:color w:val="auto"/>
              </w:rPr>
            </w:pPr>
            <w:r>
              <w:rPr>
                <w:rFonts w:ascii="Arial" w:cs="Arial" w:eastAsia="Arial" w:hAnsi="Arial"/>
                <w:sz w:val="10"/>
                <w:szCs w:val="10"/>
                <w:color w:val="auto"/>
              </w:rPr>
              <w:t>Cash dividends on common stock - $0.90 per share</w:t>
            </w:r>
          </w:p>
        </w:tc>
        <w:tc>
          <w:tcPr>
            <w:tcW w:w="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40" w:type="dxa"/>
            <w:vAlign w:val="bottom"/>
            <w:gridSpan w:val="2"/>
            <w:shd w:val="clear" w:color="auto" w:fill="DBDBDB"/>
          </w:tcPr>
          <w:p>
            <w:pPr>
              <w:jc w:val="right"/>
              <w:ind w:right="80"/>
              <w:spacing w:after="0"/>
              <w:rPr>
                <w:sz w:val="20"/>
                <w:szCs w:val="20"/>
                <w:color w:val="auto"/>
              </w:rPr>
            </w:pPr>
            <w:r>
              <w:rPr>
                <w:rFonts w:ascii="Arial" w:cs="Arial" w:eastAsia="Arial" w:hAnsi="Arial"/>
                <w:sz w:val="10"/>
                <w:szCs w:val="10"/>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(70,395)</w:t>
            </w:r>
          </w:p>
        </w:tc>
        <w:tc>
          <w:tcPr>
            <w:tcW w:w="2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(70,395)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60"/>
              <w:spacing w:after="0"/>
              <w:rPr>
                <w:sz w:val="20"/>
                <w:szCs w:val="20"/>
                <w:color w:val="auto"/>
              </w:rPr>
            </w:pPr>
            <w:r>
              <w:rPr>
                <w:rFonts w:ascii="Arial" w:cs="Arial" w:eastAsia="Arial" w:hAnsi="Arial"/>
                <w:sz w:val="10"/>
                <w:szCs w:val="10"/>
                <w:color w:val="auto"/>
              </w:rPr>
              <w:t>Stock option exercises and other</w:t>
            </w:r>
          </w:p>
        </w:tc>
        <w:tc>
          <w:tcPr>
            <w:tcW w:w="840" w:type="dxa"/>
            <w:vAlign w:val="bottom"/>
            <w:gridSpan w:val="2"/>
          </w:tcPr>
          <w:p>
            <w:pPr>
              <w:jc w:val="right"/>
              <w:spacing w:after="0"/>
              <w:rPr>
                <w:sz w:val="20"/>
                <w:szCs w:val="20"/>
                <w:color w:val="auto"/>
              </w:rPr>
            </w:pPr>
            <w:r>
              <w:rPr>
                <w:rFonts w:ascii="Arial" w:cs="Arial" w:eastAsia="Arial" w:hAnsi="Arial"/>
                <w:sz w:val="10"/>
                <w:szCs w:val="10"/>
                <w:color w:val="auto"/>
              </w:rPr>
              <w:t>62</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4,043</w:t>
            </w:r>
          </w:p>
        </w:tc>
        <w:tc>
          <w:tcPr>
            <w:tcW w:w="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1,530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11,305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16,878</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3980" w:type="dxa"/>
            <w:vAlign w:val="bottom"/>
            <w:shd w:val="clear" w:color="auto" w:fill="DBDBDB"/>
          </w:tcPr>
          <w:p>
            <w:pPr>
              <w:ind w:left="60"/>
              <w:spacing w:after="0"/>
              <w:rPr>
                <w:sz w:val="20"/>
                <w:szCs w:val="20"/>
                <w:color w:val="auto"/>
              </w:rPr>
            </w:pPr>
            <w:r>
              <w:rPr>
                <w:rFonts w:ascii="Arial" w:cs="Arial" w:eastAsia="Arial" w:hAnsi="Arial"/>
                <w:sz w:val="10"/>
                <w:szCs w:val="10"/>
                <w:color w:val="auto"/>
              </w:rPr>
              <w:t>Share-based compensation</w:t>
            </w:r>
          </w:p>
        </w:tc>
        <w:tc>
          <w:tcPr>
            <w:tcW w:w="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58,979</w:t>
            </w:r>
          </w:p>
        </w:tc>
        <w:tc>
          <w:tcPr>
            <w:tcW w:w="4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58,979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Borders>
              <w:bottom w:val="single" w:sz="8" w:color="DBDBDB"/>
            </w:tcBorders>
          </w:tcPr>
          <w:p>
            <w:pPr>
              <w:ind w:left="60"/>
              <w:spacing w:after="0"/>
              <w:rPr>
                <w:sz w:val="20"/>
                <w:szCs w:val="20"/>
                <w:color w:val="auto"/>
              </w:rPr>
            </w:pPr>
            <w:r>
              <w:rPr>
                <w:rFonts w:ascii="Arial" w:cs="Arial" w:eastAsia="Arial" w:hAnsi="Arial"/>
                <w:sz w:val="10"/>
                <w:szCs w:val="10"/>
                <w:color w:val="auto"/>
              </w:rPr>
              <w:t>Equity issuance</w:t>
            </w:r>
          </w:p>
        </w:tc>
        <w:tc>
          <w:tcPr>
            <w:tcW w:w="20" w:type="dxa"/>
            <w:vAlign w:val="bottom"/>
            <w:tcBorders>
              <w:bottom w:val="single" w:sz="8" w:color="DBDBDB"/>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5,391</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1,677,216</w:t>
            </w: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1,677,221</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3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BALANCE — September 30, 2025</w:t>
            </w:r>
          </w:p>
        </w:tc>
        <w:tc>
          <w:tcPr>
            <w:tcW w:w="8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0"/>
                <w:szCs w:val="10"/>
                <w:color w:val="auto"/>
              </w:rPr>
              <w:t>136,628</w:t>
            </w:r>
          </w:p>
        </w:tc>
        <w:tc>
          <w:tcPr>
            <w:tcW w:w="16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136</w:t>
            </w:r>
          </w:p>
        </w:tc>
        <w:tc>
          <w:tcPr>
            <w:tcW w:w="16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3,806,506</w:t>
            </w:r>
          </w:p>
        </w:tc>
        <w:tc>
          <w:tcPr>
            <w:tcW w:w="40" w:type="dxa"/>
            <w:vAlign w:val="bottom"/>
            <w:tcBorders>
              <w:bottom w:val="single" w:sz="8" w:color="auto"/>
            </w:tcBorders>
            <w:shd w:val="clear" w:color="auto" w:fill="DBDBDB"/>
          </w:tcPr>
          <w:p>
            <w:pPr>
              <w:spacing w:after="0"/>
              <w:rPr>
                <w:sz w:val="13"/>
                <w:szCs w:val="13"/>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56,591</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DBDBDB"/>
          </w:tcPr>
          <w:p>
            <w:pPr>
              <w:spacing w:after="0"/>
              <w:rPr>
                <w:sz w:val="13"/>
                <w:szCs w:val="13"/>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(4,333,444)</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shd w:val="clear" w:color="auto" w:fill="DBDBDB"/>
          </w:tcPr>
          <w:p>
            <w:pPr>
              <w:spacing w:after="0"/>
              <w:rPr>
                <w:sz w:val="13"/>
                <w:szCs w:val="13"/>
                <w:color w:val="auto"/>
              </w:rPr>
            </w:pPr>
          </w:p>
        </w:tc>
        <w:tc>
          <w:tcPr>
            <w:tcW w:w="80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5,569,740</w:t>
            </w:r>
          </w:p>
        </w:tc>
        <w:tc>
          <w:tcPr>
            <w:tcW w:w="220" w:type="dxa"/>
            <w:vAlign w:val="bottom"/>
            <w:tcBorders>
              <w:bottom w:val="single" w:sz="8" w:color="auto"/>
            </w:tcBorders>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5,042,938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136603000</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rPr>
              <w:t>136000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8"/>
              </w:rPr>
              <w:t>3787009000</w:t>
            </w: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56599000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32"/>
              <w:spacing w:after="0"/>
              <w:rPr>
                <w:sz w:val="20"/>
                <w:szCs w:val="20"/>
                <w:color w:val="auto"/>
              </w:rPr>
            </w:pPr>
            <w:r>
              <w:rPr>
                <w:rFonts w:ascii="Arial" w:cs="Arial" w:eastAsia="Arial" w:hAnsi="Arial"/>
                <w:sz w:val="12"/>
                <w:szCs w:val="12"/>
                <w:b w:val="1"/>
                <w:bCs w:val="1"/>
                <w:color w:val="auto"/>
              </w:rPr>
              <w:t>-4332275000</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Nine Months Ended September 30, 2026</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3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gridSpan w:val="3"/>
            <w:vMerge w:val="restart"/>
          </w:tcPr>
          <w:p>
            <w:pPr>
              <w:jc w:val="right"/>
              <w:ind w:right="412"/>
              <w:spacing w:after="0"/>
              <w:rPr>
                <w:sz w:val="20"/>
                <w:szCs w:val="20"/>
                <w:color w:val="auto"/>
              </w:rPr>
            </w:pPr>
            <w:r>
              <w:rPr>
                <w:rFonts w:ascii="Arial" w:cs="Arial" w:eastAsia="Arial" w:hAnsi="Arial"/>
                <w:sz w:val="10"/>
                <w:szCs w:val="10"/>
                <w:b w:val="1"/>
                <w:bCs w:val="1"/>
                <w:color w:val="auto"/>
              </w:rPr>
              <w:t>Common Stock</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tcPr>
          <w:p>
            <w:pPr>
              <w:jc w:val="center"/>
              <w:ind w:right="160"/>
              <w:spacing w:after="0" w:line="91" w:lineRule="exact"/>
              <w:rPr>
                <w:sz w:val="20"/>
                <w:szCs w:val="20"/>
                <w:color w:val="auto"/>
              </w:rPr>
            </w:pPr>
            <w:r>
              <w:rPr>
                <w:rFonts w:ascii="Arial" w:cs="Arial" w:eastAsia="Arial" w:hAnsi="Arial"/>
                <w:sz w:val="10"/>
                <w:szCs w:val="10"/>
                <w:b w:val="1"/>
                <w:bCs w:val="1"/>
                <w:color w:val="auto"/>
                <w:w w:val="93"/>
              </w:rPr>
              <w:t>Additional</w:t>
            </w:r>
          </w:p>
        </w:tc>
        <w:tc>
          <w:tcPr>
            <w:tcW w:w="1880" w:type="dxa"/>
            <w:vAlign w:val="bottom"/>
            <w:gridSpan w:val="4"/>
            <w:vMerge w:val="restart"/>
          </w:tcPr>
          <w:p>
            <w:pPr>
              <w:jc w:val="right"/>
              <w:ind w:right="552"/>
              <w:spacing w:after="0"/>
              <w:rPr>
                <w:sz w:val="20"/>
                <w:szCs w:val="20"/>
                <w:color w:val="auto"/>
              </w:rPr>
            </w:pPr>
            <w:r>
              <w:rPr>
                <w:rFonts w:ascii="Arial" w:cs="Arial" w:eastAsia="Arial" w:hAnsi="Arial"/>
                <w:sz w:val="10"/>
                <w:szCs w:val="10"/>
                <w:b w:val="1"/>
                <w:bCs w:val="1"/>
                <w:color w:val="auto"/>
              </w:rPr>
              <w:t>Treasury Stock</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tcPr>
          <w:p>
            <w:pPr>
              <w:jc w:val="center"/>
              <w:ind w:right="526"/>
              <w:spacing w:after="0" w:line="91"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3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tcBorders>
              <w:bottom w:val="single" w:sz="8" w:color="auto"/>
            </w:tcBorders>
            <w:gridSpan w:val="3"/>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jc w:val="center"/>
              <w:ind w:right="71"/>
              <w:spacing w:after="0" w:line="69" w:lineRule="exact"/>
              <w:rPr>
                <w:sz w:val="20"/>
                <w:szCs w:val="20"/>
                <w:color w:val="auto"/>
              </w:rPr>
            </w:pPr>
            <w:r>
              <w:rPr>
                <w:rFonts w:ascii="Arial" w:cs="Arial" w:eastAsia="Arial" w:hAnsi="Arial"/>
                <w:sz w:val="7"/>
                <w:szCs w:val="7"/>
                <w:b w:val="1"/>
                <w:bCs w:val="1"/>
                <w:color w:val="auto"/>
              </w:rPr>
              <w:t>Paid-In</w:t>
            </w:r>
          </w:p>
        </w:tc>
        <w:tc>
          <w:tcPr>
            <w:tcW w:w="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jc w:val="right"/>
              <w:ind w:right="273"/>
              <w:spacing w:after="0" w:line="69" w:lineRule="exact"/>
              <w:rPr>
                <w:sz w:val="20"/>
                <w:szCs w:val="20"/>
                <w:color w:val="auto"/>
              </w:rPr>
            </w:pPr>
            <w:r>
              <w:rPr>
                <w:rFonts w:ascii="Arial" w:cs="Arial" w:eastAsia="Arial" w:hAnsi="Arial"/>
                <w:sz w:val="7"/>
                <w:szCs w:val="7"/>
                <w:b w:val="1"/>
                <w:bCs w:val="1"/>
                <w:color w:val="auto"/>
              </w:rPr>
              <w:t>Retained</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tcPr>
          <w:p>
            <w:pPr>
              <w:jc w:val="center"/>
              <w:ind w:right="506"/>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3980" w:type="dxa"/>
            <w:vAlign w:val="bottom"/>
            <w:tcBorders>
              <w:bottom w:val="single" w:sz="8" w:color="DBDBDB"/>
            </w:tcBorders>
          </w:tcPr>
          <w:p>
            <w:pPr>
              <w:spacing w:after="0"/>
              <w:rPr>
                <w:sz w:val="11"/>
                <w:szCs w:val="11"/>
                <w:color w:val="auto"/>
              </w:rPr>
            </w:pPr>
          </w:p>
        </w:tc>
        <w:tc>
          <w:tcPr>
            <w:tcW w:w="20" w:type="dxa"/>
            <w:vAlign w:val="bottom"/>
            <w:tcBorders>
              <w:bottom w:val="single" w:sz="8" w:color="DBDBDB"/>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Shares</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0"/>
                <w:szCs w:val="10"/>
                <w:b w:val="1"/>
                <w:bCs w:val="1"/>
                <w:color w:val="auto"/>
                <w:w w:val="89"/>
              </w:rPr>
              <w:t>Capital</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Shares</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95"/>
              </w:rPr>
              <w:t>Amount</w:t>
            </w: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b w:val="1"/>
                <w:bCs w:val="1"/>
                <w:color w:val="auto"/>
              </w:rPr>
              <w:t>Earnings</w:t>
            </w: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293"/>
              <w:spacing w:after="0"/>
              <w:rPr>
                <w:sz w:val="20"/>
                <w:szCs w:val="20"/>
                <w:color w:val="auto"/>
              </w:rPr>
            </w:pPr>
            <w:r>
              <w:rPr>
                <w:rFonts w:ascii="Arial" w:cs="Arial" w:eastAsia="Arial" w:hAnsi="Arial"/>
                <w:sz w:val="10"/>
                <w:szCs w:val="10"/>
                <w:b w:val="1"/>
                <w:bCs w:val="1"/>
                <w:color w:val="auto"/>
                <w:w w:val="98"/>
              </w:rPr>
              <w:t>Equity</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3980" w:type="dxa"/>
            <w:vAlign w:val="bottom"/>
            <w:shd w:val="clear" w:color="auto" w:fill="DBDBDB"/>
          </w:tcPr>
          <w:p>
            <w:pPr>
              <w:ind w:left="20"/>
              <w:spacing w:after="0"/>
              <w:rPr>
                <w:sz w:val="20"/>
                <w:szCs w:val="20"/>
                <w:color w:val="auto"/>
              </w:rPr>
            </w:pPr>
            <w:r>
              <w:rPr>
                <w:rFonts w:ascii="Arial" w:cs="Arial" w:eastAsia="Arial" w:hAnsi="Arial"/>
                <w:sz w:val="10"/>
                <w:szCs w:val="10"/>
                <w:color w:val="auto"/>
              </w:rPr>
              <w:t>BALANCE — December 31, 2025</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136,638</w:t>
            </w:r>
          </w:p>
        </w:tc>
        <w:tc>
          <w:tcPr>
            <w:tcW w:w="160" w:type="dxa"/>
            <w:vAlign w:val="bottom"/>
            <w:shd w:val="clear" w:color="auto" w:fill="DBDBDB"/>
          </w:tcPr>
          <w:p>
            <w:pPr>
              <w:jc w:val="right"/>
              <w:ind w:right="32"/>
              <w:spacing w:after="0"/>
              <w:rPr>
                <w:sz w:val="20"/>
                <w:szCs w:val="20"/>
                <w:color w:val="auto"/>
              </w:rPr>
            </w:pPr>
            <w:r>
              <w:rPr>
                <w:rFonts w:ascii="Arial" w:cs="Arial" w:eastAsia="Arial" w:hAnsi="Arial"/>
                <w:sz w:val="10"/>
                <w:szCs w:val="10"/>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136</w:t>
            </w:r>
          </w:p>
        </w:tc>
        <w:tc>
          <w:tcPr>
            <w:tcW w:w="160" w:type="dxa"/>
            <w:vAlign w:val="bottom"/>
            <w:gridSpan w:val="2"/>
            <w:shd w:val="clear" w:color="auto" w:fill="DBDBDB"/>
          </w:tcPr>
          <w:p>
            <w:pPr>
              <w:jc w:val="right"/>
              <w:ind w:right="60"/>
              <w:spacing w:after="0"/>
              <w:rPr>
                <w:sz w:val="20"/>
                <w:szCs w:val="20"/>
                <w:color w:val="auto"/>
              </w:rPr>
            </w:pPr>
            <w:r>
              <w:rPr>
                <w:rFonts w:ascii="Arial" w:cs="Arial" w:eastAsia="Arial" w:hAnsi="Arial"/>
                <w:sz w:val="10"/>
                <w:szCs w:val="10"/>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3,843,017</w:t>
            </w:r>
          </w:p>
        </w:tc>
        <w:tc>
          <w:tcPr>
            <w:tcW w:w="40" w:type="dxa"/>
            <w:vAlign w:val="bottom"/>
            <w:shd w:val="clear" w:color="auto" w:fill="DBDBDB"/>
          </w:tcPr>
          <w:p>
            <w:pPr>
              <w:spacing w:after="0"/>
              <w:rPr>
                <w:sz w:val="10"/>
                <w:szCs w:val="1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56,577</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0"/>
                <w:szCs w:val="1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(4,333,725)</w:t>
            </w:r>
          </w:p>
        </w:tc>
        <w:tc>
          <w:tcPr>
            <w:tcW w:w="1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DBDBDB"/>
          </w:tcPr>
          <w:p>
            <w:pPr>
              <w:spacing w:after="0"/>
              <w:rPr>
                <w:sz w:val="10"/>
                <w:szCs w:val="10"/>
                <w:color w:val="auto"/>
              </w:rPr>
            </w:pPr>
          </w:p>
        </w:tc>
        <w:tc>
          <w:tcPr>
            <w:tcW w:w="80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5,835,057</w:t>
            </w:r>
          </w:p>
        </w:tc>
        <w:tc>
          <w:tcPr>
            <w:tcW w:w="220" w:type="dxa"/>
            <w:vAlign w:val="bottom"/>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DBDBDB"/>
          </w:tcPr>
          <w:p>
            <w:pPr>
              <w:spacing w:after="0"/>
              <w:rPr>
                <w:sz w:val="10"/>
                <w:szCs w:val="10"/>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5,344,485</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60"/>
              <w:spacing w:after="0"/>
              <w:rPr>
                <w:sz w:val="20"/>
                <w:szCs w:val="20"/>
                <w:color w:val="auto"/>
              </w:rPr>
            </w:pPr>
            <w:r>
              <w:rPr>
                <w:rFonts w:ascii="Arial" w:cs="Arial" w:eastAsia="Arial" w:hAnsi="Arial"/>
                <w:sz w:val="10"/>
                <w:szCs w:val="10"/>
                <w:color w:val="auto"/>
              </w:rPr>
              <w:t>Net income</w:t>
            </w:r>
          </w:p>
        </w:tc>
        <w:tc>
          <w:tcPr>
            <w:tcW w:w="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1,092,226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1,092,226</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3980" w:type="dxa"/>
            <w:vAlign w:val="bottom"/>
            <w:shd w:val="clear" w:color="auto" w:fill="DBDBDB"/>
          </w:tcPr>
          <w:p>
            <w:pPr>
              <w:ind w:left="60"/>
              <w:spacing w:after="0"/>
              <w:rPr>
                <w:sz w:val="20"/>
                <w:szCs w:val="20"/>
                <w:color w:val="auto"/>
              </w:rPr>
            </w:pPr>
            <w:r>
              <w:rPr>
                <w:rFonts w:ascii="Arial" w:cs="Arial" w:eastAsia="Arial" w:hAnsi="Arial"/>
                <w:sz w:val="10"/>
                <w:szCs w:val="10"/>
                <w:color w:val="auto"/>
              </w:rPr>
              <w:t>Issuance of common stock to settle restricted stock units</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0"/>
                <w:szCs w:val="10"/>
                <w:color w:val="auto"/>
              </w:rPr>
              <w:t>191</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40" w:type="dxa"/>
            <w:vAlign w:val="bottom"/>
            <w:gridSpan w:val="2"/>
            <w:shd w:val="clear" w:color="auto" w:fill="DBDBDB"/>
          </w:tcPr>
          <w:p>
            <w:pPr>
              <w:jc w:val="right"/>
              <w:ind w:right="80"/>
              <w:spacing w:after="0"/>
              <w:rPr>
                <w:sz w:val="20"/>
                <w:szCs w:val="20"/>
                <w:color w:val="auto"/>
              </w:rPr>
            </w:pPr>
            <w:r>
              <w:rPr>
                <w:rFonts w:ascii="Arial" w:cs="Arial" w:eastAsia="Arial" w:hAnsi="Arial"/>
                <w:sz w:val="10"/>
                <w:szCs w:val="10"/>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66</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(21,247)</w:t>
            </w:r>
          </w:p>
        </w:tc>
        <w:tc>
          <w:tcPr>
            <w:tcW w:w="1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(21,247)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60"/>
              <w:spacing w:after="0"/>
              <w:rPr>
                <w:sz w:val="20"/>
                <w:szCs w:val="20"/>
                <w:color w:val="auto"/>
              </w:rPr>
            </w:pPr>
            <w:r>
              <w:rPr>
                <w:rFonts w:ascii="Arial" w:cs="Arial" w:eastAsia="Arial" w:hAnsi="Arial"/>
                <w:sz w:val="10"/>
                <w:szCs w:val="10"/>
                <w:color w:val="auto"/>
              </w:rPr>
              <w:t>Treasury stock purchases</w:t>
            </w:r>
          </w:p>
        </w:tc>
        <w:tc>
          <w:tcPr>
            <w:tcW w:w="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1,948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(615,494)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(615,494)</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3980" w:type="dxa"/>
            <w:vAlign w:val="bottom"/>
            <w:shd w:val="clear" w:color="auto" w:fill="DBDBDB"/>
          </w:tcPr>
          <w:p>
            <w:pPr>
              <w:ind w:left="60"/>
              <w:spacing w:after="0"/>
              <w:rPr>
                <w:sz w:val="20"/>
                <w:szCs w:val="20"/>
                <w:color w:val="auto"/>
              </w:rPr>
            </w:pPr>
            <w:r>
              <w:rPr>
                <w:rFonts w:ascii="Arial" w:cs="Arial" w:eastAsia="Arial" w:hAnsi="Arial"/>
                <w:sz w:val="10"/>
                <w:szCs w:val="10"/>
                <w:color w:val="auto"/>
              </w:rPr>
              <w:t>Cash dividends on common stock - $0.90 per share</w:t>
            </w:r>
          </w:p>
        </w:tc>
        <w:tc>
          <w:tcPr>
            <w:tcW w:w="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40" w:type="dxa"/>
            <w:vAlign w:val="bottom"/>
            <w:gridSpan w:val="2"/>
            <w:shd w:val="clear" w:color="auto" w:fill="DBDBDB"/>
          </w:tcPr>
          <w:p>
            <w:pPr>
              <w:jc w:val="right"/>
              <w:ind w:right="80"/>
              <w:spacing w:after="0"/>
              <w:rPr>
                <w:sz w:val="20"/>
                <w:szCs w:val="20"/>
                <w:color w:val="auto"/>
              </w:rPr>
            </w:pPr>
            <w:r>
              <w:rPr>
                <w:rFonts w:ascii="Arial" w:cs="Arial" w:eastAsia="Arial" w:hAnsi="Arial"/>
                <w:sz w:val="10"/>
                <w:szCs w:val="10"/>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(71,630)</w:t>
            </w:r>
          </w:p>
        </w:tc>
        <w:tc>
          <w:tcPr>
            <w:tcW w:w="2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(71,630)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80" w:type="dxa"/>
            <w:vAlign w:val="bottom"/>
          </w:tcPr>
          <w:p>
            <w:pPr>
              <w:ind w:left="60"/>
              <w:spacing w:after="0"/>
              <w:rPr>
                <w:sz w:val="20"/>
                <w:szCs w:val="20"/>
                <w:color w:val="auto"/>
              </w:rPr>
            </w:pPr>
            <w:r>
              <w:rPr>
                <w:rFonts w:ascii="Arial" w:cs="Arial" w:eastAsia="Arial" w:hAnsi="Arial"/>
                <w:sz w:val="10"/>
                <w:szCs w:val="10"/>
                <w:color w:val="auto"/>
              </w:rPr>
              <w:t>Stock option exercises and other</w:t>
            </w:r>
          </w:p>
        </w:tc>
        <w:tc>
          <w:tcPr>
            <w:tcW w:w="840" w:type="dxa"/>
            <w:vAlign w:val="bottom"/>
            <w:gridSpan w:val="2"/>
          </w:tcPr>
          <w:p>
            <w:pPr>
              <w:jc w:val="right"/>
              <w:spacing w:after="0"/>
              <w:rPr>
                <w:sz w:val="20"/>
                <w:szCs w:val="20"/>
                <w:color w:val="auto"/>
              </w:rPr>
            </w:pPr>
            <w:r>
              <w:rPr>
                <w:rFonts w:ascii="Arial" w:cs="Arial" w:eastAsia="Arial" w:hAnsi="Arial"/>
                <w:sz w:val="10"/>
                <w:szCs w:val="10"/>
                <w:color w:val="auto"/>
              </w:rPr>
              <w:t>22</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12,929</w:t>
            </w:r>
          </w:p>
        </w:tc>
        <w:tc>
          <w:tcPr>
            <w:tcW w:w="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2,383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15,285</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980" w:type="dxa"/>
            <w:vAlign w:val="bottom"/>
            <w:shd w:val="clear" w:color="auto" w:fill="DBDBDB"/>
          </w:tcPr>
          <w:p>
            <w:pPr>
              <w:ind w:left="60"/>
              <w:spacing w:after="0"/>
              <w:rPr>
                <w:sz w:val="20"/>
                <w:szCs w:val="20"/>
                <w:color w:val="auto"/>
              </w:rPr>
            </w:pPr>
            <w:r>
              <w:rPr>
                <w:rFonts w:ascii="Arial" w:cs="Arial" w:eastAsia="Arial" w:hAnsi="Arial"/>
                <w:sz w:val="10"/>
                <w:szCs w:val="10"/>
                <w:color w:val="auto"/>
              </w:rPr>
              <w:t>Share-based compensation</w:t>
            </w:r>
          </w:p>
        </w:tc>
        <w:tc>
          <w:tcPr>
            <w:tcW w:w="20" w:type="dxa"/>
            <w:vAlign w:val="bottom"/>
            <w:shd w:val="clear" w:color="auto" w:fill="DBDBDB"/>
          </w:tcPr>
          <w:p>
            <w:pPr>
              <w:spacing w:after="0"/>
              <w:rPr>
                <w:sz w:val="11"/>
                <w:szCs w:val="1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DBDBDB"/>
          </w:tcPr>
          <w:p>
            <w:pPr>
              <w:spacing w:after="0"/>
              <w:rPr>
                <w:sz w:val="11"/>
                <w:szCs w:val="11"/>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shd w:val="clear" w:color="auto" w:fill="DBDBDB"/>
          </w:tcPr>
          <w:p>
            <w:pPr>
              <w:spacing w:after="0"/>
              <w:rPr>
                <w:sz w:val="11"/>
                <w:szCs w:val="11"/>
                <w:color w:val="auto"/>
              </w:rPr>
            </w:pPr>
          </w:p>
        </w:tc>
        <w:tc>
          <w:tcPr>
            <w:tcW w:w="140" w:type="dxa"/>
            <w:vAlign w:val="bottom"/>
            <w:tcBorders>
              <w:bottom w:val="single" w:sz="8" w:color="auto"/>
            </w:tcBorders>
            <w:shd w:val="clear" w:color="auto" w:fill="DBDBDB"/>
          </w:tcPr>
          <w:p>
            <w:pPr>
              <w:spacing w:after="0"/>
              <w:rPr>
                <w:sz w:val="11"/>
                <w:szCs w:val="11"/>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68,693</w:t>
            </w:r>
          </w:p>
        </w:tc>
        <w:tc>
          <w:tcPr>
            <w:tcW w:w="40" w:type="dxa"/>
            <w:vAlign w:val="bottom"/>
            <w:tcBorders>
              <w:bottom w:val="single" w:sz="8" w:color="auto"/>
            </w:tcBorders>
            <w:shd w:val="clear" w:color="auto" w:fill="DBDBDB"/>
          </w:tcPr>
          <w:p>
            <w:pPr>
              <w:spacing w:after="0"/>
              <w:rPr>
                <w:sz w:val="11"/>
                <w:szCs w:val="11"/>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DBDBDB"/>
          </w:tcPr>
          <w:p>
            <w:pPr>
              <w:spacing w:after="0"/>
              <w:rPr>
                <w:sz w:val="11"/>
                <w:szCs w:val="11"/>
                <w:color w:val="auto"/>
              </w:rPr>
            </w:pPr>
          </w:p>
        </w:tc>
        <w:tc>
          <w:tcPr>
            <w:tcW w:w="100" w:type="dxa"/>
            <w:vAlign w:val="bottom"/>
            <w:tcBorders>
              <w:bottom w:val="single" w:sz="8" w:color="auto"/>
            </w:tcBorders>
            <w:shd w:val="clear" w:color="auto" w:fill="DBDBDB"/>
          </w:tcPr>
          <w:p>
            <w:pPr>
              <w:spacing w:after="0"/>
              <w:rPr>
                <w:sz w:val="11"/>
                <w:szCs w:val="1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auto"/>
            </w:tcBorders>
            <w:shd w:val="clear" w:color="auto" w:fill="DBDBDB"/>
          </w:tcPr>
          <w:p>
            <w:pPr>
              <w:spacing w:after="0"/>
              <w:rPr>
                <w:sz w:val="11"/>
                <w:szCs w:val="11"/>
                <w:color w:val="auto"/>
              </w:rPr>
            </w:pPr>
          </w:p>
        </w:tc>
        <w:tc>
          <w:tcPr>
            <w:tcW w:w="140" w:type="dxa"/>
            <w:vAlign w:val="bottom"/>
            <w:tcBorders>
              <w:bottom w:val="single" w:sz="8" w:color="auto"/>
            </w:tcBorders>
            <w:shd w:val="clear" w:color="auto" w:fill="DBDBDB"/>
          </w:tcPr>
          <w:p>
            <w:pPr>
              <w:spacing w:after="0"/>
              <w:rPr>
                <w:sz w:val="11"/>
                <w:szCs w:val="11"/>
                <w:color w:val="auto"/>
              </w:rPr>
            </w:pPr>
          </w:p>
        </w:tc>
        <w:tc>
          <w:tcPr>
            <w:tcW w:w="80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BDBDB"/>
          </w:tcPr>
          <w:p>
            <w:pPr>
              <w:spacing w:after="0"/>
              <w:rPr>
                <w:sz w:val="11"/>
                <w:szCs w:val="11"/>
                <w:color w:val="auto"/>
              </w:rPr>
            </w:pPr>
          </w:p>
        </w:tc>
        <w:tc>
          <w:tcPr>
            <w:tcW w:w="100" w:type="dxa"/>
            <w:vAlign w:val="bottom"/>
            <w:tcBorders>
              <w:bottom w:val="single" w:sz="8" w:color="auto"/>
            </w:tcBorders>
            <w:shd w:val="clear" w:color="auto" w:fill="DBDBDB"/>
          </w:tcPr>
          <w:p>
            <w:pPr>
              <w:spacing w:after="0"/>
              <w:rPr>
                <w:sz w:val="11"/>
                <w:szCs w:val="1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68,693</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3980" w:type="dxa"/>
            <w:vAlign w:val="bottom"/>
          </w:tcPr>
          <w:p>
            <w:pPr>
              <w:ind w:left="20"/>
              <w:spacing w:after="0"/>
              <w:rPr>
                <w:sz w:val="20"/>
                <w:szCs w:val="20"/>
                <w:color w:val="auto"/>
              </w:rPr>
            </w:pPr>
            <w:r>
              <w:rPr>
                <w:rFonts w:ascii="Arial" w:cs="Arial" w:eastAsia="Arial" w:hAnsi="Arial"/>
                <w:sz w:val="10"/>
                <w:szCs w:val="10"/>
                <w:color w:val="auto"/>
              </w:rPr>
              <w:t>BALANCE — September 30, 2026</w:t>
            </w:r>
          </w:p>
        </w:tc>
        <w:tc>
          <w:tcPr>
            <w:tcW w:w="840" w:type="dxa"/>
            <w:vAlign w:val="bottom"/>
            <w:gridSpan w:val="2"/>
          </w:tcPr>
          <w:p>
            <w:pPr>
              <w:jc w:val="right"/>
              <w:spacing w:after="0"/>
              <w:rPr>
                <w:sz w:val="20"/>
                <w:szCs w:val="20"/>
                <w:color w:val="auto"/>
              </w:rPr>
            </w:pPr>
            <w:r>
              <w:rPr>
                <w:rFonts w:ascii="Arial" w:cs="Arial" w:eastAsia="Arial" w:hAnsi="Arial"/>
                <w:sz w:val="10"/>
                <w:szCs w:val="10"/>
                <w:color w:val="auto"/>
              </w:rPr>
              <w:t>136,851</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137</w:t>
            </w:r>
          </w:p>
        </w:tc>
        <w:tc>
          <w:tcPr>
            <w:tcW w:w="1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3,924,639</w:t>
            </w:r>
          </w:p>
        </w:tc>
        <w:tc>
          <w:tcPr>
            <w:tcW w:w="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58,540</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(4,968,083)</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6,855,625</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5,812,318</w:t>
            </w:r>
          </w:p>
        </w:tc>
        <w:tc>
          <w:tcPr>
            <w:tcW w:w="240" w:type="dxa"/>
            <w:vAlign w:val="bottom"/>
            <w:vMerge w:val="restart"/>
          </w:tcPr>
          <w:p>
            <w:pPr>
              <w:jc w:val="right"/>
              <w:ind w:right="6"/>
              <w:spacing w:after="0"/>
              <w:rPr>
                <w:sz w:val="20"/>
                <w:szCs w:val="20"/>
                <w:color w:val="auto"/>
              </w:rPr>
            </w:pPr>
            <w:r>
              <w:rPr>
                <w:rFonts w:ascii="Arial" w:cs="Arial" w:eastAsia="Arial" w:hAnsi="Arial"/>
                <w:sz w:val="11"/>
                <w:szCs w:val="11"/>
                <w:color w:val="auto"/>
                <w:w w:val="81"/>
              </w:rPr>
              <w:t>See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1"/>
          <w:szCs w:val="11"/>
          <w:color w:val="auto"/>
        </w:rPr>
        <w:t>notes to unaudited condensed consolidated financial statements.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6" w:name="page27"/>
    <w:bookmarkEnd w:id="2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7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62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1"/>
                <w:szCs w:val="11"/>
                <w:b w:val="1"/>
                <w:bCs w:val="1"/>
                <w:color w:val="auto"/>
              </w:rPr>
              <w:t>Nine Months Ended September 30,</w:t>
            </w:r>
          </w:p>
        </w:tc>
        <w:tc>
          <w:tcPr>
            <w:tcW w:w="640" w:type="dxa"/>
            <w:vAlign w:val="bottom"/>
            <w:tcBorders>
              <w:bottom w:val="single" w:sz="8" w:color="auto"/>
            </w:tcBorders>
          </w:tcPr>
          <w:p>
            <w:pPr>
              <w:spacing w:after="0"/>
              <w:rPr>
                <w:sz w:val="11"/>
                <w:szCs w:val="11"/>
                <w:color w:val="auto"/>
              </w:rPr>
            </w:pPr>
          </w:p>
        </w:tc>
      </w:tr>
      <w:tr>
        <w:trPr>
          <w:trHeight w:val="133"/>
        </w:trPr>
        <w:tc>
          <w:tcPr>
            <w:tcW w:w="4740" w:type="dxa"/>
            <w:vAlign w:val="bottom"/>
          </w:tcPr>
          <w:p>
            <w:pPr>
              <w:spacing w:after="0"/>
              <w:rPr>
                <w:sz w:val="11"/>
                <w:szCs w:val="11"/>
                <w:color w:val="auto"/>
              </w:rPr>
            </w:pPr>
          </w:p>
        </w:tc>
        <w:tc>
          <w:tcPr>
            <w:tcW w:w="430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rPr>
              <w:t>2026</w:t>
            </w:r>
          </w:p>
        </w:tc>
        <w:tc>
          <w:tcPr>
            <w:tcW w:w="600" w:type="dxa"/>
            <w:vAlign w:val="bottom"/>
          </w:tcPr>
          <w:p>
            <w:pPr>
              <w:spacing w:after="0"/>
              <w:rPr>
                <w:sz w:val="11"/>
                <w:szCs w:val="11"/>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b w:val="1"/>
                <w:bCs w:val="1"/>
                <w:color w:val="auto"/>
              </w:rPr>
              <w:t>2025</w:t>
            </w:r>
          </w:p>
        </w:tc>
        <w:tc>
          <w:tcPr>
            <w:tcW w:w="640" w:type="dxa"/>
            <w:vAlign w:val="bottom"/>
          </w:tcPr>
          <w:p>
            <w:pPr>
              <w:spacing w:after="0"/>
              <w:rPr>
                <w:sz w:val="11"/>
                <w:szCs w:val="11"/>
                <w:color w:val="auto"/>
              </w:rPr>
            </w:pPr>
          </w:p>
        </w:tc>
      </w:tr>
      <w:tr>
        <w:trPr>
          <w:trHeight w:val="124"/>
        </w:trPr>
        <w:tc>
          <w:tcPr>
            <w:tcW w:w="4740" w:type="dxa"/>
            <w:vAlign w:val="bottom"/>
            <w:tcBorders>
              <w:top w:val="single" w:sz="8" w:color="DBDBDB"/>
            </w:tcBorders>
            <w:shd w:val="clear" w:color="auto" w:fill="DBDBDB"/>
          </w:tcPr>
          <w:p>
            <w:pPr>
              <w:ind w:left="40"/>
              <w:spacing w:after="0" w:line="122" w:lineRule="exact"/>
              <w:rPr>
                <w:sz w:val="20"/>
                <w:szCs w:val="20"/>
                <w:color w:val="auto"/>
              </w:rPr>
            </w:pPr>
            <w:r>
              <w:rPr>
                <w:rFonts w:ascii="Arial" w:cs="Arial" w:eastAsia="Arial" w:hAnsi="Arial"/>
                <w:sz w:val="11"/>
                <w:szCs w:val="11"/>
                <w:color w:val="auto"/>
              </w:rPr>
              <w:t>CASH FLOWS FROM OPERATING ACTIVITIES:</w:t>
            </w:r>
          </w:p>
        </w:tc>
        <w:tc>
          <w:tcPr>
            <w:tcW w:w="3280" w:type="dxa"/>
            <w:vAlign w:val="bottom"/>
            <w:tcBorders>
              <w:top w:val="single" w:sz="8" w:color="DBDBDB"/>
            </w:tcBorders>
            <w:shd w:val="clear" w:color="auto" w:fill="DBDBDB"/>
          </w:tcPr>
          <w:p>
            <w:pPr>
              <w:spacing w:after="0"/>
              <w:rPr>
                <w:sz w:val="10"/>
                <w:szCs w:val="10"/>
                <w:color w:val="auto"/>
              </w:rPr>
            </w:pPr>
          </w:p>
        </w:tc>
        <w:tc>
          <w:tcPr>
            <w:tcW w:w="1020" w:type="dxa"/>
            <w:vAlign w:val="bottom"/>
            <w:tcBorders>
              <w:top w:val="single" w:sz="8" w:color="auto"/>
            </w:tcBorders>
            <w:shd w:val="clear" w:color="auto" w:fill="DBDBDB"/>
          </w:tcPr>
          <w:p>
            <w:pPr>
              <w:spacing w:after="0"/>
              <w:rPr>
                <w:sz w:val="10"/>
                <w:szCs w:val="10"/>
                <w:color w:val="auto"/>
              </w:rPr>
            </w:pPr>
          </w:p>
        </w:tc>
        <w:tc>
          <w:tcPr>
            <w:tcW w:w="600" w:type="dxa"/>
            <w:vAlign w:val="bottom"/>
            <w:tcBorders>
              <w:top w:val="single" w:sz="8" w:color="auto"/>
            </w:tcBorders>
            <w:shd w:val="clear" w:color="auto" w:fill="DBDBDB"/>
          </w:tcPr>
          <w:p>
            <w:pPr>
              <w:spacing w:after="0"/>
              <w:rPr>
                <w:sz w:val="10"/>
                <w:szCs w:val="10"/>
                <w:color w:val="auto"/>
              </w:rPr>
            </w:pPr>
          </w:p>
        </w:tc>
        <w:tc>
          <w:tcPr>
            <w:tcW w:w="1000" w:type="dxa"/>
            <w:vAlign w:val="bottom"/>
            <w:tcBorders>
              <w:top w:val="single" w:sz="8" w:color="auto"/>
            </w:tcBorders>
            <w:shd w:val="clear" w:color="auto" w:fill="DBDBDB"/>
          </w:tcPr>
          <w:p>
            <w:pPr>
              <w:spacing w:after="0"/>
              <w:rPr>
                <w:sz w:val="10"/>
                <w:szCs w:val="10"/>
                <w:color w:val="auto"/>
              </w:rPr>
            </w:pPr>
          </w:p>
        </w:tc>
        <w:tc>
          <w:tcPr>
            <w:tcW w:w="640" w:type="dxa"/>
            <w:vAlign w:val="bottom"/>
            <w:tcBorders>
              <w:top w:val="single" w:sz="8" w:color="auto"/>
            </w:tcBorders>
            <w:shd w:val="clear" w:color="auto" w:fill="DBDBDB"/>
          </w:tcPr>
          <w:p>
            <w:pPr>
              <w:spacing w:after="0"/>
              <w:rPr>
                <w:sz w:val="10"/>
                <w:szCs w:val="10"/>
                <w:color w:val="auto"/>
              </w:rPr>
            </w:pP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4300" w:type="dxa"/>
            <w:vAlign w:val="bottom"/>
            <w:gridSpan w:val="2"/>
          </w:tcPr>
          <w:p>
            <w:pPr>
              <w:jc w:val="right"/>
              <w:ind w:right="88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1,092,226</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562,305</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Adjustments to reconcile net income to net cash provided by (used in) operating activities:</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332,843</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288,309</w:t>
            </w:r>
          </w:p>
        </w:tc>
      </w:tr>
      <w:tr>
        <w:trPr>
          <w:trHeight w:val="145"/>
        </w:trPr>
        <w:tc>
          <w:tcPr>
            <w:tcW w:w="4740" w:type="dxa"/>
            <w:vAlign w:val="bottom"/>
            <w:shd w:val="clear" w:color="auto" w:fill="DBDBDB"/>
          </w:tcPr>
          <w:p>
            <w:pPr>
              <w:ind w:left="440"/>
              <w:spacing w:after="0"/>
              <w:rPr>
                <w:sz w:val="20"/>
                <w:szCs w:val="20"/>
                <w:color w:val="auto"/>
              </w:rPr>
            </w:pPr>
            <w:r>
              <w:rPr>
                <w:rFonts w:ascii="Arial" w:cs="Arial" w:eastAsia="Arial" w:hAnsi="Arial"/>
                <w:sz w:val="11"/>
                <w:szCs w:val="11"/>
                <w:color w:val="auto"/>
              </w:rPr>
              <w:t>Amortization of other intangibles</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210,960</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154,330</w:t>
            </w: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Amortization of debt issuance costs</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10,428</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18,096</w:t>
            </w:r>
          </w:p>
        </w:tc>
      </w:tr>
      <w:tr>
        <w:trPr>
          <w:trHeight w:val="145"/>
        </w:trPr>
        <w:tc>
          <w:tcPr>
            <w:tcW w:w="4740" w:type="dxa"/>
            <w:vAlign w:val="bottom"/>
            <w:shd w:val="clear" w:color="auto" w:fill="DBDBDB"/>
          </w:tcPr>
          <w:p>
            <w:pPr>
              <w:ind w:left="440"/>
              <w:spacing w:after="0"/>
              <w:rPr>
                <w:sz w:val="20"/>
                <w:szCs w:val="20"/>
                <w:color w:val="auto"/>
              </w:rPr>
            </w:pPr>
            <w:r>
              <w:rPr>
                <w:rFonts w:ascii="Arial" w:cs="Arial" w:eastAsia="Arial" w:hAnsi="Arial"/>
                <w:sz w:val="11"/>
                <w:szCs w:val="11"/>
                <w:color w:val="auto"/>
              </w:rPr>
              <w:t>Share-based compensation</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68,693</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58,979</w:t>
            </w: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Provision for credit losses</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16,820</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8,951</w:t>
            </w:r>
          </w:p>
        </w:tc>
      </w:tr>
      <w:tr>
        <w:trPr>
          <w:trHeight w:val="145"/>
        </w:trPr>
        <w:tc>
          <w:tcPr>
            <w:tcW w:w="4740" w:type="dxa"/>
            <w:vAlign w:val="bottom"/>
            <w:shd w:val="clear" w:color="auto" w:fill="DBDBDB"/>
          </w:tcPr>
          <w:p>
            <w:pPr>
              <w:ind w:left="440"/>
              <w:spacing w:after="0"/>
              <w:rPr>
                <w:sz w:val="20"/>
                <w:szCs w:val="20"/>
                <w:color w:val="auto"/>
              </w:rPr>
            </w:pPr>
            <w:r>
              <w:rPr>
                <w:rFonts w:ascii="Arial" w:cs="Arial" w:eastAsia="Arial" w:hAnsi="Arial"/>
                <w:sz w:val="11"/>
                <w:szCs w:val="11"/>
                <w:color w:val="auto"/>
              </w:rPr>
              <w:t>Deferred benefit for income taxes</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4,773</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(349)</w:t>
            </w: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Change in estimated fair value of contingent consideration</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14,190</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9,579</w:t>
            </w:r>
          </w:p>
        </w:tc>
      </w:tr>
      <w:tr>
        <w:trPr>
          <w:trHeight w:val="145"/>
        </w:trPr>
        <w:tc>
          <w:tcPr>
            <w:tcW w:w="4740" w:type="dxa"/>
            <w:vAlign w:val="bottom"/>
            <w:shd w:val="clear" w:color="auto" w:fill="DBDBDB"/>
          </w:tcPr>
          <w:p>
            <w:pPr>
              <w:ind w:left="440"/>
              <w:spacing w:after="0"/>
              <w:rPr>
                <w:sz w:val="20"/>
                <w:szCs w:val="20"/>
                <w:color w:val="auto"/>
              </w:rPr>
            </w:pPr>
            <w:r>
              <w:rPr>
                <w:rFonts w:ascii="Arial" w:cs="Arial" w:eastAsia="Arial" w:hAnsi="Arial"/>
                <w:sz w:val="11"/>
                <w:szCs w:val="11"/>
                <w:color w:val="auto"/>
              </w:rPr>
              <w:t>Loan forgiveness</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435,975</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295,429</w:t>
            </w: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Other</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11,588</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5,218</w:t>
            </w:r>
          </w:p>
        </w:tc>
      </w:tr>
      <w:tr>
        <w:trPr>
          <w:trHeight w:val="145"/>
        </w:trPr>
        <w:tc>
          <w:tcPr>
            <w:tcW w:w="4740" w:type="dxa"/>
            <w:vAlign w:val="bottom"/>
            <w:shd w:val="clear" w:color="auto" w:fill="DBDBDB"/>
          </w:tcPr>
          <w:p>
            <w:pPr>
              <w:ind w:left="340"/>
              <w:spacing w:after="0"/>
              <w:rPr>
                <w:sz w:val="20"/>
                <w:szCs w:val="20"/>
                <w:color w:val="auto"/>
              </w:rPr>
            </w:pPr>
            <w:r>
              <w:rPr>
                <w:rFonts w:ascii="Arial" w:cs="Arial" w:eastAsia="Arial" w:hAnsi="Arial"/>
                <w:sz w:val="11"/>
                <w:szCs w:val="11"/>
                <w:color w:val="auto"/>
              </w:rPr>
              <w:t>Changes in operating assets and liabilities:</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Receivables from clients, net</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(316,180)</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(144,383)</w:t>
            </w:r>
          </w:p>
        </w:tc>
      </w:tr>
      <w:tr>
        <w:trPr>
          <w:trHeight w:val="145"/>
        </w:trPr>
        <w:tc>
          <w:tcPr>
            <w:tcW w:w="4740" w:type="dxa"/>
            <w:vAlign w:val="bottom"/>
            <w:shd w:val="clear" w:color="auto" w:fill="DBDBDB"/>
          </w:tcPr>
          <w:p>
            <w:pPr>
              <w:ind w:left="440"/>
              <w:spacing w:after="0"/>
              <w:rPr>
                <w:sz w:val="20"/>
                <w:szCs w:val="20"/>
                <w:color w:val="auto"/>
              </w:rPr>
            </w:pPr>
            <w:r>
              <w:rPr>
                <w:rFonts w:ascii="Arial" w:cs="Arial" w:eastAsia="Arial" w:hAnsi="Arial"/>
                <w:sz w:val="11"/>
                <w:szCs w:val="11"/>
                <w:color w:val="auto"/>
              </w:rPr>
              <w:t>Receivables from brokers, dealers and clearing organizations</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(39,818)</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(2,881)</w:t>
            </w: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Advisor loans, net</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(761,403)</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(1,565,992)</w:t>
            </w:r>
          </w:p>
        </w:tc>
      </w:tr>
      <w:tr>
        <w:trPr>
          <w:trHeight w:val="145"/>
        </w:trPr>
        <w:tc>
          <w:tcPr>
            <w:tcW w:w="4740" w:type="dxa"/>
            <w:vAlign w:val="bottom"/>
            <w:shd w:val="clear" w:color="auto" w:fill="DBDBDB"/>
          </w:tcPr>
          <w:p>
            <w:pPr>
              <w:ind w:left="440"/>
              <w:spacing w:after="0"/>
              <w:rPr>
                <w:sz w:val="20"/>
                <w:szCs w:val="20"/>
                <w:color w:val="auto"/>
              </w:rPr>
            </w:pPr>
            <w:r>
              <w:rPr>
                <w:rFonts w:ascii="Arial" w:cs="Arial" w:eastAsia="Arial" w:hAnsi="Arial"/>
                <w:sz w:val="11"/>
                <w:szCs w:val="11"/>
                <w:color w:val="auto"/>
              </w:rPr>
              <w:t>Other receivables, net</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(129,082)</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(136,921)</w:t>
            </w: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Investment securities - trading</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(61,709)</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(111,473)</w:t>
            </w:r>
          </w:p>
        </w:tc>
      </w:tr>
      <w:tr>
        <w:trPr>
          <w:trHeight w:val="145"/>
        </w:trPr>
        <w:tc>
          <w:tcPr>
            <w:tcW w:w="4740" w:type="dxa"/>
            <w:vAlign w:val="bottom"/>
            <w:shd w:val="clear" w:color="auto" w:fill="DBDBDB"/>
          </w:tcPr>
          <w:p>
            <w:pPr>
              <w:ind w:left="440"/>
              <w:spacing w:after="0"/>
              <w:rPr>
                <w:sz w:val="20"/>
                <w:szCs w:val="20"/>
                <w:color w:val="auto"/>
              </w:rPr>
            </w:pPr>
            <w:r>
              <w:rPr>
                <w:rFonts w:ascii="Arial" w:cs="Arial" w:eastAsia="Arial" w:hAnsi="Arial"/>
                <w:sz w:val="11"/>
                <w:szCs w:val="11"/>
                <w:color w:val="auto"/>
              </w:rPr>
              <w:t>Other assets</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(130,288)</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(238,013)</w:t>
            </w: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Client payables</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(51,369)</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97,378</w:t>
            </w:r>
          </w:p>
        </w:tc>
      </w:tr>
      <w:tr>
        <w:trPr>
          <w:trHeight w:val="145"/>
        </w:trPr>
        <w:tc>
          <w:tcPr>
            <w:tcW w:w="4740" w:type="dxa"/>
            <w:vAlign w:val="bottom"/>
            <w:shd w:val="clear" w:color="auto" w:fill="DBDBDB"/>
          </w:tcPr>
          <w:p>
            <w:pPr>
              <w:ind w:left="440"/>
              <w:spacing w:after="0"/>
              <w:rPr>
                <w:sz w:val="20"/>
                <w:szCs w:val="20"/>
                <w:color w:val="auto"/>
              </w:rPr>
            </w:pPr>
            <w:r>
              <w:rPr>
                <w:rFonts w:ascii="Arial" w:cs="Arial" w:eastAsia="Arial" w:hAnsi="Arial"/>
                <w:sz w:val="11"/>
                <w:szCs w:val="11"/>
                <w:color w:val="auto"/>
              </w:rPr>
              <w:t>Payables to brokers, dealers and clearing organizations</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66,535</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66,500</w:t>
            </w: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Accrued advisory and commission expenses payable</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41,418</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17,028</w:t>
            </w:r>
          </w:p>
        </w:tc>
      </w:tr>
      <w:tr>
        <w:trPr>
          <w:trHeight w:val="145"/>
        </w:trPr>
        <w:tc>
          <w:tcPr>
            <w:tcW w:w="4740" w:type="dxa"/>
            <w:vAlign w:val="bottom"/>
            <w:shd w:val="clear" w:color="auto" w:fill="DBDBDB"/>
          </w:tcPr>
          <w:p>
            <w:pPr>
              <w:ind w:left="440"/>
              <w:spacing w:after="0"/>
              <w:rPr>
                <w:sz w:val="20"/>
                <w:szCs w:val="20"/>
                <w:color w:val="auto"/>
              </w:rPr>
            </w:pPr>
            <w:r>
              <w:rPr>
                <w:rFonts w:ascii="Arial" w:cs="Arial" w:eastAsia="Arial" w:hAnsi="Arial"/>
                <w:sz w:val="11"/>
                <w:szCs w:val="11"/>
                <w:color w:val="auto"/>
              </w:rPr>
              <w:t>Accounts payable and accrued liabilities</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(59,182)</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110,802</w:t>
            </w:r>
          </w:p>
        </w:tc>
      </w:tr>
      <w:tr>
        <w:trPr>
          <w:trHeight w:val="143"/>
        </w:trPr>
        <w:tc>
          <w:tcPr>
            <w:tcW w:w="4740" w:type="dxa"/>
            <w:vAlign w:val="bottom"/>
          </w:tcPr>
          <w:p>
            <w:pPr>
              <w:ind w:left="440"/>
              <w:spacing w:after="0"/>
              <w:rPr>
                <w:sz w:val="20"/>
                <w:szCs w:val="20"/>
                <w:color w:val="auto"/>
              </w:rPr>
            </w:pPr>
            <w:r>
              <w:rPr>
                <w:rFonts w:ascii="Arial" w:cs="Arial" w:eastAsia="Arial" w:hAnsi="Arial"/>
                <w:sz w:val="11"/>
                <w:szCs w:val="11"/>
                <w:color w:val="auto"/>
              </w:rPr>
              <w:t>Other liabilities</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238,904</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(688,300)</w:t>
            </w:r>
          </w:p>
        </w:tc>
      </w:tr>
      <w:tr>
        <w:trPr>
          <w:trHeight w:val="145"/>
        </w:trPr>
        <w:tc>
          <w:tcPr>
            <w:tcW w:w="4740" w:type="dxa"/>
            <w:vAlign w:val="bottom"/>
            <w:shd w:val="clear" w:color="auto" w:fill="DBDBDB"/>
          </w:tcPr>
          <w:p>
            <w:pPr>
              <w:ind w:left="440"/>
              <w:spacing w:after="0"/>
              <w:rPr>
                <w:sz w:val="20"/>
                <w:szCs w:val="20"/>
                <w:color w:val="auto"/>
              </w:rPr>
            </w:pPr>
            <w:r>
              <w:rPr>
                <w:rFonts w:ascii="Arial" w:cs="Arial" w:eastAsia="Arial" w:hAnsi="Arial"/>
                <w:sz w:val="11"/>
                <w:szCs w:val="11"/>
                <w:color w:val="auto"/>
              </w:rPr>
              <w:t>Operating leases</w:t>
            </w:r>
          </w:p>
        </w:tc>
        <w:tc>
          <w:tcPr>
            <w:tcW w:w="3280" w:type="dxa"/>
            <w:vAlign w:val="bottom"/>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(6,824)</w:t>
            </w:r>
          </w:p>
        </w:tc>
        <w:tc>
          <w:tcPr>
            <w:tcW w:w="1000" w:type="dxa"/>
            <w:vAlign w:val="bottom"/>
            <w:tcBorders>
              <w:bottom w:val="single" w:sz="8" w:color="auto"/>
            </w:tcBorders>
            <w:shd w:val="clear" w:color="auto" w:fill="DBDBDB"/>
          </w:tcPr>
          <w:p>
            <w:pPr>
              <w:spacing w:after="0"/>
              <w:rPr>
                <w:sz w:val="12"/>
                <w:szCs w:val="12"/>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(1,007)</w:t>
            </w:r>
          </w:p>
        </w:tc>
      </w:tr>
      <w:tr>
        <w:trPr>
          <w:trHeight w:val="124"/>
        </w:trPr>
        <w:tc>
          <w:tcPr>
            <w:tcW w:w="4740" w:type="dxa"/>
            <w:vAlign w:val="bottom"/>
            <w:tcBorders>
              <w:bottom w:val="single" w:sz="8" w:color="DBDBDB"/>
            </w:tcBorders>
          </w:tcPr>
          <w:p>
            <w:pPr>
              <w:ind w:left="340"/>
              <w:spacing w:after="0" w:line="122" w:lineRule="exact"/>
              <w:rPr>
                <w:sz w:val="20"/>
                <w:szCs w:val="20"/>
                <w:color w:val="auto"/>
              </w:rPr>
            </w:pPr>
            <w:r>
              <w:rPr>
                <w:rFonts w:ascii="Arial" w:cs="Arial" w:eastAsia="Arial" w:hAnsi="Arial"/>
                <w:sz w:val="11"/>
                <w:szCs w:val="11"/>
                <w:color w:val="auto"/>
              </w:rPr>
              <w:t>Net cash provided by (used in) operating activities</w:t>
            </w:r>
          </w:p>
        </w:tc>
        <w:tc>
          <w:tcPr>
            <w:tcW w:w="3280" w:type="dxa"/>
            <w:vAlign w:val="bottom"/>
            <w:tcBorders>
              <w:bottom w:val="single" w:sz="8" w:color="DBDBDB"/>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989,498</w:t>
            </w:r>
          </w:p>
        </w:tc>
        <w:tc>
          <w:tcPr>
            <w:tcW w:w="10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(1,196,415)</w:t>
            </w:r>
          </w:p>
        </w:tc>
      </w:tr>
      <w:tr>
        <w:trPr>
          <w:trHeight w:val="124"/>
        </w:trPr>
        <w:tc>
          <w:tcPr>
            <w:tcW w:w="4740" w:type="dxa"/>
            <w:vAlign w:val="bottom"/>
            <w:shd w:val="clear" w:color="auto" w:fill="DBDBDB"/>
          </w:tcPr>
          <w:p>
            <w:pPr>
              <w:ind w:left="40"/>
              <w:spacing w:after="0" w:line="122" w:lineRule="exact"/>
              <w:rPr>
                <w:sz w:val="20"/>
                <w:szCs w:val="20"/>
                <w:color w:val="auto"/>
              </w:rPr>
            </w:pPr>
            <w:r>
              <w:rPr>
                <w:rFonts w:ascii="Arial" w:cs="Arial" w:eastAsia="Arial" w:hAnsi="Arial"/>
                <w:sz w:val="11"/>
                <w:szCs w:val="11"/>
                <w:color w:val="auto"/>
              </w:rPr>
              <w:t>CASH FLOWS FROM INVESTING ACTIVITIES:</w:t>
            </w:r>
          </w:p>
        </w:tc>
        <w:tc>
          <w:tcPr>
            <w:tcW w:w="328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60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Capital expenditures</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(594,897)</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(398,695)</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Acquisitions, net of cash acquired</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(336,295)</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(1,730,077)</w:t>
            </w: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Purchases of securities classified as held-to-maturity</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(3,712)</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(3,753)</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Proceeds from maturities of securities classified as held-to-maturity</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4,250</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3,850</w:t>
            </w:r>
          </w:p>
        </w:tc>
      </w:tr>
      <w:tr>
        <w:trPr>
          <w:trHeight w:val="143"/>
        </w:trPr>
        <w:tc>
          <w:tcPr>
            <w:tcW w:w="4740" w:type="dxa"/>
            <w:vAlign w:val="bottom"/>
          </w:tcPr>
          <w:p>
            <w:pPr>
              <w:ind w:left="220"/>
              <w:spacing w:after="0"/>
              <w:rPr>
                <w:sz w:val="20"/>
                <w:szCs w:val="20"/>
                <w:color w:val="auto"/>
              </w:rPr>
            </w:pPr>
            <w:r>
              <w:rPr>
                <w:rFonts w:ascii="Arial" w:cs="Arial" w:eastAsia="Arial" w:hAnsi="Arial"/>
                <w:sz w:val="11"/>
                <w:szCs w:val="11"/>
                <w:color w:val="auto"/>
              </w:rPr>
              <w:t>Purchases of other investments</w:t>
            </w:r>
          </w:p>
        </w:tc>
        <w:tc>
          <w:tcPr>
            <w:tcW w:w="3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(20,164)</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5"/>
        </w:trPr>
        <w:tc>
          <w:tcPr>
            <w:tcW w:w="47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Proceeds from sale of other investments</w:t>
            </w:r>
          </w:p>
        </w:tc>
        <w:tc>
          <w:tcPr>
            <w:tcW w:w="3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400</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Capitalized interest</w:t>
            </w:r>
          </w:p>
        </w:tc>
        <w:tc>
          <w:tcPr>
            <w:tcW w:w="3280" w:type="dxa"/>
            <w:vAlign w:val="bottom"/>
            <w:tcBorders>
              <w:bottom w:val="single" w:sz="8" w:color="DBDBDB"/>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(8,369)</w:t>
            </w:r>
          </w:p>
        </w:tc>
        <w:tc>
          <w:tcPr>
            <w:tcW w:w="10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(4,509)</w:t>
            </w:r>
          </w:p>
        </w:tc>
      </w:tr>
      <w:tr>
        <w:trPr>
          <w:trHeight w:val="125"/>
        </w:trPr>
        <w:tc>
          <w:tcPr>
            <w:tcW w:w="4740" w:type="dxa"/>
            <w:vAlign w:val="bottom"/>
            <w:shd w:val="clear" w:color="auto" w:fill="DBDBDB"/>
          </w:tcPr>
          <w:p>
            <w:pPr>
              <w:ind w:left="340"/>
              <w:spacing w:after="0" w:line="123" w:lineRule="exact"/>
              <w:rPr>
                <w:sz w:val="20"/>
                <w:szCs w:val="20"/>
                <w:color w:val="auto"/>
              </w:rPr>
            </w:pPr>
            <w:r>
              <w:rPr>
                <w:rFonts w:ascii="Arial" w:cs="Arial" w:eastAsia="Arial" w:hAnsi="Arial"/>
                <w:sz w:val="11"/>
                <w:szCs w:val="11"/>
                <w:color w:val="auto"/>
              </w:rPr>
              <w:t>Net cash used in investing activities</w:t>
            </w:r>
          </w:p>
        </w:tc>
        <w:tc>
          <w:tcPr>
            <w:tcW w:w="328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600" w:type="dxa"/>
            <w:vAlign w:val="bottom"/>
            <w:shd w:val="clear" w:color="auto" w:fill="DBDBDB"/>
          </w:tcPr>
          <w:p>
            <w:pPr>
              <w:jc w:val="right"/>
              <w:spacing w:after="0" w:line="125" w:lineRule="exact"/>
              <w:rPr>
                <w:sz w:val="20"/>
                <w:szCs w:val="20"/>
                <w:color w:val="auto"/>
              </w:rPr>
            </w:pPr>
            <w:r>
              <w:rPr>
                <w:rFonts w:ascii="Arial" w:cs="Arial" w:eastAsia="Arial" w:hAnsi="Arial"/>
                <w:sz w:val="11"/>
                <w:szCs w:val="11"/>
                <w:color w:val="auto"/>
              </w:rPr>
              <w:t>(958,787)</w:t>
            </w:r>
          </w:p>
        </w:tc>
        <w:tc>
          <w:tcPr>
            <w:tcW w:w="1000" w:type="dxa"/>
            <w:vAlign w:val="bottom"/>
            <w:shd w:val="clear" w:color="auto" w:fill="DBDBDB"/>
          </w:tcPr>
          <w:p>
            <w:pPr>
              <w:spacing w:after="0"/>
              <w:rPr>
                <w:sz w:val="10"/>
                <w:szCs w:val="10"/>
                <w:color w:val="auto"/>
              </w:rPr>
            </w:pPr>
          </w:p>
        </w:tc>
        <w:tc>
          <w:tcPr>
            <w:tcW w:w="640" w:type="dxa"/>
            <w:vAlign w:val="bottom"/>
            <w:shd w:val="clear" w:color="auto" w:fill="DBDBDB"/>
          </w:tcPr>
          <w:p>
            <w:pPr>
              <w:jc w:val="right"/>
              <w:spacing w:after="0" w:line="125" w:lineRule="exact"/>
              <w:rPr>
                <w:sz w:val="20"/>
                <w:szCs w:val="20"/>
                <w:color w:val="auto"/>
              </w:rPr>
            </w:pPr>
            <w:r>
              <w:rPr>
                <w:rFonts w:ascii="Arial" w:cs="Arial" w:eastAsia="Arial" w:hAnsi="Arial"/>
                <w:sz w:val="11"/>
                <w:szCs w:val="11"/>
                <w:color w:val="auto"/>
              </w:rPr>
              <w:t>(2,133,184)</w:t>
            </w:r>
          </w:p>
        </w:tc>
      </w:tr>
      <w:tr>
        <w:trPr>
          <w:trHeight w:val="142"/>
        </w:trPr>
        <w:tc>
          <w:tcPr>
            <w:tcW w:w="4740" w:type="dxa"/>
            <w:vAlign w:val="bottom"/>
          </w:tcPr>
          <w:p>
            <w:pPr>
              <w:spacing w:after="0"/>
              <w:rPr>
                <w:sz w:val="12"/>
                <w:szCs w:val="12"/>
                <w:color w:val="auto"/>
              </w:rPr>
            </w:pPr>
          </w:p>
        </w:tc>
        <w:tc>
          <w:tcPr>
            <w:tcW w:w="4300" w:type="dxa"/>
            <w:vAlign w:val="bottom"/>
            <w:gridSpan w:val="2"/>
          </w:tcPr>
          <w:p>
            <w:pPr>
              <w:jc w:val="right"/>
              <w:ind w:right="2666"/>
              <w:spacing w:after="0"/>
              <w:rPr>
                <w:sz w:val="20"/>
                <w:szCs w:val="20"/>
                <w:color w:val="auto"/>
              </w:rPr>
            </w:pPr>
            <w:r>
              <w:rPr>
                <w:rFonts w:ascii="Arial" w:cs="Arial" w:eastAsia="Arial" w:hAnsi="Arial"/>
                <w:sz w:val="11"/>
                <w:szCs w:val="11"/>
                <w:color w:val="auto"/>
              </w:rPr>
              <w:t>Continued on following page</w:t>
            </w: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7" w:name="page28"/>
    <w:bookmarkEnd w:id="27"/>
    <w:p>
      <w:pPr>
        <w:spacing w:after="0"/>
        <w:rPr>
          <w:sz w:val="20"/>
          <w:szCs w:val="20"/>
          <w:color w:val="auto"/>
        </w:rPr>
      </w:pPr>
      <w:r>
        <w:rPr>
          <w:rFonts w:ascii="Arial" w:cs="Arial" w:eastAsia="Arial" w:hAnsi="Arial"/>
          <w:sz w:val="12"/>
          <w:szCs w:val="12"/>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020" w:type="dxa"/>
            <w:vAlign w:val="bottom"/>
          </w:tcPr>
          <w:p>
            <w:pPr>
              <w:spacing w:after="0"/>
              <w:rPr>
                <w:sz w:val="11"/>
                <w:szCs w:val="11"/>
                <w:color w:val="auto"/>
              </w:rPr>
            </w:pPr>
          </w:p>
        </w:tc>
        <w:tc>
          <w:tcPr>
            <w:tcW w:w="262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1"/>
                <w:szCs w:val="11"/>
                <w:b w:val="1"/>
                <w:bCs w:val="1"/>
                <w:color w:val="auto"/>
              </w:rPr>
              <w:t>Nine Months Ended September 30,</w:t>
            </w: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tcBorders>
              <w:bottom w:val="single" w:sz="8" w:color="DBDBDB"/>
            </w:tcBorders>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2026</w:t>
            </w:r>
          </w:p>
        </w:tc>
        <w:tc>
          <w:tcPr>
            <w:tcW w:w="6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020" w:type="dxa"/>
            <w:vAlign w:val="bottom"/>
            <w:shd w:val="clear" w:color="auto" w:fill="DBDBDB"/>
          </w:tcPr>
          <w:p>
            <w:pPr>
              <w:ind w:left="40"/>
              <w:spacing w:after="0" w:line="122" w:lineRule="exact"/>
              <w:rPr>
                <w:sz w:val="20"/>
                <w:szCs w:val="20"/>
                <w:color w:val="auto"/>
              </w:rPr>
            </w:pPr>
            <w:r>
              <w:rPr>
                <w:rFonts w:ascii="Arial" w:cs="Arial" w:eastAsia="Arial" w:hAnsi="Arial"/>
                <w:sz w:val="11"/>
                <w:szCs w:val="11"/>
                <w:color w:val="auto"/>
              </w:rPr>
              <w:t>CASH FLOWS FROM FINANCING ACTIVITIES:</w:t>
            </w:r>
          </w:p>
        </w:tc>
        <w:tc>
          <w:tcPr>
            <w:tcW w:w="1000" w:type="dxa"/>
            <w:vAlign w:val="bottom"/>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20" w:type="dxa"/>
            <w:vAlign w:val="bottom"/>
          </w:tcPr>
          <w:p>
            <w:pPr>
              <w:ind w:left="220"/>
              <w:spacing w:after="0"/>
              <w:rPr>
                <w:sz w:val="20"/>
                <w:szCs w:val="20"/>
                <w:color w:val="auto"/>
              </w:rPr>
            </w:pPr>
            <w:r>
              <w:rPr>
                <w:rFonts w:ascii="Arial" w:cs="Arial" w:eastAsia="Arial" w:hAnsi="Arial"/>
                <w:sz w:val="11"/>
                <w:szCs w:val="11"/>
                <w:color w:val="auto"/>
              </w:rPr>
              <w:t>Proceeds from revolving credit facilities</w:t>
            </w:r>
          </w:p>
        </w:tc>
        <w:tc>
          <w:tcPr>
            <w:tcW w:w="10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1,640,000</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613,000</w:t>
            </w: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Repayments of revolving credit facilities</w:t>
            </w:r>
          </w:p>
        </w:tc>
        <w:tc>
          <w:tcPr>
            <w:tcW w:w="100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(1,103,000)</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(1,316,000)</w:t>
            </w:r>
          </w:p>
        </w:tc>
        <w:tc>
          <w:tcPr>
            <w:tcW w:w="0" w:type="dxa"/>
            <w:vAlign w:val="bottom"/>
          </w:tcPr>
          <w:p>
            <w:pPr>
              <w:spacing w:after="0"/>
              <w:rPr>
                <w:sz w:val="1"/>
                <w:szCs w:val="1"/>
                <w:color w:val="auto"/>
              </w:rPr>
            </w:pPr>
          </w:p>
        </w:tc>
      </w:tr>
      <w:tr>
        <w:trPr>
          <w:trHeight w:val="143"/>
        </w:trPr>
        <w:tc>
          <w:tcPr>
            <w:tcW w:w="8020" w:type="dxa"/>
            <w:vAlign w:val="bottom"/>
          </w:tcPr>
          <w:p>
            <w:pPr>
              <w:ind w:left="220"/>
              <w:spacing w:after="0"/>
              <w:rPr>
                <w:sz w:val="20"/>
                <w:szCs w:val="20"/>
                <w:color w:val="auto"/>
              </w:rPr>
            </w:pPr>
            <w:r>
              <w:rPr>
                <w:rFonts w:ascii="Arial" w:cs="Arial" w:eastAsia="Arial" w:hAnsi="Arial"/>
                <w:sz w:val="11"/>
                <w:szCs w:val="11"/>
                <w:color w:val="auto"/>
              </w:rPr>
              <w:t>Proceeds from senior unsecured notes</w:t>
            </w:r>
          </w:p>
        </w:tc>
        <w:tc>
          <w:tcPr>
            <w:tcW w:w="10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2,744,930</w:t>
            </w: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Payment of debt issuance costs</w:t>
            </w:r>
          </w:p>
        </w:tc>
        <w:tc>
          <w:tcPr>
            <w:tcW w:w="100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(1,173)</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(31,036)</w:t>
            </w:r>
          </w:p>
        </w:tc>
        <w:tc>
          <w:tcPr>
            <w:tcW w:w="0" w:type="dxa"/>
            <w:vAlign w:val="bottom"/>
          </w:tcPr>
          <w:p>
            <w:pPr>
              <w:spacing w:after="0"/>
              <w:rPr>
                <w:sz w:val="1"/>
                <w:szCs w:val="1"/>
                <w:color w:val="auto"/>
              </w:rPr>
            </w:pPr>
          </w:p>
        </w:tc>
      </w:tr>
      <w:tr>
        <w:trPr>
          <w:trHeight w:val="143"/>
        </w:trPr>
        <w:tc>
          <w:tcPr>
            <w:tcW w:w="8020" w:type="dxa"/>
            <w:vAlign w:val="bottom"/>
          </w:tcPr>
          <w:p>
            <w:pPr>
              <w:ind w:left="220"/>
              <w:spacing w:after="0"/>
              <w:rPr>
                <w:sz w:val="20"/>
                <w:szCs w:val="20"/>
                <w:color w:val="auto"/>
              </w:rPr>
            </w:pPr>
            <w:r>
              <w:rPr>
                <w:rFonts w:ascii="Arial" w:cs="Arial" w:eastAsia="Arial" w:hAnsi="Arial"/>
                <w:sz w:val="11"/>
                <w:szCs w:val="11"/>
                <w:color w:val="auto"/>
              </w:rPr>
              <w:t>Payment of contingent consideration</w:t>
            </w:r>
          </w:p>
        </w:tc>
        <w:tc>
          <w:tcPr>
            <w:tcW w:w="10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(29,438)</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(34,895)</w:t>
            </w: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Tax payments related to settlement of restricted stock units</w:t>
            </w:r>
          </w:p>
        </w:tc>
        <w:tc>
          <w:tcPr>
            <w:tcW w:w="100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(21,247)</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(32,648)</w:t>
            </w:r>
          </w:p>
        </w:tc>
        <w:tc>
          <w:tcPr>
            <w:tcW w:w="0" w:type="dxa"/>
            <w:vAlign w:val="bottom"/>
          </w:tcPr>
          <w:p>
            <w:pPr>
              <w:spacing w:after="0"/>
              <w:rPr>
                <w:sz w:val="1"/>
                <w:szCs w:val="1"/>
                <w:color w:val="auto"/>
              </w:rPr>
            </w:pPr>
          </w:p>
        </w:tc>
      </w:tr>
      <w:tr>
        <w:trPr>
          <w:trHeight w:val="143"/>
        </w:trPr>
        <w:tc>
          <w:tcPr>
            <w:tcW w:w="8020" w:type="dxa"/>
            <w:vAlign w:val="bottom"/>
          </w:tcPr>
          <w:p>
            <w:pPr>
              <w:ind w:left="220"/>
              <w:spacing w:after="0"/>
              <w:rPr>
                <w:sz w:val="20"/>
                <w:szCs w:val="20"/>
                <w:color w:val="auto"/>
              </w:rPr>
            </w:pPr>
            <w:r>
              <w:rPr>
                <w:rFonts w:ascii="Arial" w:cs="Arial" w:eastAsia="Arial" w:hAnsi="Arial"/>
                <w:sz w:val="11"/>
                <w:szCs w:val="11"/>
                <w:color w:val="auto"/>
              </w:rPr>
              <w:t>Proceeds from issuance of common stock</w:t>
            </w:r>
          </w:p>
        </w:tc>
        <w:tc>
          <w:tcPr>
            <w:tcW w:w="10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1,725,000</w:t>
            </w: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Payment of equity issuance costs</w:t>
            </w:r>
          </w:p>
        </w:tc>
        <w:tc>
          <w:tcPr>
            <w:tcW w:w="100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(47,779)</w:t>
            </w:r>
          </w:p>
        </w:tc>
        <w:tc>
          <w:tcPr>
            <w:tcW w:w="0" w:type="dxa"/>
            <w:vAlign w:val="bottom"/>
          </w:tcPr>
          <w:p>
            <w:pPr>
              <w:spacing w:after="0"/>
              <w:rPr>
                <w:sz w:val="1"/>
                <w:szCs w:val="1"/>
                <w:color w:val="auto"/>
              </w:rPr>
            </w:pPr>
          </w:p>
        </w:tc>
      </w:tr>
      <w:tr>
        <w:trPr>
          <w:trHeight w:val="143"/>
        </w:trPr>
        <w:tc>
          <w:tcPr>
            <w:tcW w:w="8020" w:type="dxa"/>
            <w:vAlign w:val="bottom"/>
          </w:tcPr>
          <w:p>
            <w:pPr>
              <w:ind w:left="220"/>
              <w:spacing w:after="0"/>
              <w:rPr>
                <w:sz w:val="20"/>
                <w:szCs w:val="20"/>
                <w:color w:val="auto"/>
              </w:rPr>
            </w:pPr>
            <w:r>
              <w:rPr>
                <w:rFonts w:ascii="Arial" w:cs="Arial" w:eastAsia="Arial" w:hAnsi="Arial"/>
                <w:sz w:val="11"/>
                <w:szCs w:val="11"/>
                <w:color w:val="auto"/>
              </w:rPr>
              <w:t>Repurchase of common stock</w:t>
            </w:r>
          </w:p>
        </w:tc>
        <w:tc>
          <w:tcPr>
            <w:tcW w:w="10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(610,039)</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(100,004)</w:t>
            </w: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Dividends on common stock</w:t>
            </w:r>
          </w:p>
        </w:tc>
        <w:tc>
          <w:tcPr>
            <w:tcW w:w="100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(71,630)</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(70,395)</w:t>
            </w:r>
          </w:p>
        </w:tc>
        <w:tc>
          <w:tcPr>
            <w:tcW w:w="0" w:type="dxa"/>
            <w:vAlign w:val="bottom"/>
          </w:tcPr>
          <w:p>
            <w:pPr>
              <w:spacing w:after="0"/>
              <w:rPr>
                <w:sz w:val="1"/>
                <w:szCs w:val="1"/>
                <w:color w:val="auto"/>
              </w:rPr>
            </w:pPr>
          </w:p>
        </w:tc>
      </w:tr>
      <w:tr>
        <w:trPr>
          <w:trHeight w:val="143"/>
        </w:trPr>
        <w:tc>
          <w:tcPr>
            <w:tcW w:w="8020" w:type="dxa"/>
            <w:vAlign w:val="bottom"/>
          </w:tcPr>
          <w:p>
            <w:pPr>
              <w:ind w:left="220"/>
              <w:spacing w:after="0"/>
              <w:rPr>
                <w:sz w:val="20"/>
                <w:szCs w:val="20"/>
                <w:color w:val="auto"/>
              </w:rPr>
            </w:pPr>
            <w:r>
              <w:rPr>
                <w:rFonts w:ascii="Arial" w:cs="Arial" w:eastAsia="Arial" w:hAnsi="Arial"/>
                <w:sz w:val="11"/>
                <w:szCs w:val="11"/>
                <w:color w:val="auto"/>
              </w:rPr>
              <w:t>Proceeds from stock option exercises and other</w:t>
            </w:r>
          </w:p>
        </w:tc>
        <w:tc>
          <w:tcPr>
            <w:tcW w:w="10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15,285</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16,878</w:t>
            </w: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Principal payment of financing obligation</w:t>
            </w:r>
          </w:p>
        </w:tc>
        <w:tc>
          <w:tcPr>
            <w:tcW w:w="100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(1,132)</w:t>
            </w: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(559)</w:t>
            </w:r>
          </w:p>
        </w:tc>
        <w:tc>
          <w:tcPr>
            <w:tcW w:w="0" w:type="dxa"/>
            <w:vAlign w:val="bottom"/>
          </w:tcPr>
          <w:p>
            <w:pPr>
              <w:spacing w:after="0"/>
              <w:rPr>
                <w:sz w:val="1"/>
                <w:szCs w:val="1"/>
                <w:color w:val="auto"/>
              </w:rPr>
            </w:pPr>
          </w:p>
        </w:tc>
      </w:tr>
      <w:tr>
        <w:trPr>
          <w:trHeight w:val="143"/>
        </w:trPr>
        <w:tc>
          <w:tcPr>
            <w:tcW w:w="802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Principal payment of finance leases and obligations</w:t>
            </w: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134"/>
        </w:trPr>
        <w:tc>
          <w:tcPr>
            <w:tcW w:w="8020" w:type="dxa"/>
            <w:vAlign w:val="bottom"/>
            <w:shd w:val="clear" w:color="auto" w:fill="DBDBDB"/>
          </w:tcPr>
          <w:p>
            <w:pPr>
              <w:ind w:left="340"/>
              <w:spacing w:after="0"/>
              <w:rPr>
                <w:sz w:val="20"/>
                <w:szCs w:val="20"/>
                <w:color w:val="auto"/>
              </w:rPr>
            </w:pPr>
            <w:r>
              <w:rPr>
                <w:rFonts w:ascii="Arial" w:cs="Arial" w:eastAsia="Arial" w:hAnsi="Arial"/>
                <w:sz w:val="11"/>
                <w:szCs w:val="11"/>
                <w:color w:val="auto"/>
              </w:rPr>
              <w:t>Net cash (used in) provided by financing activities</w:t>
            </w:r>
          </w:p>
        </w:tc>
        <w:tc>
          <w:tcPr>
            <w:tcW w:w="1000" w:type="dxa"/>
            <w:vAlign w:val="bottom"/>
            <w:tcBorders>
              <w:bottom w:val="single" w:sz="8" w:color="auto"/>
            </w:tcBorders>
            <w:shd w:val="clear" w:color="auto" w:fill="DBDBDB"/>
          </w:tcPr>
          <w:p>
            <w:pPr>
              <w:spacing w:after="0"/>
              <w:rPr>
                <w:sz w:val="11"/>
                <w:szCs w:val="11"/>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(182,374)</w:t>
            </w:r>
          </w:p>
        </w:tc>
        <w:tc>
          <w:tcPr>
            <w:tcW w:w="1000" w:type="dxa"/>
            <w:vAlign w:val="bottom"/>
            <w:tcBorders>
              <w:bottom w:val="single" w:sz="8" w:color="auto"/>
            </w:tcBorders>
            <w:shd w:val="clear" w:color="auto" w:fill="DBDBDB"/>
          </w:tcPr>
          <w:p>
            <w:pPr>
              <w:spacing w:after="0"/>
              <w:rPr>
                <w:sz w:val="11"/>
                <w:szCs w:val="11"/>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3,466,283</w:t>
            </w:r>
          </w:p>
        </w:tc>
        <w:tc>
          <w:tcPr>
            <w:tcW w:w="0" w:type="dxa"/>
            <w:vAlign w:val="bottom"/>
          </w:tcPr>
          <w:p>
            <w:pPr>
              <w:spacing w:after="0"/>
              <w:rPr>
                <w:sz w:val="1"/>
                <w:szCs w:val="1"/>
                <w:color w:val="auto"/>
              </w:rPr>
            </w:pPr>
          </w:p>
        </w:tc>
      </w:tr>
      <w:tr>
        <w:trPr>
          <w:trHeight w:val="88"/>
        </w:trPr>
        <w:tc>
          <w:tcPr>
            <w:tcW w:w="8020" w:type="dxa"/>
            <w:vAlign w:val="bottom"/>
          </w:tcPr>
          <w:p>
            <w:pPr>
              <w:ind w:left="40"/>
              <w:spacing w:after="0" w:line="89" w:lineRule="exact"/>
              <w:rPr>
                <w:sz w:val="20"/>
                <w:szCs w:val="20"/>
                <w:color w:val="auto"/>
              </w:rPr>
            </w:pPr>
            <w:r>
              <w:rPr>
                <w:rFonts w:ascii="Arial" w:cs="Arial" w:eastAsia="Arial" w:hAnsi="Arial"/>
                <w:sz w:val="10"/>
                <w:szCs w:val="10"/>
                <w:color w:val="auto"/>
              </w:rPr>
              <w:t>NET (DECREASE) INCREASE IN CASH AND EQUIVALENTS, CASH AND EQUIVALENTS SEGREGATED UNDER FEDERAL OR OTHER REGULATIONS AND</w:t>
            </w:r>
          </w:p>
        </w:tc>
        <w:tc>
          <w:tcPr>
            <w:tcW w:w="10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(151,663)</w:t>
            </w:r>
          </w:p>
        </w:tc>
        <w:tc>
          <w:tcPr>
            <w:tcW w:w="100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136,684</w:t>
            </w:r>
          </w:p>
        </w:tc>
        <w:tc>
          <w:tcPr>
            <w:tcW w:w="0" w:type="dxa"/>
            <w:vAlign w:val="bottom"/>
          </w:tcPr>
          <w:p>
            <w:pPr>
              <w:spacing w:after="0"/>
              <w:rPr>
                <w:sz w:val="1"/>
                <w:szCs w:val="1"/>
                <w:color w:val="auto"/>
              </w:rPr>
            </w:pPr>
          </w:p>
        </w:tc>
      </w:tr>
      <w:tr>
        <w:trPr>
          <w:trHeight w:val="143"/>
        </w:trPr>
        <w:tc>
          <w:tcPr>
            <w:tcW w:w="8020" w:type="dxa"/>
            <w:vAlign w:val="bottom"/>
          </w:tcPr>
          <w:p>
            <w:pPr>
              <w:ind w:left="40"/>
              <w:spacing w:after="0"/>
              <w:rPr>
                <w:sz w:val="20"/>
                <w:szCs w:val="20"/>
                <w:color w:val="auto"/>
              </w:rPr>
            </w:pPr>
            <w:r>
              <w:rPr>
                <w:rFonts w:ascii="Arial" w:cs="Arial" w:eastAsia="Arial" w:hAnsi="Arial"/>
                <w:sz w:val="11"/>
                <w:szCs w:val="11"/>
                <w:color w:val="auto"/>
              </w:rPr>
              <w:t>RESTRICTED CASH</w:t>
            </w:r>
          </w:p>
        </w:tc>
        <w:tc>
          <w:tcPr>
            <w:tcW w:w="10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8020" w:type="dxa"/>
            <w:vAlign w:val="bottom"/>
            <w:shd w:val="clear" w:color="auto" w:fill="DBDBDB"/>
          </w:tcPr>
          <w:p>
            <w:pPr>
              <w:ind w:left="40"/>
              <w:spacing w:after="0" w:line="110" w:lineRule="exact"/>
              <w:rPr>
                <w:sz w:val="20"/>
                <w:szCs w:val="20"/>
                <w:color w:val="auto"/>
              </w:rPr>
            </w:pPr>
            <w:r>
              <w:rPr>
                <w:rFonts w:ascii="Arial" w:cs="Arial" w:eastAsia="Arial" w:hAnsi="Arial"/>
                <w:sz w:val="11"/>
                <w:szCs w:val="11"/>
                <w:color w:val="auto"/>
                <w:w w:val="98"/>
              </w:rPr>
              <w:t>CASH AND EQUIVALENTS, CASH AND EQUIVALENTS SEGREGATED UNDER FEDERAL OR OTHER REGULATIONS AND RESTRICTED CASH — Beginning of</w:t>
            </w:r>
          </w:p>
        </w:tc>
        <w:tc>
          <w:tcPr>
            <w:tcW w:w="1000" w:type="dxa"/>
            <w:vAlign w:val="bottom"/>
            <w:shd w:val="clear" w:color="auto" w:fill="DBDBDB"/>
          </w:tcPr>
          <w:p>
            <w:pPr>
              <w:spacing w:after="0"/>
              <w:rPr>
                <w:sz w:val="9"/>
                <w:szCs w:val="9"/>
                <w:color w:val="auto"/>
              </w:rPr>
            </w:pP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3,054,740</w:t>
            </w:r>
          </w:p>
        </w:tc>
        <w:tc>
          <w:tcPr>
            <w:tcW w:w="1000" w:type="dxa"/>
            <w:vAlign w:val="bottom"/>
            <w:shd w:val="clear" w:color="auto" w:fill="DBDBDB"/>
          </w:tcPr>
          <w:p>
            <w:pPr>
              <w:spacing w:after="0"/>
              <w:rPr>
                <w:sz w:val="9"/>
                <w:szCs w:val="9"/>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2,684,052</w:t>
            </w:r>
          </w:p>
        </w:tc>
        <w:tc>
          <w:tcPr>
            <w:tcW w:w="0" w:type="dxa"/>
            <w:vAlign w:val="bottom"/>
          </w:tcPr>
          <w:p>
            <w:pPr>
              <w:spacing w:after="0"/>
              <w:rPr>
                <w:sz w:val="1"/>
                <w:szCs w:val="1"/>
                <w:color w:val="auto"/>
              </w:rPr>
            </w:pPr>
          </w:p>
        </w:tc>
      </w:tr>
      <w:tr>
        <w:trPr>
          <w:trHeight w:val="143"/>
        </w:trPr>
        <w:tc>
          <w:tcPr>
            <w:tcW w:w="8020" w:type="dxa"/>
            <w:vAlign w:val="bottom"/>
            <w:shd w:val="clear" w:color="auto" w:fill="DBDBDB"/>
          </w:tcPr>
          <w:p>
            <w:pPr>
              <w:ind w:left="40"/>
              <w:spacing w:after="0"/>
              <w:rPr>
                <w:sz w:val="20"/>
                <w:szCs w:val="20"/>
                <w:color w:val="auto"/>
              </w:rPr>
            </w:pPr>
            <w:r>
              <w:rPr>
                <w:rFonts w:ascii="Arial" w:cs="Arial" w:eastAsia="Arial" w:hAnsi="Arial"/>
                <w:sz w:val="11"/>
                <w:szCs w:val="11"/>
                <w:color w:val="auto"/>
              </w:rPr>
              <w:t>period</w:t>
            </w:r>
          </w:p>
        </w:tc>
        <w:tc>
          <w:tcPr>
            <w:tcW w:w="1000" w:type="dxa"/>
            <w:vAlign w:val="bottom"/>
            <w:tcBorders>
              <w:bottom w:val="single" w:sz="8" w:color="auto"/>
            </w:tcBorders>
            <w:shd w:val="clear" w:color="auto" w:fill="DBDBDB"/>
          </w:tcPr>
          <w:p>
            <w:pPr>
              <w:spacing w:after="0"/>
              <w:rPr>
                <w:sz w:val="12"/>
                <w:szCs w:val="12"/>
                <w:color w:val="auto"/>
              </w:rPr>
            </w:pPr>
          </w:p>
        </w:tc>
        <w:tc>
          <w:tcPr>
            <w:tcW w:w="620" w:type="dxa"/>
            <w:vAlign w:val="bottom"/>
            <w:tcBorders>
              <w:bottom w:val="single" w:sz="8" w:color="auto"/>
            </w:tcBorders>
            <w:vMerge w:val="continue"/>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spacing w:after="0"/>
              <w:rPr>
                <w:sz w:val="12"/>
                <w:szCs w:val="12"/>
                <w:color w:val="auto"/>
              </w:rPr>
            </w:pPr>
          </w:p>
        </w:tc>
        <w:tc>
          <w:tcPr>
            <w:tcW w:w="640" w:type="dxa"/>
            <w:vAlign w:val="bottom"/>
            <w:tcBorders>
              <w:bottom w:val="single" w:sz="8" w:color="auto"/>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020" w:type="dxa"/>
            <w:vAlign w:val="bottom"/>
            <w:gridSpan w:val="2"/>
          </w:tcPr>
          <w:p>
            <w:pPr>
              <w:ind w:left="40"/>
              <w:spacing w:after="0"/>
              <w:rPr>
                <w:sz w:val="20"/>
                <w:szCs w:val="20"/>
                <w:color w:val="auto"/>
              </w:rPr>
            </w:pPr>
            <w:r>
              <w:rPr>
                <w:rFonts w:ascii="Arial" w:cs="Arial" w:eastAsia="Arial" w:hAnsi="Arial"/>
                <w:sz w:val="11"/>
                <w:szCs w:val="11"/>
                <w:color w:val="auto"/>
              </w:rPr>
              <w:t>CASH AND EQUIVALENTS, CASH AND EQUIVALENTS SEGREGATED UNDER FEDERAL OR OTHER REGULATIONS AND RESTRICTED CASH — End of period $</w:t>
            </w:r>
          </w:p>
        </w:tc>
        <w:tc>
          <w:tcPr>
            <w:tcW w:w="620" w:type="dxa"/>
            <w:vAlign w:val="bottom"/>
          </w:tcPr>
          <w:p>
            <w:pPr>
              <w:jc w:val="right"/>
              <w:spacing w:after="0"/>
              <w:rPr>
                <w:sz w:val="20"/>
                <w:szCs w:val="20"/>
                <w:color w:val="auto"/>
              </w:rPr>
            </w:pPr>
            <w:r>
              <w:rPr>
                <w:rFonts w:ascii="Arial" w:cs="Arial" w:eastAsia="Arial" w:hAnsi="Arial"/>
                <w:sz w:val="11"/>
                <w:szCs w:val="11"/>
                <w:color w:val="auto"/>
              </w:rPr>
              <w:t>2,903,077</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2,820,736</w:t>
            </w:r>
          </w:p>
        </w:tc>
        <w:tc>
          <w:tcPr>
            <w:tcW w:w="0" w:type="dxa"/>
            <w:vAlign w:val="bottom"/>
          </w:tcPr>
          <w:p>
            <w:pPr>
              <w:spacing w:after="0"/>
              <w:rPr>
                <w:sz w:val="1"/>
                <w:szCs w:val="1"/>
                <w:color w:val="auto"/>
              </w:rPr>
            </w:pPr>
          </w:p>
        </w:tc>
      </w:tr>
      <w:tr>
        <w:trPr>
          <w:trHeight w:val="143"/>
        </w:trPr>
        <w:tc>
          <w:tcPr>
            <w:tcW w:w="8020" w:type="dxa"/>
            <w:vAlign w:val="bottom"/>
            <w:tcBorders>
              <w:top w:val="single" w:sz="8" w:color="DBDBDB"/>
            </w:tcBorders>
          </w:tcPr>
          <w:p>
            <w:pPr>
              <w:ind w:left="40"/>
              <w:spacing w:after="0"/>
              <w:rPr>
                <w:sz w:val="20"/>
                <w:szCs w:val="20"/>
                <w:color w:val="auto"/>
              </w:rPr>
            </w:pPr>
            <w:r>
              <w:rPr>
                <w:rFonts w:ascii="Arial" w:cs="Arial" w:eastAsia="Arial" w:hAnsi="Arial"/>
                <w:sz w:val="11"/>
                <w:szCs w:val="11"/>
                <w:color w:val="auto"/>
              </w:rPr>
              <w:t>SUPPLEMENTAL DISCLOSURES OF CASH FLOW INFORMATION:</w:t>
            </w:r>
          </w:p>
        </w:tc>
        <w:tc>
          <w:tcPr>
            <w:tcW w:w="10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Interest paid</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285,015</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238,347</w:t>
            </w:r>
          </w:p>
        </w:tc>
        <w:tc>
          <w:tcPr>
            <w:tcW w:w="0" w:type="dxa"/>
            <w:vAlign w:val="bottom"/>
          </w:tcPr>
          <w:p>
            <w:pPr>
              <w:spacing w:after="0"/>
              <w:rPr>
                <w:sz w:val="1"/>
                <w:szCs w:val="1"/>
                <w:color w:val="auto"/>
              </w:rPr>
            </w:pPr>
          </w:p>
        </w:tc>
      </w:tr>
      <w:tr>
        <w:trPr>
          <w:trHeight w:val="143"/>
        </w:trPr>
        <w:tc>
          <w:tcPr>
            <w:tcW w:w="8020" w:type="dxa"/>
            <w:vAlign w:val="bottom"/>
          </w:tcPr>
          <w:p>
            <w:pPr>
              <w:ind w:left="220"/>
              <w:spacing w:after="0"/>
              <w:rPr>
                <w:sz w:val="20"/>
                <w:szCs w:val="20"/>
                <w:color w:val="auto"/>
              </w:rPr>
            </w:pPr>
            <w:r>
              <w:rPr>
                <w:rFonts w:ascii="Arial" w:cs="Arial" w:eastAsia="Arial" w:hAnsi="Arial"/>
                <w:sz w:val="11"/>
                <w:szCs w:val="11"/>
                <w:color w:val="auto"/>
              </w:rPr>
              <w:t>Income taxes paid</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341,735</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314,204</w:t>
            </w: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Cash paid for amounts included in the measurement of operating lease liabilities</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34,319</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31,175</w:t>
            </w:r>
          </w:p>
        </w:tc>
        <w:tc>
          <w:tcPr>
            <w:tcW w:w="0" w:type="dxa"/>
            <w:vAlign w:val="bottom"/>
          </w:tcPr>
          <w:p>
            <w:pPr>
              <w:spacing w:after="0"/>
              <w:rPr>
                <w:sz w:val="1"/>
                <w:szCs w:val="1"/>
                <w:color w:val="auto"/>
              </w:rPr>
            </w:pPr>
          </w:p>
        </w:tc>
      </w:tr>
      <w:tr>
        <w:trPr>
          <w:trHeight w:val="143"/>
        </w:trPr>
        <w:tc>
          <w:tcPr>
            <w:tcW w:w="8020" w:type="dxa"/>
            <w:vAlign w:val="bottom"/>
          </w:tcPr>
          <w:p>
            <w:pPr>
              <w:ind w:left="220"/>
              <w:spacing w:after="0"/>
              <w:rPr>
                <w:sz w:val="20"/>
                <w:szCs w:val="20"/>
                <w:color w:val="auto"/>
              </w:rPr>
            </w:pPr>
            <w:r>
              <w:rPr>
                <w:rFonts w:ascii="Arial" w:cs="Arial" w:eastAsia="Arial" w:hAnsi="Arial"/>
                <w:sz w:val="11"/>
                <w:szCs w:val="11"/>
                <w:color w:val="auto"/>
              </w:rPr>
              <w:t>Cash paid for amounts included in the measurement of finance lease liabilities</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40"/>
              <w:spacing w:after="0"/>
              <w:rPr>
                <w:sz w:val="20"/>
                <w:szCs w:val="20"/>
                <w:color w:val="auto"/>
              </w:rPr>
            </w:pPr>
            <w:r>
              <w:rPr>
                <w:rFonts w:ascii="Arial" w:cs="Arial" w:eastAsia="Arial" w:hAnsi="Arial"/>
                <w:sz w:val="11"/>
                <w:szCs w:val="11"/>
                <w:color w:val="auto"/>
              </w:rPr>
              <w:t>NONCASH DISCLOSURES:</w:t>
            </w:r>
          </w:p>
        </w:tc>
        <w:tc>
          <w:tcPr>
            <w:tcW w:w="10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20" w:type="dxa"/>
            <w:vAlign w:val="bottom"/>
          </w:tcPr>
          <w:p>
            <w:pPr>
              <w:ind w:left="220"/>
              <w:spacing w:after="0"/>
              <w:rPr>
                <w:sz w:val="20"/>
                <w:szCs w:val="20"/>
                <w:color w:val="auto"/>
              </w:rPr>
            </w:pPr>
            <w:r>
              <w:rPr>
                <w:rFonts w:ascii="Arial" w:cs="Arial" w:eastAsia="Arial" w:hAnsi="Arial"/>
                <w:sz w:val="11"/>
                <w:szCs w:val="11"/>
                <w:color w:val="auto"/>
              </w:rPr>
              <w:t>Capital expenditures included in accounts payable and accrued liabilities</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50,571</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42,059</w:t>
            </w: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Lease assets obtained in exchange for operating lease liabilities</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36,688</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34,955</w:t>
            </w:r>
          </w:p>
        </w:tc>
        <w:tc>
          <w:tcPr>
            <w:tcW w:w="0" w:type="dxa"/>
            <w:vAlign w:val="bottom"/>
          </w:tcPr>
          <w:p>
            <w:pPr>
              <w:spacing w:after="0"/>
              <w:rPr>
                <w:sz w:val="1"/>
                <w:szCs w:val="1"/>
                <w:color w:val="auto"/>
              </w:rPr>
            </w:pPr>
          </w:p>
        </w:tc>
      </w:tr>
      <w:tr>
        <w:trPr>
          <w:trHeight w:val="143"/>
        </w:trPr>
        <w:tc>
          <w:tcPr>
            <w:tcW w:w="8020" w:type="dxa"/>
            <w:vAlign w:val="bottom"/>
          </w:tcPr>
          <w:p>
            <w:pPr>
              <w:ind w:left="220"/>
              <w:spacing w:after="0"/>
              <w:rPr>
                <w:sz w:val="20"/>
                <w:szCs w:val="20"/>
                <w:color w:val="auto"/>
              </w:rPr>
            </w:pPr>
            <w:r>
              <w:rPr>
                <w:rFonts w:ascii="Arial" w:cs="Arial" w:eastAsia="Arial" w:hAnsi="Arial"/>
                <w:sz w:val="11"/>
                <w:szCs w:val="11"/>
                <w:color w:val="auto"/>
              </w:rPr>
              <w:t>Prefunded acquisition</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70,202</w:t>
            </w:r>
          </w:p>
        </w:tc>
        <w:tc>
          <w:tcPr>
            <w:tcW w:w="0" w:type="dxa"/>
            <w:vAlign w:val="bottom"/>
          </w:tcPr>
          <w:p>
            <w:pPr>
              <w:spacing w:after="0"/>
              <w:rPr>
                <w:sz w:val="1"/>
                <w:szCs w:val="1"/>
                <w:color w:val="auto"/>
              </w:rPr>
            </w:pPr>
          </w:p>
        </w:tc>
      </w:tr>
      <w:tr>
        <w:trPr>
          <w:trHeight w:val="145"/>
        </w:trPr>
        <w:tc>
          <w:tcPr>
            <w:tcW w:w="802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Contingent consideration and other liabilities recognized at acquisition date</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22,630</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86,821</w:t>
            </w:r>
          </w:p>
        </w:tc>
        <w:tc>
          <w:tcPr>
            <w:tcW w:w="0" w:type="dxa"/>
            <w:vAlign w:val="bottom"/>
          </w:tcPr>
          <w:p>
            <w:pPr>
              <w:spacing w:after="0"/>
              <w:rPr>
                <w:sz w:val="1"/>
                <w:szCs w:val="1"/>
                <w:color w:val="auto"/>
              </w:rPr>
            </w:pPr>
          </w:p>
        </w:tc>
      </w:tr>
      <w:tr>
        <w:trPr>
          <w:trHeight w:val="207"/>
        </w:trPr>
        <w:tc>
          <w:tcPr>
            <w:tcW w:w="8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566"/>
              <w:spacing w:after="0"/>
              <w:rPr>
                <w:sz w:val="20"/>
                <w:szCs w:val="20"/>
                <w:color w:val="auto"/>
              </w:rPr>
            </w:pPr>
            <w:r>
              <w:rPr>
                <w:rFonts w:ascii="Arial" w:cs="Arial" w:eastAsia="Arial" w:hAnsi="Arial"/>
                <w:sz w:val="11"/>
                <w:szCs w:val="11"/>
                <w:b w:val="1"/>
                <w:bCs w:val="1"/>
                <w:color w:val="auto"/>
              </w:rPr>
              <w:t>September 30,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8020" w:type="dxa"/>
            <w:vAlign w:val="bottom"/>
            <w:tcBorders>
              <w:bottom w:val="single" w:sz="8" w:color="DBDBDB"/>
            </w:tcBorders>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2026</w:t>
            </w:r>
          </w:p>
        </w:tc>
        <w:tc>
          <w:tcPr>
            <w:tcW w:w="6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Cash and equivalents</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1,059,019</w:t>
            </w:r>
          </w:p>
        </w:tc>
        <w:tc>
          <w:tcPr>
            <w:tcW w:w="1000" w:type="dxa"/>
            <w:vAlign w:val="bottom"/>
            <w:shd w:val="clear" w:color="auto" w:fill="DBDBDB"/>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1,343,507</w:t>
            </w:r>
          </w:p>
        </w:tc>
        <w:tc>
          <w:tcPr>
            <w:tcW w:w="0" w:type="dxa"/>
            <w:vAlign w:val="bottom"/>
          </w:tcPr>
          <w:p>
            <w:pPr>
              <w:spacing w:after="0"/>
              <w:rPr>
                <w:sz w:val="1"/>
                <w:szCs w:val="1"/>
                <w:color w:val="auto"/>
              </w:rPr>
            </w:pPr>
          </w:p>
        </w:tc>
      </w:tr>
      <w:tr>
        <w:trPr>
          <w:trHeight w:val="143"/>
        </w:trPr>
        <w:tc>
          <w:tcPr>
            <w:tcW w:w="8020" w:type="dxa"/>
            <w:vAlign w:val="bottom"/>
          </w:tcPr>
          <w:p>
            <w:pPr>
              <w:ind w:left="20"/>
              <w:spacing w:after="0"/>
              <w:rPr>
                <w:sz w:val="20"/>
                <w:szCs w:val="20"/>
                <w:color w:val="auto"/>
              </w:rPr>
            </w:pPr>
            <w:r>
              <w:rPr>
                <w:rFonts w:ascii="Arial" w:cs="Arial" w:eastAsia="Arial" w:hAnsi="Arial"/>
                <w:sz w:val="11"/>
                <w:szCs w:val="11"/>
                <w:color w:val="auto"/>
              </w:rPr>
              <w:t>Cash and equivalents segregated under federal or other regulations</w:t>
            </w:r>
          </w:p>
        </w:tc>
        <w:tc>
          <w:tcPr>
            <w:tcW w:w="10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1,694,088</w:t>
            </w:r>
          </w:p>
        </w:tc>
        <w:tc>
          <w:tcPr>
            <w:tcW w:w="10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1,249,000</w:t>
            </w:r>
          </w:p>
        </w:tc>
        <w:tc>
          <w:tcPr>
            <w:tcW w:w="0" w:type="dxa"/>
            <w:vAlign w:val="bottom"/>
          </w:tcPr>
          <w:p>
            <w:pPr>
              <w:spacing w:after="0"/>
              <w:rPr>
                <w:sz w:val="1"/>
                <w:szCs w:val="1"/>
                <w:color w:val="auto"/>
              </w:rPr>
            </w:pPr>
          </w:p>
        </w:tc>
      </w:tr>
      <w:tr>
        <w:trPr>
          <w:trHeight w:val="144"/>
        </w:trPr>
        <w:tc>
          <w:tcPr>
            <w:tcW w:w="802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Restricted cash</w:t>
            </w:r>
          </w:p>
        </w:tc>
        <w:tc>
          <w:tcPr>
            <w:tcW w:w="1000" w:type="dxa"/>
            <w:vAlign w:val="bottom"/>
            <w:tcBorders>
              <w:bottom w:val="single" w:sz="8" w:color="auto"/>
            </w:tcBorders>
            <w:shd w:val="clear" w:color="auto" w:fill="DBDBDB"/>
          </w:tcPr>
          <w:p>
            <w:pPr>
              <w:spacing w:after="0"/>
              <w:rPr>
                <w:sz w:val="12"/>
                <w:szCs w:val="12"/>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149,970</w:t>
            </w:r>
          </w:p>
        </w:tc>
        <w:tc>
          <w:tcPr>
            <w:tcW w:w="1000" w:type="dxa"/>
            <w:vAlign w:val="bottom"/>
            <w:tcBorders>
              <w:bottom w:val="single" w:sz="8" w:color="auto"/>
            </w:tcBorders>
            <w:shd w:val="clear" w:color="auto" w:fill="DBDBDB"/>
          </w:tcPr>
          <w:p>
            <w:pPr>
              <w:spacing w:after="0"/>
              <w:rPr>
                <w:sz w:val="12"/>
                <w:szCs w:val="12"/>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228,229</w:t>
            </w:r>
          </w:p>
        </w:tc>
        <w:tc>
          <w:tcPr>
            <w:tcW w:w="0" w:type="dxa"/>
            <w:vAlign w:val="bottom"/>
          </w:tcPr>
          <w:p>
            <w:pPr>
              <w:spacing w:after="0"/>
              <w:rPr>
                <w:sz w:val="1"/>
                <w:szCs w:val="1"/>
                <w:color w:val="auto"/>
              </w:rPr>
            </w:pPr>
          </w:p>
        </w:tc>
      </w:tr>
      <w:tr>
        <w:trPr>
          <w:trHeight w:val="134"/>
        </w:trPr>
        <w:tc>
          <w:tcPr>
            <w:tcW w:w="8020" w:type="dxa"/>
            <w:vAlign w:val="bottom"/>
          </w:tcPr>
          <w:p>
            <w:pPr>
              <w:ind w:left="220"/>
              <w:spacing w:after="0"/>
              <w:rPr>
                <w:sz w:val="20"/>
                <w:szCs w:val="20"/>
                <w:color w:val="auto"/>
              </w:rPr>
            </w:pPr>
            <w:r>
              <w:rPr>
                <w:rFonts w:ascii="Arial" w:cs="Arial" w:eastAsia="Arial" w:hAnsi="Arial"/>
                <w:sz w:val="11"/>
                <w:szCs w:val="11"/>
                <w:color w:val="auto"/>
              </w:rPr>
              <w:t>Total cash and equivalents, cash and equivalents segregated under federal or other regulations and restricted cash shown in the statements of cash flows</w:t>
            </w:r>
          </w:p>
        </w:tc>
        <w:tc>
          <w:tcPr>
            <w:tcW w:w="100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2,903,077</w:t>
            </w:r>
          </w:p>
        </w:tc>
        <w:tc>
          <w:tcPr>
            <w:tcW w:w="100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2,820,736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8" w:name="page29"/>
    <w:bookmarkEnd w:id="28"/>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ORGANIZATION AND DESCRIPTION OF THE COMPANY</w:t>
      </w:r>
    </w:p>
    <w:p>
      <w:pPr>
        <w:spacing w:after="0" w:line="258"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institutions (collectively, “advisors”) in the United States. Through its custody and clearing platform, using both proprietary and third-party technology, the Company provides access to diversified financial products and services, enabling its advisors to offer personalized financial advice and brokerage services to retail investors (their “clients”). The Company’s most significant, wholly owned subsidiaries are described below:</w:t>
      </w:r>
    </w:p>
    <w:p>
      <w:pPr>
        <w:spacing w:after="0" w:line="45" w:lineRule="exact"/>
        <w:rPr>
          <w:sz w:val="20"/>
          <w:szCs w:val="20"/>
          <w:color w:val="auto"/>
        </w:rPr>
      </w:pPr>
    </w:p>
    <w:p>
      <w:pPr>
        <w:ind w:left="420" w:right="660" w:hanging="212"/>
        <w:spacing w:after="0" w:line="286"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LPL Holdings, Inc. (“LPLH” or “Parent”) is an intermediate holding company and directly or indirectly owns 100% of the issued and outstanding common equity interests of all of LPLFH’s indirect subsidiaries, including a captive insurance subsidiary that underwrites insurance for various legal and regulatory risks of the Company.</w:t>
      </w:r>
    </w:p>
    <w:p>
      <w:pPr>
        <w:spacing w:after="0" w:line="31" w:lineRule="exact"/>
        <w:rPr>
          <w:rFonts w:ascii="Arial" w:cs="Arial" w:eastAsia="Arial" w:hAnsi="Arial"/>
          <w:sz w:val="12"/>
          <w:szCs w:val="12"/>
          <w:color w:val="auto"/>
        </w:rPr>
      </w:pPr>
    </w:p>
    <w:p>
      <w:pPr>
        <w:ind w:left="420" w:right="140" w:hanging="212"/>
        <w:spacing w:after="0" w:line="268"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LPL Financial LLC (“LPL Financial”), with primary offices in San Diego, California; Fort Mill, South Carolina; Tempe, Arizona; Boston, Massachusetts; Austin, Texas; and New York, New York, is a clearing broker-dealer and an investment adviser that principally transacts business for its advisors and institutions on behalf of their clients in a broad array of financial products and services. LPL Financial is licensed to operate in all 50 states, Washington D.C., Puerto Rico and the U.S. Virgin Islands.</w:t>
      </w:r>
    </w:p>
    <w:p>
      <w:pPr>
        <w:spacing w:after="0" w:line="41"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LPL Enterprise, LLC (“LPL Enterprise”) is a limited product shelf introducing broker-dealer and registered investment adviser that supports a portion of the Company’s institutional services’ clients, providing brokerage and investment advisory services to the clients of those institutional businesses.</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LPL Insurance Associates, Inc. operates as an insurance brokerage general agency that offers life and disability insurance products and services for LPL Financial advisors.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AW Subsidiary, Inc. is a holding company for Blaze Portfolio Systems LLC (“Blaze”), which provides an advisor-facing trading and portfolio rebalancing platform.</w:t>
      </w:r>
    </w:p>
    <w:p>
      <w:pPr>
        <w:spacing w:after="0" w:line="78" w:lineRule="exact"/>
        <w:rPr>
          <w:rFonts w:ascii="Arial" w:cs="Arial" w:eastAsia="Arial" w:hAnsi="Arial"/>
          <w:sz w:val="12"/>
          <w:szCs w:val="12"/>
          <w:color w:val="auto"/>
        </w:rPr>
      </w:pPr>
    </w:p>
    <w:p>
      <w:pPr>
        <w:ind w:left="420" w:right="440" w:hanging="212"/>
        <w:spacing w:after="0" w:line="286"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PTC Holdings, Inc. (“PTCH”)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(“IRA”) custodial services for LPL Financial.</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LPL Employee Services, LLC and its subsidiary, Allen &amp; Company of Florida, LLC, provide primary support for the Company’s employee advisor affiliation model.</w:t>
      </w:r>
    </w:p>
    <w:p>
      <w:pPr>
        <w:spacing w:after="0" w:line="78" w:lineRule="exact"/>
        <w:rPr>
          <w:rFonts w:ascii="Arial" w:cs="Arial" w:eastAsia="Arial" w:hAnsi="Arial"/>
          <w:sz w:val="12"/>
          <w:szCs w:val="12"/>
          <w:color w:val="auto"/>
        </w:rPr>
      </w:pPr>
    </w:p>
    <w:p>
      <w:pPr>
        <w:ind w:left="420" w:right="160" w:hanging="212"/>
        <w:spacing w:after="0" w:line="268"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CFN Holding Company, LLC (“CFN”) is a holding company for Commonwealth Equity Services, LLC (“CES”), which is a registered broker-dealer and investment adviser that does business as Commonwealth Financial Network (“Commonwealth”). CES is an introducing broker-dealer that clears transactions through a third-party clearing and carrying firm. The Company expects to complete the conversion of assets from CES in the fourth quarter of 2026 and withdraw the related registrations of that entity thereafter.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29" w:name="page30"/>
    <w:bookmarkEnd w:id="29"/>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SUMMARY OF SIGNIFICANT ACCOUNTING POLICIES</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These unaudited condensed consolidated financial statements (“condensed consolidated financial statements”) are prepared in accordance with accounting principles generally accepted in the United States (“GAAP”), which require the Company to make estimates and assumptions regarding the valuation of certain financial instruments, acquisitions, contingent consideration, goodwill and other intangibles, allowance for credit losses on receivables, share-based compensation, accruals for liabilities, income taxes, revenue and expense accruals and other matters that affect the condensed consolidated financial statements and related disclosures. The condensed consolidated financial statements reflect all adjustments which are, in the opinion of management, necessary to present fairly the results of operations for the interim periods presented. Actual results could differ from those estimates under different assumptions or conditions and the differences may be material to the condensed consolidated financial statements.</w:t>
      </w:r>
    </w:p>
    <w:p>
      <w:pPr>
        <w:spacing w:after="0" w:line="4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The condensed consolidated financial statements include the accounts of LPLFH and its subsidiaries. Intercompany transactions and balances have been eliminated. The condensed consolidated financial statements should be read in conjunction with the Company’s audited consolidated financial statements and the related notes for the year ended December 31, 2025, contained in the Company’s Annual Report on Form 10-K as filed with the Securities and Exchange Commission (“SEC”).</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 September 2025, the Financial Accounting Standards Board (“FASB”) issued Accounting Standards Update (“ASU”) 2025-06 </w:t>
      </w:r>
      <w:r>
        <w:rPr>
          <w:rFonts w:ascii="Arial" w:cs="Arial" w:eastAsia="Arial" w:hAnsi="Arial"/>
          <w:sz w:val="12"/>
          <w:szCs w:val="12"/>
          <w:i w:val="1"/>
          <w:iCs w:val="1"/>
          <w:color w:val="auto"/>
        </w:rPr>
        <w:t>Intangibles—Goodwill and Other—Internal-Use Software (Subtopic 350-40):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Targeted Improvements to the Accounting for Internal-Use Software </w:t>
      </w:r>
      <w:r>
        <w:rPr>
          <w:rFonts w:ascii="Arial" w:cs="Arial" w:eastAsia="Arial" w:hAnsi="Arial"/>
          <w:sz w:val="12"/>
          <w:szCs w:val="12"/>
          <w:color w:val="auto"/>
        </w:rPr>
        <w:t>to modernize the accounting for and disclosure of software costs. The ASU may be applied prospectively, retrospectively or via a modified</w:t>
      </w:r>
    </w:p>
    <w:p>
      <w:pPr>
        <w:ind w:right="180"/>
        <w:spacing w:after="0" w:line="237" w:lineRule="auto"/>
        <w:rPr>
          <w:sz w:val="20"/>
          <w:szCs w:val="20"/>
          <w:color w:val="auto"/>
        </w:rPr>
      </w:pPr>
      <w:r>
        <w:rPr>
          <w:rFonts w:ascii="Arial" w:cs="Arial" w:eastAsia="Arial" w:hAnsi="Arial"/>
          <w:sz w:val="12"/>
          <w:szCs w:val="12"/>
          <w:color w:val="auto"/>
        </w:rPr>
        <w:t>transition approach and is effective for annual periods beginning after December 15, 2027, with early adoption permitted. The Company is currently assessing the potential impact of this ASU on its consolidated financial statements.</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 xml:space="preserve">In November 2024, the FASB issued ASU 2024-03, </w:t>
      </w:r>
      <w:r>
        <w:rPr>
          <w:rFonts w:ascii="Arial" w:cs="Arial" w:eastAsia="Arial" w:hAnsi="Arial"/>
          <w:sz w:val="12"/>
          <w:szCs w:val="12"/>
          <w:i w:val="1"/>
          <w:iCs w:val="1"/>
          <w:color w:val="auto"/>
        </w:rPr>
        <w:t>Income Statement—Reporting Comprehensive Income—Expense Disaggregation Disclosures (Subtopic 220-40)</w:t>
      </w:r>
      <w:r>
        <w:rPr>
          <w:rFonts w:ascii="Arial" w:cs="Arial" w:eastAsia="Arial" w:hAnsi="Arial"/>
          <w:sz w:val="12"/>
          <w:szCs w:val="12"/>
          <w:color w:val="auto"/>
        </w:rPr>
        <w:t xml:space="preserve">: </w:t>
      </w:r>
      <w:r>
        <w:rPr>
          <w:rFonts w:ascii="Arial" w:cs="Arial" w:eastAsia="Arial" w:hAnsi="Arial"/>
          <w:sz w:val="12"/>
          <w:szCs w:val="12"/>
          <w:i w:val="1"/>
          <w:iCs w:val="1"/>
          <w:color w:val="auto"/>
        </w:rPr>
        <w:t>Disaggregation of Income Statement</w:t>
      </w:r>
      <w:r>
        <w:rPr>
          <w:rFonts w:ascii="Arial" w:cs="Arial" w:eastAsia="Arial" w:hAnsi="Arial"/>
          <w:sz w:val="12"/>
          <w:szCs w:val="12"/>
          <w:color w:val="auto"/>
        </w:rPr>
        <w:t xml:space="preserve"> </w:t>
      </w:r>
      <w:r>
        <w:rPr>
          <w:rFonts w:ascii="Arial" w:cs="Arial" w:eastAsia="Arial" w:hAnsi="Arial"/>
          <w:sz w:val="12"/>
          <w:szCs w:val="12"/>
          <w:i w:val="1"/>
          <w:iCs w:val="1"/>
          <w:color w:val="auto"/>
        </w:rPr>
        <w:t>Expenses</w:t>
      </w:r>
      <w:r>
        <w:rPr>
          <w:rFonts w:ascii="Arial" w:cs="Arial" w:eastAsia="Arial" w:hAnsi="Arial"/>
          <w:sz w:val="12"/>
          <w:szCs w:val="12"/>
          <w:color w:val="auto"/>
        </w:rPr>
        <w:t>, which requires public business entities to disclose, in interim and annual reporting periods, additional information about certain expenses in the notes to financial statements. The ASU should be applied</w:t>
      </w:r>
      <w:r>
        <w:rPr>
          <w:rFonts w:ascii="Arial" w:cs="Arial" w:eastAsia="Arial" w:hAnsi="Arial"/>
          <w:sz w:val="12"/>
          <w:szCs w:val="12"/>
          <w:i w:val="1"/>
          <w:iCs w:val="1"/>
          <w:color w:val="auto"/>
        </w:rPr>
        <w:t xml:space="preserve"> </w:t>
      </w:r>
      <w:r>
        <w:rPr>
          <w:rFonts w:ascii="Arial" w:cs="Arial" w:eastAsia="Arial" w:hAnsi="Arial"/>
          <w:sz w:val="12"/>
          <w:szCs w:val="12"/>
          <w:color w:val="auto"/>
        </w:rPr>
        <w:t>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67" w:lineRule="exact"/>
        <w:rPr>
          <w:sz w:val="20"/>
          <w:szCs w:val="20"/>
          <w:color w:val="auto"/>
        </w:rPr>
      </w:pPr>
    </w:p>
    <w:p>
      <w:pPr>
        <w:ind w:right="300"/>
        <w:spacing w:after="0" w:line="270" w:lineRule="auto"/>
        <w:rPr>
          <w:sz w:val="20"/>
          <w:szCs w:val="20"/>
          <w:color w:val="auto"/>
        </w:rPr>
      </w:pPr>
      <w:r>
        <w:rPr>
          <w:rFonts w:ascii="Arial" w:cs="Arial" w:eastAsia="Arial" w:hAnsi="Arial"/>
          <w:sz w:val="12"/>
          <w:szCs w:val="12"/>
          <w:color w:val="auto"/>
        </w:rPr>
        <w:t>There were no new accounting pronouncements adopted during the nine months ended September 30, 2026 that materially impacted the Company’s condensed consolidated financial statements and related disclosures.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17"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REVENUE</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Commission</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total commission revenue disaggregated by product category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00" w:type="dxa"/>
            <w:vAlign w:val="bottom"/>
          </w:tcPr>
          <w:p>
            <w:pPr>
              <w:spacing w:after="0"/>
              <w:rPr>
                <w:sz w:val="12"/>
                <w:szCs w:val="12"/>
                <w:color w:val="auto"/>
              </w:rPr>
            </w:pPr>
          </w:p>
        </w:tc>
        <w:tc>
          <w:tcPr>
            <w:tcW w:w="288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1"/>
                <w:szCs w:val="11"/>
                <w:b w:val="1"/>
                <w:bCs w:val="1"/>
                <w:color w:val="auto"/>
              </w:rPr>
              <w:t>Three Months Ended September 30,</w:t>
            </w: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3"/>
          </w:tcPr>
          <w:p>
            <w:pPr>
              <w:jc w:val="right"/>
              <w:ind w:right="74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4400" w:type="dxa"/>
            <w:vAlign w:val="bottom"/>
            <w:tcBorders>
              <w:bottom w:val="single" w:sz="8" w:color="DBDBDB"/>
            </w:tcBorders>
          </w:tcPr>
          <w:p>
            <w:pPr>
              <w:spacing w:after="0"/>
              <w:rPr>
                <w:sz w:val="11"/>
                <w:szCs w:val="11"/>
                <w:color w:val="auto"/>
              </w:rPr>
            </w:pPr>
          </w:p>
        </w:tc>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2025</w:t>
            </w:r>
          </w:p>
        </w:tc>
        <w:tc>
          <w:tcPr>
            <w:tcW w:w="6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b w:val="1"/>
                <w:bCs w:val="1"/>
                <w:color w:val="auto"/>
              </w:rPr>
              <w:t>2026</w:t>
            </w: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2025</w:t>
            </w:r>
          </w:p>
        </w:tc>
      </w:tr>
      <w:tr>
        <w:trPr>
          <w:trHeight w:val="124"/>
        </w:trPr>
        <w:tc>
          <w:tcPr>
            <w:tcW w:w="4400" w:type="dxa"/>
            <w:vAlign w:val="bottom"/>
            <w:shd w:val="clear" w:color="auto" w:fill="DBDBDB"/>
          </w:tcPr>
          <w:p>
            <w:pPr>
              <w:ind w:left="40"/>
              <w:spacing w:after="0" w:line="124" w:lineRule="exact"/>
              <w:rPr>
                <w:sz w:val="20"/>
                <w:szCs w:val="20"/>
                <w:color w:val="auto"/>
              </w:rPr>
            </w:pPr>
            <w:r>
              <w:rPr>
                <w:rFonts w:ascii="Arial" w:cs="Arial" w:eastAsia="Arial" w:hAnsi="Arial"/>
                <w:sz w:val="11"/>
                <w:szCs w:val="11"/>
                <w:b w:val="1"/>
                <w:bCs w:val="1"/>
                <w:color w:val="auto"/>
              </w:rPr>
              <w:t>Commission revenue</w:t>
            </w:r>
          </w:p>
        </w:tc>
        <w:tc>
          <w:tcPr>
            <w:tcW w:w="1160" w:type="dxa"/>
            <w:vAlign w:val="bottom"/>
            <w:shd w:val="clear" w:color="auto" w:fill="DBDBDB"/>
          </w:tcPr>
          <w:p>
            <w:pPr>
              <w:spacing w:after="0"/>
              <w:rPr>
                <w:sz w:val="10"/>
                <w:szCs w:val="10"/>
                <w:color w:val="auto"/>
              </w:rPr>
            </w:pPr>
          </w:p>
        </w:tc>
        <w:tc>
          <w:tcPr>
            <w:tcW w:w="64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440" w:type="dxa"/>
            <w:vAlign w:val="bottom"/>
            <w:shd w:val="clear" w:color="auto" w:fill="DBDBDB"/>
          </w:tcPr>
          <w:p>
            <w:pPr>
              <w:spacing w:after="0"/>
              <w:rPr>
                <w:sz w:val="10"/>
                <w:szCs w:val="10"/>
                <w:color w:val="auto"/>
              </w:rPr>
            </w:pPr>
          </w:p>
        </w:tc>
        <w:tc>
          <w:tcPr>
            <w:tcW w:w="1460" w:type="dxa"/>
            <w:vAlign w:val="bottom"/>
            <w:shd w:val="clear" w:color="auto" w:fill="DBDBDB"/>
          </w:tcPr>
          <w:p>
            <w:pPr>
              <w:spacing w:after="0"/>
              <w:rPr>
                <w:sz w:val="10"/>
                <w:szCs w:val="10"/>
                <w:color w:val="auto"/>
              </w:rPr>
            </w:pPr>
          </w:p>
        </w:tc>
        <w:tc>
          <w:tcPr>
            <w:tcW w:w="360" w:type="dxa"/>
            <w:vAlign w:val="bottom"/>
            <w:shd w:val="clear" w:color="auto" w:fill="DBDBDB"/>
          </w:tcPr>
          <w:p>
            <w:pPr>
              <w:spacing w:after="0"/>
              <w:rPr>
                <w:sz w:val="10"/>
                <w:szCs w:val="10"/>
                <w:color w:val="auto"/>
              </w:rPr>
            </w:pPr>
          </w:p>
        </w:tc>
        <w:tc>
          <w:tcPr>
            <w:tcW w:w="1140" w:type="dxa"/>
            <w:vAlign w:val="bottom"/>
            <w:shd w:val="clear" w:color="auto" w:fill="DBDBDB"/>
          </w:tcPr>
          <w:p>
            <w:pPr>
              <w:spacing w:after="0"/>
              <w:rPr>
                <w:sz w:val="10"/>
                <w:szCs w:val="10"/>
                <w:color w:val="auto"/>
              </w:rPr>
            </w:pPr>
          </w:p>
        </w:tc>
      </w:tr>
      <w:tr>
        <w:trPr>
          <w:trHeight w:val="143"/>
        </w:trPr>
        <w:tc>
          <w:tcPr>
            <w:tcW w:w="4400" w:type="dxa"/>
            <w:vAlign w:val="bottom"/>
          </w:tcPr>
          <w:p>
            <w:pPr>
              <w:ind w:left="160"/>
              <w:spacing w:after="0"/>
              <w:rPr>
                <w:sz w:val="20"/>
                <w:szCs w:val="20"/>
                <w:color w:val="auto"/>
              </w:rPr>
            </w:pPr>
            <w:r>
              <w:rPr>
                <w:rFonts w:ascii="Arial" w:cs="Arial" w:eastAsia="Arial" w:hAnsi="Arial"/>
                <w:sz w:val="11"/>
                <w:szCs w:val="11"/>
                <w:color w:val="auto"/>
              </w:rPr>
              <w:t>Annuities</w:t>
            </w:r>
          </w:p>
        </w:tc>
        <w:tc>
          <w:tcPr>
            <w:tcW w:w="1160" w:type="dxa"/>
            <w:vAlign w:val="bottom"/>
          </w:tcPr>
          <w:p>
            <w:pPr>
              <w:jc w:val="right"/>
              <w:ind w:right="10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748,473</w:t>
            </w:r>
          </w:p>
        </w:tc>
        <w:tc>
          <w:tcPr>
            <w:tcW w:w="1080" w:type="dxa"/>
            <w:vAlign w:val="bottom"/>
          </w:tcPr>
          <w:p>
            <w:pPr>
              <w:jc w:val="right"/>
              <w:ind w:right="92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713,900</w:t>
            </w: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2,166,796</w:t>
            </w:r>
          </w:p>
        </w:tc>
        <w:tc>
          <w:tcPr>
            <w:tcW w:w="36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1,959,259</w:t>
            </w:r>
          </w:p>
        </w:tc>
      </w:tr>
      <w:tr>
        <w:trPr>
          <w:trHeight w:val="145"/>
        </w:trPr>
        <w:tc>
          <w:tcPr>
            <w:tcW w:w="44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Mutual funds</w:t>
            </w:r>
          </w:p>
        </w:tc>
        <w:tc>
          <w:tcPr>
            <w:tcW w:w="116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261,833</w:t>
            </w:r>
          </w:p>
        </w:tc>
        <w:tc>
          <w:tcPr>
            <w:tcW w:w="108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258,167</w:t>
            </w:r>
          </w:p>
        </w:tc>
        <w:tc>
          <w:tcPr>
            <w:tcW w:w="440" w:type="dxa"/>
            <w:vAlign w:val="bottom"/>
            <w:shd w:val="clear" w:color="auto" w:fill="DBDBDB"/>
          </w:tcPr>
          <w:p>
            <w:pPr>
              <w:spacing w:after="0"/>
              <w:rPr>
                <w:sz w:val="12"/>
                <w:szCs w:val="12"/>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789,933</w:t>
            </w:r>
          </w:p>
        </w:tc>
        <w:tc>
          <w:tcPr>
            <w:tcW w:w="360" w:type="dxa"/>
            <w:vAlign w:val="bottom"/>
            <w:shd w:val="clear" w:color="auto" w:fill="DBDBDB"/>
          </w:tcPr>
          <w:p>
            <w:pPr>
              <w:spacing w:after="0"/>
              <w:rPr>
                <w:sz w:val="12"/>
                <w:szCs w:val="12"/>
                <w:color w:val="auto"/>
              </w:rPr>
            </w:pP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715,378</w:t>
            </w:r>
          </w:p>
        </w:tc>
      </w:tr>
      <w:tr>
        <w:trPr>
          <w:trHeight w:val="143"/>
        </w:trPr>
        <w:tc>
          <w:tcPr>
            <w:tcW w:w="4400" w:type="dxa"/>
            <w:vAlign w:val="bottom"/>
          </w:tcPr>
          <w:p>
            <w:pPr>
              <w:ind w:left="160"/>
              <w:spacing w:after="0"/>
              <w:rPr>
                <w:sz w:val="20"/>
                <w:szCs w:val="20"/>
                <w:color w:val="auto"/>
              </w:rPr>
            </w:pPr>
            <w:r>
              <w:rPr>
                <w:rFonts w:ascii="Arial" w:cs="Arial" w:eastAsia="Arial" w:hAnsi="Arial"/>
                <w:sz w:val="11"/>
                <w:szCs w:val="11"/>
                <w:color w:val="auto"/>
              </w:rPr>
              <w:t>Fixed income</w:t>
            </w:r>
          </w:p>
        </w:tc>
        <w:tc>
          <w:tcPr>
            <w:tcW w:w="1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85,064</w:t>
            </w:r>
          </w:p>
        </w:tc>
        <w:tc>
          <w:tcPr>
            <w:tcW w:w="10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66,550</w:t>
            </w:r>
          </w:p>
        </w:tc>
        <w:tc>
          <w:tcPr>
            <w:tcW w:w="4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252,401</w:t>
            </w:r>
          </w:p>
        </w:tc>
        <w:tc>
          <w:tcPr>
            <w:tcW w:w="36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181,116</w:t>
            </w:r>
          </w:p>
        </w:tc>
      </w:tr>
      <w:tr>
        <w:trPr>
          <w:trHeight w:val="145"/>
        </w:trPr>
        <w:tc>
          <w:tcPr>
            <w:tcW w:w="44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Equities</w:t>
            </w:r>
          </w:p>
        </w:tc>
        <w:tc>
          <w:tcPr>
            <w:tcW w:w="1160" w:type="dxa"/>
            <w:vAlign w:val="bottom"/>
            <w:shd w:val="clear" w:color="auto" w:fill="DBDBDB"/>
          </w:tcPr>
          <w:p>
            <w:pPr>
              <w:spacing w:after="0"/>
              <w:rPr>
                <w:sz w:val="12"/>
                <w:szCs w:val="12"/>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51,314</w:t>
            </w:r>
          </w:p>
        </w:tc>
        <w:tc>
          <w:tcPr>
            <w:tcW w:w="108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51,475</w:t>
            </w:r>
          </w:p>
        </w:tc>
        <w:tc>
          <w:tcPr>
            <w:tcW w:w="440" w:type="dxa"/>
            <w:vAlign w:val="bottom"/>
            <w:shd w:val="clear" w:color="auto" w:fill="DBDBDB"/>
          </w:tcPr>
          <w:p>
            <w:pPr>
              <w:spacing w:after="0"/>
              <w:rPr>
                <w:sz w:val="12"/>
                <w:szCs w:val="12"/>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167,605</w:t>
            </w:r>
          </w:p>
        </w:tc>
        <w:tc>
          <w:tcPr>
            <w:tcW w:w="360" w:type="dxa"/>
            <w:vAlign w:val="bottom"/>
            <w:shd w:val="clear" w:color="auto" w:fill="DBDBDB"/>
          </w:tcPr>
          <w:p>
            <w:pPr>
              <w:spacing w:after="0"/>
              <w:rPr>
                <w:sz w:val="12"/>
                <w:szCs w:val="12"/>
                <w:color w:val="auto"/>
              </w:rPr>
            </w:pP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148,360</w:t>
            </w:r>
          </w:p>
        </w:tc>
      </w:tr>
      <w:tr>
        <w:trPr>
          <w:trHeight w:val="143"/>
        </w:trPr>
        <w:tc>
          <w:tcPr>
            <w:tcW w:w="4400" w:type="dxa"/>
            <w:vAlign w:val="bottom"/>
            <w:tcBorders>
              <w:bottom w:val="single" w:sz="8" w:color="DBDBDB"/>
            </w:tcBorders>
          </w:tcPr>
          <w:p>
            <w:pPr>
              <w:ind w:left="160"/>
              <w:spacing w:after="0"/>
              <w:rPr>
                <w:sz w:val="20"/>
                <w:szCs w:val="20"/>
                <w:color w:val="auto"/>
              </w:rPr>
            </w:pPr>
            <w:r>
              <w:rPr>
                <w:rFonts w:ascii="Arial" w:cs="Arial" w:eastAsia="Arial" w:hAnsi="Arial"/>
                <w:sz w:val="11"/>
                <w:szCs w:val="11"/>
                <w:color w:val="auto"/>
              </w:rPr>
              <w:t>Other</w:t>
            </w:r>
          </w:p>
        </w:tc>
        <w:tc>
          <w:tcPr>
            <w:tcW w:w="1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104,072</w:t>
            </w:r>
          </w:p>
        </w:tc>
        <w:tc>
          <w:tcPr>
            <w:tcW w:w="10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97,363</w:t>
            </w: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298,128</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269,186</w:t>
            </w:r>
          </w:p>
        </w:tc>
      </w:tr>
      <w:tr>
        <w:trPr>
          <w:trHeight w:val="150"/>
        </w:trPr>
        <w:tc>
          <w:tcPr>
            <w:tcW w:w="4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1"/>
                <w:szCs w:val="11"/>
                <w:b w:val="1"/>
                <w:bCs w:val="1"/>
                <w:color w:val="auto"/>
              </w:rPr>
              <w:t>Total commission revenue</w:t>
            </w:r>
          </w:p>
        </w:tc>
        <w:tc>
          <w:tcPr>
            <w:tcW w:w="1160" w:type="dxa"/>
            <w:vAlign w:val="bottom"/>
            <w:tcBorders>
              <w:bottom w:val="single" w:sz="8" w:color="auto"/>
            </w:tcBorders>
            <w:shd w:val="clear" w:color="auto" w:fill="DBDBDB"/>
          </w:tcPr>
          <w:p>
            <w:pPr>
              <w:jc w:val="right"/>
              <w:ind w:right="10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1,250,756</w:t>
            </w:r>
          </w:p>
        </w:tc>
        <w:tc>
          <w:tcPr>
            <w:tcW w:w="1080" w:type="dxa"/>
            <w:vAlign w:val="bottom"/>
            <w:tcBorders>
              <w:bottom w:val="single" w:sz="8" w:color="auto"/>
            </w:tcBorders>
            <w:shd w:val="clear" w:color="auto" w:fill="DBDBDB"/>
          </w:tcPr>
          <w:p>
            <w:pPr>
              <w:jc w:val="right"/>
              <w:ind w:right="92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1,187,455</w:t>
            </w:r>
          </w:p>
        </w:tc>
        <w:tc>
          <w:tcPr>
            <w:tcW w:w="440" w:type="dxa"/>
            <w:vAlign w:val="bottom"/>
            <w:tcBorders>
              <w:bottom w:val="single" w:sz="8" w:color="auto"/>
            </w:tcBorders>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3,674,863</w:t>
            </w:r>
          </w:p>
        </w:tc>
        <w:tc>
          <w:tcPr>
            <w:tcW w:w="36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3,273,299</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sales-based and trailing commission revenue disaggregated by product category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40" w:type="dxa"/>
            <w:vAlign w:val="bottom"/>
          </w:tcPr>
          <w:p>
            <w:pPr>
              <w:spacing w:after="0"/>
              <w:rPr>
                <w:sz w:val="12"/>
                <w:szCs w:val="12"/>
                <w:color w:val="auto"/>
              </w:rPr>
            </w:pPr>
          </w:p>
        </w:tc>
        <w:tc>
          <w:tcPr>
            <w:tcW w:w="292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Three Months Ended September 30,</w:t>
            </w: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3"/>
          </w:tcPr>
          <w:p>
            <w:pPr>
              <w:jc w:val="right"/>
              <w:ind w:right="84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4140" w:type="dxa"/>
            <w:vAlign w:val="bottom"/>
            <w:tcBorders>
              <w:bottom w:val="single" w:sz="8" w:color="DBDBDB"/>
            </w:tcBorders>
          </w:tcPr>
          <w:p>
            <w:pPr>
              <w:spacing w:after="0"/>
              <w:rPr>
                <w:sz w:val="11"/>
                <w:szCs w:val="11"/>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2026</w:t>
            </w:r>
          </w:p>
        </w:tc>
        <w:tc>
          <w:tcPr>
            <w:tcW w:w="6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2025</w:t>
            </w:r>
          </w:p>
        </w:tc>
        <w:tc>
          <w:tcPr>
            <w:tcW w:w="6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b w:val="1"/>
                <w:bCs w:val="1"/>
                <w:color w:val="auto"/>
              </w:rPr>
              <w:t>2026</w:t>
            </w:r>
          </w:p>
        </w:tc>
        <w:tc>
          <w:tcPr>
            <w:tcW w:w="4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26"/>
              <w:spacing w:after="0"/>
              <w:rPr>
                <w:sz w:val="20"/>
                <w:szCs w:val="20"/>
                <w:color w:val="auto"/>
              </w:rPr>
            </w:pPr>
            <w:r>
              <w:rPr>
                <w:rFonts w:ascii="Arial" w:cs="Arial" w:eastAsia="Arial" w:hAnsi="Arial"/>
                <w:sz w:val="11"/>
                <w:szCs w:val="11"/>
                <w:b w:val="1"/>
                <w:bCs w:val="1"/>
                <w:color w:val="auto"/>
              </w:rPr>
              <w:t>2025</w:t>
            </w:r>
          </w:p>
        </w:tc>
      </w:tr>
      <w:tr>
        <w:trPr>
          <w:trHeight w:val="124"/>
        </w:trPr>
        <w:tc>
          <w:tcPr>
            <w:tcW w:w="414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Commission revenue</w:t>
            </w:r>
          </w:p>
        </w:tc>
        <w:tc>
          <w:tcPr>
            <w:tcW w:w="1140" w:type="dxa"/>
            <w:vAlign w:val="bottom"/>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1160" w:type="dxa"/>
            <w:vAlign w:val="bottom"/>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440" w:type="dxa"/>
            <w:vAlign w:val="bottom"/>
            <w:shd w:val="clear" w:color="auto" w:fill="DBDBDB"/>
          </w:tcPr>
          <w:p>
            <w:pPr>
              <w:spacing w:after="0"/>
              <w:rPr>
                <w:sz w:val="10"/>
                <w:szCs w:val="10"/>
                <w:color w:val="auto"/>
              </w:rPr>
            </w:pPr>
          </w:p>
        </w:tc>
        <w:tc>
          <w:tcPr>
            <w:tcW w:w="134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c>
          <w:tcPr>
            <w:tcW w:w="1360" w:type="dxa"/>
            <w:vAlign w:val="bottom"/>
            <w:shd w:val="clear" w:color="auto" w:fill="DBDBDB"/>
          </w:tcPr>
          <w:p>
            <w:pPr>
              <w:spacing w:after="0"/>
              <w:rPr>
                <w:sz w:val="10"/>
                <w:szCs w:val="10"/>
                <w:color w:val="auto"/>
              </w:rPr>
            </w:pPr>
          </w:p>
        </w:tc>
      </w:tr>
      <w:tr>
        <w:trPr>
          <w:trHeight w:val="144"/>
        </w:trPr>
        <w:tc>
          <w:tcPr>
            <w:tcW w:w="4140" w:type="dxa"/>
            <w:vAlign w:val="bottom"/>
          </w:tcPr>
          <w:p>
            <w:pPr>
              <w:ind w:left="140"/>
              <w:spacing w:after="0"/>
              <w:rPr>
                <w:sz w:val="20"/>
                <w:szCs w:val="20"/>
                <w:color w:val="auto"/>
              </w:rPr>
            </w:pPr>
            <w:r>
              <w:rPr>
                <w:rFonts w:ascii="Arial" w:cs="Arial" w:eastAsia="Arial" w:hAnsi="Arial"/>
                <w:sz w:val="11"/>
                <w:szCs w:val="11"/>
                <w:b w:val="1"/>
                <w:bCs w:val="1"/>
                <w:color w:val="auto"/>
              </w:rPr>
              <w:t>Sales-based</w:t>
            </w: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4"/>
        </w:trPr>
        <w:tc>
          <w:tcPr>
            <w:tcW w:w="41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Annuities</w:t>
            </w:r>
          </w:p>
        </w:tc>
        <w:tc>
          <w:tcPr>
            <w:tcW w:w="1140" w:type="dxa"/>
            <w:vAlign w:val="bottom"/>
            <w:shd w:val="clear" w:color="auto" w:fill="DBDBDB"/>
          </w:tcPr>
          <w:p>
            <w:pPr>
              <w:jc w:val="right"/>
              <w:ind w:right="100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469,397</w:t>
            </w:r>
          </w:p>
        </w:tc>
        <w:tc>
          <w:tcPr>
            <w:tcW w:w="1160" w:type="dxa"/>
            <w:vAlign w:val="bottom"/>
            <w:shd w:val="clear" w:color="auto" w:fill="DBDBDB"/>
          </w:tcPr>
          <w:p>
            <w:pPr>
              <w:jc w:val="right"/>
              <w:ind w:right="1006"/>
              <w:spacing w:after="0"/>
              <w:rPr>
                <w:sz w:val="20"/>
                <w:szCs w:val="20"/>
                <w:color w:val="auto"/>
              </w:rPr>
            </w:pPr>
            <w:r>
              <w:rPr>
                <w:rFonts w:ascii="Arial" w:cs="Arial" w:eastAsia="Arial" w:hAnsi="Arial"/>
                <w:sz w:val="11"/>
                <w:szCs w:val="11"/>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438,927</w:t>
            </w:r>
          </w:p>
        </w:tc>
        <w:tc>
          <w:tcPr>
            <w:tcW w:w="440" w:type="dxa"/>
            <w:vAlign w:val="bottom"/>
            <w:shd w:val="clear" w:color="auto" w:fill="DBDBDB"/>
          </w:tcPr>
          <w:p>
            <w:pPr>
              <w:jc w:val="right"/>
              <w:ind w:right="286"/>
              <w:spacing w:after="0"/>
              <w:rPr>
                <w:sz w:val="20"/>
                <w:szCs w:val="20"/>
                <w:color w:val="auto"/>
              </w:rPr>
            </w:pPr>
            <w:r>
              <w:rPr>
                <w:rFonts w:ascii="Arial" w:cs="Arial" w:eastAsia="Arial" w:hAnsi="Arial"/>
                <w:sz w:val="11"/>
                <w:szCs w:val="11"/>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1,338,409</w:t>
            </w:r>
          </w:p>
        </w:tc>
        <w:tc>
          <w:tcPr>
            <w:tcW w:w="460" w:type="dxa"/>
            <w:vAlign w:val="bottom"/>
            <w:shd w:val="clear" w:color="auto" w:fill="DBDBDB"/>
          </w:tcPr>
          <w:p>
            <w:pPr>
              <w:jc w:val="right"/>
              <w:ind w:right="306"/>
              <w:spacing w:after="0"/>
              <w:rPr>
                <w:sz w:val="20"/>
                <w:szCs w:val="20"/>
                <w:color w:val="auto"/>
              </w:rPr>
            </w:pPr>
            <w:r>
              <w:rPr>
                <w:rFonts w:ascii="Arial" w:cs="Arial" w:eastAsia="Arial" w:hAnsi="Arial"/>
                <w:sz w:val="11"/>
                <w:szCs w:val="11"/>
                <w:color w:val="auto"/>
              </w:rPr>
              <w:t>$</w:t>
            </w: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1,198,350</w:t>
            </w:r>
          </w:p>
        </w:tc>
      </w:tr>
      <w:tr>
        <w:trPr>
          <w:trHeight w:val="143"/>
        </w:trPr>
        <w:tc>
          <w:tcPr>
            <w:tcW w:w="4140" w:type="dxa"/>
            <w:vAlign w:val="bottom"/>
          </w:tcPr>
          <w:p>
            <w:pPr>
              <w:ind w:left="220"/>
              <w:spacing w:after="0"/>
              <w:rPr>
                <w:sz w:val="20"/>
                <w:szCs w:val="20"/>
                <w:color w:val="auto"/>
              </w:rPr>
            </w:pPr>
            <w:r>
              <w:rPr>
                <w:rFonts w:ascii="Arial" w:cs="Arial" w:eastAsia="Arial" w:hAnsi="Arial"/>
                <w:sz w:val="11"/>
                <w:szCs w:val="11"/>
                <w:color w:val="auto"/>
              </w:rPr>
              <w:t>Fixed income</w:t>
            </w:r>
          </w:p>
        </w:tc>
        <w:tc>
          <w:tcPr>
            <w:tcW w:w="1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85,064</w:t>
            </w:r>
          </w:p>
        </w:tc>
        <w:tc>
          <w:tcPr>
            <w:tcW w:w="1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66,550</w:t>
            </w:r>
          </w:p>
        </w:tc>
        <w:tc>
          <w:tcPr>
            <w:tcW w:w="4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252,401</w:t>
            </w:r>
          </w:p>
        </w:tc>
        <w:tc>
          <w:tcPr>
            <w:tcW w:w="46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181,116</w:t>
            </w:r>
          </w:p>
        </w:tc>
      </w:tr>
      <w:tr>
        <w:trPr>
          <w:trHeight w:val="145"/>
        </w:trPr>
        <w:tc>
          <w:tcPr>
            <w:tcW w:w="41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Equities</w:t>
            </w:r>
          </w:p>
        </w:tc>
        <w:tc>
          <w:tcPr>
            <w:tcW w:w="114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51,314</w:t>
            </w:r>
          </w:p>
        </w:tc>
        <w:tc>
          <w:tcPr>
            <w:tcW w:w="116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51,475</w:t>
            </w:r>
          </w:p>
        </w:tc>
        <w:tc>
          <w:tcPr>
            <w:tcW w:w="440" w:type="dxa"/>
            <w:vAlign w:val="bottom"/>
            <w:shd w:val="clear" w:color="auto" w:fill="DBDBDB"/>
          </w:tcPr>
          <w:p>
            <w:pPr>
              <w:spacing w:after="0"/>
              <w:rPr>
                <w:sz w:val="12"/>
                <w:szCs w:val="1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167,605</w:t>
            </w:r>
          </w:p>
        </w:tc>
        <w:tc>
          <w:tcPr>
            <w:tcW w:w="460" w:type="dxa"/>
            <w:vAlign w:val="bottom"/>
            <w:shd w:val="clear" w:color="auto" w:fill="DBDBDB"/>
          </w:tcPr>
          <w:p>
            <w:pPr>
              <w:spacing w:after="0"/>
              <w:rPr>
                <w:sz w:val="12"/>
                <w:szCs w:val="12"/>
                <w:color w:val="auto"/>
              </w:rPr>
            </w:pP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148,360</w:t>
            </w:r>
          </w:p>
        </w:tc>
      </w:tr>
      <w:tr>
        <w:trPr>
          <w:trHeight w:val="143"/>
        </w:trPr>
        <w:tc>
          <w:tcPr>
            <w:tcW w:w="4140" w:type="dxa"/>
            <w:vAlign w:val="bottom"/>
          </w:tcPr>
          <w:p>
            <w:pPr>
              <w:ind w:left="220"/>
              <w:spacing w:after="0"/>
              <w:rPr>
                <w:sz w:val="20"/>
                <w:szCs w:val="20"/>
                <w:color w:val="auto"/>
              </w:rPr>
            </w:pPr>
            <w:r>
              <w:rPr>
                <w:rFonts w:ascii="Arial" w:cs="Arial" w:eastAsia="Arial" w:hAnsi="Arial"/>
                <w:sz w:val="11"/>
                <w:szCs w:val="11"/>
                <w:color w:val="auto"/>
              </w:rPr>
              <w:t>Mutual funds</w:t>
            </w:r>
          </w:p>
        </w:tc>
        <w:tc>
          <w:tcPr>
            <w:tcW w:w="1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48,527</w:t>
            </w:r>
          </w:p>
        </w:tc>
        <w:tc>
          <w:tcPr>
            <w:tcW w:w="1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54,235</w:t>
            </w:r>
          </w:p>
        </w:tc>
        <w:tc>
          <w:tcPr>
            <w:tcW w:w="4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160,531</w:t>
            </w:r>
          </w:p>
        </w:tc>
        <w:tc>
          <w:tcPr>
            <w:tcW w:w="46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162,142</w:t>
            </w:r>
          </w:p>
        </w:tc>
      </w:tr>
      <w:tr>
        <w:trPr>
          <w:trHeight w:val="145"/>
        </w:trPr>
        <w:tc>
          <w:tcPr>
            <w:tcW w:w="41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w:t>
            </w:r>
          </w:p>
        </w:tc>
        <w:tc>
          <w:tcPr>
            <w:tcW w:w="1140" w:type="dxa"/>
            <w:vAlign w:val="bottom"/>
            <w:tcBorders>
              <w:bottom w:val="single" w:sz="8" w:color="auto"/>
            </w:tcBorders>
            <w:shd w:val="clear" w:color="auto" w:fill="DBDBDB"/>
          </w:tcPr>
          <w:p>
            <w:pPr>
              <w:spacing w:after="0"/>
              <w:rPr>
                <w:sz w:val="12"/>
                <w:szCs w:val="12"/>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88,550</w:t>
            </w:r>
          </w:p>
        </w:tc>
        <w:tc>
          <w:tcPr>
            <w:tcW w:w="1160" w:type="dxa"/>
            <w:vAlign w:val="bottom"/>
            <w:tcBorders>
              <w:bottom w:val="single" w:sz="8" w:color="auto"/>
            </w:tcBorders>
            <w:shd w:val="clear" w:color="auto" w:fill="DBDBDB"/>
          </w:tcPr>
          <w:p>
            <w:pPr>
              <w:spacing w:after="0"/>
              <w:rPr>
                <w:sz w:val="12"/>
                <w:szCs w:val="12"/>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83,842</w:t>
            </w:r>
          </w:p>
        </w:tc>
        <w:tc>
          <w:tcPr>
            <w:tcW w:w="440" w:type="dxa"/>
            <w:vAlign w:val="bottom"/>
            <w:tcBorders>
              <w:bottom w:val="single" w:sz="8" w:color="auto"/>
            </w:tcBorders>
            <w:shd w:val="clear" w:color="auto" w:fill="DBDBDB"/>
          </w:tcPr>
          <w:p>
            <w:pPr>
              <w:spacing w:after="0"/>
              <w:rPr>
                <w:sz w:val="12"/>
                <w:szCs w:val="12"/>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257,476</w:t>
            </w:r>
          </w:p>
        </w:tc>
        <w:tc>
          <w:tcPr>
            <w:tcW w:w="460" w:type="dxa"/>
            <w:vAlign w:val="bottom"/>
            <w:tcBorders>
              <w:bottom w:val="single" w:sz="8" w:color="auto"/>
            </w:tcBorders>
            <w:shd w:val="clear" w:color="auto" w:fill="DBDBDB"/>
          </w:tcPr>
          <w:p>
            <w:pPr>
              <w:spacing w:after="0"/>
              <w:rPr>
                <w:sz w:val="12"/>
                <w:szCs w:val="12"/>
                <w:color w:val="auto"/>
              </w:rPr>
            </w:pPr>
          </w:p>
        </w:tc>
        <w:tc>
          <w:tcPr>
            <w:tcW w:w="13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234,891</w:t>
            </w:r>
          </w:p>
        </w:tc>
      </w:tr>
      <w:tr>
        <w:trPr>
          <w:trHeight w:val="150"/>
        </w:trPr>
        <w:tc>
          <w:tcPr>
            <w:tcW w:w="4140" w:type="dxa"/>
            <w:vAlign w:val="bottom"/>
          </w:tcPr>
          <w:p>
            <w:pPr>
              <w:ind w:left="300"/>
              <w:spacing w:after="0"/>
              <w:rPr>
                <w:sz w:val="20"/>
                <w:szCs w:val="20"/>
                <w:color w:val="auto"/>
              </w:rPr>
            </w:pPr>
            <w:r>
              <w:rPr>
                <w:rFonts w:ascii="Arial" w:cs="Arial" w:eastAsia="Arial" w:hAnsi="Arial"/>
                <w:sz w:val="11"/>
                <w:szCs w:val="11"/>
                <w:b w:val="1"/>
                <w:bCs w:val="1"/>
                <w:color w:val="auto"/>
              </w:rPr>
              <w:t>Total sales-based revenue</w:t>
            </w:r>
          </w:p>
        </w:tc>
        <w:tc>
          <w:tcPr>
            <w:tcW w:w="1140" w:type="dxa"/>
            <w:vAlign w:val="bottom"/>
          </w:tcPr>
          <w:p>
            <w:pPr>
              <w:jc w:val="right"/>
              <w:ind w:right="100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742,852</w:t>
            </w:r>
          </w:p>
        </w:tc>
        <w:tc>
          <w:tcPr>
            <w:tcW w:w="1160" w:type="dxa"/>
            <w:vAlign w:val="bottom"/>
          </w:tcPr>
          <w:p>
            <w:pPr>
              <w:jc w:val="right"/>
              <w:ind w:right="100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695,029</w:t>
            </w:r>
          </w:p>
        </w:tc>
        <w:tc>
          <w:tcPr>
            <w:tcW w:w="44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2,176,422</w:t>
            </w:r>
          </w:p>
        </w:tc>
        <w:tc>
          <w:tcPr>
            <w:tcW w:w="4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1,924,859</w:t>
            </w:r>
          </w:p>
        </w:tc>
      </w:tr>
      <w:tr>
        <w:trPr>
          <w:trHeight w:val="145"/>
        </w:trPr>
        <w:tc>
          <w:tcPr>
            <w:tcW w:w="4140" w:type="dxa"/>
            <w:vAlign w:val="bottom"/>
            <w:shd w:val="clear" w:color="auto" w:fill="DBDBDB"/>
          </w:tcPr>
          <w:p>
            <w:pPr>
              <w:ind w:left="140"/>
              <w:spacing w:after="0"/>
              <w:rPr>
                <w:sz w:val="20"/>
                <w:szCs w:val="20"/>
                <w:color w:val="auto"/>
              </w:rPr>
            </w:pPr>
            <w:r>
              <w:rPr>
                <w:rFonts w:ascii="Arial" w:cs="Arial" w:eastAsia="Arial" w:hAnsi="Arial"/>
                <w:sz w:val="11"/>
                <w:szCs w:val="11"/>
                <w:b w:val="1"/>
                <w:bCs w:val="1"/>
                <w:color w:val="auto"/>
              </w:rPr>
              <w:t>Trailing</w:t>
            </w:r>
          </w:p>
        </w:tc>
        <w:tc>
          <w:tcPr>
            <w:tcW w:w="114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4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1360" w:type="dxa"/>
            <w:vAlign w:val="bottom"/>
            <w:shd w:val="clear" w:color="auto" w:fill="DBDBDB"/>
          </w:tcPr>
          <w:p>
            <w:pPr>
              <w:spacing w:after="0"/>
              <w:rPr>
                <w:sz w:val="12"/>
                <w:szCs w:val="12"/>
                <w:color w:val="auto"/>
              </w:rPr>
            </w:pPr>
          </w:p>
        </w:tc>
      </w:tr>
      <w:tr>
        <w:trPr>
          <w:trHeight w:val="143"/>
        </w:trPr>
        <w:tc>
          <w:tcPr>
            <w:tcW w:w="4140" w:type="dxa"/>
            <w:vAlign w:val="bottom"/>
          </w:tcPr>
          <w:p>
            <w:pPr>
              <w:ind w:left="220"/>
              <w:spacing w:after="0"/>
              <w:rPr>
                <w:sz w:val="20"/>
                <w:szCs w:val="20"/>
                <w:color w:val="auto"/>
              </w:rPr>
            </w:pPr>
            <w:r>
              <w:rPr>
                <w:rFonts w:ascii="Arial" w:cs="Arial" w:eastAsia="Arial" w:hAnsi="Arial"/>
                <w:sz w:val="11"/>
                <w:szCs w:val="11"/>
                <w:color w:val="auto"/>
              </w:rPr>
              <w:t>Annuities</w:t>
            </w:r>
          </w:p>
        </w:tc>
        <w:tc>
          <w:tcPr>
            <w:tcW w:w="1140" w:type="dxa"/>
            <w:vAlign w:val="bottom"/>
          </w:tcPr>
          <w:p>
            <w:pPr>
              <w:jc w:val="right"/>
              <w:ind w:right="100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279,076</w:t>
            </w:r>
          </w:p>
        </w:tc>
        <w:tc>
          <w:tcPr>
            <w:tcW w:w="1160" w:type="dxa"/>
            <w:vAlign w:val="bottom"/>
          </w:tcPr>
          <w:p>
            <w:pPr>
              <w:jc w:val="right"/>
              <w:ind w:right="100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274,973</w:t>
            </w:r>
          </w:p>
        </w:tc>
        <w:tc>
          <w:tcPr>
            <w:tcW w:w="44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828,387</w:t>
            </w:r>
          </w:p>
        </w:tc>
        <w:tc>
          <w:tcPr>
            <w:tcW w:w="4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760,909</w:t>
            </w:r>
          </w:p>
        </w:tc>
      </w:tr>
      <w:tr>
        <w:trPr>
          <w:trHeight w:val="145"/>
        </w:trPr>
        <w:tc>
          <w:tcPr>
            <w:tcW w:w="4140" w:type="dxa"/>
            <w:vAlign w:val="bottom"/>
            <w:shd w:val="clear" w:color="auto" w:fill="DBDBDB"/>
          </w:tcPr>
          <w:p>
            <w:pPr>
              <w:ind w:left="220"/>
              <w:spacing w:after="0"/>
              <w:rPr>
                <w:sz w:val="20"/>
                <w:szCs w:val="20"/>
                <w:color w:val="auto"/>
              </w:rPr>
            </w:pPr>
            <w:r>
              <w:rPr>
                <w:rFonts w:ascii="Arial" w:cs="Arial" w:eastAsia="Arial" w:hAnsi="Arial"/>
                <w:sz w:val="11"/>
                <w:szCs w:val="11"/>
                <w:color w:val="auto"/>
              </w:rPr>
              <w:t>Mutual funds</w:t>
            </w:r>
          </w:p>
        </w:tc>
        <w:tc>
          <w:tcPr>
            <w:tcW w:w="114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213,306</w:t>
            </w:r>
          </w:p>
        </w:tc>
        <w:tc>
          <w:tcPr>
            <w:tcW w:w="1160" w:type="dxa"/>
            <w:vAlign w:val="bottom"/>
            <w:shd w:val="clear" w:color="auto" w:fill="DBDBDB"/>
          </w:tcPr>
          <w:p>
            <w:pPr>
              <w:spacing w:after="0"/>
              <w:rPr>
                <w:sz w:val="12"/>
                <w:szCs w:val="12"/>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203,932</w:t>
            </w:r>
          </w:p>
        </w:tc>
        <w:tc>
          <w:tcPr>
            <w:tcW w:w="440" w:type="dxa"/>
            <w:vAlign w:val="bottom"/>
            <w:shd w:val="clear" w:color="auto" w:fill="DBDBDB"/>
          </w:tcPr>
          <w:p>
            <w:pPr>
              <w:spacing w:after="0"/>
              <w:rPr>
                <w:sz w:val="12"/>
                <w:szCs w:val="1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629,402</w:t>
            </w:r>
          </w:p>
        </w:tc>
        <w:tc>
          <w:tcPr>
            <w:tcW w:w="460" w:type="dxa"/>
            <w:vAlign w:val="bottom"/>
            <w:shd w:val="clear" w:color="auto" w:fill="DBDBDB"/>
          </w:tcPr>
          <w:p>
            <w:pPr>
              <w:spacing w:after="0"/>
              <w:rPr>
                <w:sz w:val="12"/>
                <w:szCs w:val="12"/>
                <w:color w:val="auto"/>
              </w:rPr>
            </w:pP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553,236</w:t>
            </w:r>
          </w:p>
        </w:tc>
      </w:tr>
      <w:tr>
        <w:trPr>
          <w:trHeight w:val="143"/>
        </w:trPr>
        <w:tc>
          <w:tcPr>
            <w:tcW w:w="414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Other</w:t>
            </w:r>
          </w:p>
        </w:tc>
        <w:tc>
          <w:tcPr>
            <w:tcW w:w="1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15,522</w:t>
            </w:r>
          </w:p>
        </w:tc>
        <w:tc>
          <w:tcPr>
            <w:tcW w:w="1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13,521</w:t>
            </w:r>
          </w:p>
        </w:tc>
        <w:tc>
          <w:tcPr>
            <w:tcW w:w="4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40,652</w:t>
            </w:r>
          </w:p>
        </w:tc>
        <w:tc>
          <w:tcPr>
            <w:tcW w:w="4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34,295</w:t>
            </w:r>
          </w:p>
        </w:tc>
      </w:tr>
      <w:tr>
        <w:trPr>
          <w:trHeight w:val="134"/>
        </w:trPr>
        <w:tc>
          <w:tcPr>
            <w:tcW w:w="4140" w:type="dxa"/>
            <w:vAlign w:val="bottom"/>
            <w:shd w:val="clear" w:color="auto" w:fill="DBDBDB"/>
          </w:tcPr>
          <w:p>
            <w:pPr>
              <w:ind w:left="300"/>
              <w:spacing w:after="0"/>
              <w:rPr>
                <w:sz w:val="20"/>
                <w:szCs w:val="20"/>
                <w:color w:val="auto"/>
              </w:rPr>
            </w:pPr>
            <w:r>
              <w:rPr>
                <w:rFonts w:ascii="Arial" w:cs="Arial" w:eastAsia="Arial" w:hAnsi="Arial"/>
                <w:sz w:val="11"/>
                <w:szCs w:val="11"/>
                <w:b w:val="1"/>
                <w:bCs w:val="1"/>
                <w:color w:val="auto"/>
              </w:rPr>
              <w:t>Total trailing revenue</w:t>
            </w:r>
          </w:p>
        </w:tc>
        <w:tc>
          <w:tcPr>
            <w:tcW w:w="1140" w:type="dxa"/>
            <w:vAlign w:val="bottom"/>
            <w:tcBorders>
              <w:bottom w:val="single" w:sz="8" w:color="auto"/>
            </w:tcBorders>
            <w:shd w:val="clear" w:color="auto" w:fill="DBDBDB"/>
          </w:tcPr>
          <w:p>
            <w:pPr>
              <w:jc w:val="right"/>
              <w:ind w:right="100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507,904</w:t>
            </w:r>
          </w:p>
        </w:tc>
        <w:tc>
          <w:tcPr>
            <w:tcW w:w="1160" w:type="dxa"/>
            <w:vAlign w:val="bottom"/>
            <w:tcBorders>
              <w:bottom w:val="single" w:sz="8" w:color="auto"/>
            </w:tcBorders>
            <w:shd w:val="clear" w:color="auto" w:fill="DBDBDB"/>
          </w:tcPr>
          <w:p>
            <w:pPr>
              <w:jc w:val="right"/>
              <w:ind w:right="100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492,426</w:t>
            </w:r>
          </w:p>
        </w:tc>
        <w:tc>
          <w:tcPr>
            <w:tcW w:w="440" w:type="dxa"/>
            <w:vAlign w:val="bottom"/>
            <w:tcBorders>
              <w:bottom w:val="single" w:sz="8" w:color="auto"/>
            </w:tcBorders>
            <w:shd w:val="clear" w:color="auto" w:fill="DBDBDB"/>
          </w:tcPr>
          <w:p>
            <w:pPr>
              <w:jc w:val="right"/>
              <w:ind w:right="286"/>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1,498,441</w:t>
            </w:r>
          </w:p>
        </w:tc>
        <w:tc>
          <w:tcPr>
            <w:tcW w:w="460" w:type="dxa"/>
            <w:vAlign w:val="bottom"/>
            <w:tcBorders>
              <w:bottom w:val="single" w:sz="8" w:color="auto"/>
            </w:tcBorders>
            <w:shd w:val="clear" w:color="auto" w:fill="DBDBDB"/>
          </w:tcPr>
          <w:p>
            <w:pPr>
              <w:jc w:val="right"/>
              <w:ind w:right="30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1,348,440</w:t>
            </w:r>
          </w:p>
        </w:tc>
      </w:tr>
      <w:tr>
        <w:trPr>
          <w:trHeight w:val="133"/>
        </w:trPr>
        <w:tc>
          <w:tcPr>
            <w:tcW w:w="4140" w:type="dxa"/>
            <w:vAlign w:val="bottom"/>
          </w:tcPr>
          <w:p>
            <w:pPr>
              <w:ind w:left="300"/>
              <w:spacing w:after="0"/>
              <w:rPr>
                <w:sz w:val="20"/>
                <w:szCs w:val="20"/>
                <w:color w:val="auto"/>
              </w:rPr>
            </w:pPr>
            <w:r>
              <w:rPr>
                <w:rFonts w:ascii="Arial" w:cs="Arial" w:eastAsia="Arial" w:hAnsi="Arial"/>
                <w:sz w:val="11"/>
                <w:szCs w:val="11"/>
                <w:b w:val="1"/>
                <w:bCs w:val="1"/>
                <w:color w:val="auto"/>
              </w:rPr>
              <w:t>Total commission revenue</w:t>
            </w:r>
          </w:p>
        </w:tc>
        <w:tc>
          <w:tcPr>
            <w:tcW w:w="1140" w:type="dxa"/>
            <w:vAlign w:val="bottom"/>
            <w:tcBorders>
              <w:bottom w:val="single" w:sz="8" w:color="auto"/>
            </w:tcBorders>
          </w:tcPr>
          <w:p>
            <w:pPr>
              <w:jc w:val="right"/>
              <w:ind w:right="100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1,250,756</w:t>
            </w:r>
          </w:p>
        </w:tc>
        <w:tc>
          <w:tcPr>
            <w:tcW w:w="1160" w:type="dxa"/>
            <w:vAlign w:val="bottom"/>
            <w:tcBorders>
              <w:bottom w:val="single" w:sz="8" w:color="auto"/>
            </w:tcBorders>
          </w:tcPr>
          <w:p>
            <w:pPr>
              <w:jc w:val="right"/>
              <w:ind w:right="100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1,187,455</w:t>
            </w:r>
          </w:p>
        </w:tc>
        <w:tc>
          <w:tcPr>
            <w:tcW w:w="4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3,674,863</w:t>
            </w:r>
          </w:p>
        </w:tc>
        <w:tc>
          <w:tcPr>
            <w:tcW w:w="46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3,273,299</w:t>
            </w:r>
          </w:p>
        </w:tc>
      </w:tr>
      <w:tr>
        <w:trPr>
          <w:trHeight w:val="20"/>
        </w:trPr>
        <w:tc>
          <w:tcPr>
            <w:tcW w:w="4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Asset-Based</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asset-based revenue disaggregated by product category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20" w:type="dxa"/>
            <w:vAlign w:val="bottom"/>
          </w:tcPr>
          <w:p>
            <w:pPr>
              <w:spacing w:after="0"/>
              <w:rPr>
                <w:sz w:val="12"/>
                <w:szCs w:val="12"/>
                <w:color w:val="auto"/>
              </w:rPr>
            </w:pPr>
          </w:p>
        </w:tc>
        <w:tc>
          <w:tcPr>
            <w:tcW w:w="288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Three Months Ended September 30,</w:t>
            </w: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gridSpan w:val="3"/>
          </w:tcPr>
          <w:p>
            <w:pPr>
              <w:jc w:val="right"/>
              <w:ind w:right="80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4320" w:type="dxa"/>
            <w:vAlign w:val="bottom"/>
            <w:tcBorders>
              <w:bottom w:val="single" w:sz="8" w:color="DBDBDB"/>
            </w:tcBorders>
          </w:tcPr>
          <w:p>
            <w:pPr>
              <w:spacing w:after="0"/>
              <w:rPr>
                <w:sz w:val="11"/>
                <w:szCs w:val="11"/>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b w:val="1"/>
                <w:bCs w:val="1"/>
                <w:color w:val="auto"/>
              </w:rPr>
              <w:t>2026</w:t>
            </w: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b w:val="1"/>
                <w:bCs w:val="1"/>
                <w:color w:val="auto"/>
              </w:rPr>
              <w:t>2025</w:t>
            </w:r>
          </w:p>
        </w:tc>
      </w:tr>
      <w:tr>
        <w:trPr>
          <w:trHeight w:val="124"/>
        </w:trPr>
        <w:tc>
          <w:tcPr>
            <w:tcW w:w="432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Asset-based revenue</w:t>
            </w:r>
          </w:p>
        </w:tc>
        <w:tc>
          <w:tcPr>
            <w:tcW w:w="114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16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440" w:type="dxa"/>
            <w:vAlign w:val="bottom"/>
            <w:shd w:val="clear" w:color="auto" w:fill="DBDBDB"/>
          </w:tcPr>
          <w:p>
            <w:pPr>
              <w:spacing w:after="0"/>
              <w:rPr>
                <w:sz w:val="10"/>
                <w:szCs w:val="10"/>
                <w:color w:val="auto"/>
              </w:rPr>
            </w:pPr>
          </w:p>
        </w:tc>
        <w:tc>
          <w:tcPr>
            <w:tcW w:w="1320" w:type="dxa"/>
            <w:vAlign w:val="bottom"/>
            <w:shd w:val="clear" w:color="auto" w:fill="DBDBDB"/>
          </w:tcPr>
          <w:p>
            <w:pPr>
              <w:spacing w:after="0"/>
              <w:rPr>
                <w:sz w:val="10"/>
                <w:szCs w:val="10"/>
                <w:color w:val="auto"/>
              </w:rPr>
            </w:pPr>
          </w:p>
        </w:tc>
        <w:tc>
          <w:tcPr>
            <w:tcW w:w="420" w:type="dxa"/>
            <w:vAlign w:val="bottom"/>
            <w:shd w:val="clear" w:color="auto" w:fill="DBDBDB"/>
          </w:tcPr>
          <w:p>
            <w:pPr>
              <w:spacing w:after="0"/>
              <w:rPr>
                <w:sz w:val="10"/>
                <w:szCs w:val="10"/>
                <w:color w:val="auto"/>
              </w:rPr>
            </w:pPr>
          </w:p>
        </w:tc>
        <w:tc>
          <w:tcPr>
            <w:tcW w:w="1340" w:type="dxa"/>
            <w:vAlign w:val="bottom"/>
            <w:shd w:val="clear" w:color="auto" w:fill="DBDBDB"/>
          </w:tcPr>
          <w:p>
            <w:pPr>
              <w:spacing w:after="0"/>
              <w:rPr>
                <w:sz w:val="10"/>
                <w:szCs w:val="10"/>
                <w:color w:val="auto"/>
              </w:rPr>
            </w:pPr>
          </w:p>
        </w:tc>
      </w:tr>
      <w:tr>
        <w:trPr>
          <w:trHeight w:val="143"/>
        </w:trPr>
        <w:tc>
          <w:tcPr>
            <w:tcW w:w="4320" w:type="dxa"/>
            <w:vAlign w:val="bottom"/>
          </w:tcPr>
          <w:p>
            <w:pPr>
              <w:ind w:left="80"/>
              <w:spacing w:after="0"/>
              <w:rPr>
                <w:sz w:val="20"/>
                <w:szCs w:val="20"/>
                <w:color w:val="auto"/>
              </w:rPr>
            </w:pPr>
            <w:r>
              <w:rPr>
                <w:rFonts w:ascii="Arial" w:cs="Arial" w:eastAsia="Arial" w:hAnsi="Arial"/>
                <w:sz w:val="11"/>
                <w:szCs w:val="11"/>
                <w:color w:val="auto"/>
              </w:rPr>
              <w:t>Client cash</w:t>
            </w:r>
          </w:p>
        </w:tc>
        <w:tc>
          <w:tcPr>
            <w:tcW w:w="1140" w:type="dxa"/>
            <w:vAlign w:val="bottom"/>
          </w:tcPr>
          <w:p>
            <w:pPr>
              <w:jc w:val="right"/>
              <w:ind w:right="102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461,471</w:t>
            </w:r>
          </w:p>
        </w:tc>
        <w:tc>
          <w:tcPr>
            <w:tcW w:w="1160" w:type="dxa"/>
            <w:vAlign w:val="bottom"/>
          </w:tcPr>
          <w:p>
            <w:pPr>
              <w:jc w:val="right"/>
              <w:ind w:right="1006"/>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428,190</w:t>
            </w:r>
          </w:p>
        </w:tc>
        <w:tc>
          <w:tcPr>
            <w:tcW w:w="44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1,350,297</w:t>
            </w: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1,217,553</w:t>
            </w:r>
          </w:p>
        </w:tc>
      </w:tr>
      <w:tr>
        <w:trPr>
          <w:trHeight w:val="145"/>
        </w:trPr>
        <w:tc>
          <w:tcPr>
            <w:tcW w:w="4320" w:type="dxa"/>
            <w:vAlign w:val="bottom"/>
            <w:shd w:val="clear" w:color="auto" w:fill="DBDBDB"/>
          </w:tcPr>
          <w:p>
            <w:pPr>
              <w:ind w:left="80"/>
              <w:spacing w:after="0"/>
              <w:rPr>
                <w:sz w:val="20"/>
                <w:szCs w:val="20"/>
                <w:color w:val="auto"/>
              </w:rPr>
            </w:pPr>
            <w:r>
              <w:rPr>
                <w:rFonts w:ascii="Arial" w:cs="Arial" w:eastAsia="Arial" w:hAnsi="Arial"/>
                <w:sz w:val="11"/>
                <w:szCs w:val="11"/>
                <w:color w:val="auto"/>
              </w:rPr>
              <w:t>Sponsorship programs</w:t>
            </w:r>
          </w:p>
        </w:tc>
        <w:tc>
          <w:tcPr>
            <w:tcW w:w="114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241,605</w:t>
            </w:r>
          </w:p>
        </w:tc>
        <w:tc>
          <w:tcPr>
            <w:tcW w:w="1160" w:type="dxa"/>
            <w:vAlign w:val="bottom"/>
            <w:shd w:val="clear" w:color="auto" w:fill="DBDBDB"/>
          </w:tcPr>
          <w:p>
            <w:pPr>
              <w:spacing w:after="0"/>
              <w:rPr>
                <w:sz w:val="12"/>
                <w:szCs w:val="12"/>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209,141</w:t>
            </w:r>
          </w:p>
        </w:tc>
        <w:tc>
          <w:tcPr>
            <w:tcW w:w="440" w:type="dxa"/>
            <w:vAlign w:val="bottom"/>
            <w:shd w:val="clear" w:color="auto" w:fill="DBDBDB"/>
          </w:tcPr>
          <w:p>
            <w:pPr>
              <w:spacing w:after="0"/>
              <w:rPr>
                <w:sz w:val="12"/>
                <w:szCs w:val="1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700,773</w:t>
            </w:r>
          </w:p>
        </w:tc>
        <w:tc>
          <w:tcPr>
            <w:tcW w:w="420" w:type="dxa"/>
            <w:vAlign w:val="bottom"/>
            <w:shd w:val="clear" w:color="auto" w:fill="DBDBDB"/>
          </w:tcPr>
          <w:p>
            <w:pPr>
              <w:spacing w:after="0"/>
              <w:rPr>
                <w:sz w:val="12"/>
                <w:szCs w:val="12"/>
                <w:color w:val="auto"/>
              </w:rPr>
            </w:pPr>
          </w:p>
        </w:tc>
        <w:tc>
          <w:tcPr>
            <w:tcW w:w="13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551,393</w:t>
            </w:r>
          </w:p>
        </w:tc>
      </w:tr>
      <w:tr>
        <w:trPr>
          <w:trHeight w:val="143"/>
        </w:trPr>
        <w:tc>
          <w:tcPr>
            <w:tcW w:w="432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Recordkeeping</w:t>
            </w:r>
          </w:p>
        </w:tc>
        <w:tc>
          <w:tcPr>
            <w:tcW w:w="1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159,008</w:t>
            </w:r>
          </w:p>
        </w:tc>
        <w:tc>
          <w:tcPr>
            <w:tcW w:w="1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144,949</w:t>
            </w:r>
          </w:p>
        </w:tc>
        <w:tc>
          <w:tcPr>
            <w:tcW w:w="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466,963</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410,922</w:t>
            </w:r>
          </w:p>
        </w:tc>
      </w:tr>
      <w:tr>
        <w:trPr>
          <w:trHeight w:val="150"/>
        </w:trPr>
        <w:tc>
          <w:tcPr>
            <w:tcW w:w="43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b w:val="1"/>
                <w:bCs w:val="1"/>
                <w:color w:val="auto"/>
              </w:rPr>
              <w:t>Total asset-based revenue</w:t>
            </w:r>
          </w:p>
        </w:tc>
        <w:tc>
          <w:tcPr>
            <w:tcW w:w="1140" w:type="dxa"/>
            <w:vAlign w:val="bottom"/>
            <w:tcBorders>
              <w:bottom w:val="single" w:sz="8" w:color="auto"/>
            </w:tcBorders>
            <w:shd w:val="clear" w:color="auto" w:fill="DBDBDB"/>
          </w:tcPr>
          <w:p>
            <w:pPr>
              <w:jc w:val="right"/>
              <w:ind w:right="10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862,084</w:t>
            </w:r>
          </w:p>
        </w:tc>
        <w:tc>
          <w:tcPr>
            <w:tcW w:w="1160" w:type="dxa"/>
            <w:vAlign w:val="bottom"/>
            <w:tcBorders>
              <w:bottom w:val="single" w:sz="8" w:color="auto"/>
            </w:tcBorders>
            <w:shd w:val="clear" w:color="auto" w:fill="DBDBDB"/>
          </w:tcPr>
          <w:p>
            <w:pPr>
              <w:jc w:val="right"/>
              <w:ind w:right="100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782,280</w:t>
            </w:r>
          </w:p>
        </w:tc>
        <w:tc>
          <w:tcPr>
            <w:tcW w:w="440" w:type="dxa"/>
            <w:vAlign w:val="bottom"/>
            <w:tcBorders>
              <w:bottom w:val="single" w:sz="8" w:color="auto"/>
            </w:tcBorders>
            <w:shd w:val="clear" w:color="auto" w:fill="DBDBDB"/>
          </w:tcPr>
          <w:p>
            <w:pPr>
              <w:jc w:val="right"/>
              <w:ind w:right="28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2,518,033</w:t>
            </w:r>
          </w:p>
        </w:tc>
        <w:tc>
          <w:tcPr>
            <w:tcW w:w="420" w:type="dxa"/>
            <w:vAlign w:val="bottom"/>
            <w:tcBorders>
              <w:bottom w:val="single" w:sz="8" w:color="auto"/>
            </w:tcBorders>
            <w:shd w:val="clear" w:color="auto" w:fill="DBDBDB"/>
          </w:tcPr>
          <w:p>
            <w:pPr>
              <w:jc w:val="right"/>
              <w:ind w:right="286"/>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2,179,868</w:t>
            </w: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31" w:name="page32"/>
    <w:bookmarkEnd w:id="31"/>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Service and Fee</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service and fee revenue disaggregated by recognition pattern (in thousands):</w:t>
      </w:r>
    </w:p>
    <w:p>
      <w:pPr>
        <w:spacing w:after="0" w:line="16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292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Three Months Ended September 30,</w:t>
            </w: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gridSpan w:val="3"/>
          </w:tcPr>
          <w:p>
            <w:pPr>
              <w:jc w:val="right"/>
              <w:ind w:right="82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4220" w:type="dxa"/>
            <w:vAlign w:val="bottom"/>
            <w:tcBorders>
              <w:bottom w:val="single" w:sz="8" w:color="DBDBDB"/>
            </w:tcBorders>
          </w:tcPr>
          <w:p>
            <w:pPr>
              <w:spacing w:after="0"/>
              <w:rPr>
                <w:sz w:val="11"/>
                <w:szCs w:val="11"/>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b w:val="1"/>
                <w:bCs w:val="1"/>
                <w:color w:val="auto"/>
              </w:rPr>
              <w:t>2026</w:t>
            </w:r>
          </w:p>
        </w:tc>
        <w:tc>
          <w:tcPr>
            <w:tcW w:w="4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b w:val="1"/>
                <w:bCs w:val="1"/>
                <w:color w:val="auto"/>
              </w:rPr>
              <w:t>2025</w:t>
            </w:r>
          </w:p>
        </w:tc>
      </w:tr>
      <w:tr>
        <w:trPr>
          <w:trHeight w:val="124"/>
        </w:trPr>
        <w:tc>
          <w:tcPr>
            <w:tcW w:w="422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Service and fee revenue</w:t>
            </w:r>
          </w:p>
        </w:tc>
        <w:tc>
          <w:tcPr>
            <w:tcW w:w="116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180" w:type="dxa"/>
            <w:vAlign w:val="bottom"/>
            <w:shd w:val="clear" w:color="auto" w:fill="DBDBDB"/>
          </w:tcPr>
          <w:p>
            <w:pPr>
              <w:spacing w:after="0"/>
              <w:rPr>
                <w:sz w:val="10"/>
                <w:szCs w:val="10"/>
                <w:color w:val="auto"/>
              </w:rPr>
            </w:pPr>
          </w:p>
        </w:tc>
        <w:tc>
          <w:tcPr>
            <w:tcW w:w="600" w:type="dxa"/>
            <w:vAlign w:val="bottom"/>
            <w:shd w:val="clear" w:color="auto" w:fill="DBDBDB"/>
          </w:tcPr>
          <w:p>
            <w:pPr>
              <w:spacing w:after="0"/>
              <w:rPr>
                <w:sz w:val="10"/>
                <w:szCs w:val="10"/>
                <w:color w:val="auto"/>
              </w:rPr>
            </w:pPr>
          </w:p>
        </w:tc>
        <w:tc>
          <w:tcPr>
            <w:tcW w:w="420" w:type="dxa"/>
            <w:vAlign w:val="bottom"/>
            <w:shd w:val="clear" w:color="auto" w:fill="DBDBDB"/>
          </w:tcPr>
          <w:p>
            <w:pPr>
              <w:spacing w:after="0"/>
              <w:rPr>
                <w:sz w:val="10"/>
                <w:szCs w:val="10"/>
                <w:color w:val="auto"/>
              </w:rPr>
            </w:pPr>
          </w:p>
        </w:tc>
        <w:tc>
          <w:tcPr>
            <w:tcW w:w="1340" w:type="dxa"/>
            <w:vAlign w:val="bottom"/>
            <w:shd w:val="clear" w:color="auto" w:fill="DBDBDB"/>
          </w:tcPr>
          <w:p>
            <w:pPr>
              <w:spacing w:after="0"/>
              <w:rPr>
                <w:sz w:val="10"/>
                <w:szCs w:val="10"/>
                <w:color w:val="auto"/>
              </w:rPr>
            </w:pPr>
          </w:p>
        </w:tc>
        <w:tc>
          <w:tcPr>
            <w:tcW w:w="440" w:type="dxa"/>
            <w:vAlign w:val="bottom"/>
            <w:shd w:val="clear" w:color="auto" w:fill="DBDBDB"/>
          </w:tcPr>
          <w:p>
            <w:pPr>
              <w:spacing w:after="0"/>
              <w:rPr>
                <w:sz w:val="10"/>
                <w:szCs w:val="10"/>
                <w:color w:val="auto"/>
              </w:rPr>
            </w:pPr>
          </w:p>
        </w:tc>
        <w:tc>
          <w:tcPr>
            <w:tcW w:w="1340" w:type="dxa"/>
            <w:vAlign w:val="bottom"/>
            <w:shd w:val="clear" w:color="auto" w:fill="DBDBDB"/>
          </w:tcPr>
          <w:p>
            <w:pPr>
              <w:spacing w:after="0"/>
              <w:rPr>
                <w:sz w:val="10"/>
                <w:szCs w:val="10"/>
                <w:color w:val="auto"/>
              </w:rPr>
            </w:pPr>
          </w:p>
        </w:tc>
      </w:tr>
      <w:tr>
        <w:trPr>
          <w:trHeight w:val="144"/>
        </w:trPr>
        <w:tc>
          <w:tcPr>
            <w:tcW w:w="4220" w:type="dxa"/>
            <w:vAlign w:val="bottom"/>
          </w:tcPr>
          <w:p>
            <w:pPr>
              <w:ind w:left="80"/>
              <w:spacing w:after="0" w:line="144" w:lineRule="exact"/>
              <w:rPr>
                <w:sz w:val="20"/>
                <w:szCs w:val="20"/>
                <w:color w:val="auto"/>
              </w:rPr>
            </w:pPr>
            <w:r>
              <w:rPr>
                <w:rFonts w:ascii="Arial" w:cs="Arial" w:eastAsia="Arial" w:hAnsi="Arial"/>
                <w:sz w:val="11"/>
                <w:szCs w:val="11"/>
                <w:color w:val="auto"/>
              </w:rPr>
              <w:t>Over time</w:t>
            </w:r>
            <w:r>
              <w:rPr>
                <w:rFonts w:ascii="Arial" w:cs="Arial" w:eastAsia="Arial" w:hAnsi="Arial"/>
                <w:sz w:val="14"/>
                <w:szCs w:val="14"/>
                <w:color w:val="auto"/>
                <w:vertAlign w:val="subscript"/>
              </w:rPr>
              <w:t>(1)</w:t>
            </w:r>
          </w:p>
        </w:tc>
        <w:tc>
          <w:tcPr>
            <w:tcW w:w="1160" w:type="dxa"/>
            <w:vAlign w:val="bottom"/>
          </w:tcPr>
          <w:p>
            <w:pPr>
              <w:jc w:val="right"/>
              <w:ind w:right="10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157,071</w:t>
            </w:r>
          </w:p>
        </w:tc>
        <w:tc>
          <w:tcPr>
            <w:tcW w:w="1180" w:type="dxa"/>
            <w:vAlign w:val="bottom"/>
          </w:tcPr>
          <w:p>
            <w:pPr>
              <w:jc w:val="right"/>
              <w:ind w:right="102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120,159</w:t>
            </w:r>
          </w:p>
        </w:tc>
        <w:tc>
          <w:tcPr>
            <w:tcW w:w="420" w:type="dxa"/>
            <w:vAlign w:val="bottom"/>
          </w:tcPr>
          <w:p>
            <w:pPr>
              <w:jc w:val="right"/>
              <w:ind w:right="286"/>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472,765</w:t>
            </w: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342,918</w:t>
            </w:r>
          </w:p>
        </w:tc>
      </w:tr>
      <w:tr>
        <w:trPr>
          <w:trHeight w:val="144"/>
        </w:trPr>
        <w:tc>
          <w:tcPr>
            <w:tcW w:w="4220" w:type="dxa"/>
            <w:vAlign w:val="bottom"/>
            <w:shd w:val="clear" w:color="auto" w:fill="DBDBDB"/>
          </w:tcPr>
          <w:p>
            <w:pPr>
              <w:ind w:left="80"/>
              <w:spacing w:after="0" w:line="144" w:lineRule="exact"/>
              <w:rPr>
                <w:sz w:val="20"/>
                <w:szCs w:val="20"/>
                <w:color w:val="auto"/>
              </w:rPr>
            </w:pPr>
            <w:r>
              <w:rPr>
                <w:rFonts w:ascii="Arial" w:cs="Arial" w:eastAsia="Arial" w:hAnsi="Arial"/>
                <w:sz w:val="11"/>
                <w:szCs w:val="11"/>
                <w:color w:val="auto"/>
              </w:rPr>
              <w:t>Point-in-time</w:t>
            </w:r>
            <w:r>
              <w:rPr>
                <w:rFonts w:ascii="Arial" w:cs="Arial" w:eastAsia="Arial" w:hAnsi="Arial"/>
                <w:sz w:val="14"/>
                <w:szCs w:val="14"/>
                <w:color w:val="auto"/>
                <w:vertAlign w:val="subscript"/>
              </w:rPr>
              <w:t>(2)</w:t>
            </w:r>
          </w:p>
        </w:tc>
        <w:tc>
          <w:tcPr>
            <w:tcW w:w="1160" w:type="dxa"/>
            <w:vAlign w:val="bottom"/>
            <w:tcBorders>
              <w:bottom w:val="single" w:sz="8" w:color="auto"/>
            </w:tcBorders>
            <w:shd w:val="clear" w:color="auto" w:fill="DBDBDB"/>
          </w:tcPr>
          <w:p>
            <w:pPr>
              <w:spacing w:after="0"/>
              <w:rPr>
                <w:sz w:val="12"/>
                <w:szCs w:val="12"/>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60,984</w:t>
            </w:r>
          </w:p>
        </w:tc>
        <w:tc>
          <w:tcPr>
            <w:tcW w:w="118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54,556</w:t>
            </w:r>
          </w:p>
        </w:tc>
        <w:tc>
          <w:tcPr>
            <w:tcW w:w="420" w:type="dxa"/>
            <w:vAlign w:val="bottom"/>
            <w:tcBorders>
              <w:bottom w:val="single" w:sz="8" w:color="auto"/>
            </w:tcBorders>
            <w:shd w:val="clear" w:color="auto" w:fill="DBDBDB"/>
          </w:tcPr>
          <w:p>
            <w:pPr>
              <w:spacing w:after="0"/>
              <w:rPr>
                <w:sz w:val="12"/>
                <w:szCs w:val="12"/>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165,153</w:t>
            </w:r>
          </w:p>
        </w:tc>
        <w:tc>
          <w:tcPr>
            <w:tcW w:w="440" w:type="dxa"/>
            <w:vAlign w:val="bottom"/>
            <w:tcBorders>
              <w:bottom w:val="single" w:sz="8" w:color="auto"/>
            </w:tcBorders>
            <w:shd w:val="clear" w:color="auto" w:fill="DBDBDB"/>
          </w:tcPr>
          <w:p>
            <w:pPr>
              <w:spacing w:after="0"/>
              <w:rPr>
                <w:sz w:val="12"/>
                <w:szCs w:val="12"/>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128,835</w:t>
            </w:r>
          </w:p>
        </w:tc>
      </w:tr>
      <w:tr>
        <w:trPr>
          <w:trHeight w:val="133"/>
        </w:trPr>
        <w:tc>
          <w:tcPr>
            <w:tcW w:w="4220" w:type="dxa"/>
            <w:vAlign w:val="bottom"/>
          </w:tcPr>
          <w:p>
            <w:pPr>
              <w:ind w:left="220"/>
              <w:spacing w:after="0"/>
              <w:rPr>
                <w:sz w:val="20"/>
                <w:szCs w:val="20"/>
                <w:color w:val="auto"/>
              </w:rPr>
            </w:pPr>
            <w:r>
              <w:rPr>
                <w:rFonts w:ascii="Arial" w:cs="Arial" w:eastAsia="Arial" w:hAnsi="Arial"/>
                <w:sz w:val="11"/>
                <w:szCs w:val="11"/>
                <w:b w:val="1"/>
                <w:bCs w:val="1"/>
                <w:color w:val="auto"/>
              </w:rPr>
              <w:t>Total service and fee revenue</w:t>
            </w:r>
          </w:p>
        </w:tc>
        <w:tc>
          <w:tcPr>
            <w:tcW w:w="1160" w:type="dxa"/>
            <w:vAlign w:val="bottom"/>
            <w:tcBorders>
              <w:bottom w:val="single" w:sz="8" w:color="auto"/>
            </w:tcBorders>
          </w:tcPr>
          <w:p>
            <w:pPr>
              <w:jc w:val="right"/>
              <w:ind w:right="10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218,055</w:t>
            </w:r>
          </w:p>
        </w:tc>
        <w:tc>
          <w:tcPr>
            <w:tcW w:w="1180" w:type="dxa"/>
            <w:vAlign w:val="bottom"/>
            <w:tcBorders>
              <w:bottom w:val="single" w:sz="8" w:color="auto"/>
            </w:tcBorders>
          </w:tcPr>
          <w:p>
            <w:pPr>
              <w:jc w:val="right"/>
              <w:ind w:right="1026"/>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174,715</w:t>
            </w:r>
          </w:p>
        </w:tc>
        <w:tc>
          <w:tcPr>
            <w:tcW w:w="4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637,918</w:t>
            </w:r>
          </w:p>
        </w:tc>
        <w:tc>
          <w:tcPr>
            <w:tcW w:w="4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471,753</w:t>
            </w:r>
          </w:p>
        </w:tc>
      </w:tr>
      <w:tr>
        <w:trPr>
          <w:trHeight w:val="20"/>
        </w:trPr>
        <w:tc>
          <w:tcPr>
            <w:tcW w:w="4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308" w:hanging="308"/>
        <w:spacing w:after="0"/>
        <w:tabs>
          <w:tab w:leader="none" w:pos="308" w:val="left"/>
        </w:tabs>
        <w:numPr>
          <w:ilvl w:val="0"/>
          <w:numId w:val="21"/>
        </w:numPr>
        <w:rPr>
          <w:rFonts w:ascii="Arial" w:cs="Arial" w:eastAsia="Arial" w:hAnsi="Arial"/>
          <w:sz w:val="10"/>
          <w:szCs w:val="10"/>
          <w:color w:val="auto"/>
        </w:rPr>
      </w:pPr>
      <w:r>
        <w:rPr>
          <w:rFonts w:ascii="Arial" w:cs="Arial" w:eastAsia="Arial" w:hAnsi="Arial"/>
          <w:sz w:val="10"/>
          <w:szCs w:val="10"/>
          <w:color w:val="auto"/>
        </w:rPr>
        <w:t>Service and fee revenue recognized over time includes revenue such as brokerage account maintenance fees, error and omission insurance fees, and technology fees.</w:t>
      </w:r>
    </w:p>
    <w:p>
      <w:pPr>
        <w:spacing w:after="0" w:line="83" w:lineRule="exact"/>
        <w:rPr>
          <w:rFonts w:ascii="Arial" w:cs="Arial" w:eastAsia="Arial" w:hAnsi="Arial"/>
          <w:sz w:val="10"/>
          <w:szCs w:val="10"/>
          <w:color w:val="auto"/>
        </w:rPr>
      </w:pPr>
    </w:p>
    <w:p>
      <w:pPr>
        <w:ind w:left="308" w:hanging="308"/>
        <w:spacing w:after="0"/>
        <w:tabs>
          <w:tab w:leader="none" w:pos="308" w:val="left"/>
        </w:tabs>
        <w:numPr>
          <w:ilvl w:val="0"/>
          <w:numId w:val="21"/>
        </w:numPr>
        <w:rPr>
          <w:rFonts w:ascii="Arial" w:cs="Arial" w:eastAsia="Arial" w:hAnsi="Arial"/>
          <w:sz w:val="10"/>
          <w:szCs w:val="10"/>
          <w:color w:val="auto"/>
        </w:rPr>
      </w:pPr>
      <w:r>
        <w:rPr>
          <w:rFonts w:ascii="Arial" w:cs="Arial" w:eastAsia="Arial" w:hAnsi="Arial"/>
          <w:sz w:val="10"/>
          <w:szCs w:val="10"/>
          <w:color w:val="auto"/>
        </w:rPr>
        <w:t>Service and fee revenue recognized at a point-in-time includes revenue such as registration fees, conference fees, and IRA termination fees.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Unearned Revenue</w:t>
      </w:r>
    </w:p>
    <w:p>
      <w:pPr>
        <w:spacing w:after="0" w:line="112" w:lineRule="exact"/>
        <w:rPr>
          <w:sz w:val="20"/>
          <w:szCs w:val="20"/>
          <w:color w:val="auto"/>
        </w:rPr>
      </w:pPr>
    </w:p>
    <w:p>
      <w:pPr>
        <w:ind w:left="8" w:right="40"/>
        <w:spacing w:after="0" w:line="262" w:lineRule="auto"/>
        <w:rPr>
          <w:sz w:val="20"/>
          <w:szCs w:val="20"/>
          <w:color w:val="auto"/>
        </w:rPr>
      </w:pPr>
      <w:r>
        <w:rPr>
          <w:rFonts w:ascii="Arial" w:cs="Arial" w:eastAsia="Arial" w:hAnsi="Arial"/>
          <w:sz w:val="12"/>
          <w:szCs w:val="12"/>
          <w:color w:val="auto"/>
        </w:rPr>
        <w:t>The Company records unearned revenue when cash payments are received or due in advance of the Company’s performance obligations, including amounts which are refundable. Unearned revenue increased from $265.0 million as of December 31, 2025 to $317.1 million as of September 30, 2026. The increase in unearned revenue for the nine months ended September 30, 2026 is primarily driven by cash payments received or due in advance of satisfying the Company’s performance obligations, partially offset by $264.8 million of revenue recognized during the nine months ended September 30, 2026 that was included in the unearned revenue balance as of December 31, 2025.</w:t>
      </w:r>
    </w:p>
    <w:p>
      <w:pPr>
        <w:spacing w:after="0" w:line="45" w:lineRule="exact"/>
        <w:rPr>
          <w:sz w:val="20"/>
          <w:szCs w:val="20"/>
          <w:color w:val="auto"/>
        </w:rPr>
      </w:pPr>
    </w:p>
    <w:p>
      <w:pPr>
        <w:ind w:left="8" w:right="740"/>
        <w:spacing w:after="0" w:line="286" w:lineRule="auto"/>
        <w:rPr>
          <w:sz w:val="20"/>
          <w:szCs w:val="20"/>
          <w:color w:val="auto"/>
        </w:rPr>
      </w:pPr>
      <w:r>
        <w:rPr>
          <w:rFonts w:ascii="Arial" w:cs="Arial" w:eastAsia="Arial" w:hAnsi="Arial"/>
          <w:sz w:val="12"/>
          <w:szCs w:val="12"/>
          <w:color w:val="auto"/>
        </w:rPr>
        <w:t>The Company receives cash in advance for advisory services to be performed and conferences to be held in future periods. For advisory services, revenue is recognized as the Company provides the administration, brokerage and execution services over time to satisfy the performance obligations. For conference revenue, the Company recognizes revenue as the conferences are held.</w:t>
      </w:r>
    </w:p>
    <w:p>
      <w:pPr>
        <w:spacing w:after="0" w:line="200" w:lineRule="exact"/>
        <w:rPr>
          <w:sz w:val="20"/>
          <w:szCs w:val="20"/>
          <w:color w:val="auto"/>
        </w:rPr>
      </w:pP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17" w:right="319" w:bottom="1440" w:gutter="0" w:footer="0" w:header="0"/>
        </w:sectPr>
      </w:pPr>
    </w:p>
    <w:bookmarkStart w:id="32" w:name="page33"/>
    <w:bookmarkEnd w:id="32"/>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ACQUISITIONS</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Acquisitions Completed in the Current Period</w:t>
      </w:r>
    </w:p>
    <w:p>
      <w:pPr>
        <w:spacing w:after="0" w:line="11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During the nine months ended September 30, 2026, the Company completed 17 acquisitions, seven of which have been accounted for as business combinations and ten of which have been accounted for as asset acquisitions.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Combinations</w:t>
      </w:r>
    </w:p>
    <w:p>
      <w:pPr>
        <w:spacing w:after="0" w:line="103" w:lineRule="exact"/>
        <w:rPr>
          <w:sz w:val="20"/>
          <w:szCs w:val="20"/>
          <w:color w:val="auto"/>
        </w:rPr>
      </w:pPr>
    </w:p>
    <w:p>
      <w:pPr>
        <w:jc w:val="both"/>
        <w:ind w:right="20"/>
        <w:spacing w:after="0" w:line="267" w:lineRule="auto"/>
        <w:rPr>
          <w:sz w:val="20"/>
          <w:szCs w:val="20"/>
          <w:color w:val="auto"/>
        </w:rPr>
      </w:pPr>
      <w:r>
        <w:rPr>
          <w:rFonts w:ascii="Arial" w:cs="Arial" w:eastAsia="Arial" w:hAnsi="Arial"/>
          <w:sz w:val="11"/>
          <w:szCs w:val="11"/>
          <w:color w:val="auto"/>
        </w:rPr>
        <w:t>The Company accounted for seven acquisitions under the acquisition method of accounting for business combinations, including one which was accounted for as an acquisition achieved in stages and resulted in the Company obtaining control of an investment previously accounted for under the equity method of accounting. Total consideration for these transactions was $230.5 million, which included $172.7 million of cash,</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$ 15.7 million of loan forgiveness, and liabilities of $31.5 million for contingent consideration, which represents the acquisition date fair value of the additional cash consideration that may be transferred to the sellers if certain asset growth is achieved in the years following the closing. This contingent consideration may be settled for amounts of up to $77.0 million in the years following the closing.</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 xml:space="preserve">At September 30, 2026, the purchase accounting analysis is still ongoing and may result in changes to the value of intangible assets and liabilities recorded. The Company had provisionally allocated $51.5 million of the consideration to client relationships, which were assigned useful lives of 14 years, $119.1 million to advisor relationships, which were assigned useful lives of 15 years, and $59.9 million to goodwill. See Note 7 </w:t>
      </w:r>
      <w:r>
        <w:rPr>
          <w:rFonts w:ascii="Arial" w:cs="Arial" w:eastAsia="Arial" w:hAnsi="Arial"/>
          <w:sz w:val="12"/>
          <w:szCs w:val="12"/>
          <w:i w:val="1"/>
          <w:iCs w:val="1"/>
          <w:color w:val="auto"/>
        </w:rPr>
        <w:t>- Goodwill and Other Intangibles, Net</w:t>
      </w:r>
      <w:r>
        <w:rPr>
          <w:rFonts w:ascii="Arial" w:cs="Arial" w:eastAsia="Arial" w:hAnsi="Arial"/>
          <w:sz w:val="12"/>
          <w:szCs w:val="12"/>
          <w:color w:val="auto"/>
        </w:rPr>
        <w:t>, for additional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 Acquisitions</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 xml:space="preserve">The Company accounted for ten acquisitions as asset acquisitions. These transactions included total initial consideration of $69.3 million, including $64.0 million which was allocated to client relationships and $5.3 million which was allocated to advisor relationships. These relationships were assigned useful lives of 14 years and 15 years, respectively, and the related transactions include potential contingent payments of up to $37.1 million in the years following the closing if certain asset growth is achieved. The Company has not recognized a liability for these contingent payments as the amounts to be paid will be uncertain until a future measurement date. Additionally, the Company recognized customer relationships of $ 62.3 million relating to cash paid for contingent consideration payments for asset acquisitions completed in prior periods for which the contingent period had ended in the current year. These customer relationships will be amortized over the remaining useful life of the asset that was initially recorded. See Note 7 </w:t>
      </w:r>
      <w:r>
        <w:rPr>
          <w:rFonts w:ascii="Arial" w:cs="Arial" w:eastAsia="Arial" w:hAnsi="Arial"/>
          <w:sz w:val="12"/>
          <w:szCs w:val="12"/>
          <w:i w:val="1"/>
          <w:iCs w:val="1"/>
          <w:color w:val="auto"/>
        </w:rPr>
        <w:t>- Goodwill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Intangibles, Net</w:t>
      </w:r>
      <w:r>
        <w:rPr>
          <w:rFonts w:ascii="Arial" w:cs="Arial" w:eastAsia="Arial" w:hAnsi="Arial"/>
          <w:sz w:val="12"/>
          <w:szCs w:val="12"/>
          <w:color w:val="auto"/>
        </w:rPr>
        <w:t>, for additional information.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33" w:name="page34"/>
    <w:bookmarkEnd w:id="33"/>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Acquisitions Completed in Prior Periods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year ended December 31, 2025, the Company completed 34 acquisitions, six of which have been accounted for as business combinations and 28 of which were accounted for as asset acquisitions.</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Business Combinations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Acquisition of Commonwealth Financial Network</w:t>
      </w:r>
    </w:p>
    <w:p>
      <w:pPr>
        <w:spacing w:after="0" w:line="103" w:lineRule="exact"/>
        <w:rPr>
          <w:sz w:val="20"/>
          <w:szCs w:val="20"/>
          <w:color w:val="auto"/>
        </w:rPr>
      </w:pPr>
    </w:p>
    <w:p>
      <w:pPr>
        <w:ind w:left="8" w:right="80"/>
        <w:spacing w:after="0" w:line="267" w:lineRule="auto"/>
        <w:rPr>
          <w:sz w:val="20"/>
          <w:szCs w:val="20"/>
          <w:color w:val="auto"/>
        </w:rPr>
      </w:pPr>
      <w:r>
        <w:rPr>
          <w:rFonts w:ascii="Arial" w:cs="Arial" w:eastAsia="Arial" w:hAnsi="Arial"/>
          <w:sz w:val="11"/>
          <w:szCs w:val="11"/>
          <w:color w:val="auto"/>
        </w:rPr>
        <w:t>On August 1, 2025, the Company acquired 100% of the outstanding equity interests of CFN, a privately-held independent wealth management firm headquartered in Massachusetts, in order to leverage its scale and enhance its capabilities. As part of the transaction, Commonwealth’s advisory and brokerage assets are expected to transition to the Company’s platform in the fourth quarter of 2026. Commonwealth's results</w:t>
      </w:r>
    </w:p>
    <w:p>
      <w:pPr>
        <w:spacing w:after="0" w:line="1" w:lineRule="exact"/>
        <w:rPr>
          <w:sz w:val="20"/>
          <w:szCs w:val="20"/>
          <w:color w:val="auto"/>
        </w:rPr>
      </w:pPr>
    </w:p>
    <w:p>
      <w:pPr>
        <w:ind w:left="8" w:right="200"/>
        <w:spacing w:after="0" w:line="237" w:lineRule="auto"/>
        <w:rPr>
          <w:sz w:val="20"/>
          <w:szCs w:val="20"/>
          <w:color w:val="auto"/>
        </w:rPr>
      </w:pPr>
      <w:r>
        <w:rPr>
          <w:rFonts w:ascii="Arial" w:cs="Arial" w:eastAsia="Arial" w:hAnsi="Arial"/>
          <w:sz w:val="12"/>
          <w:szCs w:val="12"/>
          <w:color w:val="auto"/>
        </w:rPr>
        <w:t>were included in the Company's consolidated statements of income from August 1, 2025 through December 31, 2025 and consolidated statements of financial condition as of December 31, 2025. The Company accounted for the transaction under the acquisition method of accounting for business combinations.</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cash funded and total consideration transferred (dollars in thousands):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892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Cash Funded</w:t>
            </w:r>
          </w:p>
        </w:tc>
        <w:tc>
          <w:tcPr>
            <w:tcW w:w="4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b w:val="1"/>
                <w:bCs w:val="1"/>
                <w:color w:val="auto"/>
              </w:rPr>
              <w:t>August 1, 2025</w:t>
            </w:r>
          </w:p>
        </w:tc>
      </w:tr>
      <w:tr>
        <w:trPr>
          <w:trHeight w:val="133"/>
        </w:trPr>
        <w:tc>
          <w:tcPr>
            <w:tcW w:w="8920" w:type="dxa"/>
            <w:vAlign w:val="bottom"/>
            <w:shd w:val="clear" w:color="auto" w:fill="DBDBDB"/>
          </w:tcPr>
          <w:p>
            <w:pPr>
              <w:spacing w:after="0"/>
              <w:rPr>
                <w:sz w:val="20"/>
                <w:szCs w:val="20"/>
                <w:color w:val="auto"/>
              </w:rPr>
            </w:pPr>
            <w:r>
              <w:rPr>
                <w:rFonts w:ascii="Arial" w:cs="Arial" w:eastAsia="Arial" w:hAnsi="Arial"/>
                <w:sz w:val="11"/>
                <w:szCs w:val="11"/>
                <w:color w:val="auto"/>
              </w:rPr>
              <w:t>Cash consideration</w:t>
            </w:r>
          </w:p>
        </w:tc>
        <w:tc>
          <w:tcPr>
            <w:tcW w:w="440" w:type="dxa"/>
            <w:vAlign w:val="bottom"/>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9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1,920,041</w:t>
            </w:r>
          </w:p>
        </w:tc>
      </w:tr>
      <w:tr>
        <w:trPr>
          <w:trHeight w:val="144"/>
        </w:trPr>
        <w:tc>
          <w:tcPr>
            <w:tcW w:w="8920" w:type="dxa"/>
            <w:vAlign w:val="bottom"/>
          </w:tcPr>
          <w:p>
            <w:pPr>
              <w:spacing w:after="0" w:line="144" w:lineRule="exact"/>
              <w:rPr>
                <w:sz w:val="20"/>
                <w:szCs w:val="20"/>
                <w:color w:val="auto"/>
              </w:rPr>
            </w:pPr>
            <w:r>
              <w:rPr>
                <w:rFonts w:ascii="Arial" w:cs="Arial" w:eastAsia="Arial" w:hAnsi="Arial"/>
                <w:sz w:val="11"/>
                <w:szCs w:val="11"/>
                <w:color w:val="auto"/>
              </w:rPr>
              <w:t>Cash for liabilities assumed</w:t>
            </w:r>
            <w:r>
              <w:rPr>
                <w:rFonts w:ascii="Arial" w:cs="Arial" w:eastAsia="Arial" w:hAnsi="Arial"/>
                <w:sz w:val="14"/>
                <w:szCs w:val="14"/>
                <w:color w:val="auto"/>
                <w:vertAlign w:val="subscript"/>
              </w:rPr>
              <w:t>(1)</w:t>
            </w:r>
          </w:p>
        </w:tc>
        <w:tc>
          <w:tcPr>
            <w:tcW w:w="440" w:type="dxa"/>
            <w:vAlign w:val="bottom"/>
          </w:tcPr>
          <w:p>
            <w:pPr>
              <w:spacing w:after="0"/>
              <w:rPr>
                <w:sz w:val="12"/>
                <w:szCs w:val="12"/>
                <w:color w:val="auto"/>
              </w:rPr>
            </w:pPr>
          </w:p>
        </w:tc>
        <w:tc>
          <w:tcPr>
            <w:tcW w:w="1940" w:type="dxa"/>
            <w:vAlign w:val="bottom"/>
          </w:tcPr>
          <w:p>
            <w:pPr>
              <w:jc w:val="right"/>
              <w:ind w:right="6"/>
              <w:spacing w:after="0"/>
              <w:rPr>
                <w:sz w:val="20"/>
                <w:szCs w:val="20"/>
                <w:color w:val="auto"/>
              </w:rPr>
            </w:pPr>
            <w:r>
              <w:rPr>
                <w:rFonts w:ascii="Arial" w:cs="Arial" w:eastAsia="Arial" w:hAnsi="Arial"/>
                <w:sz w:val="11"/>
                <w:szCs w:val="11"/>
                <w:color w:val="auto"/>
              </w:rPr>
              <w:t>413,343</w:t>
            </w:r>
          </w:p>
        </w:tc>
      </w:tr>
      <w:tr>
        <w:trPr>
          <w:trHeight w:val="144"/>
        </w:trPr>
        <w:tc>
          <w:tcPr>
            <w:tcW w:w="8920" w:type="dxa"/>
            <w:vAlign w:val="bottom"/>
            <w:shd w:val="clear" w:color="auto" w:fill="DBDBDB"/>
          </w:tcPr>
          <w:p>
            <w:pPr>
              <w:spacing w:after="0" w:line="144" w:lineRule="exact"/>
              <w:rPr>
                <w:sz w:val="20"/>
                <w:szCs w:val="20"/>
                <w:color w:val="auto"/>
              </w:rPr>
            </w:pPr>
            <w:r>
              <w:rPr>
                <w:rFonts w:ascii="Arial" w:cs="Arial" w:eastAsia="Arial" w:hAnsi="Arial"/>
                <w:sz w:val="11"/>
                <w:szCs w:val="11"/>
                <w:color w:val="auto"/>
              </w:rPr>
              <w:t>Cash for post-combination expenses</w:t>
            </w:r>
            <w:r>
              <w:rPr>
                <w:rFonts w:ascii="Arial" w:cs="Arial" w:eastAsia="Arial" w:hAnsi="Arial"/>
                <w:sz w:val="14"/>
                <w:szCs w:val="14"/>
                <w:color w:val="auto"/>
                <w:vertAlign w:val="subscript"/>
              </w:rPr>
              <w:t>(2)</w:t>
            </w:r>
          </w:p>
        </w:tc>
        <w:tc>
          <w:tcPr>
            <w:tcW w:w="440" w:type="dxa"/>
            <w:vAlign w:val="bottom"/>
            <w:tcBorders>
              <w:bottom w:val="single" w:sz="8" w:color="auto"/>
            </w:tcBorders>
            <w:shd w:val="clear" w:color="auto" w:fill="DBDBDB"/>
          </w:tcPr>
          <w:p>
            <w:pPr>
              <w:spacing w:after="0"/>
              <w:rPr>
                <w:sz w:val="12"/>
                <w:szCs w:val="12"/>
                <w:color w:val="auto"/>
              </w:rPr>
            </w:pPr>
          </w:p>
        </w:tc>
        <w:tc>
          <w:tcPr>
            <w:tcW w:w="19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420,107</w:t>
            </w:r>
          </w:p>
        </w:tc>
      </w:tr>
      <w:tr>
        <w:trPr>
          <w:trHeight w:val="149"/>
        </w:trPr>
        <w:tc>
          <w:tcPr>
            <w:tcW w:w="8920" w:type="dxa"/>
            <w:vAlign w:val="bottom"/>
            <w:tcBorders>
              <w:bottom w:val="single" w:sz="8" w:color="DBDBDB"/>
            </w:tcBorders>
          </w:tcPr>
          <w:p>
            <w:pPr>
              <w:spacing w:after="0" w:line="124" w:lineRule="exact"/>
              <w:rPr>
                <w:sz w:val="20"/>
                <w:szCs w:val="20"/>
                <w:color w:val="auto"/>
              </w:rPr>
            </w:pPr>
            <w:r>
              <w:rPr>
                <w:rFonts w:ascii="Arial" w:cs="Arial" w:eastAsia="Arial" w:hAnsi="Arial"/>
                <w:sz w:val="11"/>
                <w:szCs w:val="11"/>
                <w:color w:val="auto"/>
              </w:rPr>
              <w:t>Total cash funded</w:t>
            </w:r>
            <w:r>
              <w:rPr>
                <w:rFonts w:ascii="Arial" w:cs="Arial" w:eastAsia="Arial" w:hAnsi="Arial"/>
                <w:sz w:val="12"/>
                <w:szCs w:val="12"/>
                <w:color w:val="auto"/>
                <w:vertAlign w:val="subscript"/>
              </w:rPr>
              <w:t>(3)</w:t>
            </w:r>
          </w:p>
        </w:tc>
        <w:tc>
          <w:tcPr>
            <w:tcW w:w="440" w:type="dxa"/>
            <w:vAlign w:val="bottom"/>
            <w:tcBorders>
              <w:bottom w:val="single" w:sz="8" w:color="auto"/>
            </w:tcBorders>
          </w:tcPr>
          <w:p>
            <w:pPr>
              <w:jc w:val="right"/>
              <w:ind w:right="306"/>
              <w:spacing w:after="0" w:line="124" w:lineRule="exact"/>
              <w:rPr>
                <w:sz w:val="20"/>
                <w:szCs w:val="20"/>
                <w:color w:val="auto"/>
              </w:rPr>
            </w:pPr>
            <w:r>
              <w:rPr>
                <w:rFonts w:ascii="Arial" w:cs="Arial" w:eastAsia="Arial" w:hAnsi="Arial"/>
                <w:sz w:val="11"/>
                <w:szCs w:val="11"/>
                <w:color w:val="auto"/>
                <w:w w:val="97"/>
              </w:rPr>
              <w:t>$</w:t>
            </w:r>
          </w:p>
        </w:tc>
        <w:tc>
          <w:tcPr>
            <w:tcW w:w="1940" w:type="dxa"/>
            <w:vAlign w:val="bottom"/>
            <w:tcBorders>
              <w:bottom w:val="single" w:sz="8" w:color="auto"/>
            </w:tcBorders>
          </w:tcPr>
          <w:p>
            <w:pPr>
              <w:jc w:val="right"/>
              <w:ind w:right="6"/>
              <w:spacing w:after="0" w:line="124" w:lineRule="exact"/>
              <w:rPr>
                <w:sz w:val="20"/>
                <w:szCs w:val="20"/>
                <w:color w:val="auto"/>
              </w:rPr>
            </w:pPr>
            <w:r>
              <w:rPr>
                <w:rFonts w:ascii="Arial" w:cs="Arial" w:eastAsia="Arial" w:hAnsi="Arial"/>
                <w:sz w:val="11"/>
                <w:szCs w:val="11"/>
                <w:color w:val="auto"/>
              </w:rPr>
              <w:t>2,753,491</w:t>
            </w:r>
          </w:p>
        </w:tc>
      </w:tr>
      <w:tr>
        <w:trPr>
          <w:trHeight w:val="162"/>
        </w:trPr>
        <w:tc>
          <w:tcPr>
            <w:tcW w:w="892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1940" w:type="dxa"/>
            <w:vAlign w:val="bottom"/>
            <w:shd w:val="clear" w:color="auto" w:fill="DBDBDB"/>
          </w:tcPr>
          <w:p>
            <w:pPr>
              <w:spacing w:after="0"/>
              <w:rPr>
                <w:sz w:val="14"/>
                <w:szCs w:val="14"/>
                <w:color w:val="auto"/>
              </w:rPr>
            </w:pPr>
          </w:p>
        </w:tc>
      </w:tr>
    </w:tbl>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892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Consideration</w:t>
            </w:r>
          </w:p>
        </w:tc>
        <w:tc>
          <w:tcPr>
            <w:tcW w:w="4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b w:val="1"/>
                <w:bCs w:val="1"/>
                <w:color w:val="auto"/>
              </w:rPr>
              <w:t>August 1, 2025</w:t>
            </w:r>
          </w:p>
        </w:tc>
      </w:tr>
      <w:tr>
        <w:trPr>
          <w:trHeight w:val="133"/>
        </w:trPr>
        <w:tc>
          <w:tcPr>
            <w:tcW w:w="8920" w:type="dxa"/>
            <w:vAlign w:val="bottom"/>
            <w:shd w:val="clear" w:color="auto" w:fill="DBDBDB"/>
          </w:tcPr>
          <w:p>
            <w:pPr>
              <w:spacing w:after="0"/>
              <w:rPr>
                <w:sz w:val="20"/>
                <w:szCs w:val="20"/>
                <w:color w:val="auto"/>
              </w:rPr>
            </w:pPr>
            <w:r>
              <w:rPr>
                <w:rFonts w:ascii="Arial" w:cs="Arial" w:eastAsia="Arial" w:hAnsi="Arial"/>
                <w:sz w:val="11"/>
                <w:szCs w:val="11"/>
                <w:color w:val="auto"/>
              </w:rPr>
              <w:t>Cash</w:t>
            </w:r>
          </w:p>
        </w:tc>
        <w:tc>
          <w:tcPr>
            <w:tcW w:w="440" w:type="dxa"/>
            <w:vAlign w:val="bottom"/>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9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1,920,041</w:t>
            </w:r>
          </w:p>
        </w:tc>
      </w:tr>
      <w:tr>
        <w:trPr>
          <w:trHeight w:val="143"/>
        </w:trPr>
        <w:tc>
          <w:tcPr>
            <w:tcW w:w="89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Other liabilities incurred</w:t>
            </w:r>
          </w:p>
        </w:tc>
        <w:tc>
          <w:tcPr>
            <w:tcW w:w="4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81,537</w:t>
            </w:r>
          </w:p>
        </w:tc>
      </w:tr>
      <w:tr>
        <w:trPr>
          <w:trHeight w:val="150"/>
        </w:trPr>
        <w:tc>
          <w:tcPr>
            <w:tcW w:w="8920" w:type="dxa"/>
            <w:vAlign w:val="bottom"/>
            <w:tcBorders>
              <w:bottom w:val="single" w:sz="8" w:color="DBDBDB"/>
            </w:tcBorders>
            <w:shd w:val="clear" w:color="auto" w:fill="DBDBDB"/>
          </w:tcPr>
          <w:p>
            <w:pPr>
              <w:spacing w:after="0" w:line="124" w:lineRule="exact"/>
              <w:rPr>
                <w:sz w:val="20"/>
                <w:szCs w:val="20"/>
                <w:color w:val="auto"/>
              </w:rPr>
            </w:pPr>
            <w:r>
              <w:rPr>
                <w:rFonts w:ascii="Arial" w:cs="Arial" w:eastAsia="Arial" w:hAnsi="Arial"/>
                <w:sz w:val="11"/>
                <w:szCs w:val="11"/>
                <w:color w:val="auto"/>
              </w:rPr>
              <w:t>Total consideration</w:t>
            </w:r>
            <w:r>
              <w:rPr>
                <w:rFonts w:ascii="Arial" w:cs="Arial" w:eastAsia="Arial" w:hAnsi="Arial"/>
                <w:sz w:val="14"/>
                <w:szCs w:val="14"/>
                <w:color w:val="auto"/>
                <w:vertAlign w:val="subscript"/>
              </w:rPr>
              <w:t>(4)</w:t>
            </w:r>
          </w:p>
        </w:tc>
        <w:tc>
          <w:tcPr>
            <w:tcW w:w="440" w:type="dxa"/>
            <w:vAlign w:val="bottom"/>
            <w:tcBorders>
              <w:bottom w:val="single" w:sz="8" w:color="auto"/>
            </w:tcBorders>
            <w:shd w:val="clear" w:color="auto" w:fill="DBDBDB"/>
          </w:tcPr>
          <w:p>
            <w:pPr>
              <w:jc w:val="right"/>
              <w:ind w:right="306"/>
              <w:spacing w:after="0" w:line="124" w:lineRule="exact"/>
              <w:rPr>
                <w:sz w:val="20"/>
                <w:szCs w:val="20"/>
                <w:color w:val="auto"/>
              </w:rPr>
            </w:pPr>
            <w:r>
              <w:rPr>
                <w:rFonts w:ascii="Arial" w:cs="Arial" w:eastAsia="Arial" w:hAnsi="Arial"/>
                <w:sz w:val="11"/>
                <w:szCs w:val="11"/>
                <w:color w:val="auto"/>
                <w:w w:val="97"/>
              </w:rPr>
              <w:t>$</w:t>
            </w:r>
          </w:p>
        </w:tc>
        <w:tc>
          <w:tcPr>
            <w:tcW w:w="1940" w:type="dxa"/>
            <w:vAlign w:val="bottom"/>
            <w:tcBorders>
              <w:bottom w:val="single" w:sz="8" w:color="auto"/>
            </w:tcBorders>
            <w:shd w:val="clear" w:color="auto" w:fill="DBDBDB"/>
          </w:tcPr>
          <w:p>
            <w:pPr>
              <w:jc w:val="right"/>
              <w:ind w:right="6"/>
              <w:spacing w:after="0" w:line="124" w:lineRule="exact"/>
              <w:rPr>
                <w:sz w:val="20"/>
                <w:szCs w:val="20"/>
                <w:color w:val="auto"/>
              </w:rPr>
            </w:pPr>
            <w:r>
              <w:rPr>
                <w:rFonts w:ascii="Arial" w:cs="Arial" w:eastAsia="Arial" w:hAnsi="Arial"/>
                <w:sz w:val="11"/>
                <w:szCs w:val="11"/>
                <w:color w:val="auto"/>
              </w:rPr>
              <w:t>2,001,578</w:t>
            </w:r>
          </w:p>
        </w:tc>
      </w:tr>
    </w:tbl>
    <w:p>
      <w:pPr>
        <w:spacing w:after="0" w:line="46"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202" w:lineRule="exact"/>
        <w:rPr>
          <w:sz w:val="20"/>
          <w:szCs w:val="20"/>
          <w:color w:val="auto"/>
        </w:rPr>
      </w:pPr>
    </w:p>
    <w:p>
      <w:pPr>
        <w:ind w:left="308" w:hanging="308"/>
        <w:spacing w:after="0"/>
        <w:tabs>
          <w:tab w:leader="none" w:pos="308" w:val="left"/>
        </w:tabs>
        <w:numPr>
          <w:ilvl w:val="0"/>
          <w:numId w:val="22"/>
        </w:numPr>
        <w:rPr>
          <w:rFonts w:ascii="Arial" w:cs="Arial" w:eastAsia="Arial" w:hAnsi="Arial"/>
          <w:sz w:val="10"/>
          <w:szCs w:val="10"/>
          <w:color w:val="auto"/>
        </w:rPr>
      </w:pPr>
      <w:r>
        <w:rPr>
          <w:rFonts w:ascii="Arial" w:cs="Arial" w:eastAsia="Arial" w:hAnsi="Arial"/>
          <w:sz w:val="10"/>
          <w:szCs w:val="10"/>
          <w:color w:val="auto"/>
        </w:rPr>
        <w:t>Liabilities assumed are reflected in the Accounts payable and accrued liabilities and Equity awards liability line items in the table below.</w:t>
      </w:r>
    </w:p>
    <w:p>
      <w:pPr>
        <w:spacing w:after="0" w:line="83" w:lineRule="exact"/>
        <w:rPr>
          <w:rFonts w:ascii="Arial" w:cs="Arial" w:eastAsia="Arial" w:hAnsi="Arial"/>
          <w:sz w:val="10"/>
          <w:szCs w:val="10"/>
          <w:color w:val="auto"/>
        </w:rPr>
      </w:pPr>
    </w:p>
    <w:p>
      <w:pPr>
        <w:ind w:left="328" w:right="20" w:hanging="328"/>
        <w:spacing w:after="0" w:line="264" w:lineRule="auto"/>
        <w:tabs>
          <w:tab w:leader="none" w:pos="319" w:val="left"/>
        </w:tabs>
        <w:numPr>
          <w:ilvl w:val="0"/>
          <w:numId w:val="22"/>
        </w:numPr>
        <w:rPr>
          <w:rFonts w:ascii="Arial" w:cs="Arial" w:eastAsia="Arial" w:hAnsi="Arial"/>
          <w:sz w:val="10"/>
          <w:szCs w:val="10"/>
          <w:color w:val="auto"/>
        </w:rPr>
      </w:pPr>
      <w:r>
        <w:rPr>
          <w:rFonts w:ascii="Arial" w:cs="Arial" w:eastAsia="Arial" w:hAnsi="Arial"/>
          <w:sz w:val="10"/>
          <w:szCs w:val="10"/>
          <w:color w:val="auto"/>
        </w:rPr>
        <w:t>The post-combination expenses primarily included $228.4 million of costs related to transaction bonuses and the acceleration of unvested equity awards which were classified as Compensation and benefits and $190.1 million of costs related to certain contract termination fees which were classified as Occupancy and equipment in the condensed consolidated financial statements in the three months ended September 30, 2025.</w:t>
      </w:r>
    </w:p>
    <w:p>
      <w:pPr>
        <w:spacing w:after="0" w:line="62" w:lineRule="exact"/>
        <w:rPr>
          <w:rFonts w:ascii="Arial" w:cs="Arial" w:eastAsia="Arial" w:hAnsi="Arial"/>
          <w:sz w:val="10"/>
          <w:szCs w:val="10"/>
          <w:color w:val="auto"/>
        </w:rPr>
      </w:pPr>
    </w:p>
    <w:p>
      <w:pPr>
        <w:ind w:left="308" w:hanging="308"/>
        <w:spacing w:after="0"/>
        <w:tabs>
          <w:tab w:leader="none" w:pos="308" w:val="left"/>
        </w:tabs>
        <w:numPr>
          <w:ilvl w:val="0"/>
          <w:numId w:val="22"/>
        </w:numPr>
        <w:rPr>
          <w:rFonts w:ascii="Arial" w:cs="Arial" w:eastAsia="Arial" w:hAnsi="Arial"/>
          <w:sz w:val="10"/>
          <w:szCs w:val="10"/>
          <w:color w:val="auto"/>
        </w:rPr>
      </w:pPr>
      <w:r>
        <w:rPr>
          <w:rFonts w:ascii="Arial" w:cs="Arial" w:eastAsia="Arial" w:hAnsi="Arial"/>
          <w:sz w:val="10"/>
          <w:szCs w:val="10"/>
          <w:color w:val="auto"/>
        </w:rPr>
        <w:t>Total cash funded includes amounts funded at close as well as the final working capital payment made in July 2026.</w:t>
      </w:r>
    </w:p>
    <w:p>
      <w:pPr>
        <w:spacing w:after="0" w:line="83" w:lineRule="exact"/>
        <w:rPr>
          <w:rFonts w:ascii="Arial" w:cs="Arial" w:eastAsia="Arial" w:hAnsi="Arial"/>
          <w:sz w:val="10"/>
          <w:szCs w:val="10"/>
          <w:color w:val="auto"/>
        </w:rPr>
      </w:pPr>
    </w:p>
    <w:p>
      <w:pPr>
        <w:ind w:left="328" w:right="160" w:hanging="328"/>
        <w:spacing w:after="0" w:line="264" w:lineRule="auto"/>
        <w:tabs>
          <w:tab w:leader="none" w:pos="319" w:val="left"/>
        </w:tabs>
        <w:numPr>
          <w:ilvl w:val="0"/>
          <w:numId w:val="22"/>
        </w:numPr>
        <w:rPr>
          <w:rFonts w:ascii="Arial" w:cs="Arial" w:eastAsia="Arial" w:hAnsi="Arial"/>
          <w:sz w:val="10"/>
          <w:szCs w:val="10"/>
          <w:color w:val="auto"/>
        </w:rPr>
      </w:pPr>
      <w:r>
        <w:rPr>
          <w:rFonts w:ascii="Arial" w:cs="Arial" w:eastAsia="Arial" w:hAnsi="Arial"/>
          <w:sz w:val="10"/>
          <w:szCs w:val="10"/>
          <w:color w:val="auto"/>
        </w:rPr>
        <w:t>The Company recorded purchase accounting adjustments during the nine months ended September 30, 2026 which resulted in a $16.2 million decrease in total consideration and $8.9 million of additional bonus related expenses recorded as Compensation and benefits in the condensed consolidated financial statements in the three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4" w:name="page35"/>
    <w:bookmarkEnd w:id="34"/>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65"/>
        </w:trPr>
        <w:tc>
          <w:tcPr>
            <w:tcW w:w="8860" w:type="dxa"/>
            <w:vAlign w:val="bottom"/>
          </w:tcPr>
          <w:p>
            <w:pPr>
              <w:ind w:left="4140"/>
              <w:spacing w:after="0"/>
              <w:rPr>
                <w:sz w:val="20"/>
                <w:szCs w:val="20"/>
                <w:color w:val="auto"/>
              </w:rPr>
            </w:pPr>
            <w:r>
              <w:rPr>
                <w:rFonts w:ascii="Arial" w:cs="Arial" w:eastAsia="Arial" w:hAnsi="Arial"/>
                <w:sz w:val="12"/>
                <w:szCs w:val="12"/>
                <w:b w:val="1"/>
                <w:bCs w:val="1"/>
                <w:color w:val="auto"/>
              </w:rPr>
              <w:t>LPL FINANCIAL HOLDINGS INC. AND SUBSIDIARIES</w:t>
            </w:r>
          </w:p>
        </w:tc>
        <w:tc>
          <w:tcPr>
            <w:tcW w:w="4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83"/>
        </w:trPr>
        <w:tc>
          <w:tcPr>
            <w:tcW w:w="8860" w:type="dxa"/>
            <w:vAlign w:val="bottom"/>
          </w:tcPr>
          <w:p>
            <w:pPr>
              <w:ind w:left="3700"/>
              <w:spacing w:after="0"/>
              <w:rPr>
                <w:sz w:val="20"/>
                <w:szCs w:val="20"/>
                <w:color w:val="auto"/>
              </w:rPr>
            </w:pPr>
            <w:r>
              <w:rPr>
                <w:rFonts w:ascii="Arial" w:cs="Arial" w:eastAsia="Arial" w:hAnsi="Arial"/>
                <w:sz w:val="12"/>
                <w:szCs w:val="12"/>
                <w:b w:val="1"/>
                <w:bCs w:val="1"/>
                <w:color w:val="auto"/>
              </w:rPr>
              <w:t>Notes to Condensed Consolidated Financial Statements (Unaudited)</w:t>
            </w:r>
          </w:p>
        </w:tc>
        <w:tc>
          <w:tcPr>
            <w:tcW w:w="4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480"/>
        </w:trPr>
        <w:tc>
          <w:tcPr>
            <w:tcW w:w="8860" w:type="dxa"/>
            <w:vAlign w:val="bottom"/>
          </w:tcPr>
          <w:p>
            <w:pPr>
              <w:spacing w:after="0"/>
              <w:rPr>
                <w:sz w:val="20"/>
                <w:szCs w:val="20"/>
                <w:color w:val="auto"/>
              </w:rPr>
            </w:pPr>
            <w:r>
              <w:rPr>
                <w:rFonts w:ascii="Arial" w:cs="Arial" w:eastAsia="Arial" w:hAnsi="Arial"/>
                <w:sz w:val="12"/>
                <w:szCs w:val="12"/>
                <w:color w:val="auto"/>
              </w:rPr>
              <w:t>The following table summarizes the Company's purchase price allocation at August 1, 2025 (dollars in thousands):</w:t>
            </w: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0"/>
        </w:trPr>
        <w:tc>
          <w:tcPr>
            <w:tcW w:w="886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Purchase Price Allocation</w:t>
            </w:r>
            <w:r>
              <w:rPr>
                <w:rFonts w:ascii="Arial" w:cs="Arial" w:eastAsia="Arial" w:hAnsi="Arial"/>
                <w:sz w:val="7"/>
                <w:szCs w:val="7"/>
                <w:b w:val="1"/>
                <w:bCs w:val="1"/>
                <w:color w:val="auto"/>
              </w:rPr>
              <w:t>(1)</w:t>
            </w:r>
          </w:p>
        </w:tc>
        <w:tc>
          <w:tcPr>
            <w:tcW w:w="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786"/>
              <w:spacing w:after="0"/>
              <w:rPr>
                <w:sz w:val="20"/>
                <w:szCs w:val="20"/>
                <w:color w:val="auto"/>
              </w:rPr>
            </w:pPr>
            <w:r>
              <w:rPr>
                <w:rFonts w:ascii="Arial" w:cs="Arial" w:eastAsia="Arial" w:hAnsi="Arial"/>
                <w:sz w:val="11"/>
                <w:szCs w:val="11"/>
                <w:b w:val="1"/>
                <w:bCs w:val="1"/>
                <w:color w:val="auto"/>
              </w:rPr>
              <w:t>August 1, 2025</w:t>
            </w:r>
          </w:p>
        </w:tc>
      </w:tr>
      <w:tr>
        <w:trPr>
          <w:trHeight w:val="160"/>
        </w:trPr>
        <w:tc>
          <w:tcPr>
            <w:tcW w:w="886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1980" w:type="dxa"/>
            <w:vAlign w:val="bottom"/>
            <w:shd w:val="clear" w:color="auto" w:fill="DBDBDB"/>
          </w:tcPr>
          <w:p>
            <w:pPr>
              <w:spacing w:after="0"/>
              <w:rPr>
                <w:sz w:val="13"/>
                <w:szCs w:val="13"/>
                <w:color w:val="auto"/>
              </w:rPr>
            </w:pPr>
          </w:p>
        </w:tc>
      </w:tr>
      <w:tr>
        <w:trPr>
          <w:trHeight w:val="143"/>
        </w:trPr>
        <w:tc>
          <w:tcPr>
            <w:tcW w:w="8860" w:type="dxa"/>
            <w:vAlign w:val="bottom"/>
          </w:tcPr>
          <w:p>
            <w:pPr>
              <w:spacing w:after="0"/>
              <w:rPr>
                <w:sz w:val="20"/>
                <w:szCs w:val="20"/>
                <w:color w:val="auto"/>
              </w:rPr>
            </w:pPr>
            <w:r>
              <w:rPr>
                <w:rFonts w:ascii="Arial" w:cs="Arial" w:eastAsia="Arial" w:hAnsi="Arial"/>
                <w:sz w:val="11"/>
                <w:szCs w:val="11"/>
                <w:color w:val="auto"/>
              </w:rPr>
              <w:t>Fair value of consideration transferred</w:t>
            </w: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1980" w:type="dxa"/>
            <w:vAlign w:val="bottom"/>
          </w:tcPr>
          <w:p>
            <w:pPr>
              <w:jc w:val="right"/>
              <w:ind w:right="6"/>
              <w:spacing w:after="0"/>
              <w:rPr>
                <w:sz w:val="20"/>
                <w:szCs w:val="20"/>
                <w:color w:val="auto"/>
              </w:rPr>
            </w:pPr>
            <w:r>
              <w:rPr>
                <w:rFonts w:ascii="Arial" w:cs="Arial" w:eastAsia="Arial" w:hAnsi="Arial"/>
                <w:sz w:val="11"/>
                <w:szCs w:val="11"/>
                <w:color w:val="auto"/>
              </w:rPr>
              <w:t>2,001,578</w:t>
            </w:r>
          </w:p>
        </w:tc>
      </w:tr>
      <w:tr>
        <w:trPr>
          <w:trHeight w:val="145"/>
        </w:trPr>
        <w:tc>
          <w:tcPr>
            <w:tcW w:w="88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460" w:type="dxa"/>
            <w:vAlign w:val="bottom"/>
            <w:shd w:val="clear" w:color="auto" w:fill="DBDBDB"/>
          </w:tcPr>
          <w:p>
            <w:pPr>
              <w:spacing w:after="0"/>
              <w:rPr>
                <w:sz w:val="12"/>
                <w:szCs w:val="12"/>
                <w:color w:val="auto"/>
              </w:rPr>
            </w:pPr>
          </w:p>
        </w:tc>
        <w:tc>
          <w:tcPr>
            <w:tcW w:w="1980" w:type="dxa"/>
            <w:vAlign w:val="bottom"/>
            <w:shd w:val="clear" w:color="auto" w:fill="DBDBDB"/>
          </w:tcPr>
          <w:p>
            <w:pPr>
              <w:spacing w:after="0"/>
              <w:rPr>
                <w:sz w:val="12"/>
                <w:szCs w:val="12"/>
                <w:color w:val="auto"/>
              </w:rPr>
            </w:pPr>
          </w:p>
        </w:tc>
      </w:tr>
      <w:tr>
        <w:trPr>
          <w:trHeight w:val="143"/>
        </w:trPr>
        <w:tc>
          <w:tcPr>
            <w:tcW w:w="8860" w:type="dxa"/>
            <w:vAlign w:val="bottom"/>
          </w:tcPr>
          <w:p>
            <w:pPr>
              <w:ind w:left="80"/>
              <w:spacing w:after="0"/>
              <w:rPr>
                <w:sz w:val="20"/>
                <w:szCs w:val="20"/>
                <w:color w:val="auto"/>
              </w:rPr>
            </w:pPr>
            <w:r>
              <w:rPr>
                <w:rFonts w:ascii="Arial" w:cs="Arial" w:eastAsia="Arial" w:hAnsi="Arial"/>
                <w:sz w:val="11"/>
                <w:szCs w:val="11"/>
                <w:color w:val="auto"/>
              </w:rPr>
              <w:t>Cash and equivalents</w:t>
            </w:r>
          </w:p>
        </w:tc>
        <w:tc>
          <w:tcPr>
            <w:tcW w:w="460" w:type="dxa"/>
            <w:vAlign w:val="bottom"/>
          </w:tcPr>
          <w:p>
            <w:pPr>
              <w:spacing w:after="0"/>
              <w:rPr>
                <w:sz w:val="12"/>
                <w:szCs w:val="12"/>
                <w:color w:val="auto"/>
              </w:rPr>
            </w:pPr>
          </w:p>
        </w:tc>
        <w:tc>
          <w:tcPr>
            <w:tcW w:w="1980" w:type="dxa"/>
            <w:vAlign w:val="bottom"/>
          </w:tcPr>
          <w:p>
            <w:pPr>
              <w:jc w:val="right"/>
              <w:ind w:right="6"/>
              <w:spacing w:after="0"/>
              <w:rPr>
                <w:sz w:val="20"/>
                <w:szCs w:val="20"/>
                <w:color w:val="auto"/>
              </w:rPr>
            </w:pPr>
            <w:r>
              <w:rPr>
                <w:rFonts w:ascii="Arial" w:cs="Arial" w:eastAsia="Arial" w:hAnsi="Arial"/>
                <w:sz w:val="11"/>
                <w:szCs w:val="11"/>
                <w:color w:val="auto"/>
              </w:rPr>
              <w:t>333,927</w:t>
            </w:r>
          </w:p>
        </w:tc>
      </w:tr>
      <w:tr>
        <w:trPr>
          <w:trHeight w:val="145"/>
        </w:trPr>
        <w:tc>
          <w:tcPr>
            <w:tcW w:w="8860" w:type="dxa"/>
            <w:vAlign w:val="bottom"/>
            <w:shd w:val="clear" w:color="auto" w:fill="DBDBDB"/>
          </w:tcPr>
          <w:p>
            <w:pPr>
              <w:ind w:left="80"/>
              <w:spacing w:after="0"/>
              <w:rPr>
                <w:sz w:val="20"/>
                <w:szCs w:val="20"/>
                <w:color w:val="auto"/>
              </w:rPr>
            </w:pPr>
            <w:r>
              <w:rPr>
                <w:rFonts w:ascii="Arial" w:cs="Arial" w:eastAsia="Arial" w:hAnsi="Arial"/>
                <w:sz w:val="11"/>
                <w:szCs w:val="11"/>
                <w:color w:val="auto"/>
              </w:rPr>
              <w:t>Restricted cash</w:t>
            </w:r>
          </w:p>
        </w:tc>
        <w:tc>
          <w:tcPr>
            <w:tcW w:w="460" w:type="dxa"/>
            <w:vAlign w:val="bottom"/>
            <w:shd w:val="clear" w:color="auto" w:fill="DBDBDB"/>
          </w:tcPr>
          <w:p>
            <w:pPr>
              <w:spacing w:after="0"/>
              <w:rPr>
                <w:sz w:val="12"/>
                <w:szCs w:val="12"/>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95,414</w:t>
            </w:r>
          </w:p>
        </w:tc>
      </w:tr>
      <w:tr>
        <w:trPr>
          <w:trHeight w:val="143"/>
        </w:trPr>
        <w:tc>
          <w:tcPr>
            <w:tcW w:w="8860" w:type="dxa"/>
            <w:vAlign w:val="bottom"/>
          </w:tcPr>
          <w:p>
            <w:pPr>
              <w:ind w:left="80"/>
              <w:spacing w:after="0"/>
              <w:rPr>
                <w:sz w:val="20"/>
                <w:szCs w:val="20"/>
                <w:color w:val="auto"/>
              </w:rPr>
            </w:pPr>
            <w:r>
              <w:rPr>
                <w:rFonts w:ascii="Arial" w:cs="Arial" w:eastAsia="Arial" w:hAnsi="Arial"/>
                <w:sz w:val="11"/>
                <w:szCs w:val="11"/>
                <w:color w:val="auto"/>
              </w:rPr>
              <w:t>Investment securities</w:t>
            </w:r>
          </w:p>
        </w:tc>
        <w:tc>
          <w:tcPr>
            <w:tcW w:w="46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1"/>
                <w:szCs w:val="11"/>
                <w:color w:val="auto"/>
              </w:rPr>
              <w:t>43,719</w:t>
            </w:r>
          </w:p>
        </w:tc>
      </w:tr>
      <w:tr>
        <w:trPr>
          <w:trHeight w:val="145"/>
        </w:trPr>
        <w:tc>
          <w:tcPr>
            <w:tcW w:w="8860" w:type="dxa"/>
            <w:vAlign w:val="bottom"/>
            <w:shd w:val="clear" w:color="auto" w:fill="DBDBDB"/>
          </w:tcPr>
          <w:p>
            <w:pPr>
              <w:ind w:left="80"/>
              <w:spacing w:after="0"/>
              <w:rPr>
                <w:sz w:val="20"/>
                <w:szCs w:val="20"/>
                <w:color w:val="auto"/>
              </w:rPr>
            </w:pPr>
            <w:r>
              <w:rPr>
                <w:rFonts w:ascii="Arial" w:cs="Arial" w:eastAsia="Arial" w:hAnsi="Arial"/>
                <w:sz w:val="11"/>
                <w:szCs w:val="11"/>
                <w:color w:val="auto"/>
              </w:rPr>
              <w:t>Receivables from brokers, dealers and clearing organizations</w:t>
            </w:r>
          </w:p>
        </w:tc>
        <w:tc>
          <w:tcPr>
            <w:tcW w:w="460" w:type="dxa"/>
            <w:vAlign w:val="bottom"/>
            <w:shd w:val="clear" w:color="auto" w:fill="DBDBDB"/>
          </w:tcPr>
          <w:p>
            <w:pPr>
              <w:spacing w:after="0"/>
              <w:rPr>
                <w:sz w:val="12"/>
                <w:szCs w:val="12"/>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1,839</w:t>
            </w:r>
          </w:p>
        </w:tc>
      </w:tr>
      <w:tr>
        <w:trPr>
          <w:trHeight w:val="143"/>
        </w:trPr>
        <w:tc>
          <w:tcPr>
            <w:tcW w:w="8860" w:type="dxa"/>
            <w:vAlign w:val="bottom"/>
          </w:tcPr>
          <w:p>
            <w:pPr>
              <w:ind w:left="80"/>
              <w:spacing w:after="0"/>
              <w:rPr>
                <w:sz w:val="20"/>
                <w:szCs w:val="20"/>
                <w:color w:val="auto"/>
              </w:rPr>
            </w:pPr>
            <w:r>
              <w:rPr>
                <w:rFonts w:ascii="Arial" w:cs="Arial" w:eastAsia="Arial" w:hAnsi="Arial"/>
                <w:sz w:val="11"/>
                <w:szCs w:val="11"/>
                <w:color w:val="auto"/>
              </w:rPr>
              <w:t>Other receivables, net</w:t>
            </w:r>
          </w:p>
        </w:tc>
        <w:tc>
          <w:tcPr>
            <w:tcW w:w="46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1"/>
                <w:szCs w:val="11"/>
                <w:color w:val="auto"/>
              </w:rPr>
              <w:t>55,788</w:t>
            </w:r>
          </w:p>
        </w:tc>
      </w:tr>
      <w:tr>
        <w:trPr>
          <w:trHeight w:val="145"/>
        </w:trPr>
        <w:tc>
          <w:tcPr>
            <w:tcW w:w="8860" w:type="dxa"/>
            <w:vAlign w:val="bottom"/>
            <w:shd w:val="clear" w:color="auto" w:fill="DBDBDB"/>
          </w:tcPr>
          <w:p>
            <w:pPr>
              <w:ind w:left="80"/>
              <w:spacing w:after="0"/>
              <w:rPr>
                <w:sz w:val="20"/>
                <w:szCs w:val="20"/>
                <w:color w:val="auto"/>
              </w:rPr>
            </w:pPr>
            <w:r>
              <w:rPr>
                <w:rFonts w:ascii="Arial" w:cs="Arial" w:eastAsia="Arial" w:hAnsi="Arial"/>
                <w:sz w:val="11"/>
                <w:szCs w:val="11"/>
                <w:color w:val="auto"/>
              </w:rPr>
              <w:t>Advisor loans, net</w:t>
            </w:r>
          </w:p>
        </w:tc>
        <w:tc>
          <w:tcPr>
            <w:tcW w:w="460" w:type="dxa"/>
            <w:vAlign w:val="bottom"/>
            <w:shd w:val="clear" w:color="auto" w:fill="DBDBDB"/>
          </w:tcPr>
          <w:p>
            <w:pPr>
              <w:spacing w:after="0"/>
              <w:rPr>
                <w:sz w:val="12"/>
                <w:szCs w:val="12"/>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92,072</w:t>
            </w:r>
          </w:p>
        </w:tc>
      </w:tr>
      <w:tr>
        <w:trPr>
          <w:trHeight w:val="143"/>
        </w:trPr>
        <w:tc>
          <w:tcPr>
            <w:tcW w:w="8860" w:type="dxa"/>
            <w:vAlign w:val="bottom"/>
          </w:tcPr>
          <w:p>
            <w:pPr>
              <w:ind w:left="80"/>
              <w:spacing w:after="0"/>
              <w:rPr>
                <w:sz w:val="20"/>
                <w:szCs w:val="20"/>
                <w:color w:val="auto"/>
              </w:rPr>
            </w:pPr>
            <w:r>
              <w:rPr>
                <w:rFonts w:ascii="Arial" w:cs="Arial" w:eastAsia="Arial" w:hAnsi="Arial"/>
                <w:sz w:val="11"/>
                <w:szCs w:val="11"/>
                <w:color w:val="auto"/>
              </w:rPr>
              <w:t>Property and equipment, net</w:t>
            </w:r>
          </w:p>
        </w:tc>
        <w:tc>
          <w:tcPr>
            <w:tcW w:w="46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1"/>
                <w:szCs w:val="11"/>
                <w:color w:val="auto"/>
              </w:rPr>
              <w:t>7,769</w:t>
            </w:r>
          </w:p>
        </w:tc>
      </w:tr>
      <w:tr>
        <w:trPr>
          <w:trHeight w:val="145"/>
        </w:trPr>
        <w:tc>
          <w:tcPr>
            <w:tcW w:w="886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Intangible assets</w:t>
            </w:r>
          </w:p>
        </w:tc>
        <w:tc>
          <w:tcPr>
            <w:tcW w:w="460" w:type="dxa"/>
            <w:vAlign w:val="bottom"/>
            <w:shd w:val="clear" w:color="auto" w:fill="DBDBDB"/>
          </w:tcPr>
          <w:p>
            <w:pPr>
              <w:spacing w:after="0"/>
              <w:rPr>
                <w:sz w:val="12"/>
                <w:szCs w:val="12"/>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1,716,000</w:t>
            </w:r>
          </w:p>
        </w:tc>
      </w:tr>
      <w:tr>
        <w:trPr>
          <w:trHeight w:val="143"/>
        </w:trPr>
        <w:tc>
          <w:tcPr>
            <w:tcW w:w="886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Other assets</w:t>
            </w:r>
          </w:p>
        </w:tc>
        <w:tc>
          <w:tcPr>
            <w:tcW w:w="4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62,288</w:t>
            </w:r>
          </w:p>
        </w:tc>
      </w:tr>
      <w:tr>
        <w:trPr>
          <w:trHeight w:val="134"/>
        </w:trPr>
        <w:tc>
          <w:tcPr>
            <w:tcW w:w="8860" w:type="dxa"/>
            <w:vAlign w:val="bottom"/>
            <w:shd w:val="clear" w:color="auto" w:fill="DBDBDB"/>
          </w:tcPr>
          <w:p>
            <w:pPr>
              <w:ind w:left="80"/>
              <w:spacing w:after="0"/>
              <w:rPr>
                <w:sz w:val="20"/>
                <w:szCs w:val="20"/>
                <w:color w:val="auto"/>
              </w:rPr>
            </w:pPr>
            <w:r>
              <w:rPr>
                <w:rFonts w:ascii="Arial" w:cs="Arial" w:eastAsia="Arial" w:hAnsi="Arial"/>
                <w:sz w:val="11"/>
                <w:szCs w:val="11"/>
                <w:b w:val="1"/>
                <w:bCs w:val="1"/>
                <w:color w:val="auto"/>
              </w:rPr>
              <w:t>Total identifiable assets acquired</w:t>
            </w:r>
          </w:p>
        </w:tc>
        <w:tc>
          <w:tcPr>
            <w:tcW w:w="460" w:type="dxa"/>
            <w:vAlign w:val="bottom"/>
            <w:tcBorders>
              <w:bottom w:val="single" w:sz="8" w:color="auto"/>
            </w:tcBorders>
            <w:shd w:val="clear" w:color="auto" w:fill="DBDBDB"/>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1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2,408,816</w:t>
            </w:r>
          </w:p>
        </w:tc>
      </w:tr>
      <w:tr>
        <w:trPr>
          <w:trHeight w:val="124"/>
        </w:trPr>
        <w:tc>
          <w:tcPr>
            <w:tcW w:w="8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Liabilities</w:t>
            </w:r>
          </w:p>
        </w:tc>
        <w:tc>
          <w:tcPr>
            <w:tcW w:w="460" w:type="dxa"/>
            <w:vAlign w:val="bottom"/>
          </w:tcPr>
          <w:p>
            <w:pPr>
              <w:spacing w:after="0"/>
              <w:rPr>
                <w:sz w:val="10"/>
                <w:szCs w:val="10"/>
                <w:color w:val="auto"/>
              </w:rPr>
            </w:pPr>
          </w:p>
        </w:tc>
        <w:tc>
          <w:tcPr>
            <w:tcW w:w="1980" w:type="dxa"/>
            <w:vAlign w:val="bottom"/>
          </w:tcPr>
          <w:p>
            <w:pPr>
              <w:spacing w:after="0"/>
              <w:rPr>
                <w:sz w:val="10"/>
                <w:szCs w:val="10"/>
                <w:color w:val="auto"/>
              </w:rPr>
            </w:pPr>
          </w:p>
        </w:tc>
      </w:tr>
      <w:tr>
        <w:trPr>
          <w:trHeight w:val="144"/>
        </w:trPr>
        <w:tc>
          <w:tcPr>
            <w:tcW w:w="88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Accrued advisory and commission expenses payable</w:t>
            </w:r>
          </w:p>
        </w:tc>
        <w:tc>
          <w:tcPr>
            <w:tcW w:w="460" w:type="dxa"/>
            <w:vAlign w:val="bottom"/>
            <w:shd w:val="clear" w:color="auto" w:fill="DBDBDB"/>
          </w:tcPr>
          <w:p>
            <w:pPr>
              <w:spacing w:after="0"/>
              <w:rPr>
                <w:sz w:val="12"/>
                <w:szCs w:val="12"/>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14,440</w:t>
            </w:r>
          </w:p>
        </w:tc>
      </w:tr>
      <w:tr>
        <w:trPr>
          <w:trHeight w:val="143"/>
        </w:trPr>
        <w:tc>
          <w:tcPr>
            <w:tcW w:w="8860" w:type="dxa"/>
            <w:vAlign w:val="bottom"/>
          </w:tcPr>
          <w:p>
            <w:pPr>
              <w:ind w:left="140"/>
              <w:spacing w:after="0"/>
              <w:rPr>
                <w:sz w:val="20"/>
                <w:szCs w:val="20"/>
                <w:color w:val="auto"/>
              </w:rPr>
            </w:pPr>
            <w:r>
              <w:rPr>
                <w:rFonts w:ascii="Arial" w:cs="Arial" w:eastAsia="Arial" w:hAnsi="Arial"/>
                <w:sz w:val="11"/>
                <w:szCs w:val="11"/>
                <w:color w:val="auto"/>
              </w:rPr>
              <w:t>Accounts payable and accrued liabilities</w:t>
            </w:r>
          </w:p>
        </w:tc>
        <w:tc>
          <w:tcPr>
            <w:tcW w:w="46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1"/>
                <w:szCs w:val="11"/>
                <w:color w:val="auto"/>
              </w:rPr>
              <w:t>57,012</w:t>
            </w:r>
          </w:p>
        </w:tc>
      </w:tr>
      <w:tr>
        <w:trPr>
          <w:trHeight w:val="145"/>
        </w:trPr>
        <w:tc>
          <w:tcPr>
            <w:tcW w:w="88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Client payables</w:t>
            </w:r>
          </w:p>
        </w:tc>
        <w:tc>
          <w:tcPr>
            <w:tcW w:w="460" w:type="dxa"/>
            <w:vAlign w:val="bottom"/>
            <w:shd w:val="clear" w:color="auto" w:fill="DBDBDB"/>
          </w:tcPr>
          <w:p>
            <w:pPr>
              <w:spacing w:after="0"/>
              <w:rPr>
                <w:sz w:val="12"/>
                <w:szCs w:val="12"/>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525</w:t>
            </w:r>
          </w:p>
        </w:tc>
      </w:tr>
      <w:tr>
        <w:trPr>
          <w:trHeight w:val="143"/>
        </w:trPr>
        <w:tc>
          <w:tcPr>
            <w:tcW w:w="8860" w:type="dxa"/>
            <w:vAlign w:val="bottom"/>
          </w:tcPr>
          <w:p>
            <w:pPr>
              <w:ind w:left="140"/>
              <w:spacing w:after="0"/>
              <w:rPr>
                <w:sz w:val="20"/>
                <w:szCs w:val="20"/>
                <w:color w:val="auto"/>
              </w:rPr>
            </w:pPr>
            <w:r>
              <w:rPr>
                <w:rFonts w:ascii="Arial" w:cs="Arial" w:eastAsia="Arial" w:hAnsi="Arial"/>
                <w:sz w:val="11"/>
                <w:szCs w:val="11"/>
                <w:color w:val="auto"/>
              </w:rPr>
              <w:t>Equity awards liability</w:t>
            </w:r>
          </w:p>
        </w:tc>
        <w:tc>
          <w:tcPr>
            <w:tcW w:w="46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1"/>
                <w:szCs w:val="11"/>
                <w:color w:val="auto"/>
              </w:rPr>
              <w:t>389,751</w:t>
            </w:r>
          </w:p>
        </w:tc>
      </w:tr>
      <w:tr>
        <w:trPr>
          <w:trHeight w:val="145"/>
        </w:trPr>
        <w:tc>
          <w:tcPr>
            <w:tcW w:w="88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Unearned revenue</w:t>
            </w:r>
          </w:p>
        </w:tc>
        <w:tc>
          <w:tcPr>
            <w:tcW w:w="460" w:type="dxa"/>
            <w:vAlign w:val="bottom"/>
            <w:shd w:val="clear" w:color="auto" w:fill="DBDBDB"/>
          </w:tcPr>
          <w:p>
            <w:pPr>
              <w:spacing w:after="0"/>
              <w:rPr>
                <w:sz w:val="12"/>
                <w:szCs w:val="12"/>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309,594</w:t>
            </w:r>
          </w:p>
        </w:tc>
      </w:tr>
      <w:tr>
        <w:trPr>
          <w:trHeight w:val="143"/>
        </w:trPr>
        <w:tc>
          <w:tcPr>
            <w:tcW w:w="886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Other liabilities</w:t>
            </w:r>
          </w:p>
        </w:tc>
        <w:tc>
          <w:tcPr>
            <w:tcW w:w="4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54,302</w:t>
            </w:r>
          </w:p>
        </w:tc>
      </w:tr>
      <w:tr>
        <w:trPr>
          <w:trHeight w:val="134"/>
        </w:trPr>
        <w:tc>
          <w:tcPr>
            <w:tcW w:w="8860" w:type="dxa"/>
            <w:vAlign w:val="bottom"/>
            <w:shd w:val="clear" w:color="auto" w:fill="DBDBDB"/>
          </w:tcPr>
          <w:p>
            <w:pPr>
              <w:ind w:left="80"/>
              <w:spacing w:after="0"/>
              <w:rPr>
                <w:sz w:val="20"/>
                <w:szCs w:val="20"/>
                <w:color w:val="auto"/>
              </w:rPr>
            </w:pPr>
            <w:r>
              <w:rPr>
                <w:rFonts w:ascii="Arial" w:cs="Arial" w:eastAsia="Arial" w:hAnsi="Arial"/>
                <w:sz w:val="11"/>
                <w:szCs w:val="11"/>
                <w:b w:val="1"/>
                <w:bCs w:val="1"/>
                <w:color w:val="auto"/>
              </w:rPr>
              <w:t>Total liabilities assumed</w:t>
            </w:r>
          </w:p>
        </w:tc>
        <w:tc>
          <w:tcPr>
            <w:tcW w:w="460" w:type="dxa"/>
            <w:vAlign w:val="bottom"/>
            <w:tcBorders>
              <w:bottom w:val="single" w:sz="8" w:color="auto"/>
            </w:tcBorders>
            <w:shd w:val="clear" w:color="auto" w:fill="DBDBDB"/>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1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825,624</w:t>
            </w:r>
          </w:p>
        </w:tc>
      </w:tr>
      <w:tr>
        <w:trPr>
          <w:trHeight w:val="133"/>
        </w:trPr>
        <w:tc>
          <w:tcPr>
            <w:tcW w:w="886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Net assets acquired</w:t>
            </w:r>
          </w:p>
        </w:tc>
        <w:tc>
          <w:tcPr>
            <w:tcW w:w="4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1,583,192</w:t>
            </w:r>
          </w:p>
        </w:tc>
      </w:tr>
      <w:tr>
        <w:trPr>
          <w:trHeight w:val="149"/>
        </w:trPr>
        <w:tc>
          <w:tcPr>
            <w:tcW w:w="88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1"/>
                <w:szCs w:val="11"/>
                <w:b w:val="1"/>
                <w:bCs w:val="1"/>
                <w:color w:val="auto"/>
              </w:rPr>
              <w:t>Goodwill</w:t>
            </w:r>
          </w:p>
        </w:tc>
        <w:tc>
          <w:tcPr>
            <w:tcW w:w="460" w:type="dxa"/>
            <w:vAlign w:val="bottom"/>
            <w:tcBorders>
              <w:bottom w:val="single" w:sz="8" w:color="auto"/>
            </w:tcBorders>
            <w:shd w:val="clear" w:color="auto" w:fill="DBDBDB"/>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1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418,386</w:t>
            </w:r>
          </w:p>
        </w:tc>
      </w:tr>
    </w:tbl>
    <w:p>
      <w:pPr>
        <w:spacing w:after="0" w:line="40"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w:t>
      </w:r>
    </w:p>
    <w:p>
      <w:pPr>
        <w:spacing w:after="0" w:line="38" w:lineRule="exact"/>
        <w:rPr>
          <w:sz w:val="20"/>
          <w:szCs w:val="20"/>
          <w:color w:val="auto"/>
        </w:rPr>
      </w:pPr>
    </w:p>
    <w:p>
      <w:pPr>
        <w:ind w:left="328" w:right="20" w:hanging="328"/>
        <w:spacing w:after="0" w:line="264" w:lineRule="auto"/>
        <w:tabs>
          <w:tab w:leader="none" w:pos="319" w:val="left"/>
        </w:tabs>
        <w:numPr>
          <w:ilvl w:val="0"/>
          <w:numId w:val="23"/>
        </w:numPr>
        <w:rPr>
          <w:rFonts w:ascii="Arial" w:cs="Arial" w:eastAsia="Arial" w:hAnsi="Arial"/>
          <w:sz w:val="10"/>
          <w:szCs w:val="10"/>
          <w:color w:val="auto"/>
        </w:rPr>
      </w:pPr>
      <w:r>
        <w:rPr>
          <w:rFonts w:ascii="Arial" w:cs="Arial" w:eastAsia="Arial" w:hAnsi="Arial"/>
          <w:sz w:val="10"/>
          <w:szCs w:val="10"/>
          <w:color w:val="auto"/>
        </w:rPr>
        <w:t>The Company recorded purchase accounting adjustments during the nine months ended September 30, 2026 which resulted in a $16.2 million decrease in total consideration, a $0.6 million decrease in advisor loans, net, a $4.0 million increase in other assets, a $7.5 million increase in equity awards liability, a $7.1 million increase in other liabilities, and a $4.9 million decrease in goodwill, respectively.</w:t>
      </w:r>
    </w:p>
    <w:p>
      <w:pPr>
        <w:spacing w:after="0" w:line="126" w:lineRule="exact"/>
        <w:rPr>
          <w:sz w:val="20"/>
          <w:szCs w:val="20"/>
          <w:color w:val="auto"/>
        </w:rPr>
      </w:pPr>
    </w:p>
    <w:p>
      <w:pPr>
        <w:ind w:left="8" w:right="460"/>
        <w:spacing w:after="0" w:line="270" w:lineRule="auto"/>
        <w:rPr>
          <w:sz w:val="20"/>
          <w:szCs w:val="20"/>
          <w:color w:val="auto"/>
        </w:rPr>
      </w:pPr>
      <w:r>
        <w:rPr>
          <w:rFonts w:ascii="Arial" w:cs="Arial" w:eastAsia="Arial" w:hAnsi="Arial"/>
          <w:sz w:val="12"/>
          <w:szCs w:val="12"/>
          <w:color w:val="auto"/>
        </w:rPr>
        <w:t xml:space="preserve">The goodwill primarily includes synergies expected to result from combining operations and is deductible for tax purposes. Other intangible assets comprised $1.7 billion of advisor relationships, which were assigned useful lives of 14 years, and $26.0 million of trade name intangible, which was assigned a useful life of 16 years. </w:t>
      </w:r>
      <w:r>
        <w:rPr>
          <w:rFonts w:ascii="Arial" w:cs="Arial" w:eastAsia="Arial" w:hAnsi="Arial"/>
          <w:sz w:val="12"/>
          <w:szCs w:val="12"/>
          <w:i w:val="1"/>
          <w:iCs w:val="1"/>
          <w:color w:val="auto"/>
        </w:rPr>
        <w:t>See</w:t>
      </w:r>
      <w:r>
        <w:rPr>
          <w:rFonts w:ascii="Arial" w:cs="Arial" w:eastAsia="Arial" w:hAnsi="Arial"/>
          <w:sz w:val="12"/>
          <w:szCs w:val="12"/>
          <w:color w:val="auto"/>
        </w:rPr>
        <w:t xml:space="preserve"> Note 7 </w:t>
      </w:r>
      <w:r>
        <w:rPr>
          <w:rFonts w:ascii="Arial" w:cs="Arial" w:eastAsia="Arial" w:hAnsi="Arial"/>
          <w:sz w:val="12"/>
          <w:szCs w:val="12"/>
          <w:i w:val="1"/>
          <w:iCs w:val="1"/>
          <w:color w:val="auto"/>
        </w:rPr>
        <w:t>- Goodwill and Other Intangibles, Net</w:t>
      </w:r>
      <w:r>
        <w:rPr>
          <w:rFonts w:ascii="Arial" w:cs="Arial" w:eastAsia="Arial" w:hAnsi="Arial"/>
          <w:sz w:val="12"/>
          <w:szCs w:val="12"/>
          <w:color w:val="auto"/>
        </w:rPr>
        <w:t xml:space="preserve"> for additional information.</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fair value determination of certain assets acquired and liabilities assumed required the Company to make significant estimates and assumptions. Intangible assets were valued using an income approach with</w:t>
      </w:r>
    </w:p>
    <w:p>
      <w:pPr>
        <w:spacing w:after="0" w:line="9" w:lineRule="exact"/>
        <w:rPr>
          <w:sz w:val="20"/>
          <w:szCs w:val="20"/>
          <w:color w:val="auto"/>
        </w:rPr>
      </w:pPr>
    </w:p>
    <w:p>
      <w:pPr>
        <w:ind w:left="8" w:right="140"/>
        <w:spacing w:after="0" w:line="237" w:lineRule="auto"/>
        <w:rPr>
          <w:sz w:val="20"/>
          <w:szCs w:val="20"/>
          <w:color w:val="auto"/>
        </w:rPr>
      </w:pPr>
      <w:r>
        <w:rPr>
          <w:rFonts w:ascii="Arial" w:cs="Arial" w:eastAsia="Arial" w:hAnsi="Arial"/>
          <w:sz w:val="12"/>
          <w:szCs w:val="12"/>
          <w:color w:val="auto"/>
        </w:rPr>
        <w:t>estimates and assumptions related to future net cash flows, discount and royalty rates. Advisor loans were valued using an income approach with assumptions related to net cash flows and conversion rates. The fair value of repayable loans was $87.4 million and approximates its carrying value.</w:t>
      </w:r>
    </w:p>
    <w:p>
      <w:pPr>
        <w:spacing w:after="0" w:line="219" w:lineRule="exact"/>
        <w:rPr>
          <w:sz w:val="20"/>
          <w:szCs w:val="20"/>
          <w:color w:val="auto"/>
        </w:rPr>
      </w:pPr>
    </w:p>
    <w:p>
      <w:pPr>
        <w:ind w:left="8" w:right="100"/>
        <w:spacing w:after="0" w:line="260" w:lineRule="auto"/>
        <w:rPr>
          <w:sz w:val="20"/>
          <w:szCs w:val="20"/>
          <w:color w:val="auto"/>
        </w:rPr>
      </w:pPr>
      <w:r>
        <w:rPr>
          <w:rFonts w:ascii="Arial" w:cs="Arial" w:eastAsia="Arial" w:hAnsi="Arial"/>
          <w:sz w:val="12"/>
          <w:szCs w:val="12"/>
          <w:color w:val="auto"/>
        </w:rPr>
        <w:t>Acquisition related costs incurred as part of the Commonwealth acquisition during the three and nine months ended September 30, 2026 were $37.7 million and $68.1 million, respectively, and primarily comprised amounts related to professional services, bonuses, and contract termination costs which were classified as Professional services, Compensation and benefits, and Occupancy and equipment, respectively, in the Company's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5" w:name="page36"/>
    <w:bookmarkEnd w:id="35"/>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unaudited pro forma results as if the acquisition of Commonwealth had occurred on January 1, 2024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84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LPL Financial and Commonwealth Pro Forma Combined Financial Information (unaudited)</w:t>
            </w:r>
          </w:p>
        </w:tc>
        <w:tc>
          <w:tcPr>
            <w:tcW w:w="18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Three Months Ended September 30, 2025</w:t>
            </w:r>
          </w:p>
        </w:tc>
        <w:tc>
          <w:tcPr>
            <w:tcW w:w="1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Nine Months Ended September 30, 2025</w:t>
            </w:r>
          </w:p>
        </w:tc>
      </w:tr>
      <w:tr>
        <w:trPr>
          <w:trHeight w:val="133"/>
        </w:trPr>
        <w:tc>
          <w:tcPr>
            <w:tcW w:w="5840" w:type="dxa"/>
            <w:vAlign w:val="bottom"/>
            <w:shd w:val="clear" w:color="auto" w:fill="DBDBDB"/>
          </w:tcPr>
          <w:p>
            <w:pPr>
              <w:spacing w:after="0"/>
              <w:rPr>
                <w:sz w:val="20"/>
                <w:szCs w:val="20"/>
                <w:color w:val="auto"/>
              </w:rPr>
            </w:pPr>
            <w:r>
              <w:rPr>
                <w:rFonts w:ascii="Arial" w:cs="Arial" w:eastAsia="Arial" w:hAnsi="Arial"/>
                <w:sz w:val="11"/>
                <w:szCs w:val="11"/>
                <w:color w:val="auto"/>
              </w:rPr>
              <w:t>Total revenue</w:t>
            </w:r>
          </w:p>
        </w:tc>
        <w:tc>
          <w:tcPr>
            <w:tcW w:w="18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2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4,806,987</w:t>
            </w:r>
          </w:p>
        </w:tc>
        <w:tc>
          <w:tcPr>
            <w:tcW w:w="18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2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13,702,158</w:t>
            </w:r>
          </w:p>
        </w:tc>
      </w:tr>
      <w:tr>
        <w:trPr>
          <w:trHeight w:val="142"/>
        </w:trPr>
        <w:tc>
          <w:tcPr>
            <w:tcW w:w="5840" w:type="dxa"/>
            <w:vAlign w:val="bottom"/>
          </w:tcPr>
          <w:p>
            <w:pPr>
              <w:spacing w:after="0"/>
              <w:rPr>
                <w:sz w:val="20"/>
                <w:szCs w:val="20"/>
                <w:color w:val="auto"/>
              </w:rPr>
            </w:pPr>
            <w:r>
              <w:rPr>
                <w:rFonts w:ascii="Arial" w:cs="Arial" w:eastAsia="Arial" w:hAnsi="Arial"/>
                <w:sz w:val="11"/>
                <w:szCs w:val="11"/>
                <w:color w:val="auto"/>
              </w:rPr>
              <w:t>Net income</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2500" w:type="dxa"/>
            <w:vAlign w:val="bottom"/>
          </w:tcPr>
          <w:p>
            <w:pPr>
              <w:jc w:val="right"/>
              <w:spacing w:after="0"/>
              <w:rPr>
                <w:sz w:val="20"/>
                <w:szCs w:val="20"/>
                <w:color w:val="auto"/>
              </w:rPr>
            </w:pPr>
            <w:r>
              <w:rPr>
                <w:rFonts w:ascii="Arial" w:cs="Arial" w:eastAsia="Arial" w:hAnsi="Arial"/>
                <w:sz w:val="11"/>
                <w:szCs w:val="11"/>
                <w:color w:val="auto"/>
              </w:rPr>
              <w:t>308,389</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2380" w:type="dxa"/>
            <w:vAlign w:val="bottom"/>
          </w:tcPr>
          <w:p>
            <w:pPr>
              <w:jc w:val="right"/>
              <w:spacing w:after="0"/>
              <w:rPr>
                <w:sz w:val="20"/>
                <w:szCs w:val="20"/>
                <w:color w:val="auto"/>
              </w:rPr>
            </w:pPr>
            <w:r>
              <w:rPr>
                <w:rFonts w:ascii="Arial" w:cs="Arial" w:eastAsia="Arial" w:hAnsi="Arial"/>
                <w:sz w:val="11"/>
                <w:szCs w:val="11"/>
                <w:color w:val="auto"/>
              </w:rPr>
              <w:t>1,020,759</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The unaudited pro forma results above were prepared by combining the historical financial information of the Company and Commonwealth and making certain adjustments. Pro forma adjustments include the</w:t>
      </w:r>
    </w:p>
    <w:p>
      <w:pPr>
        <w:spacing w:after="0" w:line="9" w:lineRule="exact"/>
        <w:rPr>
          <w:sz w:val="20"/>
          <w:szCs w:val="20"/>
          <w:color w:val="auto"/>
        </w:rPr>
      </w:pPr>
    </w:p>
    <w:p>
      <w:pPr>
        <w:ind w:right="20"/>
        <w:spacing w:after="0" w:line="247" w:lineRule="auto"/>
        <w:rPr>
          <w:sz w:val="20"/>
          <w:szCs w:val="20"/>
          <w:color w:val="auto"/>
        </w:rPr>
      </w:pPr>
      <w:r>
        <w:rPr>
          <w:rFonts w:ascii="Arial" w:cs="Arial" w:eastAsia="Arial" w:hAnsi="Arial"/>
          <w:sz w:val="11"/>
          <w:szCs w:val="11"/>
          <w:color w:val="auto"/>
        </w:rPr>
        <w:t>impact of amortization of intangible assets recognized as part of the acquisition, amortization of transition assistance loans made to advisors that will transition to the Company’s platform in 2026, and the impact of related interest and issuance costs of financing the transaction. The unaudited pro forma information does not reflect the potential benefits of cost and funding synergies, opportunities to earn additional revenues or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other factors, and, therefore, does not represent the actual results that would have occurred had the companies actually been combined as of January 1, 2024.</w:t>
      </w:r>
    </w:p>
    <w:p>
      <w:pPr>
        <w:spacing w:after="0" w:line="147"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 xml:space="preserve">The Company financed this transaction through a combination of Corporate Cash, proceeds from the debt and equity issuances completed in April 2025, and borrowings under LPL Holdings, Inc.’s revolving credit facility. See Note 9 </w:t>
      </w:r>
      <w:r>
        <w:rPr>
          <w:rFonts w:ascii="Arial" w:cs="Arial" w:eastAsia="Arial" w:hAnsi="Arial"/>
          <w:sz w:val="12"/>
          <w:szCs w:val="12"/>
          <w:i w:val="1"/>
          <w:iCs w:val="1"/>
          <w:color w:val="auto"/>
        </w:rPr>
        <w:t>- Corporate Debt and Other Borrowings, Net</w:t>
      </w:r>
      <w:r>
        <w:rPr>
          <w:rFonts w:ascii="Arial" w:cs="Arial" w:eastAsia="Arial" w:hAnsi="Arial"/>
          <w:sz w:val="12"/>
          <w:szCs w:val="12"/>
          <w:color w:val="auto"/>
        </w:rPr>
        <w:t xml:space="preserve"> and Note 11 - </w:t>
      </w:r>
      <w:r>
        <w:rPr>
          <w:rFonts w:ascii="Arial" w:cs="Arial" w:eastAsia="Arial" w:hAnsi="Arial"/>
          <w:sz w:val="12"/>
          <w:szCs w:val="12"/>
          <w:i w:val="1"/>
          <w:iCs w:val="1"/>
          <w:color w:val="auto"/>
        </w:rPr>
        <w:t>Stockholders’ Equity</w:t>
      </w:r>
      <w:r>
        <w:rPr>
          <w:rFonts w:ascii="Arial" w:cs="Arial" w:eastAsia="Arial" w:hAnsi="Arial"/>
          <w:sz w:val="12"/>
          <w:szCs w:val="12"/>
          <w:color w:val="auto"/>
        </w:rPr>
        <w:t xml:space="preserve"> for additional information.</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 of The Investment Center, Inc. (“The Investment Center”)</w:t>
      </w:r>
    </w:p>
    <w:p>
      <w:pPr>
        <w:spacing w:after="0" w:line="112" w:lineRule="exact"/>
        <w:rPr>
          <w:sz w:val="20"/>
          <w:szCs w:val="20"/>
          <w:color w:val="auto"/>
        </w:rPr>
      </w:pPr>
    </w:p>
    <w:p>
      <w:pPr>
        <w:ind w:right="120"/>
        <w:spacing w:after="0" w:line="276" w:lineRule="auto"/>
        <w:rPr>
          <w:sz w:val="20"/>
          <w:szCs w:val="20"/>
          <w:color w:val="auto"/>
        </w:rPr>
      </w:pPr>
      <w:r>
        <w:rPr>
          <w:rFonts w:ascii="Arial" w:cs="Arial" w:eastAsia="Arial" w:hAnsi="Arial"/>
          <w:sz w:val="11"/>
          <w:szCs w:val="11"/>
          <w:color w:val="auto"/>
        </w:rPr>
        <w:t>On March 4, 2025, the Company acquired The Investment Center for total consideration of $ 72.6 million, which included $72.2 million of cash and liabilities of $ 0.4 million for contingent consideration. The Company was introduced to The Investment Center as part of the acquisition of Atria Wealth Solutions, Inc. (“Atria”), and the cash consideration was prefunded in 2024 in conjunction with the close of the Atria acquisition. The Company subsequently transitioned The Investment Center’s brokerage and advisory assets to the Company’s platform. The transaction also includes potential contingent consideration of up to $10.4 million based on revenue growth in the years following the acquisition. The Company accounted for the acquisition under the acquisition method of accounting for business combinations. Acquisition related costs incurred during the year ended December 31, 2025 were $6.0 million, primarily related to costs which were classified as compensation and benefits expenses and promotional expenses in the Company's consolidated statements of income. The Company recorded purchase accounting adjustments during the year ended December 31, 2025 which resulted in a $ 2.0 million increase in cash consideration, a $6.1 million decrease in other liabilities, a $0.4 million decrease in advisor relationships, and a $3.7 million decrease in goodwill. As of December 31, 2025, the Company had allocated $43.5 million and</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 xml:space="preserve">$29.1 million of the consideration to advisor relationships and goodwill, respectively. The advisor relationships were assigned a useful life of 16 years. See Note 7 - </w:t>
      </w:r>
      <w:r>
        <w:rPr>
          <w:rFonts w:ascii="Arial" w:cs="Arial" w:eastAsia="Arial" w:hAnsi="Arial"/>
          <w:sz w:val="12"/>
          <w:szCs w:val="12"/>
          <w:i w:val="1"/>
          <w:iCs w:val="1"/>
          <w:color w:val="auto"/>
        </w:rPr>
        <w:t>Goodwill and Other Intangibles, Net,</w:t>
      </w:r>
      <w:r>
        <w:rPr>
          <w:rFonts w:ascii="Arial" w:cs="Arial" w:eastAsia="Arial" w:hAnsi="Arial"/>
          <w:sz w:val="12"/>
          <w:szCs w:val="12"/>
          <w:color w:val="auto"/>
        </w:rPr>
        <w:t xml:space="preserve"> for additional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Business Combinations</w:t>
      </w:r>
    </w:p>
    <w:p>
      <w:pPr>
        <w:spacing w:after="0" w:line="103" w:lineRule="exact"/>
        <w:rPr>
          <w:sz w:val="20"/>
          <w:szCs w:val="20"/>
          <w:color w:val="auto"/>
        </w:rPr>
      </w:pPr>
    </w:p>
    <w:p>
      <w:pPr>
        <w:ind w:right="380"/>
        <w:spacing w:after="0" w:line="243" w:lineRule="auto"/>
        <w:rPr>
          <w:sz w:val="20"/>
          <w:szCs w:val="20"/>
          <w:color w:val="auto"/>
        </w:rPr>
      </w:pPr>
      <w:r>
        <w:rPr>
          <w:rFonts w:ascii="Arial" w:cs="Arial" w:eastAsia="Arial" w:hAnsi="Arial"/>
          <w:sz w:val="12"/>
          <w:szCs w:val="12"/>
          <w:color w:val="auto"/>
        </w:rPr>
        <w:t>The Company accounted for four acquisitions under the acquisition method of accounting for business combinations during the year ended December 31, 2025. Total consideration for these transactions was $75.2 million, which included $58.3 million of cash, and liabilities of $15.2 million for contingent consideration which represents the acquisition date fair value of the additional cash consideration that may be transferred to the sellers if certain asset or revenue growth metrics are achieved in the years following the closing. This contingent consideration may be settled for amounts of up to $46.9 million in the years following the closing. The Company allocated $63.3 million of the consideration to client relationships and $0.3 million to advisor relationships, which were assigned useful lives of 14 years to 15 years, and $11.6 million to goodwill.</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 Acquisitions</w:t>
      </w:r>
    </w:p>
    <w:p>
      <w:pPr>
        <w:spacing w:after="0" w:line="112"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 xml:space="preserve">The Company accounted for 28 other acquisitions as asset acquisitions during the year ended December 31, 2025. These transactions included total initial consideration of $227.9 million, including $222.4 million which was allocated to client relationships and $5.5 million which was allocated to advisor relationships. These transactions include potential contingent payments of up to $158.1 million in the years following the closing if certain asset growth is achieved. The Company has not recognized a liability for these contingent payments as the amounts to be paid will be uncertain until a future measurement date. See Note 7 </w:t>
      </w:r>
      <w:r>
        <w:rPr>
          <w:rFonts w:ascii="Arial" w:cs="Arial" w:eastAsia="Arial" w:hAnsi="Arial"/>
          <w:sz w:val="12"/>
          <w:szCs w:val="12"/>
          <w:i w:val="1"/>
          <w:iCs w:val="1"/>
          <w:color w:val="auto"/>
        </w:rPr>
        <w: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Goodwill and Other Intangibles, Net, </w:t>
      </w:r>
      <w:r>
        <w:rPr>
          <w:rFonts w:ascii="Arial" w:cs="Arial" w:eastAsia="Arial" w:hAnsi="Arial"/>
          <w:sz w:val="12"/>
          <w:szCs w:val="12"/>
          <w:color w:val="auto"/>
        </w:rPr>
        <w:t>for additional information.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36" w:name="page37"/>
    <w:bookmarkEnd w:id="36"/>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FAIR VALUE MEASUREMENTS</w:t>
      </w:r>
    </w:p>
    <w:p>
      <w:pPr>
        <w:spacing w:after="0" w:line="258"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in active markets for identical assets or liabilities.</w:t>
      </w:r>
    </w:p>
    <w:p>
      <w:pPr>
        <w:spacing w:after="0" w:line="78" w:lineRule="exact"/>
        <w:rPr>
          <w:sz w:val="20"/>
          <w:szCs w:val="20"/>
          <w:color w:val="auto"/>
        </w:rPr>
      </w:pPr>
    </w:p>
    <w:p>
      <w:pPr>
        <w:ind w:left="340" w:right="40"/>
        <w:spacing w:after="0" w:line="286"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Observable inputs other than quoted prices included in Level 1, such as quoted prices for similar assets and liabilities in active markets; quoted prices for identical or similar assets and liabilities in</w:t>
      </w:r>
      <w:r>
        <w:rPr>
          <w:rFonts w:ascii="Arial" w:cs="Arial" w:eastAsia="Arial" w:hAnsi="Arial"/>
          <w:sz w:val="12"/>
          <w:szCs w:val="12"/>
          <w:i w:val="1"/>
          <w:iCs w:val="1"/>
          <w:color w:val="auto"/>
        </w:rPr>
        <w:t xml:space="preserve"> </w:t>
      </w:r>
      <w:r>
        <w:rPr>
          <w:rFonts w:ascii="Arial" w:cs="Arial" w:eastAsia="Arial" w:hAnsi="Arial"/>
          <w:sz w:val="12"/>
          <w:szCs w:val="12"/>
          <w:color w:val="auto"/>
        </w:rPr>
        <w:t>markets that are not active; or other inputs that are observable or can be corroborated by observable market data.</w:t>
      </w:r>
    </w:p>
    <w:p>
      <w:pPr>
        <w:spacing w:after="0" w:line="31" w:lineRule="exact"/>
        <w:rPr>
          <w:sz w:val="20"/>
          <w:szCs w:val="20"/>
          <w:color w:val="auto"/>
        </w:rPr>
      </w:pPr>
    </w:p>
    <w:p>
      <w:pPr>
        <w:ind w:left="340" w:right="160"/>
        <w:spacing w:after="0" w:line="286" w:lineRule="auto"/>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that are supported by little or no market activity and that are significant to the fair value of the assets or liabilities. This includes certain pricing models, discounted 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methodologies and similar techniques that use significant unobservable inputs.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transfers of assets or liabilities between these fair value measurement classifications during the nine months ended September 30, 2026 or 2025.</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Company’s fair value measurements are evaluated within the fair value hierarchy, based on the nature of inputs used to determine the fair value at the measurement date. At September 30, 2026 and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2025, the Company had the following financial assets and liabilities that are measured at fair value on a recurring basis:</w:t>
      </w:r>
    </w:p>
    <w:p>
      <w:pPr>
        <w:spacing w:after="0" w:line="66" w:lineRule="exact"/>
        <w:rPr>
          <w:sz w:val="20"/>
          <w:szCs w:val="20"/>
          <w:color w:val="auto"/>
        </w:rPr>
      </w:pPr>
    </w:p>
    <w:p>
      <w:pPr>
        <w:ind w:left="320" w:right="200"/>
        <w:spacing w:after="0" w:line="286" w:lineRule="auto"/>
        <w:rPr>
          <w:sz w:val="20"/>
          <w:szCs w:val="20"/>
          <w:color w:val="auto"/>
        </w:rPr>
      </w:pPr>
      <w:r>
        <w:rPr>
          <w:rFonts w:ascii="Arial" w:cs="Arial" w:eastAsia="Arial" w:hAnsi="Arial"/>
          <w:sz w:val="12"/>
          <w:szCs w:val="12"/>
          <w:i w:val="1"/>
          <w:iCs w:val="1"/>
          <w:color w:val="auto"/>
        </w:rPr>
        <w:t xml:space="preserve">Cash Equivalents </w:t>
      </w:r>
      <w:r>
        <w:rPr>
          <w:rFonts w:ascii="Arial" w:cs="Arial" w:eastAsia="Arial" w:hAnsi="Arial"/>
          <w:sz w:val="12"/>
          <w:szCs w:val="12"/>
          <w:color w:val="auto"/>
        </w:rPr>
        <w:t>— The Company’s cash equivalents primarily include money market funds and U.S. government obligations, which are short term in nature with readily determinable values derived from</w:t>
      </w:r>
      <w:r>
        <w:rPr>
          <w:rFonts w:ascii="Arial" w:cs="Arial" w:eastAsia="Arial" w:hAnsi="Arial"/>
          <w:sz w:val="12"/>
          <w:szCs w:val="12"/>
          <w:i w:val="1"/>
          <w:iCs w:val="1"/>
          <w:color w:val="auto"/>
        </w:rPr>
        <w:t xml:space="preserve"> </w:t>
      </w:r>
      <w:r>
        <w:rPr>
          <w:rFonts w:ascii="Arial" w:cs="Arial" w:eastAsia="Arial" w:hAnsi="Arial"/>
          <w:sz w:val="12"/>
          <w:szCs w:val="12"/>
          <w:color w:val="auto"/>
        </w:rPr>
        <w:t>active markets.</w:t>
      </w:r>
    </w:p>
    <w:p>
      <w:pPr>
        <w:spacing w:after="0" w:line="31" w:lineRule="exact"/>
        <w:rPr>
          <w:sz w:val="20"/>
          <w:szCs w:val="20"/>
          <w:color w:val="auto"/>
        </w:rPr>
      </w:pPr>
    </w:p>
    <w:p>
      <w:pPr>
        <w:ind w:left="320"/>
        <w:spacing w:after="0" w:line="286" w:lineRule="auto"/>
        <w:rPr>
          <w:sz w:val="20"/>
          <w:szCs w:val="20"/>
          <w:color w:val="auto"/>
        </w:rPr>
      </w:pPr>
      <w:r>
        <w:rPr>
          <w:rFonts w:ascii="Arial" w:cs="Arial" w:eastAsia="Arial" w:hAnsi="Arial"/>
          <w:sz w:val="12"/>
          <w:szCs w:val="12"/>
          <w:i w:val="1"/>
          <w:iCs w:val="1"/>
          <w:color w:val="auto"/>
        </w:rPr>
        <w:t xml:space="preserve">Cash Equivalents Segregated Under Federal or Other Regulations </w:t>
      </w:r>
      <w:r>
        <w:rPr>
          <w:rFonts w:ascii="Arial" w:cs="Arial" w:eastAsia="Arial" w:hAnsi="Arial"/>
          <w:sz w:val="12"/>
          <w:szCs w:val="12"/>
          <w:color w:val="auto"/>
        </w:rPr>
        <w:t>— The Company’s cash equivalents segregated under federal or other regulations include U.S. treasury bills, which are short term in nature</w:t>
      </w:r>
      <w:r>
        <w:rPr>
          <w:rFonts w:ascii="Arial" w:cs="Arial" w:eastAsia="Arial" w:hAnsi="Arial"/>
          <w:sz w:val="12"/>
          <w:szCs w:val="12"/>
          <w:i w:val="1"/>
          <w:iCs w:val="1"/>
          <w:color w:val="auto"/>
        </w:rPr>
        <w:t xml:space="preserve"> </w:t>
      </w:r>
      <w:r>
        <w:rPr>
          <w:rFonts w:ascii="Arial" w:cs="Arial" w:eastAsia="Arial" w:hAnsi="Arial"/>
          <w:sz w:val="12"/>
          <w:szCs w:val="12"/>
          <w:color w:val="auto"/>
        </w:rPr>
        <w:t>with readily determinable values derived from active markets.</w:t>
      </w:r>
    </w:p>
    <w:p>
      <w:pPr>
        <w:spacing w:after="0" w:line="31" w:lineRule="exact"/>
        <w:rPr>
          <w:sz w:val="20"/>
          <w:szCs w:val="20"/>
          <w:color w:val="auto"/>
        </w:rPr>
      </w:pPr>
    </w:p>
    <w:p>
      <w:pPr>
        <w:ind w:left="320"/>
        <w:spacing w:after="0" w:line="286" w:lineRule="auto"/>
        <w:rPr>
          <w:sz w:val="20"/>
          <w:szCs w:val="20"/>
          <w:color w:val="auto"/>
        </w:rPr>
      </w:pPr>
      <w:r>
        <w:rPr>
          <w:rFonts w:ascii="Arial" w:cs="Arial" w:eastAsia="Arial" w:hAnsi="Arial"/>
          <w:sz w:val="12"/>
          <w:szCs w:val="12"/>
          <w:i w:val="1"/>
          <w:iCs w:val="1"/>
          <w:color w:val="auto"/>
        </w:rPr>
        <w:t xml:space="preserve">Restricted Cash </w:t>
      </w:r>
      <w:r>
        <w:rPr>
          <w:rFonts w:ascii="Arial" w:cs="Arial" w:eastAsia="Arial" w:hAnsi="Arial"/>
          <w:sz w:val="12"/>
          <w:szCs w:val="12"/>
          <w:color w:val="auto"/>
        </w:rPr>
        <w:t>— The Company’s restricted cash is primarily composed of U.S. government obligations and money market funds which are short term in nature with readily determinable values derived from</w:t>
      </w:r>
      <w:r>
        <w:rPr>
          <w:rFonts w:ascii="Arial" w:cs="Arial" w:eastAsia="Arial" w:hAnsi="Arial"/>
          <w:sz w:val="12"/>
          <w:szCs w:val="12"/>
          <w:i w:val="1"/>
          <w:iCs w:val="1"/>
          <w:color w:val="auto"/>
        </w:rPr>
        <w:t xml:space="preserve"> </w:t>
      </w:r>
      <w:r>
        <w:rPr>
          <w:rFonts w:ascii="Arial" w:cs="Arial" w:eastAsia="Arial" w:hAnsi="Arial"/>
          <w:sz w:val="12"/>
          <w:szCs w:val="12"/>
          <w:color w:val="auto"/>
        </w:rPr>
        <w:t>active markets.</w:t>
      </w:r>
    </w:p>
    <w:p>
      <w:pPr>
        <w:spacing w:after="0" w:line="31" w:lineRule="exact"/>
        <w:rPr>
          <w:sz w:val="20"/>
          <w:szCs w:val="20"/>
          <w:color w:val="auto"/>
        </w:rPr>
      </w:pPr>
    </w:p>
    <w:p>
      <w:pPr>
        <w:ind w:left="320" w:right="100"/>
        <w:spacing w:after="0" w:line="286" w:lineRule="auto"/>
        <w:rPr>
          <w:sz w:val="20"/>
          <w:szCs w:val="20"/>
          <w:color w:val="auto"/>
        </w:rPr>
      </w:pPr>
      <w:r>
        <w:rPr>
          <w:rFonts w:ascii="Arial" w:cs="Arial" w:eastAsia="Arial" w:hAnsi="Arial"/>
          <w:sz w:val="12"/>
          <w:szCs w:val="12"/>
          <w:i w:val="1"/>
          <w:iCs w:val="1"/>
          <w:color w:val="auto"/>
        </w:rPr>
        <w:t xml:space="preserve">Trading Securities and Securities Sold, But Not Yet Purchased </w:t>
      </w:r>
      <w:r>
        <w:rPr>
          <w:rFonts w:ascii="Arial" w:cs="Arial" w:eastAsia="Arial" w:hAnsi="Arial"/>
          <w:sz w:val="12"/>
          <w:szCs w:val="12"/>
          <w:color w:val="auto"/>
        </w:rPr>
        <w:t>— The Company’s trading securities consist of house account model portfolios established and managed for the purpose of benchmarking the</w:t>
      </w:r>
      <w:r>
        <w:rPr>
          <w:rFonts w:ascii="Arial" w:cs="Arial" w:eastAsia="Arial" w:hAnsi="Arial"/>
          <w:sz w:val="12"/>
          <w:szCs w:val="12"/>
          <w:i w:val="1"/>
          <w:iCs w:val="1"/>
          <w:color w:val="auto"/>
        </w:rPr>
        <w:t xml:space="preserve"> </w:t>
      </w:r>
      <w:r>
        <w:rPr>
          <w:rFonts w:ascii="Arial" w:cs="Arial" w:eastAsia="Arial" w:hAnsi="Arial"/>
          <w:sz w:val="12"/>
          <w:szCs w:val="12"/>
          <w:color w:val="auto"/>
        </w:rPr>
        <w:t>performance of its fee-based advisory platforms and temporary positions resulting from the processing of client transactions.</w:t>
      </w:r>
    </w:p>
    <w:p>
      <w:pPr>
        <w:spacing w:after="0" w:line="31" w:lineRule="exact"/>
        <w:rPr>
          <w:sz w:val="20"/>
          <w:szCs w:val="20"/>
          <w:color w:val="auto"/>
        </w:rPr>
      </w:pPr>
    </w:p>
    <w:p>
      <w:pPr>
        <w:ind w:left="320" w:right="40"/>
        <w:spacing w:after="0" w:line="257" w:lineRule="auto"/>
        <w:rPr>
          <w:sz w:val="20"/>
          <w:szCs w:val="20"/>
          <w:color w:val="auto"/>
        </w:rPr>
      </w:pPr>
      <w:r>
        <w:rPr>
          <w:rFonts w:ascii="Arial" w:cs="Arial" w:eastAsia="Arial" w:hAnsi="Arial"/>
          <w:sz w:val="12"/>
          <w:szCs w:val="12"/>
          <w:color w:val="auto"/>
        </w:rPr>
        <w:t>The Company uses prices obtained from independent third-party pricing services to measure the fair value of its trading securities. Prices received from the pricing services are validated when security prices move beyond a certain deviation threshold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negotiable certificates of deposit and treasury securities, the Company utilizes market-based inputs, including observable market interest rates that correspond to the remaining maturities or the next interest reset dates. At September 30, 2026 and December 31, 2025, the Company did not adjust prices received from the independent third-party pricing services.</w:t>
      </w:r>
    </w:p>
    <w:p>
      <w:pPr>
        <w:spacing w:after="0" w:line="49" w:lineRule="exact"/>
        <w:rPr>
          <w:sz w:val="20"/>
          <w:szCs w:val="20"/>
          <w:color w:val="auto"/>
        </w:rPr>
      </w:pPr>
    </w:p>
    <w:p>
      <w:pPr>
        <w:jc w:val="both"/>
        <w:ind w:left="320" w:right="100"/>
        <w:spacing w:after="0" w:line="268" w:lineRule="auto"/>
        <w:rPr>
          <w:sz w:val="20"/>
          <w:szCs w:val="20"/>
          <w:color w:val="auto"/>
        </w:rPr>
      </w:pPr>
      <w:r>
        <w:rPr>
          <w:rFonts w:ascii="Arial" w:cs="Arial" w:eastAsia="Arial" w:hAnsi="Arial"/>
          <w:sz w:val="12"/>
          <w:szCs w:val="12"/>
          <w:i w:val="1"/>
          <w:iCs w:val="1"/>
          <w:color w:val="auto"/>
        </w:rPr>
        <w:t xml:space="preserve">Other Assets </w:t>
      </w:r>
      <w:r>
        <w:rPr>
          <w:rFonts w:ascii="Arial" w:cs="Arial" w:eastAsia="Arial" w:hAnsi="Arial"/>
          <w:sz w:val="12"/>
          <w:szCs w:val="12"/>
          <w:color w:val="auto"/>
        </w:rPr>
        <w:t>— The Company’s other assets include: (1) deferred compensation plan assets that are invested in life insurance, money market and other mutual funds, which are actively traded and valued</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quoted market prices; and (2) certain non-traded real estate investment trusts, which are valued using quoted prices for identical or similar securities and other inputs that are observable or can be corroborated by observable market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37" w:name="page38"/>
    <w:bookmarkEnd w:id="37"/>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328" w:right="40"/>
        <w:spacing w:after="0" w:line="259" w:lineRule="auto"/>
        <w:rPr>
          <w:sz w:val="20"/>
          <w:szCs w:val="20"/>
          <w:color w:val="auto"/>
        </w:rPr>
      </w:pPr>
      <w:r>
        <w:rPr>
          <w:rFonts w:ascii="Arial" w:cs="Arial" w:eastAsia="Arial" w:hAnsi="Arial"/>
          <w:sz w:val="12"/>
          <w:szCs w:val="12"/>
          <w:i w:val="1"/>
          <w:iCs w:val="1"/>
          <w:color w:val="auto"/>
        </w:rPr>
        <w:t xml:space="preserve">Fractional Shares </w:t>
      </w:r>
      <w:r>
        <w:rPr>
          <w:rFonts w:ascii="Arial" w:cs="Arial" w:eastAsia="Arial" w:hAnsi="Arial"/>
          <w:sz w:val="12"/>
          <w:szCs w:val="12"/>
          <w:color w:val="auto"/>
        </w:rPr>
        <w:t>— The Company’s investment in fractional shares held by customers is reflected in other assets while the related purchase obligation for such shares is reflected in other liabilities.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uses prices obtained from independent third-party pricing services to measure the fair value of its investment in fractional shares held by customers and the related repurchase obligation. Prices received from the pricing services are validated when security prices move beyond a certain deviation threshold using various methods including comparison to prices received from additional pricing services, comparison to available quoted market prices and review of other relevant market data including implied yields of major categories of securities. At September 30, 2026 and December 31, 2025, the Company did not adjust prices received from the independent third-party pricing services.</w:t>
      </w:r>
    </w:p>
    <w:p>
      <w:pPr>
        <w:spacing w:after="0" w:line="47" w:lineRule="exact"/>
        <w:rPr>
          <w:sz w:val="20"/>
          <w:szCs w:val="20"/>
          <w:color w:val="auto"/>
        </w:rPr>
      </w:pPr>
    </w:p>
    <w:p>
      <w:pPr>
        <w:ind w:left="328" w:right="220"/>
        <w:spacing w:after="0" w:line="286" w:lineRule="auto"/>
        <w:rPr>
          <w:sz w:val="20"/>
          <w:szCs w:val="20"/>
          <w:color w:val="auto"/>
        </w:rPr>
      </w:pPr>
      <w:r>
        <w:rPr>
          <w:rFonts w:ascii="Arial" w:cs="Arial" w:eastAsia="Arial" w:hAnsi="Arial"/>
          <w:sz w:val="12"/>
          <w:szCs w:val="12"/>
          <w:i w:val="1"/>
          <w:iCs w:val="1"/>
          <w:color w:val="auto"/>
        </w:rPr>
        <w:t xml:space="preserve">Contingent Consideration </w:t>
      </w:r>
      <w:r>
        <w:rPr>
          <w:rFonts w:ascii="Arial" w:cs="Arial" w:eastAsia="Arial" w:hAnsi="Arial"/>
          <w:sz w:val="12"/>
          <w:szCs w:val="12"/>
          <w:color w:val="auto"/>
        </w:rPr>
        <w:t>— The Company measures contingent consideration liabilities at fair value at the acquisition date, as applicable, and thereafter on a recurring basis using unobservable (Level 3)</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inputs. These contingent consideration liabilities are reflected in other liabilities.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for additional information.</w:t>
      </w:r>
    </w:p>
    <w:p>
      <w:pPr>
        <w:spacing w:after="0" w:line="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Level 3 Recurring Fair Value Measurements</w:t>
      </w:r>
    </w:p>
    <w:p>
      <w:pPr>
        <w:spacing w:after="0" w:line="78" w:lineRule="exact"/>
        <w:rPr>
          <w:sz w:val="20"/>
          <w:szCs w:val="20"/>
          <w:color w:val="auto"/>
        </w:rPr>
      </w:pPr>
    </w:p>
    <w:p>
      <w:pPr>
        <w:ind w:left="8" w:right="100"/>
        <w:spacing w:after="0" w:line="293" w:lineRule="auto"/>
        <w:rPr>
          <w:sz w:val="20"/>
          <w:szCs w:val="20"/>
          <w:color w:val="auto"/>
        </w:rPr>
      </w:pPr>
      <w:r>
        <w:rPr>
          <w:rFonts w:ascii="Arial" w:cs="Arial" w:eastAsia="Arial" w:hAnsi="Arial"/>
          <w:sz w:val="11"/>
          <w:szCs w:val="11"/>
          <w:color w:val="auto"/>
        </w:rPr>
        <w:t>The Company determines the fair value for its contingent consideration obligations using probability weighted and Monte-Carlo simulation models. Contingent payments are estimated by applying significant unobservable inputs, including forecasted growth rates applied to project future revenue or asset growth, conversion or retention rates, and discount rates which are based on the cost of debt and equity. These projections are measured against the performance targets specified in each respective acquisition agreement, which may include growth in assets under management, net new assets, asset conversion or retention, or revenue growth. Significant increases or decreases in the Company’s forecasted growth rates over the measurement period or discount rates would result in a higher or lower fair value measurement.</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summarize inputs used in the measurement of contingent consideration (dollars in thousands):</w:t>
      </w:r>
    </w:p>
    <w:p>
      <w:pPr>
        <w:spacing w:after="0" w:line="109" w:lineRule="exact"/>
        <w:rPr>
          <w:sz w:val="20"/>
          <w:szCs w:val="20"/>
          <w:color w:val="auto"/>
        </w:rPr>
      </w:pPr>
    </w:p>
    <w:p>
      <w:pPr>
        <w:ind w:left="4948"/>
        <w:spacing w:after="0"/>
        <w:rPr>
          <w:sz w:val="20"/>
          <w:szCs w:val="20"/>
          <w:color w:val="auto"/>
        </w:rPr>
      </w:pPr>
      <w:r>
        <w:rPr>
          <w:rFonts w:ascii="Arial" w:cs="Arial" w:eastAsia="Arial" w:hAnsi="Arial"/>
          <w:sz w:val="11"/>
          <w:szCs w:val="11"/>
          <w:b w:val="1"/>
          <w:bCs w:val="1"/>
          <w:color w:val="auto"/>
        </w:rPr>
        <w:t>Quantitative Information About Level 3 Fair Value Measurements</w:t>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33"/>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2026</w:t>
            </w:r>
          </w:p>
        </w:tc>
        <w:tc>
          <w:tcPr>
            <w:tcW w:w="44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b w:val="1"/>
                <w:bCs w:val="1"/>
                <w:color w:val="auto"/>
              </w:rPr>
              <w:t>Type</w:t>
            </w:r>
          </w:p>
        </w:tc>
        <w:tc>
          <w:tcPr>
            <w:tcW w:w="25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1"/>
                <w:szCs w:val="11"/>
                <w:b w:val="1"/>
                <w:bCs w:val="1"/>
                <w:color w:val="auto"/>
              </w:rPr>
              <w:t>Valuation Techniques</w:t>
            </w:r>
          </w:p>
        </w:tc>
        <w:tc>
          <w:tcPr>
            <w:tcW w:w="28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1"/>
                <w:szCs w:val="11"/>
                <w:b w:val="1"/>
                <w:bCs w:val="1"/>
                <w:color w:val="auto"/>
              </w:rPr>
              <w:t>Unobservable Inputs</w:t>
            </w:r>
          </w:p>
        </w:tc>
        <w:tc>
          <w:tcPr>
            <w:tcW w:w="1740" w:type="dxa"/>
            <w:vAlign w:val="bottom"/>
            <w:tcBorders>
              <w:top w:val="single" w:sz="8" w:color="auto"/>
              <w:bottom w:val="single" w:sz="8" w:color="auto"/>
            </w:tcBorders>
            <w:gridSpan w:val="2"/>
          </w:tcPr>
          <w:p>
            <w:pPr>
              <w:jc w:val="center"/>
              <w:ind w:left="1006"/>
              <w:spacing w:after="0"/>
              <w:rPr>
                <w:sz w:val="20"/>
                <w:szCs w:val="20"/>
                <w:color w:val="auto"/>
              </w:rPr>
            </w:pPr>
            <w:r>
              <w:rPr>
                <w:rFonts w:ascii="Arial" w:cs="Arial" w:eastAsia="Arial" w:hAnsi="Arial"/>
                <w:sz w:val="11"/>
                <w:szCs w:val="11"/>
                <w:b w:val="1"/>
                <w:bCs w:val="1"/>
                <w:color w:val="auto"/>
                <w:w w:val="95"/>
              </w:rPr>
              <w:t>Range</w:t>
            </w:r>
          </w:p>
        </w:tc>
        <w:tc>
          <w:tcPr>
            <w:tcW w:w="880" w:type="dxa"/>
            <w:vAlign w:val="bottom"/>
            <w:tcBorders>
              <w:top w:val="single" w:sz="8" w:color="auto"/>
              <w:bottom w:val="single" w:sz="8" w:color="auto"/>
            </w:tcBorders>
          </w:tcPr>
          <w:p>
            <w:pPr>
              <w:spacing w:after="0"/>
              <w:rPr>
                <w:sz w:val="11"/>
                <w:szCs w:val="11"/>
                <w:color w:val="auto"/>
              </w:rPr>
            </w:pPr>
          </w:p>
        </w:tc>
      </w:tr>
      <w:tr>
        <w:trPr>
          <w:trHeight w:val="133"/>
        </w:trPr>
        <w:tc>
          <w:tcPr>
            <w:tcW w:w="1460" w:type="dxa"/>
            <w:vAlign w:val="bottom"/>
            <w:shd w:val="clear" w:color="auto" w:fill="DBDBDB"/>
          </w:tcPr>
          <w:p>
            <w:pPr>
              <w:jc w:val="right"/>
              <w:ind w:right="135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5"/>
              </w:rPr>
              <w:t>116,829</w:t>
            </w:r>
          </w:p>
        </w:tc>
        <w:tc>
          <w:tcPr>
            <w:tcW w:w="1400" w:type="dxa"/>
            <w:vAlign w:val="bottom"/>
            <w:shd w:val="clear" w:color="auto" w:fill="DBDBDB"/>
          </w:tcPr>
          <w:p>
            <w:pPr>
              <w:ind w:left="20"/>
              <w:spacing w:after="0"/>
              <w:rPr>
                <w:sz w:val="20"/>
                <w:szCs w:val="20"/>
                <w:color w:val="auto"/>
              </w:rPr>
            </w:pPr>
            <w:r>
              <w:rPr>
                <w:rFonts w:ascii="Arial" w:cs="Arial" w:eastAsia="Arial" w:hAnsi="Arial"/>
                <w:sz w:val="11"/>
                <w:szCs w:val="11"/>
                <w:color w:val="auto"/>
              </w:rPr>
              <w:t>Contingent Consideration</w:t>
            </w:r>
          </w:p>
        </w:tc>
        <w:tc>
          <w:tcPr>
            <w:tcW w:w="25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Monte-Carlo Simulation Model</w:t>
            </w:r>
          </w:p>
        </w:tc>
        <w:tc>
          <w:tcPr>
            <w:tcW w:w="2880" w:type="dxa"/>
            <w:vAlign w:val="bottom"/>
            <w:shd w:val="clear" w:color="auto" w:fill="DBDBDB"/>
          </w:tcPr>
          <w:p>
            <w:pPr>
              <w:ind w:left="420"/>
              <w:spacing w:after="0"/>
              <w:rPr>
                <w:sz w:val="20"/>
                <w:szCs w:val="20"/>
                <w:color w:val="auto"/>
              </w:rPr>
            </w:pPr>
            <w:r>
              <w:rPr>
                <w:rFonts w:ascii="Arial" w:cs="Arial" w:eastAsia="Arial" w:hAnsi="Arial"/>
                <w:sz w:val="11"/>
                <w:szCs w:val="11"/>
                <w:color w:val="auto"/>
              </w:rPr>
              <w:t>Forecasted Growth Rates</w:t>
            </w:r>
          </w:p>
        </w:tc>
        <w:tc>
          <w:tcPr>
            <w:tcW w:w="13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2.0 %</w:t>
            </w:r>
          </w:p>
        </w:tc>
        <w:tc>
          <w:tcPr>
            <w:tcW w:w="420" w:type="dxa"/>
            <w:vAlign w:val="bottom"/>
            <w:shd w:val="clear" w:color="auto" w:fill="DBDBDB"/>
          </w:tcPr>
          <w:p>
            <w:pPr>
              <w:jc w:val="center"/>
              <w:ind w:right="206"/>
              <w:spacing w:after="0"/>
              <w:rPr>
                <w:sz w:val="20"/>
                <w:szCs w:val="20"/>
                <w:color w:val="auto"/>
              </w:rPr>
            </w:pPr>
            <w:r>
              <w:rPr>
                <w:rFonts w:ascii="Arial" w:cs="Arial" w:eastAsia="Arial" w:hAnsi="Arial"/>
                <w:sz w:val="11"/>
                <w:szCs w:val="11"/>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30.0 %</w:t>
            </w:r>
          </w:p>
        </w:tc>
      </w:tr>
      <w:tr>
        <w:trPr>
          <w:trHeight w:val="143"/>
        </w:trPr>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880" w:type="dxa"/>
            <w:vAlign w:val="bottom"/>
          </w:tcPr>
          <w:p>
            <w:pPr>
              <w:ind w:left="420"/>
              <w:spacing w:after="0"/>
              <w:rPr>
                <w:sz w:val="20"/>
                <w:szCs w:val="20"/>
                <w:color w:val="auto"/>
              </w:rPr>
            </w:pPr>
            <w:r>
              <w:rPr>
                <w:rFonts w:ascii="Arial" w:cs="Arial" w:eastAsia="Arial" w:hAnsi="Arial"/>
                <w:sz w:val="11"/>
                <w:szCs w:val="11"/>
                <w:color w:val="auto"/>
              </w:rPr>
              <w:t>Discount Rate</w:t>
            </w:r>
          </w:p>
        </w:tc>
        <w:tc>
          <w:tcPr>
            <w:tcW w:w="1320" w:type="dxa"/>
            <w:vAlign w:val="bottom"/>
          </w:tcPr>
          <w:p>
            <w:pPr>
              <w:jc w:val="right"/>
              <w:spacing w:after="0"/>
              <w:rPr>
                <w:sz w:val="20"/>
                <w:szCs w:val="20"/>
                <w:color w:val="auto"/>
              </w:rPr>
            </w:pPr>
            <w:r>
              <w:rPr>
                <w:rFonts w:ascii="Arial" w:cs="Arial" w:eastAsia="Arial" w:hAnsi="Arial"/>
                <w:sz w:val="11"/>
                <w:szCs w:val="11"/>
                <w:color w:val="auto"/>
              </w:rPr>
              <w:t>9.3 %</w:t>
            </w:r>
          </w:p>
        </w:tc>
        <w:tc>
          <w:tcPr>
            <w:tcW w:w="420" w:type="dxa"/>
            <w:vAlign w:val="bottom"/>
          </w:tcPr>
          <w:p>
            <w:pPr>
              <w:jc w:val="center"/>
              <w:ind w:right="20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13.2 %</w:t>
            </w:r>
          </w:p>
        </w:tc>
      </w:tr>
      <w:tr>
        <w:trPr>
          <w:trHeight w:val="145"/>
        </w:trPr>
        <w:tc>
          <w:tcPr>
            <w:tcW w:w="146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400" w:type="dxa"/>
            <w:vAlign w:val="bottom"/>
            <w:shd w:val="clear" w:color="auto" w:fill="DBDBDB"/>
          </w:tcPr>
          <w:p>
            <w:pPr>
              <w:spacing w:after="0"/>
              <w:rPr>
                <w:sz w:val="12"/>
                <w:szCs w:val="12"/>
                <w:color w:val="auto"/>
              </w:rPr>
            </w:pPr>
          </w:p>
        </w:tc>
        <w:tc>
          <w:tcPr>
            <w:tcW w:w="2500" w:type="dxa"/>
            <w:vAlign w:val="bottom"/>
            <w:shd w:val="clear" w:color="auto" w:fill="DBDBDB"/>
          </w:tcPr>
          <w:p>
            <w:pPr>
              <w:spacing w:after="0"/>
              <w:rPr>
                <w:sz w:val="12"/>
                <w:szCs w:val="12"/>
                <w:color w:val="auto"/>
              </w:rPr>
            </w:pPr>
          </w:p>
        </w:tc>
        <w:tc>
          <w:tcPr>
            <w:tcW w:w="2880" w:type="dxa"/>
            <w:vAlign w:val="bottom"/>
            <w:shd w:val="clear" w:color="auto" w:fill="DBDBDB"/>
          </w:tcPr>
          <w:p>
            <w:pPr>
              <w:ind w:left="420"/>
              <w:spacing w:after="0"/>
              <w:rPr>
                <w:sz w:val="20"/>
                <w:szCs w:val="20"/>
                <w:color w:val="auto"/>
              </w:rPr>
            </w:pPr>
            <w:r>
              <w:rPr>
                <w:rFonts w:ascii="Arial" w:cs="Arial" w:eastAsia="Arial" w:hAnsi="Arial"/>
                <w:sz w:val="11"/>
                <w:szCs w:val="11"/>
                <w:color w:val="auto"/>
              </w:rPr>
              <w:t>Equivalency Rate</w:t>
            </w:r>
            <w:r>
              <w:rPr>
                <w:rFonts w:ascii="Arial" w:cs="Arial" w:eastAsia="Arial" w:hAnsi="Arial"/>
                <w:sz w:val="7"/>
                <w:szCs w:val="7"/>
                <w:color w:val="auto"/>
              </w:rPr>
              <w:t>(1)</w:t>
            </w:r>
          </w:p>
        </w:tc>
        <w:tc>
          <w:tcPr>
            <w:tcW w:w="13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5.1 %</w:t>
            </w:r>
          </w:p>
        </w:tc>
        <w:tc>
          <w:tcPr>
            <w:tcW w:w="420" w:type="dxa"/>
            <w:vAlign w:val="bottom"/>
            <w:shd w:val="clear" w:color="auto" w:fill="DBDBDB"/>
          </w:tcPr>
          <w:p>
            <w:pPr>
              <w:jc w:val="center"/>
              <w:ind w:right="206"/>
              <w:spacing w:after="0"/>
              <w:rPr>
                <w:sz w:val="20"/>
                <w:szCs w:val="20"/>
                <w:color w:val="auto"/>
              </w:rPr>
            </w:pPr>
            <w:r>
              <w:rPr>
                <w:rFonts w:ascii="Arial" w:cs="Arial" w:eastAsia="Arial" w:hAnsi="Arial"/>
                <w:sz w:val="11"/>
                <w:szCs w:val="11"/>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5.2 %</w:t>
            </w:r>
          </w:p>
        </w:tc>
      </w:tr>
      <w:tr>
        <w:trPr>
          <w:trHeight w:val="143"/>
        </w:trPr>
        <w:tc>
          <w:tcPr>
            <w:tcW w:w="1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4,468</w:t>
            </w:r>
          </w:p>
        </w:tc>
        <w:tc>
          <w:tcPr>
            <w:tcW w:w="140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Contingent Consideration</w:t>
            </w:r>
          </w:p>
        </w:tc>
        <w:tc>
          <w:tcPr>
            <w:tcW w:w="2500" w:type="dxa"/>
            <w:vAlign w:val="bottom"/>
            <w:tcBorders>
              <w:bottom w:val="single" w:sz="8" w:color="DBDBDB"/>
            </w:tcBorders>
          </w:tcPr>
          <w:p>
            <w:pPr>
              <w:ind w:left="160"/>
              <w:spacing w:after="0"/>
              <w:rPr>
                <w:sz w:val="20"/>
                <w:szCs w:val="20"/>
                <w:color w:val="auto"/>
              </w:rPr>
            </w:pPr>
            <w:r>
              <w:rPr>
                <w:rFonts w:ascii="Arial" w:cs="Arial" w:eastAsia="Arial" w:hAnsi="Arial"/>
                <w:sz w:val="11"/>
                <w:szCs w:val="11"/>
                <w:color w:val="auto"/>
              </w:rPr>
              <w:t>Contractually Determined</w:t>
            </w:r>
            <w:r>
              <w:rPr>
                <w:rFonts w:ascii="Arial" w:cs="Arial" w:eastAsia="Arial" w:hAnsi="Arial"/>
                <w:sz w:val="7"/>
                <w:szCs w:val="7"/>
                <w:color w:val="auto"/>
              </w:rPr>
              <w:t>(2)</w:t>
            </w:r>
          </w:p>
        </w:tc>
        <w:tc>
          <w:tcPr>
            <w:tcW w:w="2880" w:type="dxa"/>
            <w:vAlign w:val="bottom"/>
            <w:tcBorders>
              <w:bottom w:val="single" w:sz="8" w:color="DBDBDB"/>
            </w:tcBorders>
          </w:tcPr>
          <w:p>
            <w:pPr>
              <w:ind w:left="420"/>
              <w:spacing w:after="0"/>
              <w:rPr>
                <w:sz w:val="20"/>
                <w:szCs w:val="20"/>
                <w:color w:val="auto"/>
              </w:rPr>
            </w:pPr>
            <w:r>
              <w:rPr>
                <w:rFonts w:ascii="Arial" w:cs="Arial" w:eastAsia="Arial" w:hAnsi="Arial"/>
                <w:sz w:val="11"/>
                <w:szCs w:val="11"/>
                <w:color w:val="auto"/>
              </w:rPr>
              <w:t>Actual Performance</w:t>
            </w:r>
            <w:r>
              <w:rPr>
                <w:rFonts w:ascii="Arial" w:cs="Arial" w:eastAsia="Arial" w:hAnsi="Arial"/>
                <w:sz w:val="7"/>
                <w:szCs w:val="7"/>
                <w:color w:val="auto"/>
              </w:rPr>
              <w:t>(2)</w:t>
            </w:r>
          </w:p>
        </w:tc>
        <w:tc>
          <w:tcPr>
            <w:tcW w:w="1320" w:type="dxa"/>
            <w:vAlign w:val="bottom"/>
            <w:tcBorders>
              <w:bottom w:val="single" w:sz="8" w:color="DBDBDB"/>
            </w:tcBorders>
          </w:tcPr>
          <w:p>
            <w:pPr>
              <w:jc w:val="right"/>
              <w:ind w:right="406"/>
              <w:spacing w:after="0"/>
              <w:rPr>
                <w:sz w:val="20"/>
                <w:szCs w:val="20"/>
                <w:color w:val="auto"/>
              </w:rPr>
            </w:pPr>
            <w:r>
              <w:rPr>
                <w:rFonts w:ascii="Arial" w:cs="Arial" w:eastAsia="Arial" w:hAnsi="Arial"/>
                <w:sz w:val="11"/>
                <w:szCs w:val="11"/>
                <w:color w:val="auto"/>
              </w:rPr>
              <w:t>n/m</w:t>
            </w:r>
            <w:r>
              <w:rPr>
                <w:rFonts w:ascii="Arial" w:cs="Arial" w:eastAsia="Arial" w:hAnsi="Arial"/>
                <w:sz w:val="7"/>
                <w:szCs w:val="7"/>
                <w:color w:val="auto"/>
              </w:rPr>
              <w:t>(2)</w:t>
            </w:r>
          </w:p>
        </w:tc>
        <w:tc>
          <w:tcPr>
            <w:tcW w:w="420" w:type="dxa"/>
            <w:vAlign w:val="bottom"/>
            <w:tcBorders>
              <w:bottom w:val="single" w:sz="8" w:color="DBDBDB"/>
            </w:tcBorders>
          </w:tcPr>
          <w:p>
            <w:pPr>
              <w:jc w:val="center"/>
              <w:ind w:right="2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DBDBDB"/>
            </w:tcBorders>
          </w:tcPr>
          <w:p>
            <w:pPr>
              <w:jc w:val="right"/>
              <w:ind w:right="366"/>
              <w:spacing w:after="0"/>
              <w:rPr>
                <w:sz w:val="20"/>
                <w:szCs w:val="20"/>
                <w:color w:val="auto"/>
              </w:rPr>
            </w:pPr>
            <w:r>
              <w:rPr>
                <w:rFonts w:ascii="Arial" w:cs="Arial" w:eastAsia="Arial" w:hAnsi="Arial"/>
                <w:sz w:val="11"/>
                <w:szCs w:val="11"/>
                <w:color w:val="auto"/>
              </w:rPr>
              <w:t>n/m</w:t>
            </w:r>
            <w:r>
              <w:rPr>
                <w:rFonts w:ascii="Arial" w:cs="Arial" w:eastAsia="Arial" w:hAnsi="Arial"/>
                <w:sz w:val="7"/>
                <w:szCs w:val="7"/>
                <w:color w:val="auto"/>
              </w:rPr>
              <w:t>(2)</w:t>
            </w:r>
          </w:p>
        </w:tc>
      </w:tr>
      <w:tr>
        <w:trPr>
          <w:trHeight w:val="150"/>
        </w:trPr>
        <w:tc>
          <w:tcPr>
            <w:tcW w:w="1460" w:type="dxa"/>
            <w:vAlign w:val="bottom"/>
            <w:tcBorders>
              <w:bottom w:val="single" w:sz="8" w:color="auto"/>
            </w:tcBorders>
            <w:shd w:val="clear" w:color="auto" w:fill="DBDBDB"/>
          </w:tcPr>
          <w:p>
            <w:pPr>
              <w:jc w:val="right"/>
              <w:ind w:right="135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w w:val="95"/>
              </w:rPr>
              <w:t>121,297</w:t>
            </w:r>
          </w:p>
        </w:tc>
        <w:tc>
          <w:tcPr>
            <w:tcW w:w="1400" w:type="dxa"/>
            <w:vAlign w:val="bottom"/>
            <w:tcBorders>
              <w:bottom w:val="single" w:sz="8" w:color="DBDBDB"/>
            </w:tcBorders>
            <w:shd w:val="clear" w:color="auto" w:fill="DBDBDB"/>
          </w:tcPr>
          <w:p>
            <w:pPr>
              <w:spacing w:after="0"/>
              <w:rPr>
                <w:sz w:val="13"/>
                <w:szCs w:val="13"/>
                <w:color w:val="auto"/>
              </w:rPr>
            </w:pPr>
          </w:p>
        </w:tc>
        <w:tc>
          <w:tcPr>
            <w:tcW w:w="2500" w:type="dxa"/>
            <w:vAlign w:val="bottom"/>
            <w:tcBorders>
              <w:bottom w:val="single" w:sz="8" w:color="DBDBDB"/>
            </w:tcBorders>
            <w:shd w:val="clear" w:color="auto" w:fill="DBDBDB"/>
          </w:tcPr>
          <w:p>
            <w:pPr>
              <w:spacing w:after="0"/>
              <w:rPr>
                <w:sz w:val="13"/>
                <w:szCs w:val="13"/>
                <w:color w:val="auto"/>
              </w:rPr>
            </w:pPr>
          </w:p>
        </w:tc>
        <w:tc>
          <w:tcPr>
            <w:tcW w:w="2880" w:type="dxa"/>
            <w:vAlign w:val="bottom"/>
            <w:tcBorders>
              <w:bottom w:val="single" w:sz="8" w:color="DBDBDB"/>
            </w:tcBorders>
            <w:shd w:val="clear" w:color="auto" w:fill="DBDBDB"/>
          </w:tcPr>
          <w:p>
            <w:pPr>
              <w:spacing w:after="0"/>
              <w:rPr>
                <w:sz w:val="13"/>
                <w:szCs w:val="13"/>
                <w:color w:val="auto"/>
              </w:rPr>
            </w:pPr>
          </w:p>
        </w:tc>
        <w:tc>
          <w:tcPr>
            <w:tcW w:w="1320" w:type="dxa"/>
            <w:vAlign w:val="bottom"/>
            <w:tcBorders>
              <w:bottom w:val="single" w:sz="8" w:color="DBDBDB"/>
            </w:tcBorders>
            <w:shd w:val="clear" w:color="auto" w:fill="DBDBDB"/>
          </w:tcPr>
          <w:p>
            <w:pPr>
              <w:spacing w:after="0"/>
              <w:rPr>
                <w:sz w:val="13"/>
                <w:szCs w:val="13"/>
                <w:color w:val="auto"/>
              </w:rPr>
            </w:pPr>
          </w:p>
        </w:tc>
        <w:tc>
          <w:tcPr>
            <w:tcW w:w="42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spacing w:after="0"/>
              <w:rPr>
                <w:sz w:val="13"/>
                <w:szCs w:val="13"/>
                <w:color w:val="auto"/>
              </w:rPr>
            </w:pPr>
          </w:p>
        </w:tc>
      </w:tr>
    </w:tbl>
    <w:p>
      <w:pPr>
        <w:spacing w:after="0" w:line="100"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49" w:lineRule="exact"/>
        <w:rPr>
          <w:sz w:val="20"/>
          <w:szCs w:val="20"/>
          <w:color w:val="auto"/>
        </w:rPr>
      </w:pPr>
    </w:p>
    <w:p>
      <w:pPr>
        <w:ind w:left="308" w:hanging="308"/>
        <w:spacing w:after="0"/>
        <w:tabs>
          <w:tab w:leader="none" w:pos="308" w:val="left"/>
        </w:tabs>
        <w:numPr>
          <w:ilvl w:val="0"/>
          <w:numId w:val="24"/>
        </w:numPr>
        <w:rPr>
          <w:rFonts w:ascii="Arial" w:cs="Arial" w:eastAsia="Arial" w:hAnsi="Arial"/>
          <w:sz w:val="10"/>
          <w:szCs w:val="10"/>
          <w:color w:val="auto"/>
        </w:rPr>
      </w:pPr>
      <w:r>
        <w:rPr>
          <w:rFonts w:ascii="Arial" w:cs="Arial" w:eastAsia="Arial" w:hAnsi="Arial"/>
          <w:sz w:val="10"/>
          <w:szCs w:val="10"/>
          <w:color w:val="auto"/>
        </w:rPr>
        <w:t>Equivalency rate is defined as the prevailing market interest rate used to discount future payments.</w:t>
      </w:r>
    </w:p>
    <w:p>
      <w:pPr>
        <w:spacing w:after="0" w:line="38" w:lineRule="exact"/>
        <w:rPr>
          <w:rFonts w:ascii="Arial" w:cs="Arial" w:eastAsia="Arial" w:hAnsi="Arial"/>
          <w:sz w:val="10"/>
          <w:szCs w:val="10"/>
          <w:color w:val="auto"/>
        </w:rPr>
      </w:pPr>
    </w:p>
    <w:p>
      <w:pPr>
        <w:ind w:left="328" w:right="300" w:hanging="328"/>
        <w:spacing w:after="0" w:line="264" w:lineRule="auto"/>
        <w:tabs>
          <w:tab w:leader="none" w:pos="319" w:val="left"/>
        </w:tabs>
        <w:numPr>
          <w:ilvl w:val="0"/>
          <w:numId w:val="24"/>
        </w:numPr>
        <w:rPr>
          <w:rFonts w:ascii="Arial" w:cs="Arial" w:eastAsia="Arial" w:hAnsi="Arial"/>
          <w:sz w:val="10"/>
          <w:szCs w:val="10"/>
          <w:color w:val="auto"/>
        </w:rPr>
      </w:pPr>
      <w:r>
        <w:rPr>
          <w:rFonts w:ascii="Arial" w:cs="Arial" w:eastAsia="Arial" w:hAnsi="Arial"/>
          <w:sz w:val="10"/>
          <w:szCs w:val="10"/>
          <w:color w:val="auto"/>
        </w:rPr>
        <w:t>As of September 30, 2026 the fair value of certain contingent consideration obligations are based on actual results as determined by and calculated in accordance with the underlying contractual terms and therefore a range is not meaningful. Prior to the resolution of the uncertainty, certain of these obligations were measured using either a Monte-Carlo simulation model or a probability weighted expected return method.</w:t>
      </w:r>
    </w:p>
    <w:p>
      <w:pPr>
        <w:spacing w:after="0" w:line="200" w:lineRule="exact"/>
        <w:rPr>
          <w:sz w:val="20"/>
          <w:szCs w:val="20"/>
          <w:color w:val="auto"/>
        </w:rPr>
      </w:pPr>
    </w:p>
    <w:p>
      <w:pPr>
        <w:spacing w:after="0" w:line="3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8" w:name="page39"/>
    <w:bookmarkEnd w:id="38"/>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6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540" w:type="dxa"/>
            <w:vAlign w:val="bottom"/>
            <w:tcBorders>
              <w:bottom w:val="single" w:sz="8" w:color="auto"/>
            </w:tcBorders>
            <w:gridSpan w:val="2"/>
          </w:tcPr>
          <w:p>
            <w:pPr>
              <w:ind w:left="1600"/>
              <w:spacing w:after="0"/>
              <w:rPr>
                <w:sz w:val="20"/>
                <w:szCs w:val="20"/>
                <w:color w:val="auto"/>
              </w:rPr>
            </w:pPr>
            <w:r>
              <w:rPr>
                <w:rFonts w:ascii="Arial" w:cs="Arial" w:eastAsia="Arial" w:hAnsi="Arial"/>
                <w:sz w:val="11"/>
                <w:szCs w:val="11"/>
                <w:b w:val="1"/>
                <w:bCs w:val="1"/>
                <w:color w:val="auto"/>
              </w:rPr>
              <w:t>Quantitative Information About Level 3 Fair Value Measurements</w:t>
            </w:r>
          </w:p>
        </w:tc>
        <w:tc>
          <w:tcPr>
            <w:tcW w:w="10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33"/>
        </w:trPr>
        <w:tc>
          <w:tcPr>
            <w:tcW w:w="2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December 31, 2025</w:t>
            </w:r>
          </w:p>
        </w:tc>
        <w:tc>
          <w:tcPr>
            <w:tcW w:w="1460" w:type="dxa"/>
            <w:vAlign w:val="bottom"/>
            <w:tcBorders>
              <w:bottom w:val="single" w:sz="8" w:color="auto"/>
            </w:tcBorders>
          </w:tcPr>
          <w:p>
            <w:pPr>
              <w:ind w:left="720"/>
              <w:spacing w:after="0"/>
              <w:rPr>
                <w:sz w:val="20"/>
                <w:szCs w:val="20"/>
                <w:color w:val="auto"/>
              </w:rPr>
            </w:pPr>
            <w:r>
              <w:rPr>
                <w:rFonts w:ascii="Arial" w:cs="Arial" w:eastAsia="Arial" w:hAnsi="Arial"/>
                <w:sz w:val="11"/>
                <w:szCs w:val="11"/>
                <w:b w:val="1"/>
                <w:bCs w:val="1"/>
                <w:color w:val="auto"/>
              </w:rPr>
              <w:t>Type</w:t>
            </w:r>
          </w:p>
        </w:tc>
        <w:tc>
          <w:tcPr>
            <w:tcW w:w="270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Valuation Techniques</w:t>
            </w:r>
          </w:p>
        </w:tc>
        <w:tc>
          <w:tcPr>
            <w:tcW w:w="2840" w:type="dxa"/>
            <w:vAlign w:val="bottom"/>
            <w:tcBorders>
              <w:bottom w:val="single" w:sz="8" w:color="auto"/>
            </w:tcBorders>
          </w:tcPr>
          <w:p>
            <w:pPr>
              <w:ind w:left="900"/>
              <w:spacing w:after="0"/>
              <w:rPr>
                <w:sz w:val="20"/>
                <w:szCs w:val="20"/>
                <w:color w:val="auto"/>
              </w:rPr>
            </w:pPr>
            <w:r>
              <w:rPr>
                <w:rFonts w:ascii="Arial" w:cs="Arial" w:eastAsia="Arial" w:hAnsi="Arial"/>
                <w:sz w:val="11"/>
                <w:szCs w:val="11"/>
                <w:b w:val="1"/>
                <w:bCs w:val="1"/>
                <w:color w:val="auto"/>
              </w:rPr>
              <w:t>Unobservable Inputs</w:t>
            </w:r>
          </w:p>
        </w:tc>
        <w:tc>
          <w:tcPr>
            <w:tcW w:w="1640" w:type="dxa"/>
            <w:vAlign w:val="bottom"/>
            <w:tcBorders>
              <w:bottom w:val="single" w:sz="8" w:color="auto"/>
            </w:tcBorders>
            <w:gridSpan w:val="2"/>
          </w:tcPr>
          <w:p>
            <w:pPr>
              <w:jc w:val="center"/>
              <w:ind w:left="506"/>
              <w:spacing w:after="0"/>
              <w:rPr>
                <w:sz w:val="20"/>
                <w:szCs w:val="20"/>
                <w:color w:val="auto"/>
              </w:rPr>
            </w:pPr>
            <w:r>
              <w:rPr>
                <w:rFonts w:ascii="Arial" w:cs="Arial" w:eastAsia="Arial" w:hAnsi="Arial"/>
                <w:sz w:val="11"/>
                <w:szCs w:val="11"/>
                <w:b w:val="1"/>
                <w:bCs w:val="1"/>
                <w:color w:val="auto"/>
                <w:w w:val="95"/>
              </w:rPr>
              <w:t>Range</w:t>
            </w:r>
          </w:p>
        </w:tc>
        <w:tc>
          <w:tcPr>
            <w:tcW w:w="800" w:type="dxa"/>
            <w:vAlign w:val="bottom"/>
            <w:tcBorders>
              <w:bottom w:val="single" w:sz="8" w:color="auto"/>
            </w:tcBorders>
          </w:tcPr>
          <w:p>
            <w:pPr>
              <w:spacing w:after="0"/>
              <w:rPr>
                <w:sz w:val="11"/>
                <w:szCs w:val="11"/>
                <w:color w:val="auto"/>
              </w:rPr>
            </w:pPr>
          </w:p>
        </w:tc>
      </w:tr>
      <w:tr>
        <w:trPr>
          <w:trHeight w:val="133"/>
        </w:trPr>
        <w:tc>
          <w:tcPr>
            <w:tcW w:w="260" w:type="dxa"/>
            <w:vAlign w:val="bottom"/>
            <w:shd w:val="clear" w:color="auto" w:fill="DBDBDB"/>
          </w:tcPr>
          <w:p>
            <w:pPr>
              <w:jc w:val="right"/>
              <w:ind w:right="151"/>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115,464</w:t>
            </w:r>
          </w:p>
        </w:tc>
        <w:tc>
          <w:tcPr>
            <w:tcW w:w="1460" w:type="dxa"/>
            <w:vAlign w:val="bottom"/>
            <w:shd w:val="clear" w:color="auto" w:fill="DBDBDB"/>
          </w:tcPr>
          <w:p>
            <w:pPr>
              <w:ind w:left="20"/>
              <w:spacing w:after="0"/>
              <w:rPr>
                <w:sz w:val="20"/>
                <w:szCs w:val="20"/>
                <w:color w:val="auto"/>
              </w:rPr>
            </w:pPr>
            <w:r>
              <w:rPr>
                <w:rFonts w:ascii="Arial" w:cs="Arial" w:eastAsia="Arial" w:hAnsi="Arial"/>
                <w:sz w:val="11"/>
                <w:szCs w:val="11"/>
                <w:color w:val="auto"/>
              </w:rPr>
              <w:t>Contingent Consideration</w:t>
            </w:r>
          </w:p>
        </w:tc>
        <w:tc>
          <w:tcPr>
            <w:tcW w:w="27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Monte-Carlo Simulation Model</w:t>
            </w:r>
          </w:p>
        </w:tc>
        <w:tc>
          <w:tcPr>
            <w:tcW w:w="2840" w:type="dxa"/>
            <w:vAlign w:val="bottom"/>
            <w:shd w:val="clear" w:color="auto" w:fill="DBDBDB"/>
          </w:tcPr>
          <w:p>
            <w:pPr>
              <w:ind w:left="260"/>
              <w:spacing w:after="0"/>
              <w:rPr>
                <w:sz w:val="20"/>
                <w:szCs w:val="20"/>
                <w:color w:val="auto"/>
              </w:rPr>
            </w:pPr>
            <w:r>
              <w:rPr>
                <w:rFonts w:ascii="Arial" w:cs="Arial" w:eastAsia="Arial" w:hAnsi="Arial"/>
                <w:sz w:val="11"/>
                <w:szCs w:val="11"/>
                <w:color w:val="auto"/>
              </w:rPr>
              <w:t>Forecasted Growth Rates</w:t>
            </w:r>
          </w:p>
        </w:tc>
        <w:tc>
          <w:tcPr>
            <w:tcW w:w="102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1.3 %</w:t>
            </w:r>
          </w:p>
        </w:tc>
        <w:tc>
          <w:tcPr>
            <w:tcW w:w="620" w:type="dxa"/>
            <w:vAlign w:val="bottom"/>
            <w:shd w:val="clear" w:color="auto" w:fill="DBDBDB"/>
          </w:tcPr>
          <w:p>
            <w:pPr>
              <w:jc w:val="center"/>
              <w:ind w:right="442"/>
              <w:spacing w:after="0"/>
              <w:rPr>
                <w:sz w:val="20"/>
                <w:szCs w:val="20"/>
                <w:color w:val="auto"/>
              </w:rPr>
            </w:pPr>
            <w:r>
              <w:rPr>
                <w:rFonts w:ascii="Arial" w:cs="Arial" w:eastAsia="Arial" w:hAnsi="Arial"/>
                <w:sz w:val="8"/>
                <w:szCs w:val="8"/>
                <w:color w:val="auto"/>
                <w:w w:val="73"/>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26.0 %</w:t>
            </w:r>
          </w:p>
        </w:tc>
      </w:tr>
      <w:tr>
        <w:trPr>
          <w:trHeight w:val="143"/>
        </w:trPr>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840" w:type="dxa"/>
            <w:vAlign w:val="bottom"/>
          </w:tcPr>
          <w:p>
            <w:pPr>
              <w:ind w:left="260"/>
              <w:spacing w:after="0"/>
              <w:rPr>
                <w:sz w:val="20"/>
                <w:szCs w:val="20"/>
                <w:color w:val="auto"/>
              </w:rPr>
            </w:pPr>
            <w:r>
              <w:rPr>
                <w:rFonts w:ascii="Arial" w:cs="Arial" w:eastAsia="Arial" w:hAnsi="Arial"/>
                <w:sz w:val="11"/>
                <w:szCs w:val="11"/>
                <w:color w:val="auto"/>
              </w:rPr>
              <w:t>Discount Rate</w:t>
            </w: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12.0 %</w:t>
            </w:r>
          </w:p>
        </w:tc>
        <w:tc>
          <w:tcPr>
            <w:tcW w:w="620" w:type="dxa"/>
            <w:vAlign w:val="bottom"/>
          </w:tcPr>
          <w:p>
            <w:pPr>
              <w:jc w:val="center"/>
              <w:ind w:right="442"/>
              <w:spacing w:after="0"/>
              <w:rPr>
                <w:sz w:val="20"/>
                <w:szCs w:val="20"/>
                <w:color w:val="auto"/>
              </w:rPr>
            </w:pPr>
            <w:r>
              <w:rPr>
                <w:rFonts w:ascii="Arial" w:cs="Arial" w:eastAsia="Arial" w:hAnsi="Arial"/>
                <w:sz w:val="8"/>
                <w:szCs w:val="8"/>
                <w:color w:val="auto"/>
                <w:w w:val="73"/>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17.9 %</w:t>
            </w:r>
          </w:p>
        </w:tc>
      </w:tr>
      <w:tr>
        <w:trPr>
          <w:trHeight w:val="145"/>
        </w:trPr>
        <w:tc>
          <w:tcPr>
            <w:tcW w:w="260" w:type="dxa"/>
            <w:vAlign w:val="bottom"/>
            <w:shd w:val="clear" w:color="auto" w:fill="DBDBDB"/>
          </w:tcPr>
          <w:p>
            <w:pPr>
              <w:spacing w:after="0"/>
              <w:rPr>
                <w:sz w:val="12"/>
                <w:szCs w:val="12"/>
                <w:color w:val="auto"/>
              </w:rPr>
            </w:pPr>
          </w:p>
        </w:tc>
        <w:tc>
          <w:tcPr>
            <w:tcW w:w="160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c>
          <w:tcPr>
            <w:tcW w:w="2840" w:type="dxa"/>
            <w:vAlign w:val="bottom"/>
            <w:shd w:val="clear" w:color="auto" w:fill="DBDBDB"/>
          </w:tcPr>
          <w:p>
            <w:pPr>
              <w:ind w:left="260"/>
              <w:spacing w:after="0"/>
              <w:rPr>
                <w:sz w:val="20"/>
                <w:szCs w:val="20"/>
                <w:color w:val="auto"/>
              </w:rPr>
            </w:pPr>
            <w:r>
              <w:rPr>
                <w:rFonts w:ascii="Arial" w:cs="Arial" w:eastAsia="Arial" w:hAnsi="Arial"/>
                <w:sz w:val="11"/>
                <w:szCs w:val="11"/>
                <w:color w:val="auto"/>
              </w:rPr>
              <w:t>Equivalency Rate</w:t>
            </w:r>
            <w:r>
              <w:rPr>
                <w:rFonts w:ascii="Arial" w:cs="Arial" w:eastAsia="Arial" w:hAnsi="Arial"/>
                <w:sz w:val="7"/>
                <w:szCs w:val="7"/>
                <w:color w:val="auto"/>
              </w:rPr>
              <w:t>(1)</w:t>
            </w:r>
          </w:p>
        </w:tc>
        <w:tc>
          <w:tcPr>
            <w:tcW w:w="102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4.7 %</w:t>
            </w:r>
          </w:p>
        </w:tc>
        <w:tc>
          <w:tcPr>
            <w:tcW w:w="620" w:type="dxa"/>
            <w:vAlign w:val="bottom"/>
            <w:shd w:val="clear" w:color="auto" w:fill="DBDBDB"/>
          </w:tcPr>
          <w:p>
            <w:pPr>
              <w:jc w:val="center"/>
              <w:ind w:right="442"/>
              <w:spacing w:after="0"/>
              <w:rPr>
                <w:sz w:val="20"/>
                <w:szCs w:val="20"/>
                <w:color w:val="auto"/>
              </w:rPr>
            </w:pPr>
            <w:r>
              <w:rPr>
                <w:rFonts w:ascii="Arial" w:cs="Arial" w:eastAsia="Arial" w:hAnsi="Arial"/>
                <w:sz w:val="8"/>
                <w:szCs w:val="8"/>
                <w:color w:val="auto"/>
                <w:w w:val="73"/>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5.9 %</w:t>
            </w:r>
          </w:p>
        </w:tc>
      </w:tr>
      <w:tr>
        <w:trPr>
          <w:trHeight w:val="143"/>
        </w:trPr>
        <w:tc>
          <w:tcPr>
            <w:tcW w:w="26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8,574</w:t>
            </w:r>
          </w:p>
        </w:tc>
        <w:tc>
          <w:tcPr>
            <w:tcW w:w="1460" w:type="dxa"/>
            <w:vAlign w:val="bottom"/>
          </w:tcPr>
          <w:p>
            <w:pPr>
              <w:ind w:left="20"/>
              <w:spacing w:after="0"/>
              <w:rPr>
                <w:sz w:val="20"/>
                <w:szCs w:val="20"/>
                <w:color w:val="auto"/>
              </w:rPr>
            </w:pPr>
            <w:r>
              <w:rPr>
                <w:rFonts w:ascii="Arial" w:cs="Arial" w:eastAsia="Arial" w:hAnsi="Arial"/>
                <w:sz w:val="11"/>
                <w:szCs w:val="11"/>
                <w:color w:val="auto"/>
              </w:rPr>
              <w:t>Contingent Consideration</w:t>
            </w:r>
          </w:p>
        </w:tc>
        <w:tc>
          <w:tcPr>
            <w:tcW w:w="2700" w:type="dxa"/>
            <w:vAlign w:val="bottom"/>
          </w:tcPr>
          <w:p>
            <w:pPr>
              <w:ind w:left="220"/>
              <w:spacing w:after="0"/>
              <w:rPr>
                <w:sz w:val="20"/>
                <w:szCs w:val="20"/>
                <w:color w:val="auto"/>
              </w:rPr>
            </w:pPr>
            <w:r>
              <w:rPr>
                <w:rFonts w:ascii="Arial" w:cs="Arial" w:eastAsia="Arial" w:hAnsi="Arial"/>
                <w:sz w:val="11"/>
                <w:szCs w:val="11"/>
                <w:color w:val="auto"/>
              </w:rPr>
              <w:t>Probability Weighted Expected Return Method</w:t>
            </w:r>
          </w:p>
        </w:tc>
        <w:tc>
          <w:tcPr>
            <w:tcW w:w="2840" w:type="dxa"/>
            <w:vAlign w:val="bottom"/>
          </w:tcPr>
          <w:p>
            <w:pPr>
              <w:ind w:left="260"/>
              <w:spacing w:after="0"/>
              <w:rPr>
                <w:sz w:val="20"/>
                <w:szCs w:val="20"/>
                <w:color w:val="auto"/>
              </w:rPr>
            </w:pPr>
            <w:r>
              <w:rPr>
                <w:rFonts w:ascii="Arial" w:cs="Arial" w:eastAsia="Arial" w:hAnsi="Arial"/>
                <w:sz w:val="11"/>
                <w:szCs w:val="11"/>
                <w:color w:val="auto"/>
              </w:rPr>
              <w:t>Equivalency Rate</w:t>
            </w:r>
            <w:r>
              <w:rPr>
                <w:rFonts w:ascii="Arial" w:cs="Arial" w:eastAsia="Arial" w:hAnsi="Arial"/>
                <w:sz w:val="7"/>
                <w:szCs w:val="7"/>
                <w:color w:val="auto"/>
              </w:rPr>
              <w:t>(1)</w:t>
            </w:r>
          </w:p>
        </w:tc>
        <w:tc>
          <w:tcPr>
            <w:tcW w:w="1020" w:type="dxa"/>
            <w:vAlign w:val="bottom"/>
          </w:tcPr>
          <w:p>
            <w:pPr>
              <w:jc w:val="right"/>
              <w:ind w:right="26"/>
              <w:spacing w:after="0"/>
              <w:rPr>
                <w:sz w:val="20"/>
                <w:szCs w:val="20"/>
                <w:color w:val="auto"/>
              </w:rPr>
            </w:pPr>
            <w:r>
              <w:rPr>
                <w:rFonts w:ascii="Arial" w:cs="Arial" w:eastAsia="Arial" w:hAnsi="Arial"/>
                <w:sz w:val="11"/>
                <w:szCs w:val="11"/>
                <w:color w:val="auto"/>
              </w:rPr>
              <w:t>5.3 %</w:t>
            </w:r>
          </w:p>
        </w:tc>
        <w:tc>
          <w:tcPr>
            <w:tcW w:w="620" w:type="dxa"/>
            <w:vAlign w:val="bottom"/>
          </w:tcPr>
          <w:p>
            <w:pPr>
              <w:jc w:val="center"/>
              <w:ind w:right="442"/>
              <w:spacing w:after="0"/>
              <w:rPr>
                <w:sz w:val="20"/>
                <w:szCs w:val="20"/>
                <w:color w:val="auto"/>
              </w:rPr>
            </w:pPr>
            <w:r>
              <w:rPr>
                <w:rFonts w:ascii="Arial" w:cs="Arial" w:eastAsia="Arial" w:hAnsi="Arial"/>
                <w:sz w:val="8"/>
                <w:szCs w:val="8"/>
                <w:color w:val="auto"/>
                <w:w w:val="73"/>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5.3 %</w:t>
            </w:r>
          </w:p>
        </w:tc>
      </w:tr>
      <w:tr>
        <w:trPr>
          <w:trHeight w:val="144"/>
        </w:trPr>
        <w:tc>
          <w:tcPr>
            <w:tcW w:w="260" w:type="dxa"/>
            <w:vAlign w:val="bottom"/>
            <w:tcBorders>
              <w:bottom w:val="single" w:sz="8" w:color="auto"/>
            </w:tcBorders>
            <w:shd w:val="clear" w:color="auto" w:fill="DBDBDB"/>
          </w:tcPr>
          <w:p>
            <w:pPr>
              <w:spacing w:after="0"/>
              <w:rPr>
                <w:sz w:val="12"/>
                <w:szCs w:val="12"/>
                <w:color w:val="auto"/>
              </w:rPr>
            </w:pPr>
          </w:p>
        </w:tc>
        <w:tc>
          <w:tcPr>
            <w:tcW w:w="1600" w:type="dxa"/>
            <w:vAlign w:val="bottom"/>
            <w:tcBorders>
              <w:bottom w:val="single" w:sz="8" w:color="auto"/>
            </w:tcBorders>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c>
          <w:tcPr>
            <w:tcW w:w="2840" w:type="dxa"/>
            <w:vAlign w:val="bottom"/>
            <w:shd w:val="clear" w:color="auto" w:fill="DBDBDB"/>
          </w:tcPr>
          <w:p>
            <w:pPr>
              <w:ind w:left="260"/>
              <w:spacing w:after="0"/>
              <w:rPr>
                <w:sz w:val="20"/>
                <w:szCs w:val="20"/>
                <w:color w:val="auto"/>
              </w:rPr>
            </w:pPr>
            <w:r>
              <w:rPr>
                <w:rFonts w:ascii="Arial" w:cs="Arial" w:eastAsia="Arial" w:hAnsi="Arial"/>
                <w:sz w:val="11"/>
                <w:szCs w:val="11"/>
                <w:color w:val="auto"/>
              </w:rPr>
              <w:t>Conversion Rate</w:t>
            </w:r>
          </w:p>
        </w:tc>
        <w:tc>
          <w:tcPr>
            <w:tcW w:w="102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 %</w:t>
            </w:r>
          </w:p>
        </w:tc>
        <w:tc>
          <w:tcPr>
            <w:tcW w:w="620" w:type="dxa"/>
            <w:vAlign w:val="bottom"/>
            <w:shd w:val="clear" w:color="auto" w:fill="DBDBDB"/>
          </w:tcPr>
          <w:p>
            <w:pPr>
              <w:jc w:val="center"/>
              <w:ind w:right="442"/>
              <w:spacing w:after="0"/>
              <w:rPr>
                <w:sz w:val="20"/>
                <w:szCs w:val="20"/>
                <w:color w:val="auto"/>
              </w:rPr>
            </w:pPr>
            <w:r>
              <w:rPr>
                <w:rFonts w:ascii="Arial" w:cs="Arial" w:eastAsia="Arial" w:hAnsi="Arial"/>
                <w:sz w:val="8"/>
                <w:szCs w:val="8"/>
                <w:color w:val="auto"/>
                <w:w w:val="73"/>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100.0 %</w:t>
            </w:r>
          </w:p>
        </w:tc>
      </w:tr>
    </w:tbl>
    <w:p>
      <w:pPr>
        <w:ind w:left="1428" w:hanging="1416"/>
        <w:spacing w:after="0"/>
        <w:tabs>
          <w:tab w:leader="none" w:pos="1428" w:val="left"/>
        </w:tabs>
        <w:numPr>
          <w:ilvl w:val="0"/>
          <w:numId w:val="25"/>
        </w:numPr>
        <w:rPr>
          <w:rFonts w:ascii="Arial" w:cs="Arial" w:eastAsia="Arial" w:hAnsi="Arial"/>
          <w:sz w:val="11"/>
          <w:szCs w:val="11"/>
          <w:color w:val="auto"/>
        </w:rPr>
      </w:pPr>
      <w:r>
        <w:rPr>
          <w:rFonts w:ascii="Arial" w:cs="Arial" w:eastAsia="Arial" w:hAnsi="Arial"/>
          <w:sz w:val="11"/>
          <w:szCs w:val="11"/>
          <w:color w:val="auto"/>
        </w:rPr>
        <w:t>124,038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18872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8872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118872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88720" cy="5715"/>
                    </a:xfrm>
                    <a:prstGeom prst="rect">
                      <a:avLst/>
                    </a:prstGeom>
                    <a:noFill/>
                  </pic:spPr>
                </pic:pic>
              </a:graphicData>
            </a:graphic>
          </wp:anchor>
        </w:drawing>
      </w:r>
    </w:p>
    <w:p>
      <w:pPr>
        <w:spacing w:after="0" w:line="133"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49" w:lineRule="exact"/>
        <w:rPr>
          <w:sz w:val="20"/>
          <w:szCs w:val="20"/>
          <w:color w:val="auto"/>
        </w:rPr>
      </w:pPr>
    </w:p>
    <w:p>
      <w:pPr>
        <w:ind w:left="308" w:hanging="308"/>
        <w:spacing w:after="0"/>
        <w:tabs>
          <w:tab w:leader="none" w:pos="308" w:val="left"/>
        </w:tabs>
        <w:numPr>
          <w:ilvl w:val="0"/>
          <w:numId w:val="26"/>
        </w:numPr>
        <w:rPr>
          <w:rFonts w:ascii="Arial" w:cs="Arial" w:eastAsia="Arial" w:hAnsi="Arial"/>
          <w:sz w:val="10"/>
          <w:szCs w:val="10"/>
          <w:color w:val="auto"/>
        </w:rPr>
      </w:pPr>
      <w:r>
        <w:rPr>
          <w:rFonts w:ascii="Arial" w:cs="Arial" w:eastAsia="Arial" w:hAnsi="Arial"/>
          <w:sz w:val="10"/>
          <w:szCs w:val="10"/>
          <w:color w:val="auto"/>
        </w:rPr>
        <w:t>Equivalency rate is defined as the prevailing market interest rate used to discount future payments.</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changes in fair value for the Company’s Level 3 liabilities during the periods presented (in thousands):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292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Three Months Ended September 30,</w:t>
            </w: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gridSpan w:val="3"/>
          </w:tcPr>
          <w:p>
            <w:pPr>
              <w:jc w:val="right"/>
              <w:ind w:right="82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4220" w:type="dxa"/>
            <w:vAlign w:val="bottom"/>
            <w:tcBorders>
              <w:bottom w:val="single" w:sz="8" w:color="DBDBDB"/>
            </w:tcBorders>
          </w:tcPr>
          <w:p>
            <w:pPr>
              <w:spacing w:after="0"/>
              <w:rPr>
                <w:sz w:val="11"/>
                <w:szCs w:val="11"/>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b w:val="1"/>
                <w:bCs w:val="1"/>
                <w:color w:val="auto"/>
              </w:rPr>
              <w:t>2026</w:t>
            </w:r>
          </w:p>
        </w:tc>
        <w:tc>
          <w:tcPr>
            <w:tcW w:w="4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26"/>
              <w:spacing w:after="0"/>
              <w:rPr>
                <w:sz w:val="20"/>
                <w:szCs w:val="20"/>
                <w:color w:val="auto"/>
              </w:rPr>
            </w:pPr>
            <w:r>
              <w:rPr>
                <w:rFonts w:ascii="Arial" w:cs="Arial" w:eastAsia="Arial" w:hAnsi="Arial"/>
                <w:sz w:val="11"/>
                <w:szCs w:val="11"/>
                <w:b w:val="1"/>
                <w:bCs w:val="1"/>
                <w:color w:val="auto"/>
              </w:rPr>
              <w:t>2025</w:t>
            </w:r>
          </w:p>
        </w:tc>
      </w:tr>
      <w:tr>
        <w:trPr>
          <w:trHeight w:val="133"/>
        </w:trPr>
        <w:tc>
          <w:tcPr>
            <w:tcW w:w="4220" w:type="dxa"/>
            <w:vAlign w:val="bottom"/>
            <w:shd w:val="clear" w:color="auto" w:fill="DBDBDB"/>
          </w:tcPr>
          <w:p>
            <w:pPr>
              <w:ind w:left="40"/>
              <w:spacing w:after="0"/>
              <w:rPr>
                <w:sz w:val="20"/>
                <w:szCs w:val="20"/>
                <w:color w:val="auto"/>
              </w:rPr>
            </w:pPr>
            <w:r>
              <w:rPr>
                <w:rFonts w:ascii="Arial" w:cs="Arial" w:eastAsia="Arial" w:hAnsi="Arial"/>
                <w:sz w:val="11"/>
                <w:szCs w:val="11"/>
                <w:color w:val="auto"/>
              </w:rPr>
              <w:t>Balance - Beginning of period</w:t>
            </w:r>
          </w:p>
        </w:tc>
        <w:tc>
          <w:tcPr>
            <w:tcW w:w="1160" w:type="dxa"/>
            <w:vAlign w:val="bottom"/>
            <w:shd w:val="clear" w:color="auto" w:fill="DBDBDB"/>
          </w:tcPr>
          <w:p>
            <w:pPr>
              <w:jc w:val="right"/>
              <w:ind w:right="102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107,632</w:t>
            </w:r>
          </w:p>
        </w:tc>
        <w:tc>
          <w:tcPr>
            <w:tcW w:w="1160" w:type="dxa"/>
            <w:vAlign w:val="bottom"/>
            <w:shd w:val="clear" w:color="auto" w:fill="DBDBDB"/>
          </w:tcPr>
          <w:p>
            <w:pPr>
              <w:jc w:val="right"/>
              <w:ind w:right="102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124,849</w:t>
            </w:r>
          </w:p>
        </w:tc>
        <w:tc>
          <w:tcPr>
            <w:tcW w:w="420" w:type="dxa"/>
            <w:vAlign w:val="bottom"/>
            <w:shd w:val="clear" w:color="auto" w:fill="DBDBDB"/>
          </w:tcPr>
          <w:p>
            <w:pPr>
              <w:jc w:val="right"/>
              <w:ind w:right="286"/>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124,038</w:t>
            </w:r>
          </w:p>
        </w:tc>
        <w:tc>
          <w:tcPr>
            <w:tcW w:w="420" w:type="dxa"/>
            <w:vAlign w:val="bottom"/>
            <w:shd w:val="clear" w:color="auto" w:fill="DBDBDB"/>
          </w:tcPr>
          <w:p>
            <w:pPr>
              <w:jc w:val="right"/>
              <w:ind w:right="311"/>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196,898</w:t>
            </w:r>
          </w:p>
        </w:tc>
      </w:tr>
      <w:tr>
        <w:trPr>
          <w:trHeight w:val="143"/>
        </w:trPr>
        <w:tc>
          <w:tcPr>
            <w:tcW w:w="4220" w:type="dxa"/>
            <w:vAlign w:val="bottom"/>
          </w:tcPr>
          <w:p>
            <w:pPr>
              <w:ind w:left="160"/>
              <w:spacing w:after="0"/>
              <w:rPr>
                <w:sz w:val="20"/>
                <w:szCs w:val="20"/>
                <w:color w:val="auto"/>
              </w:rPr>
            </w:pPr>
            <w:r>
              <w:rPr>
                <w:rFonts w:ascii="Arial" w:cs="Arial" w:eastAsia="Arial" w:hAnsi="Arial"/>
                <w:sz w:val="11"/>
                <w:szCs w:val="11"/>
                <w:color w:val="auto"/>
              </w:rPr>
              <w:t>Additions and purchase accounting adjustments</w:t>
            </w:r>
          </w:p>
        </w:tc>
        <w:tc>
          <w:tcPr>
            <w:tcW w:w="1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4,908</w:t>
            </w:r>
          </w:p>
        </w:tc>
        <w:tc>
          <w:tcPr>
            <w:tcW w:w="1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5,652</w:t>
            </w:r>
          </w:p>
        </w:tc>
        <w:tc>
          <w:tcPr>
            <w:tcW w:w="42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31,507</w:t>
            </w: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(3,593)</w:t>
            </w:r>
          </w:p>
        </w:tc>
      </w:tr>
      <w:tr>
        <w:trPr>
          <w:trHeight w:val="145"/>
        </w:trPr>
        <w:tc>
          <w:tcPr>
            <w:tcW w:w="42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Payments</w:t>
            </w:r>
          </w:p>
        </w:tc>
        <w:tc>
          <w:tcPr>
            <w:tcW w:w="116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(704)</w:t>
            </w:r>
          </w:p>
        </w:tc>
        <w:tc>
          <w:tcPr>
            <w:tcW w:w="1160" w:type="dxa"/>
            <w:vAlign w:val="bottom"/>
            <w:shd w:val="clear" w:color="auto" w:fill="DBDBDB"/>
          </w:tcPr>
          <w:p>
            <w:pPr>
              <w:spacing w:after="0"/>
              <w:rPr>
                <w:sz w:val="12"/>
                <w:szCs w:val="12"/>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(4,322)</w:t>
            </w:r>
          </w:p>
        </w:tc>
        <w:tc>
          <w:tcPr>
            <w:tcW w:w="420" w:type="dxa"/>
            <w:vAlign w:val="bottom"/>
            <w:shd w:val="clear" w:color="auto" w:fill="DBDBDB"/>
          </w:tcPr>
          <w:p>
            <w:pPr>
              <w:spacing w:after="0"/>
              <w:rPr>
                <w:sz w:val="12"/>
                <w:szCs w:val="1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(48,438)</w:t>
            </w:r>
          </w:p>
        </w:tc>
        <w:tc>
          <w:tcPr>
            <w:tcW w:w="420" w:type="dxa"/>
            <w:vAlign w:val="bottom"/>
            <w:shd w:val="clear" w:color="auto" w:fill="DBDBDB"/>
          </w:tcPr>
          <w:p>
            <w:pPr>
              <w:spacing w:after="0"/>
              <w:rPr>
                <w:sz w:val="12"/>
                <w:szCs w:val="1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(74,029)</w:t>
            </w:r>
          </w:p>
        </w:tc>
      </w:tr>
      <w:tr>
        <w:trPr>
          <w:trHeight w:val="143"/>
        </w:trPr>
        <w:tc>
          <w:tcPr>
            <w:tcW w:w="4220" w:type="dxa"/>
            <w:vAlign w:val="bottom"/>
            <w:tcBorders>
              <w:bottom w:val="single" w:sz="8" w:color="DBDBDB"/>
            </w:tcBorders>
          </w:tcPr>
          <w:p>
            <w:pPr>
              <w:ind w:left="160"/>
              <w:spacing w:after="0"/>
              <w:rPr>
                <w:sz w:val="20"/>
                <w:szCs w:val="20"/>
                <w:color w:val="auto"/>
              </w:rPr>
            </w:pPr>
            <w:r>
              <w:rPr>
                <w:rFonts w:ascii="Arial" w:cs="Arial" w:eastAsia="Arial" w:hAnsi="Arial"/>
                <w:sz w:val="11"/>
                <w:szCs w:val="11"/>
                <w:color w:val="auto"/>
              </w:rPr>
              <w:t>Fair value adjustments</w:t>
            </w:r>
          </w:p>
        </w:tc>
        <w:tc>
          <w:tcPr>
            <w:tcW w:w="1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9,461</w:t>
            </w:r>
          </w:p>
        </w:tc>
        <w:tc>
          <w:tcPr>
            <w:tcW w:w="1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2,676</w:t>
            </w: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14,190</w:t>
            </w: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9,579</w:t>
            </w:r>
          </w:p>
        </w:tc>
      </w:tr>
      <w:tr>
        <w:trPr>
          <w:trHeight w:val="150"/>
        </w:trPr>
        <w:tc>
          <w:tcPr>
            <w:tcW w:w="422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1"/>
                <w:szCs w:val="11"/>
                <w:color w:val="auto"/>
              </w:rPr>
              <w:t>Balance - End of period</w:t>
            </w:r>
          </w:p>
        </w:tc>
        <w:tc>
          <w:tcPr>
            <w:tcW w:w="1160" w:type="dxa"/>
            <w:vAlign w:val="bottom"/>
            <w:tcBorders>
              <w:bottom w:val="single" w:sz="8" w:color="auto"/>
            </w:tcBorders>
            <w:shd w:val="clear" w:color="auto" w:fill="DBDBDB"/>
          </w:tcPr>
          <w:p>
            <w:pPr>
              <w:jc w:val="right"/>
              <w:ind w:right="102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121,297</w:t>
            </w:r>
          </w:p>
        </w:tc>
        <w:tc>
          <w:tcPr>
            <w:tcW w:w="1160" w:type="dxa"/>
            <w:vAlign w:val="bottom"/>
            <w:tcBorders>
              <w:bottom w:val="single" w:sz="8" w:color="auto"/>
            </w:tcBorders>
            <w:shd w:val="clear" w:color="auto" w:fill="DBDBDB"/>
          </w:tcPr>
          <w:p>
            <w:pPr>
              <w:jc w:val="right"/>
              <w:ind w:right="102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128,855</w:t>
            </w:r>
          </w:p>
        </w:tc>
        <w:tc>
          <w:tcPr>
            <w:tcW w:w="420" w:type="dxa"/>
            <w:vAlign w:val="bottom"/>
            <w:tcBorders>
              <w:bottom w:val="single" w:sz="8" w:color="auto"/>
            </w:tcBorders>
            <w:shd w:val="clear" w:color="auto" w:fill="DBDBDB"/>
          </w:tcPr>
          <w:p>
            <w:pPr>
              <w:jc w:val="right"/>
              <w:ind w:right="286"/>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121,297</w:t>
            </w:r>
          </w:p>
        </w:tc>
        <w:tc>
          <w:tcPr>
            <w:tcW w:w="420" w:type="dxa"/>
            <w:vAlign w:val="bottom"/>
            <w:tcBorders>
              <w:bottom w:val="single" w:sz="8" w:color="auto"/>
            </w:tcBorders>
            <w:shd w:val="clear" w:color="auto" w:fill="DBDBDB"/>
          </w:tcPr>
          <w:p>
            <w:pPr>
              <w:jc w:val="right"/>
              <w:ind w:right="31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128,855</w:t>
            </w:r>
          </w:p>
        </w:tc>
      </w:tr>
    </w:tbl>
    <w:p>
      <w:pPr>
        <w:spacing w:after="0" w:line="200" w:lineRule="exact"/>
        <w:rPr>
          <w:sz w:val="20"/>
          <w:szCs w:val="20"/>
          <w:color w:val="auto"/>
        </w:rPr>
      </w:pPr>
    </w:p>
    <w:p>
      <w:pPr>
        <w:spacing w:after="0" w:line="2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39" w:name="page40"/>
    <w:bookmarkEnd w:id="39"/>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3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Recurring Fair Value Measurements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Company’s financial assets and financial liabilities measured at fair value on a recurring basis (in thousands):</w:t>
      </w:r>
    </w:p>
    <w:p>
      <w:pPr>
        <w:spacing w:after="0" w:line="9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September 30, 2026</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Total</w:t>
            </w:r>
          </w:p>
        </w:tc>
      </w:tr>
      <w:tr>
        <w:trPr>
          <w:trHeight w:val="133"/>
        </w:trPr>
        <w:tc>
          <w:tcPr>
            <w:tcW w:w="60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Cash equivalents</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82,422</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880" w:type="dxa"/>
            <w:vAlign w:val="bottom"/>
            <w:gridSpan w:val="2"/>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82,422</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equivalents segregated under federal or other regulations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522,856</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522,856</w:t>
            </w: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149,301</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149,301</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trading:</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U.S. treasury obligations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94,572</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94,572</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Mutual funds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39,089</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39,089</w:t>
            </w: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Equity securities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5,471</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5,471</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Debt securities</w:t>
            </w:r>
          </w:p>
        </w:tc>
        <w:tc>
          <w:tcPr>
            <w:tcW w:w="28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1,150</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1,150</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investment securities — trading</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139,132</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1,150</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140,282</w:t>
            </w:r>
          </w:p>
        </w:tc>
      </w:tr>
      <w:tr>
        <w:trPr>
          <w:trHeight w:val="125"/>
        </w:trPr>
        <w:tc>
          <w:tcPr>
            <w:tcW w:w="6000" w:type="dxa"/>
            <w:vAlign w:val="bottom"/>
            <w:shd w:val="clear" w:color="auto" w:fill="DBDBDB"/>
          </w:tcPr>
          <w:p>
            <w:pPr>
              <w:ind w:left="80"/>
              <w:spacing w:after="0" w:line="123" w:lineRule="exact"/>
              <w:rPr>
                <w:sz w:val="20"/>
                <w:szCs w:val="20"/>
                <w:color w:val="auto"/>
              </w:rPr>
            </w:pPr>
            <w:r>
              <w:rPr>
                <w:rFonts w:ascii="Arial" w:cs="Arial" w:eastAsia="Arial" w:hAnsi="Arial"/>
                <w:sz w:val="11"/>
                <w:szCs w:val="11"/>
                <w:color w:val="auto"/>
              </w:rPr>
              <w:t>Other assets:</w:t>
            </w:r>
          </w:p>
        </w:tc>
        <w:tc>
          <w:tcPr>
            <w:tcW w:w="28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32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c>
          <w:tcPr>
            <w:tcW w:w="32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Deferred compensation plan</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1,287,233</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1,287,233</w:t>
            </w:r>
          </w:p>
        </w:tc>
      </w:tr>
      <w:tr>
        <w:trPr>
          <w:trHeight w:val="145"/>
        </w:trPr>
        <w:tc>
          <w:tcPr>
            <w:tcW w:w="6000" w:type="dxa"/>
            <w:vAlign w:val="bottom"/>
            <w:shd w:val="clear" w:color="auto" w:fill="DBDBDB"/>
          </w:tcPr>
          <w:p>
            <w:pPr>
              <w:ind w:left="220"/>
              <w:spacing w:after="0" w:line="145" w:lineRule="exact"/>
              <w:rPr>
                <w:sz w:val="20"/>
                <w:szCs w:val="20"/>
                <w:color w:val="auto"/>
              </w:rPr>
            </w:pPr>
            <w:r>
              <w:rPr>
                <w:rFonts w:ascii="Arial" w:cs="Arial" w:eastAsia="Arial" w:hAnsi="Arial"/>
                <w:sz w:val="11"/>
                <w:szCs w:val="11"/>
                <w:color w:val="auto"/>
              </w:rPr>
              <w:t>Fractional shares — investment</w:t>
            </w:r>
            <w:r>
              <w:rPr>
                <w:rFonts w:ascii="Arial" w:cs="Arial" w:eastAsia="Arial" w:hAnsi="Arial"/>
                <w:sz w:val="14"/>
                <w:szCs w:val="14"/>
                <w:color w:val="auto"/>
                <w:vertAlign w:val="subscript"/>
              </w:rPr>
              <w:t>(1)</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441,383</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441,383</w:t>
            </w:r>
          </w:p>
        </w:tc>
      </w:tr>
      <w:tr>
        <w:trPr>
          <w:trHeight w:val="143"/>
        </w:trPr>
        <w:tc>
          <w:tcPr>
            <w:tcW w:w="60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Other investments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1,901</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1,901</w:t>
            </w:r>
          </w:p>
        </w:tc>
      </w:tr>
      <w:tr>
        <w:trPr>
          <w:trHeight w:val="133"/>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Total other assets:</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1,728,616</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1,901</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1,730,517</w:t>
            </w:r>
          </w:p>
        </w:tc>
      </w:tr>
      <w:tr>
        <w:trPr>
          <w:trHeight w:val="150"/>
        </w:trPr>
        <w:tc>
          <w:tcPr>
            <w:tcW w:w="60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Total assets at fair value</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2,622,327</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3,051</w:t>
            </w:r>
          </w:p>
        </w:tc>
        <w:tc>
          <w:tcPr>
            <w:tcW w:w="860" w:type="dxa"/>
            <w:vAlign w:val="bottom"/>
            <w:tcBorders>
              <w:bottom w:val="single" w:sz="8" w:color="auto"/>
            </w:tcBorders>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2,625,378</w:t>
            </w:r>
          </w:p>
        </w:tc>
      </w:tr>
      <w:tr>
        <w:trPr>
          <w:trHeight w:val="126"/>
        </w:trPr>
        <w:tc>
          <w:tcPr>
            <w:tcW w:w="60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Liabilities</w:t>
            </w:r>
          </w:p>
        </w:tc>
        <w:tc>
          <w:tcPr>
            <w:tcW w:w="28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32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c>
          <w:tcPr>
            <w:tcW w:w="32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Other liabilities: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Securities sold, but not yet purchased:</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380"/>
              <w:spacing w:after="0"/>
              <w:rPr>
                <w:sz w:val="20"/>
                <w:szCs w:val="20"/>
                <w:color w:val="auto"/>
              </w:rPr>
            </w:pPr>
            <w:r>
              <w:rPr>
                <w:rFonts w:ascii="Arial" w:cs="Arial" w:eastAsia="Arial" w:hAnsi="Arial"/>
                <w:sz w:val="11"/>
                <w:szCs w:val="11"/>
                <w:color w:val="auto"/>
              </w:rPr>
              <w:t>Equity securities</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177</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880" w:type="dxa"/>
            <w:vAlign w:val="bottom"/>
            <w:gridSpan w:val="2"/>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177</w:t>
            </w:r>
          </w:p>
        </w:tc>
      </w:tr>
      <w:tr>
        <w:trPr>
          <w:trHeight w:val="145"/>
        </w:trPr>
        <w:tc>
          <w:tcPr>
            <w:tcW w:w="6000" w:type="dxa"/>
            <w:vAlign w:val="bottom"/>
            <w:shd w:val="clear" w:color="auto" w:fill="DBDBDB"/>
          </w:tcPr>
          <w:p>
            <w:pPr>
              <w:ind w:left="380"/>
              <w:spacing w:after="0"/>
              <w:rPr>
                <w:sz w:val="20"/>
                <w:szCs w:val="20"/>
                <w:color w:val="auto"/>
              </w:rPr>
            </w:pPr>
            <w:r>
              <w:rPr>
                <w:rFonts w:ascii="Arial" w:cs="Arial" w:eastAsia="Arial" w:hAnsi="Arial"/>
                <w:sz w:val="11"/>
                <w:szCs w:val="11"/>
                <w:color w:val="auto"/>
              </w:rPr>
              <w:t>Mutual funds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2,571</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2,571</w:t>
            </w:r>
          </w:p>
        </w:tc>
      </w:tr>
      <w:tr>
        <w:trPr>
          <w:trHeight w:val="143"/>
        </w:trPr>
        <w:tc>
          <w:tcPr>
            <w:tcW w:w="6000" w:type="dxa"/>
            <w:vAlign w:val="bottom"/>
            <w:tcBorders>
              <w:bottom w:val="single" w:sz="8" w:color="DBDBDB"/>
            </w:tcBorders>
          </w:tcPr>
          <w:p>
            <w:pPr>
              <w:ind w:left="380"/>
              <w:spacing w:after="0"/>
              <w:rPr>
                <w:sz w:val="20"/>
                <w:szCs w:val="20"/>
                <w:color w:val="auto"/>
              </w:rPr>
            </w:pPr>
            <w:r>
              <w:rPr>
                <w:rFonts w:ascii="Arial" w:cs="Arial" w:eastAsia="Arial" w:hAnsi="Arial"/>
                <w:sz w:val="11"/>
                <w:szCs w:val="11"/>
                <w:color w:val="auto"/>
              </w:rPr>
              <w:t>Debt securities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w:t>
            </w:r>
          </w:p>
        </w:tc>
      </w:tr>
      <w:tr>
        <w:trPr>
          <w:trHeight w:val="133"/>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Total securities sold, but not yet purchased</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2,748</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2,753</w:t>
            </w:r>
          </w:p>
        </w:tc>
      </w:tr>
      <w:tr>
        <w:trPr>
          <w:trHeight w:val="134"/>
        </w:trPr>
        <w:tc>
          <w:tcPr>
            <w:tcW w:w="6000" w:type="dxa"/>
            <w:vAlign w:val="bottom"/>
          </w:tcPr>
          <w:p>
            <w:pPr>
              <w:ind w:left="220"/>
              <w:spacing w:after="0" w:line="134" w:lineRule="exact"/>
              <w:rPr>
                <w:sz w:val="20"/>
                <w:szCs w:val="20"/>
                <w:color w:val="auto"/>
              </w:rPr>
            </w:pPr>
            <w:r>
              <w:rPr>
                <w:rFonts w:ascii="Arial" w:cs="Arial" w:eastAsia="Arial" w:hAnsi="Arial"/>
                <w:sz w:val="11"/>
                <w:szCs w:val="11"/>
                <w:color w:val="auto"/>
              </w:rPr>
              <w:t>Fractional shares — repurchase obligation</w:t>
            </w:r>
            <w:r>
              <w:rPr>
                <w:rFonts w:ascii="Arial" w:cs="Arial" w:eastAsia="Arial" w:hAnsi="Arial"/>
                <w:sz w:val="14"/>
                <w:szCs w:val="14"/>
                <w:color w:val="auto"/>
                <w:vertAlign w:val="subscript"/>
              </w:rPr>
              <w:t>(1)</w:t>
            </w:r>
          </w:p>
        </w:tc>
        <w:tc>
          <w:tcPr>
            <w:tcW w:w="2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441,383</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441,383</w:t>
            </w:r>
          </w:p>
        </w:tc>
      </w:tr>
      <w:tr>
        <w:trPr>
          <w:trHeight w:val="153"/>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Contingent consideration</w:t>
            </w:r>
          </w:p>
        </w:tc>
        <w:tc>
          <w:tcPr>
            <w:tcW w:w="28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3"/>
                <w:szCs w:val="13"/>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121,297</w:t>
            </w:r>
          </w:p>
        </w:tc>
        <w:tc>
          <w:tcPr>
            <w:tcW w:w="32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121,297</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other liabilities</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444,131</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121,297</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565,433</w:t>
            </w:r>
          </w:p>
        </w:tc>
      </w:tr>
      <w:tr>
        <w:trPr>
          <w:trHeight w:val="150"/>
        </w:trPr>
        <w:tc>
          <w:tcPr>
            <w:tcW w:w="6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liabilities at fair value</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444,131</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w:t>
            </w:r>
          </w:p>
        </w:tc>
        <w:tc>
          <w:tcPr>
            <w:tcW w:w="860" w:type="dxa"/>
            <w:vAlign w:val="bottom"/>
            <w:tcBorders>
              <w:bottom w:val="single" w:sz="8" w:color="auto"/>
            </w:tcBorders>
            <w:shd w:val="clear" w:color="auto" w:fill="DBDBDB"/>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121,297</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565,433</w:t>
            </w:r>
          </w:p>
        </w:tc>
      </w:tr>
    </w:tbl>
    <w:p>
      <w:pPr>
        <w:spacing w:after="0" w:line="118"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40" w:lineRule="exact"/>
        <w:rPr>
          <w:sz w:val="20"/>
          <w:szCs w:val="20"/>
          <w:color w:val="auto"/>
        </w:rPr>
      </w:pPr>
    </w:p>
    <w:p>
      <w:pPr>
        <w:ind w:left="308" w:hanging="308"/>
        <w:spacing w:after="0"/>
        <w:tabs>
          <w:tab w:leader="none" w:pos="308" w:val="left"/>
        </w:tabs>
        <w:numPr>
          <w:ilvl w:val="0"/>
          <w:numId w:val="27"/>
        </w:numPr>
        <w:rPr>
          <w:rFonts w:ascii="Arial" w:cs="Arial" w:eastAsia="Arial" w:hAnsi="Arial"/>
          <w:sz w:val="10"/>
          <w:szCs w:val="10"/>
          <w:color w:val="auto"/>
        </w:rPr>
      </w:pPr>
      <w:r>
        <w:rPr>
          <w:rFonts w:ascii="Arial" w:cs="Arial" w:eastAsia="Arial" w:hAnsi="Arial"/>
          <w:sz w:val="10"/>
          <w:szCs w:val="10"/>
          <w:color w:val="auto"/>
        </w:rPr>
        <w:t>Investment in and related repurchase obligation for fractional shares resulting from the Company’s dividend reinvestment program (“DRIP”).</w:t>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0" w:name="page41"/>
    <w:bookmarkEnd w:id="40"/>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summarizes the Company’s financial assets and financial liabilities measured at fair value on a recurring basis (in thousands):</w:t>
      </w:r>
    </w:p>
    <w:p>
      <w:pPr>
        <w:spacing w:after="0" w:line="9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December 31, 2025</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rPr>
              <w:t>Level 2</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Total</w:t>
            </w:r>
          </w:p>
        </w:tc>
      </w:tr>
      <w:tr>
        <w:trPr>
          <w:trHeight w:val="133"/>
        </w:trPr>
        <w:tc>
          <w:tcPr>
            <w:tcW w:w="60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40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Cash equivalents</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104,377</w:t>
            </w:r>
          </w:p>
        </w:tc>
        <w:tc>
          <w:tcPr>
            <w:tcW w:w="940" w:type="dxa"/>
            <w:vAlign w:val="bottom"/>
          </w:tcPr>
          <w:p>
            <w:pPr>
              <w:jc w:val="right"/>
              <w:ind w:right="787"/>
              <w:spacing w:after="0"/>
              <w:rPr>
                <w:sz w:val="20"/>
                <w:szCs w:val="20"/>
                <w:color w:val="auto"/>
              </w:rPr>
            </w:pPr>
            <w:r>
              <w:rPr>
                <w:rFonts w:ascii="Arial" w:cs="Arial" w:eastAsia="Arial" w:hAnsi="Arial"/>
                <w:sz w:val="11"/>
                <w:szCs w:val="11"/>
                <w:color w:val="auto"/>
              </w:rPr>
              <w:t>$</w:t>
            </w:r>
          </w:p>
        </w:tc>
        <w:tc>
          <w:tcPr>
            <w:tcW w:w="1260" w:type="dxa"/>
            <w:vAlign w:val="bottom"/>
            <w:gridSpan w:val="2"/>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104,377</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equivalents segregated under federal or other regulations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821,334</w:t>
            </w: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821,334</w:t>
            </w: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127,585</w:t>
            </w:r>
          </w:p>
        </w:tc>
        <w:tc>
          <w:tcPr>
            <w:tcW w:w="9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127,585</w:t>
            </w:r>
          </w:p>
        </w:tc>
      </w:tr>
      <w:tr>
        <w:trPr>
          <w:trHeight w:val="145"/>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trading:</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U.S. treasury obligations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40,029</w:t>
            </w:r>
          </w:p>
        </w:tc>
        <w:tc>
          <w:tcPr>
            <w:tcW w:w="9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40,029</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Mutual funds</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33,559</w:t>
            </w: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33,559</w:t>
            </w: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Equity securities</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2,505</w:t>
            </w:r>
          </w:p>
        </w:tc>
        <w:tc>
          <w:tcPr>
            <w:tcW w:w="9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2,505</w:t>
            </w: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Debt securities</w:t>
            </w:r>
          </w:p>
        </w:tc>
        <w:tc>
          <w:tcPr>
            <w:tcW w:w="28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DBDBDB"/>
          </w:tcPr>
          <w:p>
            <w:pPr>
              <w:spacing w:after="0"/>
              <w:rPr>
                <w:sz w:val="12"/>
                <w:szCs w:val="12"/>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15</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investment securities — trading</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76,093</w:t>
            </w:r>
          </w:p>
        </w:tc>
        <w:tc>
          <w:tcPr>
            <w:tcW w:w="9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76,108</w:t>
            </w:r>
          </w:p>
        </w:tc>
      </w:tr>
      <w:tr>
        <w:trPr>
          <w:trHeight w:val="125"/>
        </w:trPr>
        <w:tc>
          <w:tcPr>
            <w:tcW w:w="6000" w:type="dxa"/>
            <w:vAlign w:val="bottom"/>
            <w:shd w:val="clear" w:color="auto" w:fill="DBDBDB"/>
          </w:tcPr>
          <w:p>
            <w:pPr>
              <w:ind w:left="80"/>
              <w:spacing w:after="0" w:line="123" w:lineRule="exact"/>
              <w:rPr>
                <w:sz w:val="20"/>
                <w:szCs w:val="20"/>
                <w:color w:val="auto"/>
              </w:rPr>
            </w:pPr>
            <w:r>
              <w:rPr>
                <w:rFonts w:ascii="Arial" w:cs="Arial" w:eastAsia="Arial" w:hAnsi="Arial"/>
                <w:sz w:val="11"/>
                <w:szCs w:val="11"/>
                <w:color w:val="auto"/>
              </w:rPr>
              <w:t>Other assets:</w:t>
            </w:r>
          </w:p>
        </w:tc>
        <w:tc>
          <w:tcPr>
            <w:tcW w:w="28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40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c>
          <w:tcPr>
            <w:tcW w:w="32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r>
      <w:tr>
        <w:trPr>
          <w:trHeight w:val="143"/>
        </w:trPr>
        <w:tc>
          <w:tcPr>
            <w:tcW w:w="6000" w:type="dxa"/>
            <w:vAlign w:val="bottom"/>
          </w:tcPr>
          <w:p>
            <w:pPr>
              <w:ind w:left="220"/>
              <w:spacing w:after="0"/>
              <w:rPr>
                <w:sz w:val="20"/>
                <w:szCs w:val="20"/>
                <w:color w:val="auto"/>
              </w:rPr>
            </w:pPr>
            <w:r>
              <w:rPr>
                <w:rFonts w:ascii="Arial" w:cs="Arial" w:eastAsia="Arial" w:hAnsi="Arial"/>
                <w:sz w:val="11"/>
                <w:szCs w:val="11"/>
                <w:color w:val="auto"/>
              </w:rPr>
              <w:t>Deferred compensation plan</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1,097,514</w:t>
            </w:r>
          </w:p>
        </w:tc>
        <w:tc>
          <w:tcPr>
            <w:tcW w:w="9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1,097,514</w:t>
            </w:r>
          </w:p>
        </w:tc>
      </w:tr>
      <w:tr>
        <w:trPr>
          <w:trHeight w:val="145"/>
        </w:trPr>
        <w:tc>
          <w:tcPr>
            <w:tcW w:w="6000" w:type="dxa"/>
            <w:vAlign w:val="bottom"/>
            <w:shd w:val="clear" w:color="auto" w:fill="DBDBDB"/>
          </w:tcPr>
          <w:p>
            <w:pPr>
              <w:ind w:left="220"/>
              <w:spacing w:after="0" w:line="145" w:lineRule="exact"/>
              <w:rPr>
                <w:sz w:val="20"/>
                <w:szCs w:val="20"/>
                <w:color w:val="auto"/>
              </w:rPr>
            </w:pPr>
            <w:r>
              <w:rPr>
                <w:rFonts w:ascii="Arial" w:cs="Arial" w:eastAsia="Arial" w:hAnsi="Arial"/>
                <w:sz w:val="11"/>
                <w:szCs w:val="11"/>
                <w:color w:val="auto"/>
              </w:rPr>
              <w:t>Fractional shares — investment</w:t>
            </w:r>
            <w:r>
              <w:rPr>
                <w:rFonts w:ascii="Arial" w:cs="Arial" w:eastAsia="Arial" w:hAnsi="Arial"/>
                <w:sz w:val="14"/>
                <w:szCs w:val="14"/>
                <w:color w:val="auto"/>
                <w:vertAlign w:val="subscript"/>
              </w:rPr>
              <w:t>(1)</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371,683</w:t>
            </w: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371,683</w:t>
            </w:r>
          </w:p>
        </w:tc>
      </w:tr>
      <w:tr>
        <w:trPr>
          <w:trHeight w:val="143"/>
        </w:trPr>
        <w:tc>
          <w:tcPr>
            <w:tcW w:w="60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Other investments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2,423</w:t>
            </w: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2,423</w:t>
            </w:r>
          </w:p>
        </w:tc>
      </w:tr>
      <w:tr>
        <w:trPr>
          <w:trHeight w:val="133"/>
        </w:trPr>
        <w:tc>
          <w:tcPr>
            <w:tcW w:w="6000" w:type="dxa"/>
            <w:vAlign w:val="bottom"/>
            <w:shd w:val="clear" w:color="auto" w:fill="DBDBDB"/>
          </w:tcPr>
          <w:p>
            <w:pPr>
              <w:ind w:left="80"/>
              <w:spacing w:after="0"/>
              <w:rPr>
                <w:sz w:val="20"/>
                <w:szCs w:val="20"/>
                <w:color w:val="auto"/>
              </w:rPr>
            </w:pPr>
            <w:r>
              <w:rPr>
                <w:rFonts w:ascii="Arial" w:cs="Arial" w:eastAsia="Arial" w:hAnsi="Arial"/>
                <w:sz w:val="11"/>
                <w:szCs w:val="11"/>
                <w:color w:val="auto"/>
              </w:rPr>
              <w:t>Total other assets</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1,469,197</w:t>
            </w:r>
          </w:p>
        </w:tc>
        <w:tc>
          <w:tcPr>
            <w:tcW w:w="940" w:type="dxa"/>
            <w:vAlign w:val="bottom"/>
            <w:tcBorders>
              <w:bottom w:val="single" w:sz="8" w:color="auto"/>
            </w:tcBorders>
            <w:shd w:val="clear" w:color="auto" w:fill="DBDBDB"/>
          </w:tcPr>
          <w:p>
            <w:pPr>
              <w:spacing w:after="0"/>
              <w:rPr>
                <w:sz w:val="11"/>
                <w:szCs w:val="11"/>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2,423</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1,471,620</w:t>
            </w:r>
          </w:p>
        </w:tc>
      </w:tr>
      <w:tr>
        <w:trPr>
          <w:trHeight w:val="150"/>
        </w:trPr>
        <w:tc>
          <w:tcPr>
            <w:tcW w:w="6000" w:type="dxa"/>
            <w:vAlign w:val="bottom"/>
            <w:tcBorders>
              <w:bottom w:val="single" w:sz="8" w:color="DBDBDB"/>
            </w:tcBorders>
          </w:tcPr>
          <w:p>
            <w:pPr>
              <w:ind w:left="220"/>
              <w:spacing w:after="0"/>
              <w:rPr>
                <w:sz w:val="20"/>
                <w:szCs w:val="20"/>
                <w:color w:val="auto"/>
              </w:rPr>
            </w:pPr>
            <w:r>
              <w:rPr>
                <w:rFonts w:ascii="Arial" w:cs="Arial" w:eastAsia="Arial" w:hAnsi="Arial"/>
                <w:sz w:val="11"/>
                <w:szCs w:val="11"/>
                <w:color w:val="auto"/>
              </w:rPr>
              <w:t>Total assets at fair value</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2,598,586</w:t>
            </w: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2,438</w:t>
            </w:r>
          </w:p>
        </w:tc>
        <w:tc>
          <w:tcPr>
            <w:tcW w:w="860" w:type="dxa"/>
            <w:vAlign w:val="bottom"/>
            <w:tcBorders>
              <w:bottom w:val="single" w:sz="8" w:color="auto"/>
            </w:tcBorders>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2,601,024</w:t>
            </w:r>
          </w:p>
        </w:tc>
      </w:tr>
      <w:tr>
        <w:trPr>
          <w:trHeight w:val="126"/>
        </w:trPr>
        <w:tc>
          <w:tcPr>
            <w:tcW w:w="60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Liabilities</w:t>
            </w:r>
          </w:p>
        </w:tc>
        <w:tc>
          <w:tcPr>
            <w:tcW w:w="28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40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c>
          <w:tcPr>
            <w:tcW w:w="32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r>
      <w:tr>
        <w:trPr>
          <w:trHeight w:val="143"/>
        </w:trPr>
        <w:tc>
          <w:tcPr>
            <w:tcW w:w="6000" w:type="dxa"/>
            <w:vAlign w:val="bottom"/>
          </w:tcPr>
          <w:p>
            <w:pPr>
              <w:ind w:left="80"/>
              <w:spacing w:after="0"/>
              <w:rPr>
                <w:sz w:val="20"/>
                <w:szCs w:val="20"/>
                <w:color w:val="auto"/>
              </w:rPr>
            </w:pPr>
            <w:r>
              <w:rPr>
                <w:rFonts w:ascii="Arial" w:cs="Arial" w:eastAsia="Arial" w:hAnsi="Arial"/>
                <w:sz w:val="11"/>
                <w:szCs w:val="11"/>
                <w:color w:val="auto"/>
              </w:rPr>
              <w:t>Other liabilities: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5"/>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Securities sold, but not yet purchased:</w:t>
            </w:r>
          </w:p>
        </w:tc>
        <w:tc>
          <w:tcPr>
            <w:tcW w:w="2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r>
      <w:tr>
        <w:trPr>
          <w:trHeight w:val="143"/>
        </w:trPr>
        <w:tc>
          <w:tcPr>
            <w:tcW w:w="6000" w:type="dxa"/>
            <w:vAlign w:val="bottom"/>
            <w:tcBorders>
              <w:bottom w:val="single" w:sz="8" w:color="DBDBDB"/>
            </w:tcBorders>
          </w:tcPr>
          <w:p>
            <w:pPr>
              <w:ind w:left="380"/>
              <w:spacing w:after="0"/>
              <w:rPr>
                <w:sz w:val="20"/>
                <w:szCs w:val="20"/>
                <w:color w:val="auto"/>
              </w:rPr>
            </w:pPr>
            <w:r>
              <w:rPr>
                <w:rFonts w:ascii="Arial" w:cs="Arial" w:eastAsia="Arial" w:hAnsi="Arial"/>
                <w:sz w:val="11"/>
                <w:szCs w:val="11"/>
                <w:color w:val="auto"/>
              </w:rPr>
              <w:t>Equity securities</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w:t>
            </w: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gridSpan w:val="2"/>
          </w:tcPr>
          <w:p>
            <w:pPr>
              <w:jc w:val="right"/>
              <w:ind w:right="728"/>
              <w:spacing w:after="0"/>
              <w:rPr>
                <w:sz w:val="20"/>
                <w:szCs w:val="20"/>
                <w:color w:val="auto"/>
              </w:rPr>
            </w:pPr>
            <w:r>
              <w:rPr>
                <w:rFonts w:ascii="Arial" w:cs="Arial" w:eastAsia="Arial" w:hAnsi="Arial"/>
                <w:sz w:val="11"/>
                <w:szCs w:val="11"/>
                <w:color w:val="auto"/>
              </w:rPr>
              <w:t>— $</w:t>
            </w:r>
          </w:p>
        </w:tc>
        <w:tc>
          <w:tcPr>
            <w:tcW w:w="78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color w:val="auto"/>
              </w:rPr>
              <w:t>— $</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174</w:t>
            </w:r>
          </w:p>
        </w:tc>
      </w:tr>
      <w:tr>
        <w:trPr>
          <w:trHeight w:val="133"/>
        </w:trPr>
        <w:tc>
          <w:tcPr>
            <w:tcW w:w="60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Total securities sold, but not yet purchased</w:t>
            </w:r>
          </w:p>
        </w:tc>
        <w:tc>
          <w:tcPr>
            <w:tcW w:w="28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174</w:t>
            </w:r>
          </w:p>
        </w:tc>
        <w:tc>
          <w:tcPr>
            <w:tcW w:w="940" w:type="dxa"/>
            <w:vAlign w:val="bottom"/>
            <w:tcBorders>
              <w:bottom w:val="single" w:sz="8" w:color="auto"/>
            </w:tcBorders>
            <w:shd w:val="clear" w:color="auto" w:fill="DBDBDB"/>
          </w:tcPr>
          <w:p>
            <w:pPr>
              <w:spacing w:after="0"/>
              <w:rPr>
                <w:sz w:val="11"/>
                <w:szCs w:val="11"/>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1"/>
                <w:szCs w:val="11"/>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1"/>
                <w:szCs w:val="11"/>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174</w:t>
            </w:r>
          </w:p>
        </w:tc>
      </w:tr>
      <w:tr>
        <w:trPr>
          <w:trHeight w:val="134"/>
        </w:trPr>
        <w:tc>
          <w:tcPr>
            <w:tcW w:w="6000" w:type="dxa"/>
            <w:vAlign w:val="bottom"/>
          </w:tcPr>
          <w:p>
            <w:pPr>
              <w:ind w:left="220"/>
              <w:spacing w:after="0" w:line="134" w:lineRule="exact"/>
              <w:rPr>
                <w:sz w:val="20"/>
                <w:szCs w:val="20"/>
                <w:color w:val="auto"/>
              </w:rPr>
            </w:pPr>
            <w:r>
              <w:rPr>
                <w:rFonts w:ascii="Arial" w:cs="Arial" w:eastAsia="Arial" w:hAnsi="Arial"/>
                <w:sz w:val="11"/>
                <w:szCs w:val="11"/>
                <w:color w:val="auto"/>
              </w:rPr>
              <w:t>Fractional shares — repurchase obligation</w:t>
            </w:r>
            <w:r>
              <w:rPr>
                <w:rFonts w:ascii="Arial" w:cs="Arial" w:eastAsia="Arial" w:hAnsi="Arial"/>
                <w:sz w:val="14"/>
                <w:szCs w:val="14"/>
                <w:color w:val="auto"/>
                <w:vertAlign w:val="subscript"/>
              </w:rPr>
              <w:t>(1)</w:t>
            </w:r>
          </w:p>
        </w:tc>
        <w:tc>
          <w:tcPr>
            <w:tcW w:w="2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371,683</w:t>
            </w:r>
          </w:p>
        </w:tc>
        <w:tc>
          <w:tcPr>
            <w:tcW w:w="9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371,683</w:t>
            </w:r>
          </w:p>
        </w:tc>
      </w:tr>
      <w:tr>
        <w:trPr>
          <w:trHeight w:val="144"/>
        </w:trPr>
        <w:tc>
          <w:tcPr>
            <w:tcW w:w="6000" w:type="dxa"/>
            <w:vAlign w:val="bottom"/>
            <w:shd w:val="clear" w:color="auto" w:fill="DBDBDB"/>
          </w:tcPr>
          <w:p>
            <w:pPr>
              <w:ind w:left="200"/>
              <w:spacing w:after="0"/>
              <w:rPr>
                <w:sz w:val="20"/>
                <w:szCs w:val="20"/>
                <w:color w:val="auto"/>
              </w:rPr>
            </w:pPr>
            <w:r>
              <w:rPr>
                <w:rFonts w:ascii="Arial" w:cs="Arial" w:eastAsia="Arial" w:hAnsi="Arial"/>
                <w:sz w:val="11"/>
                <w:szCs w:val="11"/>
                <w:color w:val="auto"/>
              </w:rPr>
              <w:t>Contingent consideration</w:t>
            </w:r>
          </w:p>
        </w:tc>
        <w:tc>
          <w:tcPr>
            <w:tcW w:w="28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DBDBDB"/>
          </w:tcPr>
          <w:p>
            <w:pPr>
              <w:spacing w:after="0"/>
              <w:rPr>
                <w:sz w:val="12"/>
                <w:szCs w:val="12"/>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124,038</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124,038</w:t>
            </w:r>
          </w:p>
        </w:tc>
      </w:tr>
      <w:tr>
        <w:trPr>
          <w:trHeight w:val="132"/>
        </w:trPr>
        <w:tc>
          <w:tcPr>
            <w:tcW w:w="60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Total other liabilities</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371,857</w:t>
            </w:r>
          </w:p>
        </w:tc>
        <w:tc>
          <w:tcPr>
            <w:tcW w:w="9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124,038</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495,895</w:t>
            </w:r>
          </w:p>
        </w:tc>
      </w:tr>
      <w:tr>
        <w:trPr>
          <w:trHeight w:val="150"/>
        </w:trPr>
        <w:tc>
          <w:tcPr>
            <w:tcW w:w="60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liabilities at fair value</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371,857</w:t>
            </w:r>
          </w:p>
        </w:tc>
        <w:tc>
          <w:tcPr>
            <w:tcW w:w="940" w:type="dxa"/>
            <w:vAlign w:val="bottom"/>
            <w:tcBorders>
              <w:bottom w:val="single" w:sz="8" w:color="auto"/>
            </w:tcBorders>
            <w:shd w:val="clear" w:color="auto" w:fill="DBDBDB"/>
          </w:tcPr>
          <w:p>
            <w:pPr>
              <w:jc w:val="right"/>
              <w:ind w:right="787"/>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ind w:right="72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124,038</w:t>
            </w:r>
          </w:p>
        </w:tc>
        <w:tc>
          <w:tcPr>
            <w:tcW w:w="320" w:type="dxa"/>
            <w:vAlign w:val="bottom"/>
            <w:tcBorders>
              <w:bottom w:val="single" w:sz="8" w:color="auto"/>
            </w:tcBorders>
            <w:shd w:val="clear" w:color="auto" w:fill="DBDBDB"/>
          </w:tcPr>
          <w:p>
            <w:pPr>
              <w:jc w:val="right"/>
              <w:ind w:right="18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495,895</w:t>
            </w:r>
          </w:p>
        </w:tc>
      </w:tr>
    </w:tbl>
    <w:p>
      <w:pPr>
        <w:spacing w:after="0" w:line="118"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40" w:lineRule="exact"/>
        <w:rPr>
          <w:sz w:val="20"/>
          <w:szCs w:val="20"/>
          <w:color w:val="auto"/>
        </w:rPr>
      </w:pPr>
    </w:p>
    <w:p>
      <w:pPr>
        <w:ind w:left="308" w:hanging="308"/>
        <w:spacing w:after="0"/>
        <w:tabs>
          <w:tab w:leader="none" w:pos="308" w:val="left"/>
        </w:tabs>
        <w:numPr>
          <w:ilvl w:val="0"/>
          <w:numId w:val="28"/>
        </w:numPr>
        <w:rPr>
          <w:rFonts w:ascii="Arial" w:cs="Arial" w:eastAsia="Arial" w:hAnsi="Arial"/>
          <w:sz w:val="10"/>
          <w:szCs w:val="10"/>
          <w:color w:val="auto"/>
        </w:rPr>
      </w:pPr>
      <w:r>
        <w:rPr>
          <w:rFonts w:ascii="Arial" w:cs="Arial" w:eastAsia="Arial" w:hAnsi="Arial"/>
          <w:sz w:val="10"/>
          <w:szCs w:val="10"/>
          <w:color w:val="auto"/>
        </w:rPr>
        <w:t>Investment in and related repurchase obligation for fractional shares resulting from the Company’s DRIP.</w:t>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1" w:name="page42"/>
    <w:bookmarkEnd w:id="41"/>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Fair Value of Financial Instruments Not Measured at Fair Value</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summarize the carrying values, fair values and fair value hierarchy level classification of financial instruments that are not measured at fair value (in thousands):</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September 30, 2026</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Carrying Value</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Level 3</w:t>
            </w: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Total Fair Value</w:t>
            </w:r>
          </w:p>
        </w:tc>
      </w:tr>
      <w:tr>
        <w:trPr>
          <w:trHeight w:val="133"/>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0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Cash</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976,597</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976,597</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2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976,597</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segregated under federal or other regulations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1,171,232</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1,171,232</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1,171,232</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669</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669</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669</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Receivables from clients, net</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1,119,673</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1,119,673</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1,119,673</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Receivables from brokers, dealers and clearing organizations</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110,715</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110,715</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110,715</w:t>
            </w:r>
          </w:p>
        </w:tc>
      </w:tr>
      <w:tr>
        <w:trPr>
          <w:trHeight w:val="145"/>
        </w:trPr>
        <w:tc>
          <w:tcPr>
            <w:tcW w:w="4680" w:type="dxa"/>
            <w:vAlign w:val="bottom"/>
            <w:shd w:val="clear" w:color="auto" w:fill="DBDBDB"/>
          </w:tcPr>
          <w:p>
            <w:pPr>
              <w:ind w:left="80"/>
              <w:spacing w:after="0" w:line="145" w:lineRule="exact"/>
              <w:rPr>
                <w:sz w:val="20"/>
                <w:szCs w:val="20"/>
                <w:color w:val="auto"/>
              </w:rPr>
            </w:pPr>
            <w:r>
              <w:rPr>
                <w:rFonts w:ascii="Arial" w:cs="Arial" w:eastAsia="Arial" w:hAnsi="Arial"/>
                <w:sz w:val="11"/>
                <w:szCs w:val="11"/>
                <w:color w:val="auto"/>
              </w:rPr>
              <w:t>Advisor repayable loans, net</w:t>
            </w:r>
            <w:r>
              <w:rPr>
                <w:rFonts w:ascii="Arial" w:cs="Arial" w:eastAsia="Arial" w:hAnsi="Arial"/>
                <w:sz w:val="14"/>
                <w:szCs w:val="14"/>
                <w:color w:val="auto"/>
                <w:vertAlign w:val="subscript"/>
              </w:rPr>
              <w:t>(1)</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373,249</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600"/>
              <w:spacing w:after="0"/>
              <w:rPr>
                <w:sz w:val="20"/>
                <w:szCs w:val="20"/>
                <w:color w:val="auto"/>
              </w:rPr>
            </w:pPr>
            <w:r>
              <w:rPr>
                <w:rFonts w:ascii="Arial" w:cs="Arial" w:eastAsia="Arial" w:hAnsi="Arial"/>
                <w:sz w:val="11"/>
                <w:szCs w:val="11"/>
                <w:color w:val="auto"/>
              </w:rPr>
              <w:t>294,170</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294,170</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receivables,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1,323,879</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1,323,879</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1,323,879</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held-to-maturity securities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15,005</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14,813</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14,813</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assets: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5"/>
        </w:trPr>
        <w:tc>
          <w:tcPr>
            <w:tcW w:w="4680" w:type="dxa"/>
            <w:vAlign w:val="bottom"/>
            <w:shd w:val="clear" w:color="auto" w:fill="DBDBDB"/>
          </w:tcPr>
          <w:p>
            <w:pPr>
              <w:ind w:left="220"/>
              <w:spacing w:after="0"/>
              <w:rPr>
                <w:sz w:val="20"/>
                <w:szCs w:val="20"/>
                <w:color w:val="auto"/>
              </w:rPr>
            </w:pPr>
            <w:r>
              <w:rPr>
                <w:rFonts w:ascii="Arial" w:cs="Arial" w:eastAsia="Arial" w:hAnsi="Arial"/>
                <w:sz w:val="11"/>
                <w:szCs w:val="11"/>
                <w:color w:val="auto"/>
              </w:rPr>
              <w:t>Securities borrowed</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2,250</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2,250</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2,250</w:t>
            </w:r>
          </w:p>
        </w:tc>
      </w:tr>
      <w:tr>
        <w:trPr>
          <w:trHeight w:val="144"/>
        </w:trPr>
        <w:tc>
          <w:tcPr>
            <w:tcW w:w="4680" w:type="dxa"/>
            <w:vAlign w:val="bottom"/>
          </w:tcPr>
          <w:p>
            <w:pPr>
              <w:ind w:left="220"/>
              <w:spacing w:after="0" w:line="144" w:lineRule="exact"/>
              <w:rPr>
                <w:sz w:val="20"/>
                <w:szCs w:val="20"/>
                <w:color w:val="auto"/>
              </w:rPr>
            </w:pPr>
            <w:r>
              <w:rPr>
                <w:rFonts w:ascii="Arial" w:cs="Arial" w:eastAsia="Arial" w:hAnsi="Arial"/>
                <w:sz w:val="11"/>
                <w:szCs w:val="11"/>
                <w:color w:val="auto"/>
              </w:rPr>
              <w:t>Deferred compensation plan</w:t>
            </w:r>
            <w:r>
              <w:rPr>
                <w:rFonts w:ascii="Arial" w:cs="Arial" w:eastAsia="Arial" w:hAnsi="Arial"/>
                <w:sz w:val="14"/>
                <w:szCs w:val="14"/>
                <w:color w:val="auto"/>
                <w:vertAlign w:val="subscript"/>
              </w:rPr>
              <w:t>(2)</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13,374</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13,374</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13,374</w:t>
            </w:r>
          </w:p>
        </w:tc>
      </w:tr>
      <w:tr>
        <w:trPr>
          <w:trHeight w:val="144"/>
        </w:trPr>
        <w:tc>
          <w:tcPr>
            <w:tcW w:w="4680" w:type="dxa"/>
            <w:vAlign w:val="bottom"/>
            <w:shd w:val="clear" w:color="auto" w:fill="DBDBDB"/>
          </w:tcPr>
          <w:p>
            <w:pPr>
              <w:ind w:left="220"/>
              <w:spacing w:after="0" w:line="144" w:lineRule="exact"/>
              <w:rPr>
                <w:sz w:val="20"/>
                <w:szCs w:val="20"/>
                <w:color w:val="auto"/>
              </w:rPr>
            </w:pPr>
            <w:r>
              <w:rPr>
                <w:rFonts w:ascii="Arial" w:cs="Arial" w:eastAsia="Arial" w:hAnsi="Arial"/>
                <w:sz w:val="11"/>
                <w:szCs w:val="11"/>
                <w:color w:val="auto"/>
              </w:rPr>
              <w:t>Other investments</w:t>
            </w:r>
            <w:r>
              <w:rPr>
                <w:rFonts w:ascii="Arial" w:cs="Arial" w:eastAsia="Arial" w:hAnsi="Arial"/>
                <w:sz w:val="14"/>
                <w:szCs w:val="14"/>
                <w:color w:val="auto"/>
                <w:vertAlign w:val="subscript"/>
              </w:rPr>
              <w:t>(3)</w:t>
            </w:r>
          </w:p>
        </w:tc>
        <w:tc>
          <w:tcPr>
            <w:tcW w:w="20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7,119</w:t>
            </w:r>
          </w:p>
        </w:tc>
        <w:tc>
          <w:tcPr>
            <w:tcW w:w="30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7,119</w:t>
            </w:r>
          </w:p>
        </w:tc>
        <w:tc>
          <w:tcPr>
            <w:tcW w:w="300" w:type="dxa"/>
            <w:vAlign w:val="bottom"/>
            <w:tcBorders>
              <w:bottom w:val="single" w:sz="8" w:color="auto"/>
            </w:tcBorders>
            <w:shd w:val="clear" w:color="auto" w:fill="DBDBDB"/>
          </w:tcPr>
          <w:p>
            <w:pPr>
              <w:spacing w:after="0"/>
              <w:rPr>
                <w:sz w:val="12"/>
                <w:szCs w:val="12"/>
                <w:color w:val="auto"/>
              </w:rPr>
            </w:pPr>
          </w:p>
        </w:tc>
        <w:tc>
          <w:tcPr>
            <w:tcW w:w="1220" w:type="dxa"/>
            <w:vAlign w:val="bottom"/>
            <w:tcBorders>
              <w:bottom w:val="single" w:sz="8" w:color="auto"/>
            </w:tcBorders>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7,119</w:t>
            </w:r>
          </w:p>
        </w:tc>
      </w:tr>
      <w:tr>
        <w:trPr>
          <w:trHeight w:val="132"/>
        </w:trPr>
        <w:tc>
          <w:tcPr>
            <w:tcW w:w="4680" w:type="dxa"/>
            <w:vAlign w:val="bottom"/>
          </w:tcPr>
          <w:p>
            <w:pPr>
              <w:ind w:left="80"/>
              <w:spacing w:after="0"/>
              <w:rPr>
                <w:sz w:val="20"/>
                <w:szCs w:val="20"/>
                <w:color w:val="auto"/>
              </w:rPr>
            </w:pPr>
            <w:r>
              <w:rPr>
                <w:rFonts w:ascii="Arial" w:cs="Arial" w:eastAsia="Arial" w:hAnsi="Arial"/>
                <w:sz w:val="11"/>
                <w:szCs w:val="11"/>
                <w:color w:val="auto"/>
              </w:rPr>
              <w:t>Total other assets</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22,743</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13,374</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9,369</w:t>
            </w:r>
          </w:p>
        </w:tc>
        <w:tc>
          <w:tcPr>
            <w:tcW w:w="300" w:type="dxa"/>
            <w:vAlign w:val="bottom"/>
          </w:tcPr>
          <w:p>
            <w:pPr>
              <w:spacing w:after="0"/>
              <w:rPr>
                <w:sz w:val="11"/>
                <w:szCs w:val="11"/>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22,743</w:t>
            </w:r>
          </w:p>
        </w:tc>
      </w:tr>
      <w:tr>
        <w:trPr>
          <w:trHeight w:val="145"/>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Liabilities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Client payables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2,256,906</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34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020" w:type="dxa"/>
            <w:vAlign w:val="bottom"/>
          </w:tcPr>
          <w:p>
            <w:pPr>
              <w:jc w:val="right"/>
              <w:spacing w:after="0"/>
              <w:rPr>
                <w:sz w:val="20"/>
                <w:szCs w:val="20"/>
                <w:color w:val="auto"/>
              </w:rPr>
            </w:pPr>
            <w:r>
              <w:rPr>
                <w:rFonts w:ascii="Arial" w:cs="Arial" w:eastAsia="Arial" w:hAnsi="Arial"/>
                <w:sz w:val="11"/>
                <w:szCs w:val="11"/>
                <w:color w:val="auto"/>
              </w:rPr>
              <w:t>2,256,906</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2,256,906</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Payables to brokers, dealers and clearing organizations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217,055</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217,055</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217,055</w:t>
            </w:r>
          </w:p>
        </w:tc>
      </w:tr>
      <w:tr>
        <w:trPr>
          <w:trHeight w:val="142"/>
        </w:trPr>
        <w:tc>
          <w:tcPr>
            <w:tcW w:w="4680" w:type="dxa"/>
            <w:vAlign w:val="bottom"/>
          </w:tcPr>
          <w:p>
            <w:pPr>
              <w:ind w:left="80"/>
              <w:spacing w:after="0"/>
              <w:rPr>
                <w:sz w:val="20"/>
                <w:szCs w:val="20"/>
                <w:color w:val="auto"/>
              </w:rPr>
            </w:pPr>
            <w:r>
              <w:rPr>
                <w:rFonts w:ascii="Arial" w:cs="Arial" w:eastAsia="Arial" w:hAnsi="Arial"/>
                <w:sz w:val="11"/>
                <w:szCs w:val="11"/>
                <w:color w:val="auto"/>
              </w:rPr>
              <w:t>Corporate debt and other borrowings,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7,802,917</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7,668,743</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7,668,743</w:t>
            </w:r>
          </w:p>
        </w:tc>
      </w:tr>
      <w:tr>
        <w:trPr>
          <w:trHeight w:val="281"/>
        </w:trPr>
        <w:tc>
          <w:tcPr>
            <w:tcW w:w="4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Carrying Value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Level 3</w:t>
            </w: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Total Fair Value</w:t>
            </w:r>
          </w:p>
        </w:tc>
      </w:tr>
      <w:tr>
        <w:trPr>
          <w:trHeight w:val="133"/>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Assets</w:t>
            </w:r>
          </w:p>
        </w:tc>
        <w:tc>
          <w:tcPr>
            <w:tcW w:w="20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22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Cash</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933,001</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933,001</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2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933,001</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Cash segregated under federal or other regulations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970,730</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970,730</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970,730</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Restricted cash</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97,713</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97,713</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97,713</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Receivables from clients, net</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803,206</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803,206</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803,206</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Receivables from brokers, dealers and clearing organizations</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70,897</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70,897</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70,897</w:t>
            </w:r>
          </w:p>
        </w:tc>
      </w:tr>
      <w:tr>
        <w:trPr>
          <w:trHeight w:val="145"/>
        </w:trPr>
        <w:tc>
          <w:tcPr>
            <w:tcW w:w="4680" w:type="dxa"/>
            <w:vAlign w:val="bottom"/>
            <w:shd w:val="clear" w:color="auto" w:fill="DBDBDB"/>
          </w:tcPr>
          <w:p>
            <w:pPr>
              <w:ind w:left="80"/>
              <w:spacing w:after="0" w:line="145" w:lineRule="exact"/>
              <w:rPr>
                <w:sz w:val="20"/>
                <w:szCs w:val="20"/>
                <w:color w:val="auto"/>
              </w:rPr>
            </w:pPr>
            <w:r>
              <w:rPr>
                <w:rFonts w:ascii="Arial" w:cs="Arial" w:eastAsia="Arial" w:hAnsi="Arial"/>
                <w:sz w:val="11"/>
                <w:szCs w:val="11"/>
                <w:color w:val="auto"/>
              </w:rPr>
              <w:t>Advisor repayable loans, net</w:t>
            </w:r>
            <w:r>
              <w:rPr>
                <w:rFonts w:ascii="Arial" w:cs="Arial" w:eastAsia="Arial" w:hAnsi="Arial"/>
                <w:sz w:val="14"/>
                <w:szCs w:val="14"/>
                <w:color w:val="auto"/>
                <w:vertAlign w:val="subscript"/>
              </w:rPr>
              <w:t>(1)</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406,793</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600"/>
              <w:spacing w:after="0"/>
              <w:rPr>
                <w:sz w:val="20"/>
                <w:szCs w:val="20"/>
                <w:color w:val="auto"/>
              </w:rPr>
            </w:pPr>
            <w:r>
              <w:rPr>
                <w:rFonts w:ascii="Arial" w:cs="Arial" w:eastAsia="Arial" w:hAnsi="Arial"/>
                <w:sz w:val="11"/>
                <w:szCs w:val="11"/>
                <w:color w:val="auto"/>
              </w:rPr>
              <w:t>335,050</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335,050</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receivables,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1,203,539</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1,203,539</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1,203,539</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 securities - held-to-maturity securities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15,420</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15,520</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15,520</w:t>
            </w: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Other assets: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5"/>
        </w:trPr>
        <w:tc>
          <w:tcPr>
            <w:tcW w:w="4680" w:type="dxa"/>
            <w:vAlign w:val="bottom"/>
            <w:shd w:val="clear" w:color="auto" w:fill="DBDBDB"/>
          </w:tcPr>
          <w:p>
            <w:pPr>
              <w:ind w:left="220"/>
              <w:spacing w:after="0" w:line="145" w:lineRule="exact"/>
              <w:rPr>
                <w:sz w:val="20"/>
                <w:szCs w:val="20"/>
                <w:color w:val="auto"/>
              </w:rPr>
            </w:pPr>
            <w:r>
              <w:rPr>
                <w:rFonts w:ascii="Arial" w:cs="Arial" w:eastAsia="Arial" w:hAnsi="Arial"/>
                <w:sz w:val="11"/>
                <w:szCs w:val="11"/>
                <w:color w:val="auto"/>
              </w:rPr>
              <w:t>Deferred compensation plan</w:t>
            </w:r>
            <w:r>
              <w:rPr>
                <w:rFonts w:ascii="Arial" w:cs="Arial" w:eastAsia="Arial" w:hAnsi="Arial"/>
                <w:sz w:val="14"/>
                <w:szCs w:val="14"/>
                <w:color w:val="auto"/>
                <w:vertAlign w:val="subscript"/>
              </w:rPr>
              <w:t>(2)</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10,038</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10,038</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10,038</w:t>
            </w:r>
          </w:p>
        </w:tc>
      </w:tr>
      <w:tr>
        <w:trPr>
          <w:trHeight w:val="143"/>
        </w:trPr>
        <w:tc>
          <w:tcPr>
            <w:tcW w:w="4680" w:type="dxa"/>
            <w:vAlign w:val="bottom"/>
          </w:tcPr>
          <w:p>
            <w:pPr>
              <w:ind w:left="220"/>
              <w:spacing w:after="0"/>
              <w:rPr>
                <w:sz w:val="20"/>
                <w:szCs w:val="20"/>
                <w:color w:val="auto"/>
              </w:rPr>
            </w:pPr>
            <w:r>
              <w:rPr>
                <w:rFonts w:ascii="Arial" w:cs="Arial" w:eastAsia="Arial" w:hAnsi="Arial"/>
                <w:sz w:val="11"/>
                <w:szCs w:val="11"/>
                <w:color w:val="auto"/>
              </w:rPr>
              <w:t>Securities borrowed</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1,789</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1,789</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1,789</w:t>
            </w:r>
          </w:p>
        </w:tc>
      </w:tr>
      <w:tr>
        <w:trPr>
          <w:trHeight w:val="145"/>
        </w:trPr>
        <w:tc>
          <w:tcPr>
            <w:tcW w:w="4680" w:type="dxa"/>
            <w:vAlign w:val="bottom"/>
            <w:shd w:val="clear" w:color="auto" w:fill="DBDBDB"/>
          </w:tcPr>
          <w:p>
            <w:pPr>
              <w:ind w:left="220"/>
              <w:spacing w:after="0" w:line="145" w:lineRule="exact"/>
              <w:rPr>
                <w:sz w:val="20"/>
                <w:szCs w:val="20"/>
                <w:color w:val="auto"/>
              </w:rPr>
            </w:pPr>
            <w:r>
              <w:rPr>
                <w:rFonts w:ascii="Arial" w:cs="Arial" w:eastAsia="Arial" w:hAnsi="Arial"/>
                <w:sz w:val="11"/>
                <w:szCs w:val="11"/>
                <w:color w:val="auto"/>
              </w:rPr>
              <w:t>Other investments</w:t>
            </w:r>
            <w:r>
              <w:rPr>
                <w:rFonts w:ascii="Arial" w:cs="Arial" w:eastAsia="Arial" w:hAnsi="Arial"/>
                <w:sz w:val="14"/>
                <w:szCs w:val="14"/>
                <w:color w:val="auto"/>
                <w:vertAlign w:val="subscript"/>
              </w:rPr>
              <w:t>(3)</w:t>
            </w:r>
          </w:p>
        </w:tc>
        <w:tc>
          <w:tcPr>
            <w:tcW w:w="20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7,874</w:t>
            </w:r>
          </w:p>
        </w:tc>
        <w:tc>
          <w:tcPr>
            <w:tcW w:w="30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7,874</w:t>
            </w:r>
          </w:p>
        </w:tc>
        <w:tc>
          <w:tcPr>
            <w:tcW w:w="300" w:type="dxa"/>
            <w:vAlign w:val="bottom"/>
            <w:tcBorders>
              <w:bottom w:val="single" w:sz="8" w:color="auto"/>
            </w:tcBorders>
            <w:shd w:val="clear" w:color="auto" w:fill="DBDBDB"/>
          </w:tcPr>
          <w:p>
            <w:pPr>
              <w:spacing w:after="0"/>
              <w:rPr>
                <w:sz w:val="12"/>
                <w:szCs w:val="12"/>
                <w:color w:val="auto"/>
              </w:rPr>
            </w:pPr>
          </w:p>
        </w:tc>
        <w:tc>
          <w:tcPr>
            <w:tcW w:w="1220" w:type="dxa"/>
            <w:vAlign w:val="bottom"/>
            <w:tcBorders>
              <w:bottom w:val="single" w:sz="8" w:color="auto"/>
            </w:tcBorders>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7,874</w:t>
            </w:r>
          </w:p>
        </w:tc>
      </w:tr>
      <w:tr>
        <w:trPr>
          <w:trHeight w:val="132"/>
        </w:trPr>
        <w:tc>
          <w:tcPr>
            <w:tcW w:w="4680" w:type="dxa"/>
            <w:vAlign w:val="bottom"/>
          </w:tcPr>
          <w:p>
            <w:pPr>
              <w:ind w:left="80"/>
              <w:spacing w:after="0"/>
              <w:rPr>
                <w:sz w:val="20"/>
                <w:szCs w:val="20"/>
                <w:color w:val="auto"/>
              </w:rPr>
            </w:pPr>
            <w:r>
              <w:rPr>
                <w:rFonts w:ascii="Arial" w:cs="Arial" w:eastAsia="Arial" w:hAnsi="Arial"/>
                <w:sz w:val="11"/>
                <w:szCs w:val="11"/>
                <w:color w:val="auto"/>
              </w:rPr>
              <w:t>Total other assets</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19,701</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10,038</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9,663</w:t>
            </w:r>
          </w:p>
        </w:tc>
        <w:tc>
          <w:tcPr>
            <w:tcW w:w="300" w:type="dxa"/>
            <w:vAlign w:val="bottom"/>
          </w:tcPr>
          <w:p>
            <w:pPr>
              <w:spacing w:after="0"/>
              <w:rPr>
                <w:sz w:val="11"/>
                <w:szCs w:val="11"/>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19,701</w:t>
            </w:r>
          </w:p>
        </w:tc>
      </w:tr>
      <w:tr>
        <w:trPr>
          <w:trHeight w:val="145"/>
        </w:trPr>
        <w:tc>
          <w:tcPr>
            <w:tcW w:w="46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Liabilities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r>
      <w:tr>
        <w:trPr>
          <w:trHeight w:val="143"/>
        </w:trPr>
        <w:tc>
          <w:tcPr>
            <w:tcW w:w="4680" w:type="dxa"/>
            <w:vAlign w:val="bottom"/>
          </w:tcPr>
          <w:p>
            <w:pPr>
              <w:ind w:left="80"/>
              <w:spacing w:after="0"/>
              <w:rPr>
                <w:sz w:val="20"/>
                <w:szCs w:val="20"/>
                <w:color w:val="auto"/>
              </w:rPr>
            </w:pPr>
            <w:r>
              <w:rPr>
                <w:rFonts w:ascii="Arial" w:cs="Arial" w:eastAsia="Arial" w:hAnsi="Arial"/>
                <w:sz w:val="11"/>
                <w:szCs w:val="11"/>
                <w:color w:val="auto"/>
              </w:rPr>
              <w:t>Client payables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2,308,275</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340" w:type="dxa"/>
            <w:vAlign w:val="bottom"/>
            <w:gridSpan w:val="2"/>
          </w:tcPr>
          <w:p>
            <w:pPr>
              <w:jc w:val="right"/>
              <w:ind w:right="166"/>
              <w:spacing w:after="0"/>
              <w:rPr>
                <w:sz w:val="20"/>
                <w:szCs w:val="20"/>
                <w:color w:val="auto"/>
              </w:rPr>
            </w:pPr>
            <w:r>
              <w:rPr>
                <w:rFonts w:ascii="Arial" w:cs="Arial" w:eastAsia="Arial" w:hAnsi="Arial"/>
                <w:sz w:val="11"/>
                <w:szCs w:val="11"/>
                <w:color w:val="auto"/>
              </w:rPr>
              <w:t>— $</w:t>
            </w:r>
          </w:p>
        </w:tc>
        <w:tc>
          <w:tcPr>
            <w:tcW w:w="1020" w:type="dxa"/>
            <w:vAlign w:val="bottom"/>
          </w:tcPr>
          <w:p>
            <w:pPr>
              <w:jc w:val="right"/>
              <w:spacing w:after="0"/>
              <w:rPr>
                <w:sz w:val="20"/>
                <w:szCs w:val="20"/>
                <w:color w:val="auto"/>
              </w:rPr>
            </w:pPr>
            <w:r>
              <w:rPr>
                <w:rFonts w:ascii="Arial" w:cs="Arial" w:eastAsia="Arial" w:hAnsi="Arial"/>
                <w:sz w:val="11"/>
                <w:szCs w:val="11"/>
                <w:color w:val="auto"/>
              </w:rPr>
              <w:t>2,308,275</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220" w:type="dxa"/>
            <w:vAlign w:val="bottom"/>
          </w:tcPr>
          <w:p>
            <w:pPr>
              <w:ind w:left="880"/>
              <w:spacing w:after="0"/>
              <w:rPr>
                <w:sz w:val="20"/>
                <w:szCs w:val="20"/>
                <w:color w:val="auto"/>
              </w:rPr>
            </w:pPr>
            <w:r>
              <w:rPr>
                <w:rFonts w:ascii="Arial" w:cs="Arial" w:eastAsia="Arial" w:hAnsi="Arial"/>
                <w:sz w:val="11"/>
                <w:szCs w:val="11"/>
                <w:color w:val="auto"/>
              </w:rPr>
              <w:t>— $</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2,308,275</w:t>
            </w:r>
          </w:p>
        </w:tc>
      </w:tr>
      <w:tr>
        <w:trPr>
          <w:trHeight w:val="145"/>
        </w:trPr>
        <w:tc>
          <w:tcPr>
            <w:tcW w:w="4680" w:type="dxa"/>
            <w:vAlign w:val="bottom"/>
            <w:shd w:val="clear" w:color="auto" w:fill="DBDBDB"/>
          </w:tcPr>
          <w:p>
            <w:pPr>
              <w:ind w:left="80"/>
              <w:spacing w:after="0"/>
              <w:rPr>
                <w:sz w:val="20"/>
                <w:szCs w:val="20"/>
                <w:color w:val="auto"/>
              </w:rPr>
            </w:pPr>
            <w:r>
              <w:rPr>
                <w:rFonts w:ascii="Arial" w:cs="Arial" w:eastAsia="Arial" w:hAnsi="Arial"/>
                <w:sz w:val="11"/>
                <w:szCs w:val="11"/>
                <w:color w:val="auto"/>
              </w:rPr>
              <w:t>Payables to brokers, dealers and clearing organizations</w:t>
            </w:r>
          </w:p>
        </w:tc>
        <w:tc>
          <w:tcPr>
            <w:tcW w:w="200" w:type="dxa"/>
            <w:vAlign w:val="bottom"/>
            <w:shd w:val="clear" w:color="auto" w:fill="DBDBDB"/>
          </w:tcPr>
          <w:p>
            <w:pPr>
              <w:spacing w:after="0"/>
              <w:rPr>
                <w:sz w:val="12"/>
                <w:szCs w:val="1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150,520</w:t>
            </w:r>
          </w:p>
        </w:tc>
        <w:tc>
          <w:tcPr>
            <w:tcW w:w="30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spacing w:after="0"/>
              <w:rPr>
                <w:sz w:val="12"/>
                <w:szCs w:val="1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150,520</w:t>
            </w: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ind w:left="880"/>
              <w:spacing w:after="0"/>
              <w:rPr>
                <w:sz w:val="20"/>
                <w:szCs w:val="20"/>
                <w:color w:val="auto"/>
              </w:rPr>
            </w:pPr>
            <w:r>
              <w:rPr>
                <w:rFonts w:ascii="Arial" w:cs="Arial" w:eastAsia="Arial" w:hAnsi="Arial"/>
                <w:sz w:val="11"/>
                <w:szCs w:val="11"/>
                <w:color w:val="auto"/>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150,520</w:t>
            </w:r>
          </w:p>
        </w:tc>
      </w:tr>
      <w:tr>
        <w:trPr>
          <w:trHeight w:val="142"/>
        </w:trPr>
        <w:tc>
          <w:tcPr>
            <w:tcW w:w="4680" w:type="dxa"/>
            <w:vAlign w:val="bottom"/>
          </w:tcPr>
          <w:p>
            <w:pPr>
              <w:ind w:left="80"/>
              <w:spacing w:after="0"/>
              <w:rPr>
                <w:sz w:val="20"/>
                <w:szCs w:val="20"/>
                <w:color w:val="auto"/>
              </w:rPr>
            </w:pPr>
            <w:r>
              <w:rPr>
                <w:rFonts w:ascii="Arial" w:cs="Arial" w:eastAsia="Arial" w:hAnsi="Arial"/>
                <w:sz w:val="11"/>
                <w:szCs w:val="11"/>
                <w:color w:val="auto"/>
              </w:rPr>
              <w:t>Corporate debt and other borrowings,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7,258,694</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7,420,447</w:t>
            </w:r>
          </w:p>
        </w:tc>
        <w:tc>
          <w:tcPr>
            <w:tcW w:w="300" w:type="dxa"/>
            <w:vAlign w:val="bottom"/>
          </w:tcPr>
          <w:p>
            <w:pPr>
              <w:spacing w:after="0"/>
              <w:rPr>
                <w:sz w:val="12"/>
                <w:szCs w:val="12"/>
                <w:color w:val="auto"/>
              </w:rPr>
            </w:pPr>
          </w:p>
        </w:tc>
        <w:tc>
          <w:tcPr>
            <w:tcW w:w="1220" w:type="dxa"/>
            <w:vAlign w:val="bottom"/>
          </w:tcPr>
          <w:p>
            <w:pPr>
              <w:ind w:left="88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7,420,447</w:t>
            </w:r>
          </w:p>
        </w:tc>
      </w:tr>
    </w:tbl>
    <w:p>
      <w:pPr>
        <w:spacing w:after="0" w:line="57"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w:t>
      </w:r>
    </w:p>
    <w:p>
      <w:pPr>
        <w:spacing w:after="0" w:line="49" w:lineRule="exact"/>
        <w:rPr>
          <w:sz w:val="20"/>
          <w:szCs w:val="20"/>
          <w:color w:val="auto"/>
        </w:rPr>
      </w:pPr>
    </w:p>
    <w:p>
      <w:pPr>
        <w:ind w:left="308" w:hanging="308"/>
        <w:spacing w:after="0"/>
        <w:tabs>
          <w:tab w:leader="none" w:pos="3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repayable loans and forgivable loans which have converted to repayable upon advisor termination or change in agreed upon terms.</w:t>
      </w:r>
    </w:p>
    <w:p>
      <w:pPr>
        <w:spacing w:after="0" w:line="29" w:lineRule="exact"/>
        <w:rPr>
          <w:rFonts w:ascii="Arial" w:cs="Arial" w:eastAsia="Arial" w:hAnsi="Arial"/>
          <w:sz w:val="10"/>
          <w:szCs w:val="10"/>
          <w:color w:val="auto"/>
        </w:rPr>
      </w:pPr>
    </w:p>
    <w:p>
      <w:pPr>
        <w:ind w:left="308" w:hanging="308"/>
        <w:spacing w:after="0"/>
        <w:tabs>
          <w:tab w:leader="none" w:pos="3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cash balances awaiting investment or distribution to plan participants.</w:t>
      </w:r>
    </w:p>
    <w:p>
      <w:pPr>
        <w:spacing w:after="0" w:line="38" w:lineRule="exact"/>
        <w:rPr>
          <w:rFonts w:ascii="Arial" w:cs="Arial" w:eastAsia="Arial" w:hAnsi="Arial"/>
          <w:sz w:val="10"/>
          <w:szCs w:val="10"/>
          <w:color w:val="auto"/>
        </w:rPr>
      </w:pPr>
    </w:p>
    <w:p>
      <w:pPr>
        <w:ind w:left="308" w:hanging="308"/>
        <w:spacing w:after="0"/>
        <w:tabs>
          <w:tab w:leader="none" w:pos="3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Other investments include Depository Trust Company common shares and Federal Reserve stock.</w:t>
      </w:r>
    </w:p>
    <w:p>
      <w:pPr>
        <w:spacing w:after="0" w:line="3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2" w:name="page43"/>
    <w:bookmarkEnd w:id="42"/>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 INVESTMENT SECURITIES</w:t>
      </w:r>
    </w:p>
    <w:p>
      <w:pPr>
        <w:spacing w:after="0" w:line="249"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The Company’s investment securities include debt and equity securities that the Company has classified as trading securities, which are carried at fair value, as well as investments in U.S. government notes, which are held by PTC to satisfy minimum capital requirements of the Office of the Comptroller of the Currency. The U.S. government notes are recorded at amortized cost and classified as held-to-maturity as the Company has both the intent and ability to hold these investments to maturity.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investment securities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20" w:type="dxa"/>
            <w:vAlign w:val="bottom"/>
            <w:tcBorders>
              <w:bottom w:val="single" w:sz="8" w:color="DBDBDB"/>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2026</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December 31, 2025</w:t>
            </w:r>
          </w:p>
        </w:tc>
      </w:tr>
      <w:tr>
        <w:trPr>
          <w:trHeight w:val="124"/>
        </w:trPr>
        <w:tc>
          <w:tcPr>
            <w:tcW w:w="742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Trading securities — at fair value:</w:t>
            </w:r>
          </w:p>
        </w:tc>
        <w:tc>
          <w:tcPr>
            <w:tcW w:w="1520" w:type="dxa"/>
            <w:vAlign w:val="bottom"/>
            <w:shd w:val="clear" w:color="auto" w:fill="DBDBDB"/>
          </w:tcPr>
          <w:p>
            <w:pPr>
              <w:spacing w:after="0"/>
              <w:rPr>
                <w:sz w:val="10"/>
                <w:szCs w:val="10"/>
                <w:color w:val="auto"/>
              </w:rPr>
            </w:pPr>
          </w:p>
        </w:tc>
        <w:tc>
          <w:tcPr>
            <w:tcW w:w="44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640" w:type="dxa"/>
            <w:vAlign w:val="bottom"/>
            <w:shd w:val="clear" w:color="auto" w:fill="DBDBDB"/>
          </w:tcPr>
          <w:p>
            <w:pPr>
              <w:spacing w:after="0"/>
              <w:rPr>
                <w:sz w:val="10"/>
                <w:szCs w:val="10"/>
                <w:color w:val="auto"/>
              </w:rPr>
            </w:pPr>
          </w:p>
        </w:tc>
      </w:tr>
      <w:tr>
        <w:trPr>
          <w:trHeight w:val="143"/>
        </w:trPr>
        <w:tc>
          <w:tcPr>
            <w:tcW w:w="7420" w:type="dxa"/>
            <w:vAlign w:val="bottom"/>
          </w:tcPr>
          <w:p>
            <w:pPr>
              <w:ind w:left="80"/>
              <w:spacing w:after="0"/>
              <w:rPr>
                <w:sz w:val="20"/>
                <w:szCs w:val="20"/>
                <w:color w:val="auto"/>
              </w:rPr>
            </w:pPr>
            <w:r>
              <w:rPr>
                <w:rFonts w:ascii="Arial" w:cs="Arial" w:eastAsia="Arial" w:hAnsi="Arial"/>
                <w:sz w:val="11"/>
                <w:szCs w:val="11"/>
                <w:color w:val="auto"/>
              </w:rPr>
              <w:t>U.S. treasury obligations</w:t>
            </w:r>
          </w:p>
        </w:tc>
        <w:tc>
          <w:tcPr>
            <w:tcW w:w="1520" w:type="dxa"/>
            <w:vAlign w:val="bottom"/>
          </w:tcPr>
          <w:p>
            <w:pPr>
              <w:jc w:val="right"/>
              <w:ind w:right="138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94,572</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40,029</w:t>
            </w:r>
          </w:p>
        </w:tc>
      </w:tr>
      <w:tr>
        <w:trPr>
          <w:trHeight w:val="145"/>
        </w:trPr>
        <w:tc>
          <w:tcPr>
            <w:tcW w:w="7420" w:type="dxa"/>
            <w:vAlign w:val="bottom"/>
            <w:shd w:val="clear" w:color="auto" w:fill="DBDBDB"/>
          </w:tcPr>
          <w:p>
            <w:pPr>
              <w:ind w:left="80"/>
              <w:spacing w:after="0"/>
              <w:rPr>
                <w:sz w:val="20"/>
                <w:szCs w:val="20"/>
                <w:color w:val="auto"/>
              </w:rPr>
            </w:pPr>
            <w:r>
              <w:rPr>
                <w:rFonts w:ascii="Arial" w:cs="Arial" w:eastAsia="Arial" w:hAnsi="Arial"/>
                <w:sz w:val="11"/>
                <w:szCs w:val="11"/>
                <w:color w:val="auto"/>
              </w:rPr>
              <w:t>Mutual funds</w:t>
            </w:r>
          </w:p>
        </w:tc>
        <w:tc>
          <w:tcPr>
            <w:tcW w:w="1520" w:type="dxa"/>
            <w:vAlign w:val="bottom"/>
            <w:shd w:val="clear" w:color="auto" w:fill="DBDBDB"/>
          </w:tcPr>
          <w:p>
            <w:pPr>
              <w:spacing w:after="0"/>
              <w:rPr>
                <w:sz w:val="12"/>
                <w:szCs w:val="12"/>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39,089</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33,559</w:t>
            </w:r>
          </w:p>
        </w:tc>
      </w:tr>
      <w:tr>
        <w:trPr>
          <w:trHeight w:val="143"/>
        </w:trPr>
        <w:tc>
          <w:tcPr>
            <w:tcW w:w="7420" w:type="dxa"/>
            <w:vAlign w:val="bottom"/>
          </w:tcPr>
          <w:p>
            <w:pPr>
              <w:ind w:left="80"/>
              <w:spacing w:after="0"/>
              <w:rPr>
                <w:sz w:val="20"/>
                <w:szCs w:val="20"/>
                <w:color w:val="auto"/>
              </w:rPr>
            </w:pPr>
            <w:r>
              <w:rPr>
                <w:rFonts w:ascii="Arial" w:cs="Arial" w:eastAsia="Arial" w:hAnsi="Arial"/>
                <w:sz w:val="11"/>
                <w:szCs w:val="11"/>
                <w:color w:val="auto"/>
              </w:rPr>
              <w:t>Equity securities</w:t>
            </w:r>
          </w:p>
        </w:tc>
        <w:tc>
          <w:tcPr>
            <w:tcW w:w="15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5,471</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2,505</w:t>
            </w:r>
          </w:p>
        </w:tc>
      </w:tr>
      <w:tr>
        <w:trPr>
          <w:trHeight w:val="145"/>
        </w:trPr>
        <w:tc>
          <w:tcPr>
            <w:tcW w:w="7420" w:type="dxa"/>
            <w:vAlign w:val="bottom"/>
            <w:shd w:val="clear" w:color="auto" w:fill="DBDBDB"/>
          </w:tcPr>
          <w:p>
            <w:pPr>
              <w:ind w:left="80"/>
              <w:spacing w:after="0"/>
              <w:rPr>
                <w:sz w:val="20"/>
                <w:szCs w:val="20"/>
                <w:color w:val="auto"/>
              </w:rPr>
            </w:pPr>
            <w:r>
              <w:rPr>
                <w:rFonts w:ascii="Arial" w:cs="Arial" w:eastAsia="Arial" w:hAnsi="Arial"/>
                <w:sz w:val="11"/>
                <w:szCs w:val="11"/>
                <w:color w:val="auto"/>
              </w:rPr>
              <w:t>Debt securities</w:t>
            </w:r>
          </w:p>
        </w:tc>
        <w:tc>
          <w:tcPr>
            <w:tcW w:w="1520" w:type="dxa"/>
            <w:vAlign w:val="bottom"/>
            <w:tcBorders>
              <w:bottom w:val="single" w:sz="8" w:color="auto"/>
            </w:tcBorders>
            <w:shd w:val="clear" w:color="auto" w:fill="DBDBDB"/>
          </w:tcPr>
          <w:p>
            <w:pPr>
              <w:spacing w:after="0"/>
              <w:rPr>
                <w:sz w:val="12"/>
                <w:szCs w:val="12"/>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1,150</w:t>
            </w:r>
          </w:p>
        </w:tc>
        <w:tc>
          <w:tcPr>
            <w:tcW w:w="280" w:type="dxa"/>
            <w:vAlign w:val="bottom"/>
            <w:tcBorders>
              <w:bottom w:val="single" w:sz="8" w:color="auto"/>
            </w:tcBorders>
            <w:shd w:val="clear" w:color="auto" w:fill="DBDBDB"/>
          </w:tcPr>
          <w:p>
            <w:pPr>
              <w:spacing w:after="0"/>
              <w:rPr>
                <w:sz w:val="12"/>
                <w:szCs w:val="12"/>
                <w:color w:val="auto"/>
              </w:rPr>
            </w:pP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15</w:t>
            </w:r>
          </w:p>
        </w:tc>
      </w:tr>
      <w:tr>
        <w:trPr>
          <w:trHeight w:val="132"/>
        </w:trPr>
        <w:tc>
          <w:tcPr>
            <w:tcW w:w="7420" w:type="dxa"/>
            <w:vAlign w:val="bottom"/>
            <w:tcBorders>
              <w:bottom w:val="single" w:sz="8" w:color="DBDBDB"/>
            </w:tcBorders>
          </w:tcPr>
          <w:p>
            <w:pPr>
              <w:spacing w:after="0" w:line="122" w:lineRule="exact"/>
              <w:rPr>
                <w:sz w:val="20"/>
                <w:szCs w:val="20"/>
                <w:color w:val="auto"/>
              </w:rPr>
            </w:pPr>
            <w:r>
              <w:rPr>
                <w:rFonts w:ascii="Arial" w:cs="Arial" w:eastAsia="Arial" w:hAnsi="Arial"/>
                <w:sz w:val="11"/>
                <w:szCs w:val="11"/>
                <w:color w:val="auto"/>
              </w:rPr>
              <w:t>Total trading securities</w:t>
            </w:r>
          </w:p>
        </w:tc>
        <w:tc>
          <w:tcPr>
            <w:tcW w:w="1520" w:type="dxa"/>
            <w:vAlign w:val="bottom"/>
            <w:tcBorders>
              <w:bottom w:val="single" w:sz="8" w:color="auto"/>
            </w:tcBorders>
          </w:tcPr>
          <w:p>
            <w:pPr>
              <w:jc w:val="right"/>
              <w:ind w:right="13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140,282</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76,108</w:t>
            </w:r>
          </w:p>
        </w:tc>
      </w:tr>
      <w:tr>
        <w:trPr>
          <w:trHeight w:val="125"/>
        </w:trPr>
        <w:tc>
          <w:tcPr>
            <w:tcW w:w="7420" w:type="dxa"/>
            <w:vAlign w:val="bottom"/>
            <w:shd w:val="clear" w:color="auto" w:fill="DBDBDB"/>
          </w:tcPr>
          <w:p>
            <w:pPr>
              <w:spacing w:after="0" w:line="125" w:lineRule="exact"/>
              <w:rPr>
                <w:sz w:val="20"/>
                <w:szCs w:val="20"/>
                <w:color w:val="auto"/>
              </w:rPr>
            </w:pPr>
            <w:r>
              <w:rPr>
                <w:rFonts w:ascii="Arial" w:cs="Arial" w:eastAsia="Arial" w:hAnsi="Arial"/>
                <w:sz w:val="11"/>
                <w:szCs w:val="11"/>
                <w:b w:val="1"/>
                <w:bCs w:val="1"/>
                <w:color w:val="auto"/>
              </w:rPr>
              <w:t>Held-to-maturity securities — at amortized cost:</w:t>
            </w:r>
          </w:p>
        </w:tc>
        <w:tc>
          <w:tcPr>
            <w:tcW w:w="1520" w:type="dxa"/>
            <w:vAlign w:val="bottom"/>
            <w:shd w:val="clear" w:color="auto" w:fill="DBDBDB"/>
          </w:tcPr>
          <w:p>
            <w:pPr>
              <w:spacing w:after="0"/>
              <w:rPr>
                <w:sz w:val="10"/>
                <w:szCs w:val="10"/>
                <w:color w:val="auto"/>
              </w:rPr>
            </w:pPr>
          </w:p>
        </w:tc>
        <w:tc>
          <w:tcPr>
            <w:tcW w:w="44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640" w:type="dxa"/>
            <w:vAlign w:val="bottom"/>
            <w:shd w:val="clear" w:color="auto" w:fill="DBDBDB"/>
          </w:tcPr>
          <w:p>
            <w:pPr>
              <w:spacing w:after="0"/>
              <w:rPr>
                <w:sz w:val="10"/>
                <w:szCs w:val="10"/>
                <w:color w:val="auto"/>
              </w:rPr>
            </w:pPr>
          </w:p>
        </w:tc>
      </w:tr>
      <w:tr>
        <w:trPr>
          <w:trHeight w:val="143"/>
        </w:trPr>
        <w:tc>
          <w:tcPr>
            <w:tcW w:w="742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U.S. government notes</w:t>
            </w:r>
          </w:p>
        </w:tc>
        <w:tc>
          <w:tcPr>
            <w:tcW w:w="1520" w:type="dxa"/>
            <w:vAlign w:val="bottom"/>
            <w:tcBorders>
              <w:bottom w:val="single" w:sz="8" w:color="auto"/>
            </w:tcBorders>
          </w:tcPr>
          <w:p>
            <w:pPr>
              <w:jc w:val="right"/>
              <w:ind w:right="13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15,005</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15,420</w:t>
            </w:r>
          </w:p>
        </w:tc>
      </w:tr>
      <w:tr>
        <w:trPr>
          <w:trHeight w:val="133"/>
        </w:trPr>
        <w:tc>
          <w:tcPr>
            <w:tcW w:w="7420" w:type="dxa"/>
            <w:vAlign w:val="bottom"/>
            <w:shd w:val="clear" w:color="auto" w:fill="DBDBDB"/>
          </w:tcPr>
          <w:p>
            <w:pPr>
              <w:spacing w:after="0" w:line="123" w:lineRule="exact"/>
              <w:rPr>
                <w:sz w:val="20"/>
                <w:szCs w:val="20"/>
                <w:color w:val="auto"/>
              </w:rPr>
            </w:pPr>
            <w:r>
              <w:rPr>
                <w:rFonts w:ascii="Arial" w:cs="Arial" w:eastAsia="Arial" w:hAnsi="Arial"/>
                <w:sz w:val="11"/>
                <w:szCs w:val="11"/>
                <w:color w:val="auto"/>
              </w:rPr>
              <w:t>Total held-to-maturity securities</w:t>
            </w:r>
          </w:p>
        </w:tc>
        <w:tc>
          <w:tcPr>
            <w:tcW w:w="1520" w:type="dxa"/>
            <w:vAlign w:val="bottom"/>
            <w:tcBorders>
              <w:bottom w:val="single" w:sz="8" w:color="auto"/>
            </w:tcBorders>
            <w:shd w:val="clear" w:color="auto" w:fill="DBDBDB"/>
          </w:tcPr>
          <w:p>
            <w:pPr>
              <w:jc w:val="right"/>
              <w:ind w:right="13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15,005</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15,420</w:t>
            </w:r>
          </w:p>
        </w:tc>
      </w:tr>
      <w:tr>
        <w:trPr>
          <w:trHeight w:val="134"/>
        </w:trPr>
        <w:tc>
          <w:tcPr>
            <w:tcW w:w="7420" w:type="dxa"/>
            <w:vAlign w:val="bottom"/>
          </w:tcPr>
          <w:p>
            <w:pPr>
              <w:ind w:left="80"/>
              <w:spacing w:after="0"/>
              <w:rPr>
                <w:sz w:val="20"/>
                <w:szCs w:val="20"/>
                <w:color w:val="auto"/>
              </w:rPr>
            </w:pPr>
            <w:r>
              <w:rPr>
                <w:rFonts w:ascii="Arial" w:cs="Arial" w:eastAsia="Arial" w:hAnsi="Arial"/>
                <w:sz w:val="11"/>
                <w:szCs w:val="11"/>
                <w:color w:val="auto"/>
              </w:rPr>
              <w:t>Total investment securities</w:t>
            </w:r>
          </w:p>
        </w:tc>
        <w:tc>
          <w:tcPr>
            <w:tcW w:w="1520" w:type="dxa"/>
            <w:vAlign w:val="bottom"/>
            <w:tcBorders>
              <w:bottom w:val="single" w:sz="8" w:color="auto"/>
            </w:tcBorders>
          </w:tcPr>
          <w:p>
            <w:pPr>
              <w:jc w:val="right"/>
              <w:ind w:right="13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155,287</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91,528</w:t>
            </w:r>
          </w:p>
        </w:tc>
      </w:tr>
      <w:tr>
        <w:trPr>
          <w:trHeight w:val="20"/>
        </w:trPr>
        <w:tc>
          <w:tcPr>
            <w:tcW w:w="74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At September 30, 2026, the held-to-maturity securities were scheduled to mature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Within one year</w:t>
            </w:r>
          </w:p>
        </w:tc>
        <w:tc>
          <w:tcPr>
            <w:tcW w:w="1320" w:type="dxa"/>
            <w:vAlign w:val="bottom"/>
            <w:gridSpan w:val="2"/>
          </w:tcPr>
          <w:p>
            <w:pPr>
              <w:jc w:val="right"/>
              <w:spacing w:after="0"/>
              <w:rPr>
                <w:sz w:val="20"/>
                <w:szCs w:val="20"/>
                <w:color w:val="auto"/>
              </w:rPr>
            </w:pPr>
            <w:r>
              <w:rPr>
                <w:rFonts w:ascii="Arial" w:cs="Arial" w:eastAsia="Arial" w:hAnsi="Arial"/>
                <w:sz w:val="11"/>
                <w:szCs w:val="11"/>
                <w:b w:val="1"/>
                <w:bCs w:val="1"/>
                <w:color w:val="auto"/>
              </w:rPr>
              <w:t>After one but within five</w:t>
            </w:r>
          </w:p>
        </w:tc>
        <w:tc>
          <w:tcPr>
            <w:tcW w:w="1520" w:type="dxa"/>
            <w:vAlign w:val="bottom"/>
            <w:gridSpan w:val="2"/>
          </w:tcPr>
          <w:p>
            <w:pPr>
              <w:jc w:val="center"/>
              <w:ind w:right="106"/>
              <w:spacing w:after="0"/>
              <w:rPr>
                <w:sz w:val="20"/>
                <w:szCs w:val="20"/>
                <w:color w:val="auto"/>
              </w:rPr>
            </w:pPr>
            <w:r>
              <w:rPr>
                <w:rFonts w:ascii="Arial" w:cs="Arial" w:eastAsia="Arial" w:hAnsi="Arial"/>
                <w:sz w:val="11"/>
                <w:szCs w:val="11"/>
                <w:b w:val="1"/>
                <w:bCs w:val="1"/>
                <w:color w:val="auto"/>
                <w:w w:val="98"/>
              </w:rPr>
              <w:t>After five but within ten</w:t>
            </w:r>
          </w:p>
        </w:tc>
        <w:tc>
          <w:tcPr>
            <w:tcW w:w="14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After ten years</w:t>
            </w:r>
          </w:p>
        </w:tc>
        <w:tc>
          <w:tcPr>
            <w:tcW w:w="1020" w:type="dxa"/>
            <w:vAlign w:val="bottom"/>
            <w:vMerge w:val="restart"/>
          </w:tcPr>
          <w:p>
            <w:pPr>
              <w:jc w:val="right"/>
              <w:ind w:right="4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68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years</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426"/>
              <w:spacing w:after="0"/>
              <w:rPr>
                <w:sz w:val="20"/>
                <w:szCs w:val="20"/>
                <w:color w:val="auto"/>
              </w:rPr>
            </w:pPr>
            <w:r>
              <w:rPr>
                <w:rFonts w:ascii="Arial" w:cs="Arial" w:eastAsia="Arial" w:hAnsi="Arial"/>
                <w:sz w:val="11"/>
                <w:szCs w:val="11"/>
                <w:b w:val="1"/>
                <w:bCs w:val="1"/>
                <w:color w:val="auto"/>
                <w:w w:val="97"/>
              </w:rPr>
              <w:t>years</w:t>
            </w:r>
          </w:p>
        </w:tc>
        <w:tc>
          <w:tcPr>
            <w:tcW w:w="146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U.S. government notes — at amortized cost</w:t>
            </w:r>
          </w:p>
        </w:tc>
        <w:tc>
          <w:tcPr>
            <w:tcW w:w="160" w:type="dxa"/>
            <w:vAlign w:val="bottom"/>
            <w:tcBorders>
              <w:bottom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4,958</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10,047</w:t>
            </w:r>
          </w:p>
        </w:tc>
        <w:tc>
          <w:tcPr>
            <w:tcW w:w="32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shd w:val="clear" w:color="auto" w:fill="DBDBDB"/>
          </w:tcPr>
          <w:p>
            <w:pPr>
              <w:ind w:left="880"/>
              <w:spacing w:after="0"/>
              <w:rPr>
                <w:sz w:val="20"/>
                <w:szCs w:val="20"/>
                <w:color w:val="auto"/>
              </w:rPr>
            </w:pPr>
            <w:r>
              <w:rPr>
                <w:rFonts w:ascii="Arial" w:cs="Arial" w:eastAsia="Arial" w:hAnsi="Arial"/>
                <w:sz w:val="11"/>
                <w:szCs w:val="11"/>
                <w:color w:val="auto"/>
              </w:rPr>
              <w:t>— $</w:t>
            </w:r>
          </w:p>
        </w:tc>
        <w:tc>
          <w:tcPr>
            <w:tcW w:w="1460" w:type="dxa"/>
            <w:vAlign w:val="bottom"/>
            <w:tcBorders>
              <w:bottom w:val="single" w:sz="8" w:color="auto"/>
            </w:tcBorders>
            <w:shd w:val="clear" w:color="auto" w:fill="DBDBDB"/>
          </w:tcPr>
          <w:p>
            <w:pPr>
              <w:ind w:left="1000"/>
              <w:spacing w:after="0"/>
              <w:rPr>
                <w:sz w:val="20"/>
                <w:szCs w:val="20"/>
                <w:color w:val="auto"/>
              </w:rPr>
            </w:pPr>
            <w:r>
              <w:rPr>
                <w:rFonts w:ascii="Arial" w:cs="Arial" w:eastAsia="Arial" w:hAnsi="Arial"/>
                <w:sz w:val="11"/>
                <w:szCs w:val="11"/>
                <w:color w:val="auto"/>
              </w:rPr>
              <w:t>— $</w:t>
            </w:r>
          </w:p>
        </w:tc>
        <w:tc>
          <w:tcPr>
            <w:tcW w:w="10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15,005</w:t>
            </w:r>
          </w:p>
        </w:tc>
        <w:tc>
          <w:tcPr>
            <w:tcW w:w="0" w:type="dxa"/>
            <w:vAlign w:val="bottom"/>
          </w:tcPr>
          <w:p>
            <w:pPr>
              <w:spacing w:after="0"/>
              <w:rPr>
                <w:sz w:val="1"/>
                <w:szCs w:val="1"/>
                <w:color w:val="auto"/>
              </w:rPr>
            </w:pPr>
          </w:p>
        </w:tc>
      </w:tr>
      <w:tr>
        <w:trPr>
          <w:trHeight w:val="144"/>
        </w:trPr>
        <w:tc>
          <w:tcPr>
            <w:tcW w:w="4680" w:type="dxa"/>
            <w:vAlign w:val="bottom"/>
          </w:tcPr>
          <w:p>
            <w:pPr>
              <w:spacing w:after="0"/>
              <w:rPr>
                <w:sz w:val="20"/>
                <w:szCs w:val="20"/>
                <w:color w:val="auto"/>
              </w:rPr>
            </w:pPr>
            <w:r>
              <w:rPr>
                <w:rFonts w:ascii="Arial" w:cs="Arial" w:eastAsia="Arial" w:hAnsi="Arial"/>
                <w:sz w:val="11"/>
                <w:szCs w:val="11"/>
                <w:color w:val="auto"/>
              </w:rPr>
              <w:t>U.S. government notes — at fair value</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4,962</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9,851</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11"/>
                <w:szCs w:val="11"/>
                <w:color w:val="auto"/>
              </w:rPr>
              <w:t>— $</w:t>
            </w:r>
          </w:p>
        </w:tc>
        <w:tc>
          <w:tcPr>
            <w:tcW w:w="1460" w:type="dxa"/>
            <w:vAlign w:val="bottom"/>
            <w:tcBorders>
              <w:bottom w:val="single" w:sz="8" w:color="auto"/>
            </w:tcBorders>
          </w:tcPr>
          <w:p>
            <w:pPr>
              <w:ind w:left="1000"/>
              <w:spacing w:after="0"/>
              <w:rPr>
                <w:sz w:val="20"/>
                <w:szCs w:val="20"/>
                <w:color w:val="auto"/>
              </w:rPr>
            </w:pPr>
            <w:r>
              <w:rPr>
                <w:rFonts w:ascii="Arial" w:cs="Arial" w:eastAsia="Arial" w:hAnsi="Arial"/>
                <w:sz w:val="11"/>
                <w:szCs w:val="11"/>
                <w:color w:val="auto"/>
              </w:rPr>
              <w:t>— $</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14,813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GOODWILL AND OTHER INTANGIBLES, NET</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activity impacting goodwill is presented below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920" w:type="dxa"/>
            <w:vAlign w:val="bottom"/>
            <w:shd w:val="clear" w:color="auto" w:fill="DBDBDB"/>
          </w:tcPr>
          <w:p>
            <w:pPr>
              <w:spacing w:after="0"/>
              <w:rPr>
                <w:sz w:val="20"/>
                <w:szCs w:val="20"/>
                <w:color w:val="auto"/>
              </w:rPr>
            </w:pPr>
            <w:r>
              <w:rPr>
                <w:rFonts w:ascii="Arial" w:cs="Arial" w:eastAsia="Arial" w:hAnsi="Arial"/>
                <w:sz w:val="11"/>
                <w:szCs w:val="11"/>
                <w:color w:val="auto"/>
              </w:rPr>
              <w:t>Balance at December 31, 2024</w:t>
            </w:r>
          </w:p>
        </w:tc>
        <w:tc>
          <w:tcPr>
            <w:tcW w:w="460" w:type="dxa"/>
            <w:vAlign w:val="bottom"/>
            <w:shd w:val="clear" w:color="auto" w:fill="DBDBDB"/>
          </w:tcPr>
          <w:p>
            <w:pPr>
              <w:jc w:val="right"/>
              <w:ind w:right="3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2,172,873</w:t>
            </w:r>
          </w:p>
        </w:tc>
      </w:tr>
      <w:tr>
        <w:trPr>
          <w:trHeight w:val="143"/>
        </w:trPr>
        <w:tc>
          <w:tcPr>
            <w:tcW w:w="9920" w:type="dxa"/>
            <w:vAlign w:val="bottom"/>
          </w:tcPr>
          <w:p>
            <w:pPr>
              <w:ind w:left="120"/>
              <w:spacing w:after="0"/>
              <w:rPr>
                <w:sz w:val="20"/>
                <w:szCs w:val="20"/>
                <w:color w:val="auto"/>
              </w:rPr>
            </w:pPr>
            <w:r>
              <w:rPr>
                <w:rFonts w:ascii="Arial" w:cs="Arial" w:eastAsia="Arial" w:hAnsi="Arial"/>
                <w:sz w:val="11"/>
                <w:szCs w:val="11"/>
                <w:color w:val="auto"/>
              </w:rPr>
              <w:t>Goodwill acquired</w:t>
            </w:r>
          </w:p>
        </w:tc>
        <w:tc>
          <w:tcPr>
            <w:tcW w:w="46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497,885</w:t>
            </w:r>
          </w:p>
        </w:tc>
      </w:tr>
      <w:tr>
        <w:trPr>
          <w:trHeight w:val="145"/>
        </w:trPr>
        <w:tc>
          <w:tcPr>
            <w:tcW w:w="9920" w:type="dxa"/>
            <w:vAlign w:val="bottom"/>
            <w:shd w:val="clear" w:color="auto" w:fill="DBDBDB"/>
          </w:tcPr>
          <w:p>
            <w:pPr>
              <w:ind w:left="120"/>
              <w:spacing w:after="0"/>
              <w:rPr>
                <w:sz w:val="20"/>
                <w:szCs w:val="20"/>
                <w:color w:val="auto"/>
              </w:rPr>
            </w:pPr>
            <w:r>
              <w:rPr>
                <w:rFonts w:ascii="Arial" w:cs="Arial" w:eastAsia="Arial" w:hAnsi="Arial"/>
                <w:sz w:val="11"/>
                <w:szCs w:val="11"/>
                <w:color w:val="auto"/>
              </w:rPr>
              <w:t>Purchase accounting adjustments</w:t>
            </w:r>
          </w:p>
        </w:tc>
        <w:tc>
          <w:tcPr>
            <w:tcW w:w="460" w:type="dxa"/>
            <w:vAlign w:val="bottom"/>
            <w:tcBorders>
              <w:bottom w:val="single" w:sz="8" w:color="auto"/>
            </w:tcBorders>
            <w:shd w:val="clear" w:color="auto" w:fill="DBDBDB"/>
          </w:tcPr>
          <w:p>
            <w:pPr>
              <w:spacing w:after="0"/>
              <w:rPr>
                <w:sz w:val="12"/>
                <w:szCs w:val="1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(26,035)</w:t>
            </w:r>
          </w:p>
        </w:tc>
      </w:tr>
      <w:tr>
        <w:trPr>
          <w:trHeight w:val="132"/>
        </w:trPr>
        <w:tc>
          <w:tcPr>
            <w:tcW w:w="9920" w:type="dxa"/>
            <w:vAlign w:val="bottom"/>
          </w:tcPr>
          <w:p>
            <w:pPr>
              <w:spacing w:after="0"/>
              <w:rPr>
                <w:sz w:val="20"/>
                <w:szCs w:val="20"/>
                <w:color w:val="auto"/>
              </w:rPr>
            </w:pPr>
            <w:r>
              <w:rPr>
                <w:rFonts w:ascii="Arial" w:cs="Arial" w:eastAsia="Arial" w:hAnsi="Arial"/>
                <w:sz w:val="11"/>
                <w:szCs w:val="11"/>
                <w:color w:val="auto"/>
              </w:rPr>
              <w:t>Balance at December 31, 2025</w:t>
            </w:r>
          </w:p>
        </w:tc>
        <w:tc>
          <w:tcPr>
            <w:tcW w:w="460" w:type="dxa"/>
            <w:vAlign w:val="bottom"/>
          </w:tcPr>
          <w:p>
            <w:pPr>
              <w:spacing w:after="0"/>
              <w:rPr>
                <w:sz w:val="11"/>
                <w:szCs w:val="11"/>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2,644,723</w:t>
            </w:r>
          </w:p>
        </w:tc>
      </w:tr>
      <w:tr>
        <w:trPr>
          <w:trHeight w:val="145"/>
        </w:trPr>
        <w:tc>
          <w:tcPr>
            <w:tcW w:w="9920" w:type="dxa"/>
            <w:vAlign w:val="bottom"/>
            <w:shd w:val="clear" w:color="auto" w:fill="DBDBDB"/>
          </w:tcPr>
          <w:p>
            <w:pPr>
              <w:ind w:left="120"/>
              <w:spacing w:after="0"/>
              <w:rPr>
                <w:sz w:val="20"/>
                <w:szCs w:val="20"/>
                <w:color w:val="auto"/>
              </w:rPr>
            </w:pPr>
            <w:r>
              <w:rPr>
                <w:rFonts w:ascii="Arial" w:cs="Arial" w:eastAsia="Arial" w:hAnsi="Arial"/>
                <w:sz w:val="11"/>
                <w:szCs w:val="11"/>
                <w:color w:val="auto"/>
              </w:rPr>
              <w:t>Goodwill acquired</w:t>
            </w:r>
          </w:p>
        </w:tc>
        <w:tc>
          <w:tcPr>
            <w:tcW w:w="460" w:type="dxa"/>
            <w:vAlign w:val="bottom"/>
            <w:shd w:val="clear" w:color="auto" w:fill="DBDBDB"/>
          </w:tcPr>
          <w:p>
            <w:pPr>
              <w:spacing w:after="0"/>
              <w:rPr>
                <w:sz w:val="12"/>
                <w:szCs w:val="12"/>
                <w:color w:val="auto"/>
              </w:rPr>
            </w:pPr>
          </w:p>
        </w:tc>
        <w:tc>
          <w:tcPr>
            <w:tcW w:w="9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59,022</w:t>
            </w:r>
          </w:p>
        </w:tc>
      </w:tr>
      <w:tr>
        <w:trPr>
          <w:trHeight w:val="143"/>
        </w:trPr>
        <w:tc>
          <w:tcPr>
            <w:tcW w:w="992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Purchase accounting adjustments</w:t>
            </w: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(3,998)</w:t>
            </w:r>
          </w:p>
        </w:tc>
      </w:tr>
      <w:tr>
        <w:trPr>
          <w:trHeight w:val="150"/>
        </w:trPr>
        <w:tc>
          <w:tcPr>
            <w:tcW w:w="99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Balance at September 30, 2026</w:t>
            </w:r>
          </w:p>
        </w:tc>
        <w:tc>
          <w:tcPr>
            <w:tcW w:w="460" w:type="dxa"/>
            <w:vAlign w:val="bottom"/>
            <w:tcBorders>
              <w:bottom w:val="single" w:sz="8" w:color="auto"/>
            </w:tcBorders>
            <w:shd w:val="clear" w:color="auto" w:fill="DBDBDB"/>
          </w:tcPr>
          <w:p>
            <w:pPr>
              <w:jc w:val="right"/>
              <w:ind w:right="3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2,699,747</w:t>
            </w:r>
          </w:p>
        </w:tc>
      </w:tr>
    </w:tbl>
    <w:p>
      <w:pPr>
        <w:spacing w:after="0" w:line="104" w:lineRule="exact"/>
        <w:rPr>
          <w:sz w:val="20"/>
          <w:szCs w:val="20"/>
          <w:color w:val="auto"/>
        </w:rPr>
      </w:pPr>
    </w:p>
    <w:p>
      <w:pPr>
        <w:ind w:right="440"/>
        <w:spacing w:after="0" w:line="286" w:lineRule="auto"/>
        <w:rPr>
          <w:sz w:val="20"/>
          <w:szCs w:val="20"/>
          <w:color w:val="auto"/>
        </w:rPr>
      </w:pPr>
      <w:r>
        <w:rPr>
          <w:rFonts w:ascii="Arial" w:cs="Arial" w:eastAsia="Arial" w:hAnsi="Arial"/>
          <w:sz w:val="12"/>
          <w:szCs w:val="12"/>
          <w:color w:val="auto"/>
        </w:rPr>
        <w:t xml:space="preserve">The Company completed various acquisitions, which were accounted for under the acquisition method of accounting for business combinations and as asset acquisitions, and recorded purchase accounting adjustments during the periods presented.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for additional information.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3" w:name="page44"/>
    <w:bookmarkEnd w:id="43"/>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other intangibles, net were as follows at September 30, 2026 (in thousands):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78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8"/>
              </w:rPr>
              <w:t>Weighted-Average Life</w:t>
            </w:r>
          </w:p>
        </w:tc>
        <w:tc>
          <w:tcPr>
            <w:tcW w:w="260" w:type="dxa"/>
            <w:vAlign w:val="bottom"/>
          </w:tcPr>
          <w:p>
            <w:pPr>
              <w:spacing w:after="0"/>
              <w:rPr>
                <w:sz w:val="10"/>
                <w:szCs w:val="10"/>
                <w:color w:val="auto"/>
              </w:rPr>
            </w:pPr>
          </w:p>
        </w:tc>
        <w:tc>
          <w:tcPr>
            <w:tcW w:w="1060" w:type="dxa"/>
            <w:vAlign w:val="bottom"/>
          </w:tcPr>
          <w:p>
            <w:pPr>
              <w:jc w:val="center"/>
              <w:ind w:right="186"/>
              <w:spacing w:after="0"/>
              <w:rPr>
                <w:sz w:val="20"/>
                <w:szCs w:val="20"/>
                <w:color w:val="auto"/>
              </w:rPr>
            </w:pPr>
            <w:r>
              <w:rPr>
                <w:rFonts w:ascii="Arial" w:cs="Arial" w:eastAsia="Arial" w:hAnsi="Arial"/>
                <w:sz w:val="11"/>
                <w:szCs w:val="11"/>
                <w:b w:val="1"/>
                <w:bCs w:val="1"/>
                <w:color w:val="auto"/>
                <w:w w:val="94"/>
              </w:rPr>
              <w:t>Gross</w:t>
            </w: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center"/>
              <w:ind w:right="206"/>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08"/>
        </w:trPr>
        <w:tc>
          <w:tcPr>
            <w:tcW w:w="578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Remaining</w:t>
            </w:r>
          </w:p>
        </w:tc>
        <w:tc>
          <w:tcPr>
            <w:tcW w:w="260" w:type="dxa"/>
            <w:vAlign w:val="bottom"/>
          </w:tcPr>
          <w:p>
            <w:pPr>
              <w:spacing w:after="0"/>
              <w:rPr>
                <w:sz w:val="9"/>
                <w:szCs w:val="9"/>
                <w:color w:val="auto"/>
              </w:rPr>
            </w:pPr>
          </w:p>
        </w:tc>
        <w:tc>
          <w:tcPr>
            <w:tcW w:w="1060" w:type="dxa"/>
            <w:vAlign w:val="bottom"/>
          </w:tcPr>
          <w:p>
            <w:pPr>
              <w:jc w:val="center"/>
              <w:ind w:right="166"/>
              <w:spacing w:after="0" w:line="108" w:lineRule="exact"/>
              <w:rPr>
                <w:sz w:val="20"/>
                <w:szCs w:val="20"/>
                <w:color w:val="auto"/>
              </w:rPr>
            </w:pPr>
            <w:r>
              <w:rPr>
                <w:rFonts w:ascii="Arial" w:cs="Arial" w:eastAsia="Arial" w:hAnsi="Arial"/>
                <w:sz w:val="11"/>
                <w:szCs w:val="11"/>
                <w:b w:val="1"/>
                <w:bCs w:val="1"/>
                <w:color w:val="auto"/>
                <w:w w:val="97"/>
              </w:rPr>
              <w:t>Carrying</w:t>
            </w:r>
          </w:p>
        </w:tc>
        <w:tc>
          <w:tcPr>
            <w:tcW w:w="14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Accumulated Amortization</w:t>
            </w:r>
          </w:p>
        </w:tc>
        <w:tc>
          <w:tcPr>
            <w:tcW w:w="280" w:type="dxa"/>
            <w:vAlign w:val="bottom"/>
          </w:tcPr>
          <w:p>
            <w:pPr>
              <w:spacing w:after="0"/>
              <w:rPr>
                <w:sz w:val="9"/>
                <w:szCs w:val="9"/>
                <w:color w:val="auto"/>
              </w:rPr>
            </w:pPr>
          </w:p>
        </w:tc>
        <w:tc>
          <w:tcPr>
            <w:tcW w:w="1120" w:type="dxa"/>
            <w:vAlign w:val="bottom"/>
          </w:tcPr>
          <w:p>
            <w:pPr>
              <w:jc w:val="center"/>
              <w:ind w:right="226"/>
              <w:spacing w:after="0" w:line="108" w:lineRule="exact"/>
              <w:rPr>
                <w:sz w:val="20"/>
                <w:szCs w:val="20"/>
                <w:color w:val="auto"/>
              </w:rPr>
            </w:pPr>
            <w:r>
              <w:rPr>
                <w:rFonts w:ascii="Arial" w:cs="Arial" w:eastAsia="Arial" w:hAnsi="Arial"/>
                <w:sz w:val="11"/>
                <w:szCs w:val="11"/>
                <w:b w:val="1"/>
                <w:bCs w:val="1"/>
                <w:color w:val="auto"/>
                <w:w w:val="97"/>
              </w:rPr>
              <w:t>Carrying</w:t>
            </w:r>
          </w:p>
        </w:tc>
        <w:tc>
          <w:tcPr>
            <w:tcW w:w="0" w:type="dxa"/>
            <w:vAlign w:val="bottom"/>
          </w:tcPr>
          <w:p>
            <w:pPr>
              <w:spacing w:after="0"/>
              <w:rPr>
                <w:sz w:val="1"/>
                <w:szCs w:val="1"/>
                <w:color w:val="auto"/>
              </w:rPr>
            </w:pPr>
          </w:p>
        </w:tc>
      </w:tr>
      <w:tr>
        <w:trPr>
          <w:trHeight w:val="144"/>
        </w:trPr>
        <w:tc>
          <w:tcPr>
            <w:tcW w:w="5780" w:type="dxa"/>
            <w:vAlign w:val="bottom"/>
            <w:tcBorders>
              <w:bottom w:val="single" w:sz="8" w:color="DBDBDB"/>
            </w:tcBorders>
          </w:tcPr>
          <w:p>
            <w:pPr>
              <w:spacing w:after="0"/>
              <w:rPr>
                <w:sz w:val="12"/>
                <w:szCs w:val="12"/>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(in years)</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5"/>
              </w:rPr>
              <w:t>Value</w:t>
            </w:r>
          </w:p>
        </w:tc>
        <w:tc>
          <w:tcPr>
            <w:tcW w:w="144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26"/>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24"/>
        </w:trPr>
        <w:tc>
          <w:tcPr>
            <w:tcW w:w="578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Definite-lived intangibles, net</w:t>
            </w:r>
            <w:r>
              <w:rPr>
                <w:rFonts w:ascii="Arial" w:cs="Arial" w:eastAsia="Arial" w:hAnsi="Arial"/>
                <w:sz w:val="7"/>
                <w:szCs w:val="7"/>
                <w:b w:val="1"/>
                <w:bCs w:val="1"/>
                <w:color w:val="auto"/>
              </w:rPr>
              <w:t>(1)</w:t>
            </w:r>
            <w:r>
              <w:rPr>
                <w:rFonts w:ascii="Arial" w:cs="Arial" w:eastAsia="Arial" w:hAnsi="Arial"/>
                <w:sz w:val="11"/>
                <w:szCs w:val="11"/>
                <w:b w:val="1"/>
                <w:bCs w:val="1"/>
                <w:color w:val="auto"/>
              </w:rPr>
              <w:t>:</w:t>
            </w:r>
          </w:p>
        </w:tc>
        <w:tc>
          <w:tcPr>
            <w:tcW w:w="136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1060" w:type="dxa"/>
            <w:vAlign w:val="bottom"/>
            <w:shd w:val="clear" w:color="auto" w:fill="DBDBDB"/>
          </w:tcPr>
          <w:p>
            <w:pPr>
              <w:spacing w:after="0"/>
              <w:rPr>
                <w:sz w:val="10"/>
                <w:szCs w:val="10"/>
                <w:color w:val="auto"/>
              </w:rPr>
            </w:pPr>
          </w:p>
        </w:tc>
        <w:tc>
          <w:tcPr>
            <w:tcW w:w="48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Advisor and institution relationships</w:t>
            </w:r>
          </w:p>
        </w:tc>
        <w:tc>
          <w:tcPr>
            <w:tcW w:w="1360" w:type="dxa"/>
            <w:vAlign w:val="bottom"/>
          </w:tcPr>
          <w:p>
            <w:pPr>
              <w:jc w:val="center"/>
              <w:spacing w:after="0"/>
              <w:rPr>
                <w:sz w:val="20"/>
                <w:szCs w:val="20"/>
                <w:color w:val="auto"/>
              </w:rPr>
            </w:pPr>
            <w:r>
              <w:rPr>
                <w:rFonts w:ascii="Arial" w:cs="Arial" w:eastAsia="Arial" w:hAnsi="Arial"/>
                <w:sz w:val="11"/>
                <w:szCs w:val="11"/>
                <w:color w:val="auto"/>
                <w:w w:val="93"/>
              </w:rPr>
              <w:t>13.0</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3,475,697</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(1,004,099)</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2,471,598</w:t>
            </w:r>
          </w:p>
        </w:tc>
        <w:tc>
          <w:tcPr>
            <w:tcW w:w="0" w:type="dxa"/>
            <w:vAlign w:val="bottom"/>
          </w:tcPr>
          <w:p>
            <w:pPr>
              <w:spacing w:after="0"/>
              <w:rPr>
                <w:sz w:val="1"/>
                <w:szCs w:val="1"/>
                <w:color w:val="auto"/>
              </w:rPr>
            </w:pPr>
          </w:p>
        </w:tc>
      </w:tr>
      <w:tr>
        <w:trPr>
          <w:trHeight w:val="145"/>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Client relationships</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3"/>
              </w:rPr>
              <w:t>11.7</w:t>
            </w: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1,137,276</w:t>
            </w:r>
          </w:p>
        </w:tc>
        <w:tc>
          <w:tcPr>
            <w:tcW w:w="48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(205,377)</w:t>
            </w:r>
          </w:p>
        </w:tc>
        <w:tc>
          <w:tcPr>
            <w:tcW w:w="28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931,899</w:t>
            </w: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Trade name</w:t>
            </w:r>
          </w:p>
        </w:tc>
        <w:tc>
          <w:tcPr>
            <w:tcW w:w="1360" w:type="dxa"/>
            <w:vAlign w:val="bottom"/>
          </w:tcPr>
          <w:p>
            <w:pPr>
              <w:jc w:val="center"/>
              <w:spacing w:after="0"/>
              <w:rPr>
                <w:sz w:val="20"/>
                <w:szCs w:val="20"/>
                <w:color w:val="auto"/>
              </w:rPr>
            </w:pPr>
            <w:r>
              <w:rPr>
                <w:rFonts w:ascii="Arial" w:cs="Arial" w:eastAsia="Arial" w:hAnsi="Arial"/>
                <w:sz w:val="11"/>
                <w:szCs w:val="11"/>
                <w:color w:val="auto"/>
                <w:w w:val="93"/>
              </w:rPr>
              <w:t>14.8</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26,000</w:t>
            </w:r>
          </w:p>
        </w:tc>
        <w:tc>
          <w:tcPr>
            <w:tcW w:w="4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(1,896)</w:t>
            </w:r>
          </w:p>
        </w:tc>
        <w:tc>
          <w:tcPr>
            <w:tcW w:w="28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24,104</w:t>
            </w:r>
          </w:p>
        </w:tc>
        <w:tc>
          <w:tcPr>
            <w:tcW w:w="0" w:type="dxa"/>
            <w:vAlign w:val="bottom"/>
          </w:tcPr>
          <w:p>
            <w:pPr>
              <w:spacing w:after="0"/>
              <w:rPr>
                <w:sz w:val="1"/>
                <w:szCs w:val="1"/>
                <w:color w:val="auto"/>
              </w:rPr>
            </w:pPr>
          </w:p>
        </w:tc>
      </w:tr>
      <w:tr>
        <w:trPr>
          <w:trHeight w:val="145"/>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Technology</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2.3</w:t>
            </w: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20,930</w:t>
            </w:r>
          </w:p>
        </w:tc>
        <w:tc>
          <w:tcPr>
            <w:tcW w:w="48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(16,766)</w:t>
            </w:r>
          </w:p>
        </w:tc>
        <w:tc>
          <w:tcPr>
            <w:tcW w:w="28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4,164</w:t>
            </w:r>
          </w:p>
        </w:tc>
        <w:tc>
          <w:tcPr>
            <w:tcW w:w="0" w:type="dxa"/>
            <w:vAlign w:val="bottom"/>
          </w:tcPr>
          <w:p>
            <w:pPr>
              <w:spacing w:after="0"/>
              <w:rPr>
                <w:sz w:val="1"/>
                <w:szCs w:val="1"/>
                <w:color w:val="auto"/>
              </w:rPr>
            </w:pPr>
          </w:p>
        </w:tc>
      </w:tr>
      <w:tr>
        <w:trPr>
          <w:trHeight w:val="143"/>
        </w:trPr>
        <w:tc>
          <w:tcPr>
            <w:tcW w:w="578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Product sponsor relationships</w:t>
            </w:r>
          </w:p>
        </w:tc>
        <w:tc>
          <w:tcPr>
            <w:tcW w:w="1360" w:type="dxa"/>
            <w:vAlign w:val="bottom"/>
            <w:tcBorders>
              <w:bottom w:val="single" w:sz="8" w:color="DBDBDB"/>
            </w:tcBorders>
          </w:tcPr>
          <w:p>
            <w:pPr>
              <w:jc w:val="center"/>
              <w:spacing w:after="0"/>
              <w:rPr>
                <w:sz w:val="20"/>
                <w:szCs w:val="20"/>
                <w:color w:val="auto"/>
              </w:rPr>
            </w:pPr>
            <w:r>
              <w:rPr>
                <w:rFonts w:ascii="Arial" w:cs="Arial" w:eastAsia="Arial" w:hAnsi="Arial"/>
                <w:sz w:val="11"/>
                <w:szCs w:val="11"/>
                <w:color w:val="auto"/>
              </w:rPr>
              <w:t>0.6</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234,086</w:t>
            </w: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(233,444)</w:t>
            </w: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642</w:t>
            </w:r>
          </w:p>
        </w:tc>
        <w:tc>
          <w:tcPr>
            <w:tcW w:w="0" w:type="dxa"/>
            <w:vAlign w:val="bottom"/>
          </w:tcPr>
          <w:p>
            <w:pPr>
              <w:spacing w:after="0"/>
              <w:rPr>
                <w:sz w:val="1"/>
                <w:szCs w:val="1"/>
                <w:color w:val="auto"/>
              </w:rPr>
            </w:pPr>
          </w:p>
        </w:tc>
      </w:tr>
      <w:tr>
        <w:trPr>
          <w:trHeight w:val="154"/>
        </w:trPr>
        <w:tc>
          <w:tcPr>
            <w:tcW w:w="5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definite-lived intangible assets, net</w:t>
            </w:r>
          </w:p>
        </w:tc>
        <w:tc>
          <w:tcPr>
            <w:tcW w:w="136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auto"/>
            </w:tcBorders>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4,893,989</w:t>
            </w:r>
          </w:p>
        </w:tc>
        <w:tc>
          <w:tcPr>
            <w:tcW w:w="480" w:type="dxa"/>
            <w:vAlign w:val="bottom"/>
            <w:tcBorders>
              <w:bottom w:val="single" w:sz="8" w:color="auto"/>
            </w:tcBorders>
            <w:shd w:val="clear" w:color="auto" w:fill="DBDBDB"/>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(1,461,582)</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3,432,407</w:t>
            </w:r>
          </w:p>
        </w:tc>
        <w:tc>
          <w:tcPr>
            <w:tcW w:w="0" w:type="dxa"/>
            <w:vAlign w:val="bottom"/>
          </w:tcPr>
          <w:p>
            <w:pPr>
              <w:spacing w:after="0"/>
              <w:rPr>
                <w:sz w:val="1"/>
                <w:szCs w:val="1"/>
                <w:color w:val="auto"/>
              </w:rPr>
            </w:pPr>
          </w:p>
        </w:tc>
      </w:tr>
      <w:tr>
        <w:trPr>
          <w:trHeight w:val="122"/>
        </w:trPr>
        <w:tc>
          <w:tcPr>
            <w:tcW w:w="5780" w:type="dxa"/>
            <w:vAlign w:val="bottom"/>
          </w:tcPr>
          <w:p>
            <w:pPr>
              <w:spacing w:after="0" w:line="122" w:lineRule="exact"/>
              <w:rPr>
                <w:sz w:val="20"/>
                <w:szCs w:val="20"/>
                <w:color w:val="auto"/>
              </w:rPr>
            </w:pPr>
            <w:r>
              <w:rPr>
                <w:rFonts w:ascii="Arial" w:cs="Arial" w:eastAsia="Arial" w:hAnsi="Arial"/>
                <w:sz w:val="11"/>
                <w:szCs w:val="11"/>
                <w:b w:val="1"/>
                <w:bCs w:val="1"/>
                <w:color w:val="auto"/>
              </w:rPr>
              <w:t>Other indefinite-lived intangibles:</w:t>
            </w: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Trademark and trade name</w:t>
            </w:r>
          </w:p>
        </w:tc>
        <w:tc>
          <w:tcPr>
            <w:tcW w:w="136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28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39,819</w:t>
            </w:r>
          </w:p>
        </w:tc>
        <w:tc>
          <w:tcPr>
            <w:tcW w:w="0" w:type="dxa"/>
            <w:vAlign w:val="bottom"/>
          </w:tcPr>
          <w:p>
            <w:pPr>
              <w:spacing w:after="0"/>
              <w:rPr>
                <w:sz w:val="1"/>
                <w:szCs w:val="1"/>
                <w:color w:val="auto"/>
              </w:rPr>
            </w:pPr>
          </w:p>
        </w:tc>
      </w:tr>
      <w:tr>
        <w:trPr>
          <w:trHeight w:val="134"/>
        </w:trPr>
        <w:tc>
          <w:tcPr>
            <w:tcW w:w="5780" w:type="dxa"/>
            <w:vAlign w:val="bottom"/>
          </w:tcPr>
          <w:p>
            <w:pPr>
              <w:ind w:left="220"/>
              <w:spacing w:after="0"/>
              <w:rPr>
                <w:sz w:val="20"/>
                <w:szCs w:val="20"/>
                <w:color w:val="auto"/>
              </w:rPr>
            </w:pPr>
            <w:r>
              <w:rPr>
                <w:rFonts w:ascii="Arial" w:cs="Arial" w:eastAsia="Arial" w:hAnsi="Arial"/>
                <w:sz w:val="11"/>
                <w:szCs w:val="11"/>
                <w:color w:val="auto"/>
              </w:rPr>
              <w:t>Total other intangibles, net</w:t>
            </w: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3,472,226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308" w:hanging="308"/>
        <w:spacing w:after="0"/>
        <w:tabs>
          <w:tab w:leader="none" w:pos="308" w:val="left"/>
        </w:tabs>
        <w:numPr>
          <w:ilvl w:val="0"/>
          <w:numId w:val="30"/>
        </w:numPr>
        <w:rPr>
          <w:rFonts w:ascii="Arial" w:cs="Arial" w:eastAsia="Arial" w:hAnsi="Arial"/>
          <w:sz w:val="10"/>
          <w:szCs w:val="10"/>
          <w:color w:val="auto"/>
        </w:rPr>
      </w:pPr>
      <w:r>
        <w:rPr>
          <w:rFonts w:ascii="Arial" w:cs="Arial" w:eastAsia="Arial" w:hAnsi="Arial"/>
          <w:sz w:val="10"/>
          <w:szCs w:val="10"/>
          <w:color w:val="auto"/>
        </w:rPr>
        <w:t xml:space="preserve">During the nine months ended September 30, 2026, the Company completed various acquisitions. See Note 4 - </w:t>
      </w:r>
      <w:r>
        <w:rPr>
          <w:rFonts w:ascii="Arial" w:cs="Arial" w:eastAsia="Arial" w:hAnsi="Arial"/>
          <w:sz w:val="10"/>
          <w:szCs w:val="10"/>
          <w:i w:val="1"/>
          <w:iCs w:val="1"/>
          <w:color w:val="auto"/>
        </w:rPr>
        <w:t>Acquisitions</w:t>
      </w:r>
      <w:r>
        <w:rPr>
          <w:rFonts w:ascii="Arial" w:cs="Arial" w:eastAsia="Arial" w:hAnsi="Arial"/>
          <w:sz w:val="10"/>
          <w:szCs w:val="10"/>
          <w:color w:val="auto"/>
        </w:rPr>
        <w:t>, for additional information.</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components of other intangibles, net were as follows at December 31, 2025 (in thousands):</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78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8"/>
              </w:rPr>
              <w:t>Weighted-Average Life</w:t>
            </w:r>
          </w:p>
        </w:tc>
        <w:tc>
          <w:tcPr>
            <w:tcW w:w="260" w:type="dxa"/>
            <w:vAlign w:val="bottom"/>
          </w:tcPr>
          <w:p>
            <w:pPr>
              <w:spacing w:after="0"/>
              <w:rPr>
                <w:sz w:val="10"/>
                <w:szCs w:val="10"/>
                <w:color w:val="auto"/>
              </w:rPr>
            </w:pPr>
          </w:p>
        </w:tc>
        <w:tc>
          <w:tcPr>
            <w:tcW w:w="1060" w:type="dxa"/>
            <w:vAlign w:val="bottom"/>
          </w:tcPr>
          <w:p>
            <w:pPr>
              <w:jc w:val="center"/>
              <w:ind w:right="186"/>
              <w:spacing w:after="0"/>
              <w:rPr>
                <w:sz w:val="20"/>
                <w:szCs w:val="20"/>
                <w:color w:val="auto"/>
              </w:rPr>
            </w:pPr>
            <w:r>
              <w:rPr>
                <w:rFonts w:ascii="Arial" w:cs="Arial" w:eastAsia="Arial" w:hAnsi="Arial"/>
                <w:sz w:val="11"/>
                <w:szCs w:val="11"/>
                <w:b w:val="1"/>
                <w:bCs w:val="1"/>
                <w:color w:val="auto"/>
                <w:w w:val="94"/>
              </w:rPr>
              <w:t>Gross</w:t>
            </w: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center"/>
              <w:ind w:right="206"/>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08"/>
        </w:trPr>
        <w:tc>
          <w:tcPr>
            <w:tcW w:w="578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Remaining</w:t>
            </w:r>
          </w:p>
        </w:tc>
        <w:tc>
          <w:tcPr>
            <w:tcW w:w="260" w:type="dxa"/>
            <w:vAlign w:val="bottom"/>
          </w:tcPr>
          <w:p>
            <w:pPr>
              <w:spacing w:after="0"/>
              <w:rPr>
                <w:sz w:val="9"/>
                <w:szCs w:val="9"/>
                <w:color w:val="auto"/>
              </w:rPr>
            </w:pPr>
          </w:p>
        </w:tc>
        <w:tc>
          <w:tcPr>
            <w:tcW w:w="1060" w:type="dxa"/>
            <w:vAlign w:val="bottom"/>
          </w:tcPr>
          <w:p>
            <w:pPr>
              <w:jc w:val="center"/>
              <w:ind w:right="166"/>
              <w:spacing w:after="0" w:line="108" w:lineRule="exact"/>
              <w:rPr>
                <w:sz w:val="20"/>
                <w:szCs w:val="20"/>
                <w:color w:val="auto"/>
              </w:rPr>
            </w:pPr>
            <w:r>
              <w:rPr>
                <w:rFonts w:ascii="Arial" w:cs="Arial" w:eastAsia="Arial" w:hAnsi="Arial"/>
                <w:sz w:val="11"/>
                <w:szCs w:val="11"/>
                <w:b w:val="1"/>
                <w:bCs w:val="1"/>
                <w:color w:val="auto"/>
                <w:w w:val="97"/>
              </w:rPr>
              <w:t>Carrying</w:t>
            </w:r>
          </w:p>
        </w:tc>
        <w:tc>
          <w:tcPr>
            <w:tcW w:w="14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Accumulated Amortization</w:t>
            </w:r>
          </w:p>
        </w:tc>
        <w:tc>
          <w:tcPr>
            <w:tcW w:w="280" w:type="dxa"/>
            <w:vAlign w:val="bottom"/>
          </w:tcPr>
          <w:p>
            <w:pPr>
              <w:spacing w:after="0"/>
              <w:rPr>
                <w:sz w:val="9"/>
                <w:szCs w:val="9"/>
                <w:color w:val="auto"/>
              </w:rPr>
            </w:pPr>
          </w:p>
        </w:tc>
        <w:tc>
          <w:tcPr>
            <w:tcW w:w="1120" w:type="dxa"/>
            <w:vAlign w:val="bottom"/>
          </w:tcPr>
          <w:p>
            <w:pPr>
              <w:jc w:val="center"/>
              <w:ind w:right="226"/>
              <w:spacing w:after="0" w:line="108" w:lineRule="exact"/>
              <w:rPr>
                <w:sz w:val="20"/>
                <w:szCs w:val="20"/>
                <w:color w:val="auto"/>
              </w:rPr>
            </w:pPr>
            <w:r>
              <w:rPr>
                <w:rFonts w:ascii="Arial" w:cs="Arial" w:eastAsia="Arial" w:hAnsi="Arial"/>
                <w:sz w:val="11"/>
                <w:szCs w:val="11"/>
                <w:b w:val="1"/>
                <w:bCs w:val="1"/>
                <w:color w:val="auto"/>
                <w:w w:val="97"/>
              </w:rPr>
              <w:t>Carrying</w:t>
            </w:r>
          </w:p>
        </w:tc>
        <w:tc>
          <w:tcPr>
            <w:tcW w:w="0" w:type="dxa"/>
            <w:vAlign w:val="bottom"/>
          </w:tcPr>
          <w:p>
            <w:pPr>
              <w:spacing w:after="0"/>
              <w:rPr>
                <w:sz w:val="1"/>
                <w:szCs w:val="1"/>
                <w:color w:val="auto"/>
              </w:rPr>
            </w:pPr>
          </w:p>
        </w:tc>
      </w:tr>
      <w:tr>
        <w:trPr>
          <w:trHeight w:val="144"/>
        </w:trPr>
        <w:tc>
          <w:tcPr>
            <w:tcW w:w="5780" w:type="dxa"/>
            <w:vAlign w:val="bottom"/>
            <w:tcBorders>
              <w:bottom w:val="single" w:sz="8" w:color="DBDBDB"/>
            </w:tcBorders>
          </w:tcPr>
          <w:p>
            <w:pPr>
              <w:spacing w:after="0"/>
              <w:rPr>
                <w:sz w:val="12"/>
                <w:szCs w:val="12"/>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(in years)</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5"/>
              </w:rPr>
              <w:t>Value</w:t>
            </w:r>
          </w:p>
        </w:tc>
        <w:tc>
          <w:tcPr>
            <w:tcW w:w="144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26"/>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24"/>
        </w:trPr>
        <w:tc>
          <w:tcPr>
            <w:tcW w:w="578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Definite-lived intangibles, net</w:t>
            </w:r>
            <w:r>
              <w:rPr>
                <w:rFonts w:ascii="Arial" w:cs="Arial" w:eastAsia="Arial" w:hAnsi="Arial"/>
                <w:sz w:val="14"/>
                <w:szCs w:val="14"/>
                <w:b w:val="1"/>
                <w:bCs w:val="1"/>
                <w:color w:val="auto"/>
                <w:vertAlign w:val="subscript"/>
              </w:rPr>
              <w:t>(1)</w:t>
            </w:r>
            <w:r>
              <w:rPr>
                <w:rFonts w:ascii="Arial" w:cs="Arial" w:eastAsia="Arial" w:hAnsi="Arial"/>
                <w:sz w:val="11"/>
                <w:szCs w:val="11"/>
                <w:b w:val="1"/>
                <w:bCs w:val="1"/>
                <w:color w:val="auto"/>
              </w:rPr>
              <w:t>:</w:t>
            </w:r>
          </w:p>
        </w:tc>
        <w:tc>
          <w:tcPr>
            <w:tcW w:w="1360" w:type="dxa"/>
            <w:vAlign w:val="bottom"/>
            <w:shd w:val="clear" w:color="auto" w:fill="DBDBDB"/>
          </w:tcPr>
          <w:p>
            <w:pPr>
              <w:spacing w:after="0"/>
              <w:rPr>
                <w:sz w:val="10"/>
                <w:szCs w:val="10"/>
                <w:color w:val="auto"/>
              </w:rPr>
            </w:pPr>
          </w:p>
        </w:tc>
        <w:tc>
          <w:tcPr>
            <w:tcW w:w="260" w:type="dxa"/>
            <w:vAlign w:val="bottom"/>
            <w:shd w:val="clear" w:color="auto" w:fill="DBDBDB"/>
          </w:tcPr>
          <w:p>
            <w:pPr>
              <w:spacing w:after="0"/>
              <w:rPr>
                <w:sz w:val="10"/>
                <w:szCs w:val="10"/>
                <w:color w:val="auto"/>
              </w:rPr>
            </w:pPr>
          </w:p>
        </w:tc>
        <w:tc>
          <w:tcPr>
            <w:tcW w:w="1060" w:type="dxa"/>
            <w:vAlign w:val="bottom"/>
            <w:shd w:val="clear" w:color="auto" w:fill="DBDBDB"/>
          </w:tcPr>
          <w:p>
            <w:pPr>
              <w:spacing w:after="0"/>
              <w:rPr>
                <w:sz w:val="10"/>
                <w:szCs w:val="10"/>
                <w:color w:val="auto"/>
              </w:rPr>
            </w:pPr>
          </w:p>
        </w:tc>
        <w:tc>
          <w:tcPr>
            <w:tcW w:w="480" w:type="dxa"/>
            <w:vAlign w:val="bottom"/>
            <w:shd w:val="clear" w:color="auto" w:fill="DBDBDB"/>
          </w:tcPr>
          <w:p>
            <w:pPr>
              <w:spacing w:after="0"/>
              <w:rPr>
                <w:sz w:val="10"/>
                <w:szCs w:val="10"/>
                <w:color w:val="auto"/>
              </w:rPr>
            </w:pPr>
          </w:p>
        </w:tc>
        <w:tc>
          <w:tcPr>
            <w:tcW w:w="96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1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Advisor and institution relationships</w:t>
            </w:r>
          </w:p>
        </w:tc>
        <w:tc>
          <w:tcPr>
            <w:tcW w:w="1360" w:type="dxa"/>
            <w:vAlign w:val="bottom"/>
          </w:tcPr>
          <w:p>
            <w:pPr>
              <w:jc w:val="center"/>
              <w:spacing w:after="0"/>
              <w:rPr>
                <w:sz w:val="20"/>
                <w:szCs w:val="20"/>
                <w:color w:val="auto"/>
              </w:rPr>
            </w:pPr>
            <w:r>
              <w:rPr>
                <w:rFonts w:ascii="Arial" w:cs="Arial" w:eastAsia="Arial" w:hAnsi="Arial"/>
                <w:sz w:val="11"/>
                <w:szCs w:val="11"/>
                <w:color w:val="auto"/>
                <w:w w:val="93"/>
              </w:rPr>
              <w:t>13.6</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3,350,706</w:t>
            </w:r>
          </w:p>
        </w:tc>
        <w:tc>
          <w:tcPr>
            <w:tcW w:w="4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(859,100)</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2,491,606</w:t>
            </w:r>
          </w:p>
        </w:tc>
        <w:tc>
          <w:tcPr>
            <w:tcW w:w="0" w:type="dxa"/>
            <w:vAlign w:val="bottom"/>
          </w:tcPr>
          <w:p>
            <w:pPr>
              <w:spacing w:after="0"/>
              <w:rPr>
                <w:sz w:val="1"/>
                <w:szCs w:val="1"/>
                <w:color w:val="auto"/>
              </w:rPr>
            </w:pPr>
          </w:p>
        </w:tc>
      </w:tr>
      <w:tr>
        <w:trPr>
          <w:trHeight w:val="145"/>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Client relationships</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3"/>
              </w:rPr>
              <w:t>12.3</w:t>
            </w: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909,868</w:t>
            </w:r>
          </w:p>
        </w:tc>
        <w:tc>
          <w:tcPr>
            <w:tcW w:w="48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(143,039)</w:t>
            </w:r>
          </w:p>
        </w:tc>
        <w:tc>
          <w:tcPr>
            <w:tcW w:w="28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766,829</w:t>
            </w:r>
          </w:p>
        </w:tc>
        <w:tc>
          <w:tcPr>
            <w:tcW w:w="0" w:type="dxa"/>
            <w:vAlign w:val="bottom"/>
          </w:tcPr>
          <w:p>
            <w:pPr>
              <w:spacing w:after="0"/>
              <w:rPr>
                <w:sz w:val="1"/>
                <w:szCs w:val="1"/>
                <w:color w:val="auto"/>
              </w:rPr>
            </w:pPr>
          </w:p>
        </w:tc>
      </w:tr>
      <w:tr>
        <w:trPr>
          <w:trHeight w:val="143"/>
        </w:trPr>
        <w:tc>
          <w:tcPr>
            <w:tcW w:w="5780" w:type="dxa"/>
            <w:vAlign w:val="bottom"/>
          </w:tcPr>
          <w:p>
            <w:pPr>
              <w:ind w:left="80"/>
              <w:spacing w:after="0"/>
              <w:rPr>
                <w:sz w:val="20"/>
                <w:szCs w:val="20"/>
                <w:color w:val="auto"/>
              </w:rPr>
            </w:pPr>
            <w:r>
              <w:rPr>
                <w:rFonts w:ascii="Arial" w:cs="Arial" w:eastAsia="Arial" w:hAnsi="Arial"/>
                <w:sz w:val="11"/>
                <w:szCs w:val="11"/>
                <w:color w:val="auto"/>
              </w:rPr>
              <w:t>Trade name</w:t>
            </w:r>
          </w:p>
        </w:tc>
        <w:tc>
          <w:tcPr>
            <w:tcW w:w="1360" w:type="dxa"/>
            <w:vAlign w:val="bottom"/>
          </w:tcPr>
          <w:p>
            <w:pPr>
              <w:jc w:val="center"/>
              <w:spacing w:after="0"/>
              <w:rPr>
                <w:sz w:val="20"/>
                <w:szCs w:val="20"/>
                <w:color w:val="auto"/>
              </w:rPr>
            </w:pPr>
            <w:r>
              <w:rPr>
                <w:rFonts w:ascii="Arial" w:cs="Arial" w:eastAsia="Arial" w:hAnsi="Arial"/>
                <w:sz w:val="11"/>
                <w:szCs w:val="11"/>
                <w:color w:val="auto"/>
                <w:w w:val="93"/>
              </w:rPr>
              <w:t>15.6</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26,000</w:t>
            </w:r>
          </w:p>
        </w:tc>
        <w:tc>
          <w:tcPr>
            <w:tcW w:w="4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(677)</w:t>
            </w:r>
          </w:p>
        </w:tc>
        <w:tc>
          <w:tcPr>
            <w:tcW w:w="28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25,323</w:t>
            </w:r>
          </w:p>
        </w:tc>
        <w:tc>
          <w:tcPr>
            <w:tcW w:w="0" w:type="dxa"/>
            <w:vAlign w:val="bottom"/>
          </w:tcPr>
          <w:p>
            <w:pPr>
              <w:spacing w:after="0"/>
              <w:rPr>
                <w:sz w:val="1"/>
                <w:szCs w:val="1"/>
                <w:color w:val="auto"/>
              </w:rPr>
            </w:pPr>
          </w:p>
        </w:tc>
      </w:tr>
      <w:tr>
        <w:trPr>
          <w:trHeight w:val="145"/>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Technology</w:t>
            </w:r>
          </w:p>
        </w:tc>
        <w:tc>
          <w:tcPr>
            <w:tcW w:w="136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3.0</w:t>
            </w: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20,930</w:t>
            </w:r>
          </w:p>
        </w:tc>
        <w:tc>
          <w:tcPr>
            <w:tcW w:w="480" w:type="dxa"/>
            <w:vAlign w:val="bottom"/>
            <w:shd w:val="clear" w:color="auto" w:fill="DBDBDB"/>
          </w:tcPr>
          <w:p>
            <w:pPr>
              <w:spacing w:after="0"/>
              <w:rPr>
                <w:sz w:val="12"/>
                <w:szCs w:val="12"/>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(15,443)</w:t>
            </w:r>
          </w:p>
        </w:tc>
        <w:tc>
          <w:tcPr>
            <w:tcW w:w="280" w:type="dxa"/>
            <w:vAlign w:val="bottom"/>
            <w:shd w:val="clear" w:color="auto" w:fill="DBDBDB"/>
          </w:tcPr>
          <w:p>
            <w:pPr>
              <w:spacing w:after="0"/>
              <w:rPr>
                <w:sz w:val="12"/>
                <w:szCs w:val="12"/>
                <w:color w:val="auto"/>
              </w:rPr>
            </w:pP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5,487</w:t>
            </w:r>
          </w:p>
        </w:tc>
        <w:tc>
          <w:tcPr>
            <w:tcW w:w="0" w:type="dxa"/>
            <w:vAlign w:val="bottom"/>
          </w:tcPr>
          <w:p>
            <w:pPr>
              <w:spacing w:after="0"/>
              <w:rPr>
                <w:sz w:val="1"/>
                <w:szCs w:val="1"/>
                <w:color w:val="auto"/>
              </w:rPr>
            </w:pPr>
          </w:p>
        </w:tc>
      </w:tr>
      <w:tr>
        <w:trPr>
          <w:trHeight w:val="143"/>
        </w:trPr>
        <w:tc>
          <w:tcPr>
            <w:tcW w:w="578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Product sponsor relationships</w:t>
            </w:r>
          </w:p>
        </w:tc>
        <w:tc>
          <w:tcPr>
            <w:tcW w:w="1360" w:type="dxa"/>
            <w:vAlign w:val="bottom"/>
            <w:tcBorders>
              <w:bottom w:val="single" w:sz="8" w:color="DBDBDB"/>
            </w:tcBorders>
          </w:tcPr>
          <w:p>
            <w:pPr>
              <w:jc w:val="center"/>
              <w:spacing w:after="0"/>
              <w:rPr>
                <w:sz w:val="20"/>
                <w:szCs w:val="20"/>
                <w:color w:val="auto"/>
              </w:rPr>
            </w:pPr>
            <w:r>
              <w:rPr>
                <w:rFonts w:ascii="Arial" w:cs="Arial" w:eastAsia="Arial" w:hAnsi="Arial"/>
                <w:sz w:val="11"/>
                <w:szCs w:val="11"/>
                <w:color w:val="auto"/>
              </w:rPr>
              <w:t>1.2</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234,086</w:t>
            </w: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(232,362)</w:t>
            </w: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1,724</w:t>
            </w:r>
          </w:p>
        </w:tc>
        <w:tc>
          <w:tcPr>
            <w:tcW w:w="0" w:type="dxa"/>
            <w:vAlign w:val="bottom"/>
          </w:tcPr>
          <w:p>
            <w:pPr>
              <w:spacing w:after="0"/>
              <w:rPr>
                <w:sz w:val="1"/>
                <w:szCs w:val="1"/>
                <w:color w:val="auto"/>
              </w:rPr>
            </w:pPr>
          </w:p>
        </w:tc>
      </w:tr>
      <w:tr>
        <w:trPr>
          <w:trHeight w:val="154"/>
        </w:trPr>
        <w:tc>
          <w:tcPr>
            <w:tcW w:w="5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1"/>
                <w:szCs w:val="11"/>
                <w:color w:val="auto"/>
              </w:rPr>
              <w:t>Total definite-lived intangibles, net</w:t>
            </w:r>
          </w:p>
        </w:tc>
        <w:tc>
          <w:tcPr>
            <w:tcW w:w="136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auto"/>
            </w:tcBorders>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4,541,590</w:t>
            </w:r>
          </w:p>
        </w:tc>
        <w:tc>
          <w:tcPr>
            <w:tcW w:w="480" w:type="dxa"/>
            <w:vAlign w:val="bottom"/>
            <w:tcBorders>
              <w:bottom w:val="single" w:sz="8" w:color="auto"/>
            </w:tcBorders>
            <w:shd w:val="clear" w:color="auto" w:fill="DBDBDB"/>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(1,250,621)</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3,290,969</w:t>
            </w:r>
          </w:p>
        </w:tc>
        <w:tc>
          <w:tcPr>
            <w:tcW w:w="0" w:type="dxa"/>
            <w:vAlign w:val="bottom"/>
          </w:tcPr>
          <w:p>
            <w:pPr>
              <w:spacing w:after="0"/>
              <w:rPr>
                <w:sz w:val="1"/>
                <w:szCs w:val="1"/>
                <w:color w:val="auto"/>
              </w:rPr>
            </w:pPr>
          </w:p>
        </w:tc>
      </w:tr>
      <w:tr>
        <w:trPr>
          <w:trHeight w:val="122"/>
        </w:trPr>
        <w:tc>
          <w:tcPr>
            <w:tcW w:w="5780" w:type="dxa"/>
            <w:vAlign w:val="bottom"/>
          </w:tcPr>
          <w:p>
            <w:pPr>
              <w:spacing w:after="0" w:line="122" w:lineRule="exact"/>
              <w:rPr>
                <w:sz w:val="20"/>
                <w:szCs w:val="20"/>
                <w:color w:val="auto"/>
              </w:rPr>
            </w:pPr>
            <w:r>
              <w:rPr>
                <w:rFonts w:ascii="Arial" w:cs="Arial" w:eastAsia="Arial" w:hAnsi="Arial"/>
                <w:sz w:val="11"/>
                <w:szCs w:val="11"/>
                <w:b w:val="1"/>
                <w:bCs w:val="1"/>
                <w:color w:val="auto"/>
              </w:rPr>
              <w:t>Other indefinite-lived intangibles:</w:t>
            </w: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780" w:type="dxa"/>
            <w:vAlign w:val="bottom"/>
            <w:shd w:val="clear" w:color="auto" w:fill="DBDBDB"/>
          </w:tcPr>
          <w:p>
            <w:pPr>
              <w:ind w:left="80"/>
              <w:spacing w:after="0"/>
              <w:rPr>
                <w:sz w:val="20"/>
                <w:szCs w:val="20"/>
                <w:color w:val="auto"/>
              </w:rPr>
            </w:pPr>
            <w:r>
              <w:rPr>
                <w:rFonts w:ascii="Arial" w:cs="Arial" w:eastAsia="Arial" w:hAnsi="Arial"/>
                <w:sz w:val="11"/>
                <w:szCs w:val="11"/>
                <w:color w:val="auto"/>
              </w:rPr>
              <w:t>Trademark and trade name</w:t>
            </w:r>
          </w:p>
        </w:tc>
        <w:tc>
          <w:tcPr>
            <w:tcW w:w="136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960" w:type="dxa"/>
            <w:vAlign w:val="bottom"/>
            <w:shd w:val="clear" w:color="auto" w:fill="DBDBDB"/>
          </w:tcPr>
          <w:p>
            <w:pPr>
              <w:spacing w:after="0"/>
              <w:rPr>
                <w:sz w:val="12"/>
                <w:szCs w:val="12"/>
                <w:color w:val="auto"/>
              </w:rPr>
            </w:pPr>
          </w:p>
        </w:tc>
        <w:tc>
          <w:tcPr>
            <w:tcW w:w="280" w:type="dxa"/>
            <w:vAlign w:val="bottom"/>
            <w:tcBorders>
              <w:bottom w:val="single" w:sz="8" w:color="auto"/>
            </w:tcBorders>
            <w:shd w:val="clear" w:color="auto" w:fill="DBDBDB"/>
          </w:tcPr>
          <w:p>
            <w:pPr>
              <w:spacing w:after="0"/>
              <w:rPr>
                <w:sz w:val="12"/>
                <w:szCs w:val="12"/>
                <w:color w:val="auto"/>
              </w:rPr>
            </w:pPr>
          </w:p>
        </w:tc>
        <w:tc>
          <w:tcPr>
            <w:tcW w:w="11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39,819</w:t>
            </w:r>
          </w:p>
        </w:tc>
        <w:tc>
          <w:tcPr>
            <w:tcW w:w="0" w:type="dxa"/>
            <w:vAlign w:val="bottom"/>
          </w:tcPr>
          <w:p>
            <w:pPr>
              <w:spacing w:after="0"/>
              <w:rPr>
                <w:sz w:val="1"/>
                <w:szCs w:val="1"/>
                <w:color w:val="auto"/>
              </w:rPr>
            </w:pPr>
          </w:p>
        </w:tc>
      </w:tr>
      <w:tr>
        <w:trPr>
          <w:trHeight w:val="134"/>
        </w:trPr>
        <w:tc>
          <w:tcPr>
            <w:tcW w:w="5780" w:type="dxa"/>
            <w:vAlign w:val="bottom"/>
          </w:tcPr>
          <w:p>
            <w:pPr>
              <w:ind w:left="220"/>
              <w:spacing w:after="0"/>
              <w:rPr>
                <w:sz w:val="20"/>
                <w:szCs w:val="20"/>
                <w:color w:val="auto"/>
              </w:rPr>
            </w:pPr>
            <w:r>
              <w:rPr>
                <w:rFonts w:ascii="Arial" w:cs="Arial" w:eastAsia="Arial" w:hAnsi="Arial"/>
                <w:sz w:val="11"/>
                <w:szCs w:val="11"/>
                <w:color w:val="auto"/>
              </w:rPr>
              <w:t>Total other intangibles, net</w:t>
            </w: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3,330,788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0" w:lineRule="exact"/>
        <w:rPr>
          <w:sz w:val="20"/>
          <w:szCs w:val="20"/>
          <w:color w:val="auto"/>
        </w:rPr>
      </w:pPr>
    </w:p>
    <w:p>
      <w:pPr>
        <w:ind w:left="228" w:hanging="228"/>
        <w:spacing w:after="0"/>
        <w:tabs>
          <w:tab w:leader="none" w:pos="228" w:val="left"/>
        </w:tabs>
        <w:numPr>
          <w:ilvl w:val="0"/>
          <w:numId w:val="31"/>
        </w:numPr>
        <w:rPr>
          <w:rFonts w:ascii="Arial" w:cs="Arial" w:eastAsia="Arial" w:hAnsi="Arial"/>
          <w:sz w:val="10"/>
          <w:szCs w:val="10"/>
          <w:color w:val="auto"/>
        </w:rPr>
      </w:pPr>
      <w:r>
        <w:rPr>
          <w:rFonts w:ascii="Arial" w:cs="Arial" w:eastAsia="Arial" w:hAnsi="Arial"/>
          <w:sz w:val="10"/>
          <w:szCs w:val="10"/>
          <w:color w:val="auto"/>
        </w:rPr>
        <w:t xml:space="preserve">During the year ended December 31, 2025, the Company completed various acquisitions. See Note 4 - </w:t>
      </w:r>
      <w:r>
        <w:rPr>
          <w:rFonts w:ascii="Arial" w:cs="Arial" w:eastAsia="Arial" w:hAnsi="Arial"/>
          <w:sz w:val="10"/>
          <w:szCs w:val="10"/>
          <w:i w:val="1"/>
          <w:iCs w:val="1"/>
          <w:color w:val="auto"/>
        </w:rPr>
        <w:t>Acquisitions</w:t>
      </w:r>
      <w:r>
        <w:rPr>
          <w:rFonts w:ascii="Arial" w:cs="Arial" w:eastAsia="Arial" w:hAnsi="Arial"/>
          <w:sz w:val="10"/>
          <w:szCs w:val="10"/>
          <w:color w:val="auto"/>
        </w:rPr>
        <w:t>, for additional information.</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 amortization of other intangibles was $72.8 million and $64.7 million for the three months ended September 30, 2026 and 2025, respectively, and $211.0 million and $154.3 million for the nine months ended</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September 30, 2026 and 2025, respectively. Future amortization is estimated as follows (in thousands):</w:t>
      </w:r>
    </w:p>
    <w:p>
      <w:pPr>
        <w:spacing w:after="0" w:line="8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9840" w:type="dxa"/>
            <w:vAlign w:val="bottom"/>
            <w:shd w:val="clear" w:color="auto" w:fill="DBDBDB"/>
          </w:tcPr>
          <w:p>
            <w:pPr>
              <w:spacing w:after="0"/>
              <w:rPr>
                <w:sz w:val="20"/>
                <w:szCs w:val="20"/>
                <w:color w:val="auto"/>
              </w:rPr>
            </w:pPr>
            <w:r>
              <w:rPr>
                <w:rFonts w:ascii="Arial" w:cs="Arial" w:eastAsia="Arial" w:hAnsi="Arial"/>
                <w:sz w:val="11"/>
                <w:szCs w:val="11"/>
                <w:color w:val="auto"/>
              </w:rPr>
              <w:t>2026 - remainder</w:t>
            </w:r>
          </w:p>
        </w:tc>
        <w:tc>
          <w:tcPr>
            <w:tcW w:w="500" w:type="dxa"/>
            <w:vAlign w:val="bottom"/>
            <w:shd w:val="clear" w:color="auto" w:fill="DBDBDB"/>
          </w:tcPr>
          <w:p>
            <w:pPr>
              <w:jc w:val="right"/>
              <w:ind w:right="36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71,413</w:t>
            </w:r>
          </w:p>
        </w:tc>
      </w:tr>
      <w:tr>
        <w:trPr>
          <w:trHeight w:val="143"/>
        </w:trPr>
        <w:tc>
          <w:tcPr>
            <w:tcW w:w="9840" w:type="dxa"/>
            <w:vAlign w:val="bottom"/>
          </w:tcPr>
          <w:p>
            <w:pPr>
              <w:spacing w:after="0"/>
              <w:rPr>
                <w:sz w:val="20"/>
                <w:szCs w:val="20"/>
                <w:color w:val="auto"/>
              </w:rPr>
            </w:pPr>
            <w:r>
              <w:rPr>
                <w:rFonts w:ascii="Arial" w:cs="Arial" w:eastAsia="Arial" w:hAnsi="Arial"/>
                <w:sz w:val="11"/>
                <w:szCs w:val="11"/>
                <w:color w:val="auto"/>
              </w:rPr>
              <w:t>2027</w:t>
            </w:r>
          </w:p>
        </w:tc>
        <w:tc>
          <w:tcPr>
            <w:tcW w:w="5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281,914</w:t>
            </w:r>
          </w:p>
        </w:tc>
      </w:tr>
      <w:tr>
        <w:trPr>
          <w:trHeight w:val="145"/>
        </w:trPr>
        <w:tc>
          <w:tcPr>
            <w:tcW w:w="9840" w:type="dxa"/>
            <w:vAlign w:val="bottom"/>
            <w:shd w:val="clear" w:color="auto" w:fill="DBDBDB"/>
          </w:tcPr>
          <w:p>
            <w:pPr>
              <w:spacing w:after="0"/>
              <w:rPr>
                <w:sz w:val="20"/>
                <w:szCs w:val="20"/>
                <w:color w:val="auto"/>
              </w:rPr>
            </w:pPr>
            <w:r>
              <w:rPr>
                <w:rFonts w:ascii="Arial" w:cs="Arial" w:eastAsia="Arial" w:hAnsi="Arial"/>
                <w:sz w:val="11"/>
                <w:szCs w:val="11"/>
                <w:color w:val="auto"/>
              </w:rPr>
              <w:t>2028</w:t>
            </w:r>
          </w:p>
        </w:tc>
        <w:tc>
          <w:tcPr>
            <w:tcW w:w="5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280,217</w:t>
            </w:r>
          </w:p>
        </w:tc>
      </w:tr>
      <w:tr>
        <w:trPr>
          <w:trHeight w:val="143"/>
        </w:trPr>
        <w:tc>
          <w:tcPr>
            <w:tcW w:w="9840" w:type="dxa"/>
            <w:vAlign w:val="bottom"/>
          </w:tcPr>
          <w:p>
            <w:pPr>
              <w:spacing w:after="0"/>
              <w:rPr>
                <w:sz w:val="20"/>
                <w:szCs w:val="20"/>
                <w:color w:val="auto"/>
              </w:rPr>
            </w:pPr>
            <w:r>
              <w:rPr>
                <w:rFonts w:ascii="Arial" w:cs="Arial" w:eastAsia="Arial" w:hAnsi="Arial"/>
                <w:sz w:val="11"/>
                <w:szCs w:val="11"/>
                <w:color w:val="auto"/>
              </w:rPr>
              <w:t>2029</w:t>
            </w:r>
          </w:p>
        </w:tc>
        <w:tc>
          <w:tcPr>
            <w:tcW w:w="5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273,858</w:t>
            </w:r>
          </w:p>
        </w:tc>
      </w:tr>
      <w:tr>
        <w:trPr>
          <w:trHeight w:val="145"/>
        </w:trPr>
        <w:tc>
          <w:tcPr>
            <w:tcW w:w="9840" w:type="dxa"/>
            <w:vAlign w:val="bottom"/>
            <w:shd w:val="clear" w:color="auto" w:fill="DBDBDB"/>
          </w:tcPr>
          <w:p>
            <w:pPr>
              <w:spacing w:after="0"/>
              <w:rPr>
                <w:sz w:val="20"/>
                <w:szCs w:val="20"/>
                <w:color w:val="auto"/>
              </w:rPr>
            </w:pPr>
            <w:r>
              <w:rPr>
                <w:rFonts w:ascii="Arial" w:cs="Arial" w:eastAsia="Arial" w:hAnsi="Arial"/>
                <w:sz w:val="11"/>
                <w:szCs w:val="11"/>
                <w:color w:val="auto"/>
              </w:rPr>
              <w:t>2030</w:t>
            </w:r>
          </w:p>
        </w:tc>
        <w:tc>
          <w:tcPr>
            <w:tcW w:w="5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271,381</w:t>
            </w:r>
          </w:p>
        </w:tc>
      </w:tr>
      <w:tr>
        <w:trPr>
          <w:trHeight w:val="143"/>
        </w:trPr>
        <w:tc>
          <w:tcPr>
            <w:tcW w:w="98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Thereafter</w:t>
            </w: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2,253,624</w:t>
            </w:r>
          </w:p>
        </w:tc>
      </w:tr>
      <w:tr>
        <w:trPr>
          <w:trHeight w:val="150"/>
        </w:trPr>
        <w:tc>
          <w:tcPr>
            <w:tcW w:w="98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1"/>
                <w:szCs w:val="11"/>
                <w:b w:val="1"/>
                <w:bCs w:val="1"/>
                <w:color w:val="auto"/>
              </w:rPr>
              <w:t>Total</w:t>
            </w:r>
          </w:p>
        </w:tc>
        <w:tc>
          <w:tcPr>
            <w:tcW w:w="500" w:type="dxa"/>
            <w:vAlign w:val="bottom"/>
            <w:tcBorders>
              <w:bottom w:val="single" w:sz="8" w:color="auto"/>
            </w:tcBorders>
            <w:shd w:val="clear" w:color="auto" w:fill="DBDBDB"/>
          </w:tcPr>
          <w:p>
            <w:pPr>
              <w:jc w:val="right"/>
              <w:ind w:right="36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3,432,407</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4" w:name="page45"/>
    <w:bookmarkEnd w:id="44"/>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OTHER ASSETS AND OTHER LIABILITIES</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other assets and other liabilities were as follows (dollars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0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September 30, 2026</w:t>
            </w: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December 31, 2025</w:t>
            </w:r>
          </w:p>
        </w:tc>
      </w:tr>
      <w:tr>
        <w:trPr>
          <w:trHeight w:val="124"/>
        </w:trPr>
        <w:tc>
          <w:tcPr>
            <w:tcW w:w="740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Other assets:</w:t>
            </w:r>
          </w:p>
        </w:tc>
        <w:tc>
          <w:tcPr>
            <w:tcW w:w="280" w:type="dxa"/>
            <w:vAlign w:val="bottom"/>
            <w:shd w:val="clear" w:color="auto" w:fill="DBDBDB"/>
          </w:tcPr>
          <w:p>
            <w:pPr>
              <w:spacing w:after="0"/>
              <w:rPr>
                <w:sz w:val="10"/>
                <w:szCs w:val="10"/>
                <w:color w:val="auto"/>
              </w:rPr>
            </w:pPr>
          </w:p>
        </w:tc>
        <w:tc>
          <w:tcPr>
            <w:tcW w:w="17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1640" w:type="dxa"/>
            <w:vAlign w:val="bottom"/>
            <w:shd w:val="clear" w:color="auto" w:fill="DBDBDB"/>
          </w:tcPr>
          <w:p>
            <w:pPr>
              <w:spacing w:after="0"/>
              <w:rPr>
                <w:sz w:val="10"/>
                <w:szCs w:val="10"/>
                <w:color w:val="auto"/>
              </w:rPr>
            </w:pP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Deferred compensation</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1,300,607</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1,107,552</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Prepaid assets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194,533</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240,010</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Fractional shares — investment</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441,383</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371,683</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Deferred tax assets,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77,407</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78,222</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Operating lease assets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182,550</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173,544</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Referral fee</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128,104</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106,038</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Income tax receivables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20,279</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53,245</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Debt issuance costs, net</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8,792</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10,824</w:t>
            </w:r>
          </w:p>
        </w:tc>
      </w:tr>
      <w:tr>
        <w:trPr>
          <w:trHeight w:val="143"/>
        </w:trPr>
        <w:tc>
          <w:tcPr>
            <w:tcW w:w="7400" w:type="dxa"/>
            <w:vAlign w:val="bottom"/>
            <w:tcBorders>
              <w:bottom w:val="single" w:sz="8" w:color="DBDBDB"/>
            </w:tcBorders>
          </w:tcPr>
          <w:p>
            <w:pPr>
              <w:ind w:left="120"/>
              <w:spacing w:after="0"/>
              <w:rPr>
                <w:sz w:val="20"/>
                <w:szCs w:val="20"/>
                <w:color w:val="auto"/>
              </w:rPr>
            </w:pPr>
            <w:r>
              <w:rPr>
                <w:rFonts w:ascii="Arial" w:cs="Arial" w:eastAsia="Arial" w:hAnsi="Arial"/>
                <w:sz w:val="11"/>
                <w:szCs w:val="11"/>
                <w:color w:val="auto"/>
              </w:rPr>
              <w:t>Other</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70,903</w:t>
            </w: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61,326</w:t>
            </w:r>
          </w:p>
        </w:tc>
      </w:tr>
      <w:tr>
        <w:trPr>
          <w:trHeight w:val="150"/>
        </w:trPr>
        <w:tc>
          <w:tcPr>
            <w:tcW w:w="74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Total other assets</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2,424,558</w:t>
            </w:r>
          </w:p>
        </w:tc>
        <w:tc>
          <w:tcPr>
            <w:tcW w:w="280" w:type="dxa"/>
            <w:vAlign w:val="bottom"/>
            <w:tcBorders>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2,202,444</w:t>
            </w:r>
          </w:p>
        </w:tc>
      </w:tr>
      <w:tr>
        <w:trPr>
          <w:trHeight w:val="153"/>
        </w:trPr>
        <w:tc>
          <w:tcPr>
            <w:tcW w:w="7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44"/>
        </w:trPr>
        <w:tc>
          <w:tcPr>
            <w:tcW w:w="74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Other liabilities: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spacing w:after="0"/>
              <w:rPr>
                <w:sz w:val="12"/>
                <w:szCs w:val="12"/>
                <w:color w:val="auto"/>
              </w:rPr>
            </w:pP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Deferred compensation</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1,291,519</w:t>
            </w: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1,100,018</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Unearned revenue</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317,089</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265,024</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Fractional shares — repurchase obligation</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441,383</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371,683</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Operating lease liabilities</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219,775</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203,970</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Financing obligation liabilities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107,301</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108,433</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Taxes payable</w:t>
            </w:r>
          </w:p>
        </w:tc>
        <w:tc>
          <w:tcPr>
            <w:tcW w:w="280" w:type="dxa"/>
            <w:vAlign w:val="bottom"/>
            <w:shd w:val="clear" w:color="auto" w:fill="DBDBDB"/>
          </w:tcPr>
          <w:p>
            <w:pPr>
              <w:spacing w:after="0"/>
              <w:rPr>
                <w:sz w:val="12"/>
                <w:szCs w:val="12"/>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90,424</w:t>
            </w:r>
          </w:p>
        </w:tc>
        <w:tc>
          <w:tcPr>
            <w:tcW w:w="280" w:type="dxa"/>
            <w:vAlign w:val="bottom"/>
            <w:shd w:val="clear" w:color="auto" w:fill="DBDBDB"/>
          </w:tcPr>
          <w:p>
            <w:pPr>
              <w:spacing w:after="0"/>
              <w:rPr>
                <w:sz w:val="12"/>
                <w:szCs w:val="12"/>
                <w:color w:val="auto"/>
              </w:rPr>
            </w:pPr>
          </w:p>
        </w:tc>
        <w:tc>
          <w:tcPr>
            <w:tcW w:w="16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69,348</w:t>
            </w:r>
          </w:p>
        </w:tc>
      </w:tr>
      <w:tr>
        <w:trPr>
          <w:trHeight w:val="143"/>
        </w:trPr>
        <w:tc>
          <w:tcPr>
            <w:tcW w:w="7400" w:type="dxa"/>
            <w:vAlign w:val="bottom"/>
          </w:tcPr>
          <w:p>
            <w:pPr>
              <w:ind w:left="120"/>
              <w:spacing w:after="0"/>
              <w:rPr>
                <w:sz w:val="20"/>
                <w:szCs w:val="20"/>
                <w:color w:val="auto"/>
              </w:rPr>
            </w:pPr>
            <w:r>
              <w:rPr>
                <w:rFonts w:ascii="Arial" w:cs="Arial" w:eastAsia="Arial" w:hAnsi="Arial"/>
                <w:sz w:val="11"/>
                <w:szCs w:val="11"/>
                <w:color w:val="auto"/>
              </w:rPr>
              <w:t>Contingent consideration</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1"/>
                <w:szCs w:val="11"/>
                <w:color w:val="auto"/>
              </w:rPr>
              <w:t>121,297</w:t>
            </w:r>
          </w:p>
        </w:tc>
        <w:tc>
          <w:tcPr>
            <w:tcW w:w="280" w:type="dxa"/>
            <w:vAlign w:val="bottom"/>
          </w:tcPr>
          <w:p>
            <w:pPr>
              <w:spacing w:after="0"/>
              <w:rPr>
                <w:sz w:val="12"/>
                <w:szCs w:val="12"/>
                <w:color w:val="auto"/>
              </w:rPr>
            </w:pPr>
          </w:p>
        </w:tc>
        <w:tc>
          <w:tcPr>
            <w:tcW w:w="1640" w:type="dxa"/>
            <w:vAlign w:val="bottom"/>
          </w:tcPr>
          <w:p>
            <w:pPr>
              <w:jc w:val="right"/>
              <w:ind w:right="6"/>
              <w:spacing w:after="0"/>
              <w:rPr>
                <w:sz w:val="20"/>
                <w:szCs w:val="20"/>
                <w:color w:val="auto"/>
              </w:rPr>
            </w:pPr>
            <w:r>
              <w:rPr>
                <w:rFonts w:ascii="Arial" w:cs="Arial" w:eastAsia="Arial" w:hAnsi="Arial"/>
                <w:sz w:val="11"/>
                <w:szCs w:val="11"/>
                <w:color w:val="auto"/>
              </w:rPr>
              <w:t>124,038</w:t>
            </w:r>
          </w:p>
        </w:tc>
      </w:tr>
      <w:tr>
        <w:trPr>
          <w:trHeight w:val="145"/>
        </w:trPr>
        <w:tc>
          <w:tcPr>
            <w:tcW w:w="7400" w:type="dxa"/>
            <w:vAlign w:val="bottom"/>
            <w:shd w:val="clear" w:color="auto" w:fill="DBDBDB"/>
          </w:tcPr>
          <w:p>
            <w:pPr>
              <w:ind w:left="120"/>
              <w:spacing w:after="0"/>
              <w:rPr>
                <w:sz w:val="20"/>
                <w:szCs w:val="20"/>
                <w:color w:val="auto"/>
              </w:rPr>
            </w:pPr>
            <w:r>
              <w:rPr>
                <w:rFonts w:ascii="Arial" w:cs="Arial" w:eastAsia="Arial" w:hAnsi="Arial"/>
                <w:sz w:val="11"/>
                <w:szCs w:val="11"/>
                <w:color w:val="auto"/>
              </w:rPr>
              <w:t>Other</w:t>
            </w:r>
          </w:p>
        </w:tc>
        <w:tc>
          <w:tcPr>
            <w:tcW w:w="280" w:type="dxa"/>
            <w:vAlign w:val="bottom"/>
            <w:tcBorders>
              <w:bottom w:val="single" w:sz="8" w:color="auto"/>
            </w:tcBorders>
            <w:shd w:val="clear" w:color="auto" w:fill="DBDBDB"/>
          </w:tcPr>
          <w:p>
            <w:pPr>
              <w:spacing w:after="0"/>
              <w:rPr>
                <w:sz w:val="12"/>
                <w:szCs w:val="1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7,283</w:t>
            </w:r>
          </w:p>
        </w:tc>
        <w:tc>
          <w:tcPr>
            <w:tcW w:w="280" w:type="dxa"/>
            <w:vAlign w:val="bottom"/>
            <w:tcBorders>
              <w:bottom w:val="single" w:sz="8" w:color="auto"/>
            </w:tcBorders>
            <w:shd w:val="clear" w:color="auto" w:fill="DBDBDB"/>
          </w:tcPr>
          <w:p>
            <w:pPr>
              <w:spacing w:after="0"/>
              <w:rPr>
                <w:sz w:val="12"/>
                <w:szCs w:val="12"/>
                <w:color w:val="auto"/>
              </w:rPr>
            </w:pPr>
          </w:p>
        </w:tc>
        <w:tc>
          <w:tcPr>
            <w:tcW w:w="16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5,001</w:t>
            </w:r>
          </w:p>
        </w:tc>
      </w:tr>
      <w:tr>
        <w:trPr>
          <w:trHeight w:val="132"/>
        </w:trPr>
        <w:tc>
          <w:tcPr>
            <w:tcW w:w="7400" w:type="dxa"/>
            <w:vAlign w:val="bottom"/>
          </w:tcPr>
          <w:p>
            <w:pPr>
              <w:spacing w:after="0"/>
              <w:rPr>
                <w:sz w:val="20"/>
                <w:szCs w:val="20"/>
                <w:color w:val="auto"/>
              </w:rPr>
            </w:pPr>
            <w:r>
              <w:rPr>
                <w:rFonts w:ascii="Arial" w:cs="Arial" w:eastAsia="Arial" w:hAnsi="Arial"/>
                <w:sz w:val="11"/>
                <w:szCs w:val="11"/>
                <w:color w:val="auto"/>
              </w:rPr>
              <w:t>Total other liabilities</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2,596,071</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2,247,515</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5" w:name="page46"/>
    <w:bookmarkEnd w:id="45"/>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9 - CORPORATE DEBT AND OTHER BORROWINGS, NET</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Company’s outstanding corporate debt and other borrowings, net were as follows (in thousands):</w:t>
      </w:r>
    </w:p>
    <w:p>
      <w:pPr>
        <w:spacing w:after="0" w:line="3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September 30, 2026</w:t>
            </w: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December 31, 2025</w:t>
            </w:r>
          </w:p>
        </w:tc>
        <w:tc>
          <w:tcPr>
            <w:tcW w:w="84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260" w:type="dxa"/>
            <w:vAlign w:val="bottom"/>
            <w:vMerge w:val="restart"/>
          </w:tcPr>
          <w:p>
            <w:pPr>
              <w:spacing w:after="0"/>
              <w:rPr>
                <w:sz w:val="20"/>
                <w:szCs w:val="20"/>
                <w:color w:val="auto"/>
              </w:rPr>
            </w:pPr>
            <w:r>
              <w:rPr>
                <w:rFonts w:ascii="Arial" w:cs="Arial" w:eastAsia="Arial" w:hAnsi="Arial"/>
                <w:sz w:val="10"/>
                <w:szCs w:val="10"/>
                <w:b w:val="1"/>
                <w:bCs w:val="1"/>
                <w:color w:val="auto"/>
              </w:rPr>
              <w:t>Corporate Debt</w:t>
            </w:r>
          </w:p>
        </w:tc>
        <w:tc>
          <w:tcPr>
            <w:tcW w:w="220" w:type="dxa"/>
            <w:vAlign w:val="bottom"/>
          </w:tcPr>
          <w:p>
            <w:pPr>
              <w:spacing w:after="0"/>
              <w:rPr>
                <w:sz w:val="7"/>
                <w:szCs w:val="7"/>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Balance</w:t>
            </w:r>
          </w:p>
        </w:tc>
        <w:tc>
          <w:tcPr>
            <w:tcW w:w="1560" w:type="dxa"/>
            <w:vAlign w:val="bottom"/>
          </w:tcPr>
          <w:p>
            <w:pPr>
              <w:jc w:val="center"/>
              <w:ind w:right="12"/>
              <w:spacing w:after="0" w:line="89" w:lineRule="exact"/>
              <w:rPr>
                <w:sz w:val="20"/>
                <w:szCs w:val="20"/>
                <w:color w:val="auto"/>
              </w:rPr>
            </w:pPr>
            <w:r>
              <w:rPr>
                <w:rFonts w:ascii="Arial" w:cs="Arial" w:eastAsia="Arial" w:hAnsi="Arial"/>
                <w:sz w:val="10"/>
                <w:szCs w:val="10"/>
                <w:b w:val="1"/>
                <w:bCs w:val="1"/>
                <w:color w:val="auto"/>
                <w:w w:val="98"/>
              </w:rPr>
              <w:t>Applicable</w:t>
            </w:r>
          </w:p>
        </w:tc>
        <w:tc>
          <w:tcPr>
            <w:tcW w:w="1080" w:type="dxa"/>
            <w:vAlign w:val="bottom"/>
            <w:gridSpan w:val="2"/>
            <w:vMerge w:val="restart"/>
          </w:tcPr>
          <w:p>
            <w:pPr>
              <w:jc w:val="right"/>
              <w:ind w:right="352"/>
              <w:spacing w:after="0"/>
              <w:rPr>
                <w:sz w:val="20"/>
                <w:szCs w:val="20"/>
                <w:color w:val="auto"/>
              </w:rPr>
            </w:pPr>
            <w:r>
              <w:rPr>
                <w:rFonts w:ascii="Arial" w:cs="Arial" w:eastAsia="Arial" w:hAnsi="Arial"/>
                <w:sz w:val="10"/>
                <w:szCs w:val="10"/>
                <w:b w:val="1"/>
                <w:bCs w:val="1"/>
                <w:color w:val="auto"/>
              </w:rPr>
              <w:t>Interest Rate</w:t>
            </w:r>
          </w:p>
        </w:tc>
        <w:tc>
          <w:tcPr>
            <w:tcW w:w="88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rPr>
              <w:t>Balance</w:t>
            </w:r>
          </w:p>
        </w:tc>
        <w:tc>
          <w:tcPr>
            <w:tcW w:w="1580" w:type="dxa"/>
            <w:vAlign w:val="bottom"/>
          </w:tcPr>
          <w:p>
            <w:pPr>
              <w:jc w:val="center"/>
              <w:ind w:right="52"/>
              <w:spacing w:after="0" w:line="89" w:lineRule="exact"/>
              <w:rPr>
                <w:sz w:val="20"/>
                <w:szCs w:val="20"/>
                <w:color w:val="auto"/>
              </w:rPr>
            </w:pPr>
            <w:r>
              <w:rPr>
                <w:rFonts w:ascii="Arial" w:cs="Arial" w:eastAsia="Arial" w:hAnsi="Arial"/>
                <w:sz w:val="10"/>
                <w:szCs w:val="10"/>
                <w:b w:val="1"/>
                <w:bCs w:val="1"/>
                <w:color w:val="auto"/>
                <w:w w:val="94"/>
              </w:rPr>
              <w:t>Applicable</w:t>
            </w:r>
          </w:p>
        </w:tc>
        <w:tc>
          <w:tcPr>
            <w:tcW w:w="840" w:type="dxa"/>
            <w:vAlign w:val="bottom"/>
            <w:vMerge w:val="restart"/>
          </w:tcPr>
          <w:p>
            <w:pPr>
              <w:jc w:val="right"/>
              <w:ind w:right="152"/>
              <w:spacing w:after="0"/>
              <w:rPr>
                <w:sz w:val="20"/>
                <w:szCs w:val="20"/>
                <w:color w:val="auto"/>
              </w:rPr>
            </w:pPr>
            <w:r>
              <w:rPr>
                <w:rFonts w:ascii="Arial" w:cs="Arial" w:eastAsia="Arial" w:hAnsi="Arial"/>
                <w:sz w:val="10"/>
                <w:szCs w:val="10"/>
                <w:b w:val="1"/>
                <w:bCs w:val="1"/>
                <w:color w:val="auto"/>
              </w:rPr>
              <w:t>Interest rate</w:t>
            </w:r>
          </w:p>
        </w:tc>
        <w:tc>
          <w:tcPr>
            <w:tcW w:w="1000" w:type="dxa"/>
            <w:vAlign w:val="bottom"/>
            <w:vMerge w:val="restart"/>
          </w:tcPr>
          <w:p>
            <w:pPr>
              <w:jc w:val="right"/>
              <w:ind w:right="272"/>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17"/>
        </w:trPr>
        <w:tc>
          <w:tcPr>
            <w:tcW w:w="32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560" w:type="dxa"/>
            <w:vAlign w:val="bottom"/>
            <w:tcBorders>
              <w:bottom w:val="single" w:sz="8" w:color="auto"/>
            </w:tcBorders>
          </w:tcPr>
          <w:p>
            <w:pPr>
              <w:jc w:val="center"/>
              <w:ind w:right="12"/>
              <w:spacing w:after="0"/>
              <w:rPr>
                <w:sz w:val="20"/>
                <w:szCs w:val="20"/>
                <w:color w:val="auto"/>
              </w:rPr>
            </w:pPr>
            <w:r>
              <w:rPr>
                <w:rFonts w:ascii="Arial" w:cs="Arial" w:eastAsia="Arial" w:hAnsi="Arial"/>
                <w:sz w:val="10"/>
                <w:szCs w:val="10"/>
                <w:b w:val="1"/>
                <w:bCs w:val="1"/>
                <w:color w:val="auto"/>
                <w:w w:val="91"/>
              </w:rPr>
              <w:t>Margin</w:t>
            </w:r>
          </w:p>
        </w:tc>
        <w:tc>
          <w:tcPr>
            <w:tcW w:w="1080" w:type="dxa"/>
            <w:vAlign w:val="bottom"/>
            <w:tcBorders>
              <w:bottom w:val="single" w:sz="8" w:color="auto"/>
            </w:tcBorders>
            <w:gridSpan w:val="2"/>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58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97"/>
              </w:rPr>
              <w:t>Margin</w:t>
            </w:r>
          </w:p>
        </w:tc>
        <w:tc>
          <w:tcPr>
            <w:tcW w:w="840" w:type="dxa"/>
            <w:vAlign w:val="bottom"/>
            <w:tcBorders>
              <w:bottom w:val="single" w:sz="8" w:color="auto"/>
            </w:tcBorders>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Term Loan A</w:t>
            </w:r>
            <w:r>
              <w:rPr>
                <w:rFonts w:ascii="Arial" w:cs="Arial" w:eastAsia="Arial" w:hAnsi="Arial"/>
                <w:sz w:val="6"/>
                <w:szCs w:val="6"/>
                <w:color w:val="auto"/>
              </w:rPr>
              <w:t>(1)</w:t>
            </w: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1,020,000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SOFR+125 bps</w:t>
            </w:r>
          </w:p>
        </w:tc>
        <w:tc>
          <w:tcPr>
            <w:tcW w:w="1080" w:type="dxa"/>
            <w:vAlign w:val="bottom"/>
            <w:gridSpan w:val="2"/>
            <w:shd w:val="clear" w:color="auto" w:fill="DBDBDB"/>
          </w:tcPr>
          <w:p>
            <w:pPr>
              <w:jc w:val="right"/>
              <w:ind w:right="112"/>
              <w:spacing w:after="0"/>
              <w:rPr>
                <w:sz w:val="20"/>
                <w:szCs w:val="20"/>
                <w:color w:val="auto"/>
              </w:rPr>
            </w:pPr>
            <w:r>
              <w:rPr>
                <w:rFonts w:ascii="Arial" w:cs="Arial" w:eastAsia="Arial" w:hAnsi="Arial"/>
                <w:sz w:val="10"/>
                <w:szCs w:val="10"/>
                <w:color w:val="auto"/>
              </w:rPr>
              <w:t>5.151 % $</w:t>
            </w: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1,020,000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8"/>
              </w:rPr>
              <w:t>SOFR+125 bps</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4.984 %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12/5/2028</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2027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5.700 %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tcPr>
          <w:p>
            <w:pPr>
              <w:jc w:val="right"/>
              <w:spacing w:after="0"/>
              <w:rPr>
                <w:sz w:val="20"/>
                <w:szCs w:val="20"/>
                <w:color w:val="auto"/>
              </w:rPr>
            </w:pPr>
            <w:r>
              <w:rPr>
                <w:rFonts w:ascii="Arial" w:cs="Arial" w:eastAsia="Arial" w:hAnsi="Arial"/>
                <w:sz w:val="10"/>
                <w:szCs w:val="10"/>
                <w:color w:val="auto"/>
              </w:rPr>
              <w:t>5.700 %</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5/20/2027</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2027 Senior Notes</w:t>
            </w:r>
            <w:r>
              <w:rPr>
                <w:rFonts w:ascii="Arial" w:cs="Arial" w:eastAsia="Arial" w:hAnsi="Arial"/>
                <w:sz w:val="6"/>
                <w:szCs w:val="6"/>
                <w:color w:val="auto"/>
              </w:rPr>
              <w:t>(1)</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4.625 %</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4.625 %</w:t>
            </w:r>
          </w:p>
        </w:tc>
        <w:tc>
          <w:tcPr>
            <w:tcW w:w="100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11/15/2027</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2028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4.900 %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tcPr>
          <w:p>
            <w:pPr>
              <w:jc w:val="right"/>
              <w:spacing w:after="0"/>
              <w:rPr>
                <w:sz w:val="20"/>
                <w:szCs w:val="20"/>
                <w:color w:val="auto"/>
              </w:rPr>
            </w:pPr>
            <w:r>
              <w:rPr>
                <w:rFonts w:ascii="Arial" w:cs="Arial" w:eastAsia="Arial" w:hAnsi="Arial"/>
                <w:sz w:val="10"/>
                <w:szCs w:val="10"/>
                <w:color w:val="auto"/>
              </w:rPr>
              <w:t>4.900 %</w:t>
            </w:r>
          </w:p>
        </w:tc>
        <w:tc>
          <w:tcPr>
            <w:tcW w:w="1000" w:type="dxa"/>
            <w:vAlign w:val="bottom"/>
          </w:tcPr>
          <w:p>
            <w:pPr>
              <w:jc w:val="center"/>
              <w:spacing w:after="0"/>
              <w:rPr>
                <w:sz w:val="20"/>
                <w:szCs w:val="20"/>
                <w:color w:val="auto"/>
              </w:rPr>
            </w:pPr>
            <w:r>
              <w:rPr>
                <w:rFonts w:ascii="Arial" w:cs="Arial" w:eastAsia="Arial" w:hAnsi="Arial"/>
                <w:sz w:val="10"/>
                <w:szCs w:val="10"/>
                <w:color w:val="auto"/>
                <w:w w:val="92"/>
              </w:rPr>
              <w:t>4/3/2028</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2028 Senior Notes</w:t>
            </w:r>
            <w:r>
              <w:rPr>
                <w:rFonts w:ascii="Arial" w:cs="Arial" w:eastAsia="Arial" w:hAnsi="Arial"/>
                <w:sz w:val="6"/>
                <w:szCs w:val="6"/>
                <w:color w:val="auto"/>
              </w:rPr>
              <w:t>(1)</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750,000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6.750 %</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750,000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6.750 %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5"/>
              </w:rPr>
              <w:t>11/17/2028</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2029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900,000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4.000 %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900,000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tcPr>
          <w:p>
            <w:pPr>
              <w:jc w:val="right"/>
              <w:spacing w:after="0"/>
              <w:rPr>
                <w:sz w:val="20"/>
                <w:szCs w:val="20"/>
                <w:color w:val="auto"/>
              </w:rPr>
            </w:pPr>
            <w:r>
              <w:rPr>
                <w:rFonts w:ascii="Arial" w:cs="Arial" w:eastAsia="Arial" w:hAnsi="Arial"/>
                <w:sz w:val="10"/>
                <w:szCs w:val="10"/>
                <w:color w:val="auto"/>
              </w:rPr>
              <w:t>4.000 %</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3/15/2029</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2030 Senior Notes</w:t>
            </w:r>
            <w:r>
              <w:rPr>
                <w:rFonts w:ascii="Arial" w:cs="Arial" w:eastAsia="Arial" w:hAnsi="Arial"/>
                <w:sz w:val="6"/>
                <w:szCs w:val="6"/>
                <w:color w:val="auto"/>
              </w:rPr>
              <w:t>(1)</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750,000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5.200 %</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750,000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5.200 %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3/15/2030</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2030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5.150 %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tcPr>
          <w:p>
            <w:pPr>
              <w:jc w:val="right"/>
              <w:spacing w:after="0"/>
              <w:rPr>
                <w:sz w:val="20"/>
                <w:szCs w:val="20"/>
                <w:color w:val="auto"/>
              </w:rPr>
            </w:pPr>
            <w:r>
              <w:rPr>
                <w:rFonts w:ascii="Arial" w:cs="Arial" w:eastAsia="Arial" w:hAnsi="Arial"/>
                <w:sz w:val="10"/>
                <w:szCs w:val="10"/>
                <w:color w:val="auto"/>
              </w:rPr>
              <w:t>5.150 %</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6/15/2030</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2031 Senior Notes</w:t>
            </w:r>
            <w:r>
              <w:rPr>
                <w:rFonts w:ascii="Arial" w:cs="Arial" w:eastAsia="Arial" w:hAnsi="Arial"/>
                <w:sz w:val="6"/>
                <w:szCs w:val="6"/>
                <w:color w:val="auto"/>
              </w:rPr>
              <w:t>(1)</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4.375 %</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400,000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4.375 %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5/15/2031</w:t>
            </w:r>
          </w:p>
        </w:tc>
        <w:tc>
          <w:tcPr>
            <w:tcW w:w="0" w:type="dxa"/>
            <w:vAlign w:val="bottom"/>
          </w:tcPr>
          <w:p>
            <w:pPr>
              <w:spacing w:after="0"/>
              <w:rPr>
                <w:sz w:val="1"/>
                <w:szCs w:val="1"/>
                <w:color w:val="auto"/>
              </w:rPr>
            </w:pPr>
          </w:p>
        </w:tc>
      </w:tr>
      <w:tr>
        <w:trPr>
          <w:trHeight w:val="132"/>
        </w:trPr>
        <w:tc>
          <w:tcPr>
            <w:tcW w:w="3260" w:type="dxa"/>
            <w:vAlign w:val="bottom"/>
          </w:tcPr>
          <w:p>
            <w:pPr>
              <w:ind w:left="80"/>
              <w:spacing w:after="0"/>
              <w:rPr>
                <w:sz w:val="20"/>
                <w:szCs w:val="20"/>
                <w:color w:val="auto"/>
              </w:rPr>
            </w:pPr>
            <w:r>
              <w:rPr>
                <w:rFonts w:ascii="Arial" w:cs="Arial" w:eastAsia="Arial" w:hAnsi="Arial"/>
                <w:sz w:val="10"/>
                <w:szCs w:val="10"/>
                <w:color w:val="auto"/>
              </w:rPr>
              <w:t>2034 Senior Notes</w:t>
            </w:r>
            <w:r>
              <w:rPr>
                <w:rFonts w:ascii="Arial" w:cs="Arial" w:eastAsia="Arial" w:hAnsi="Arial"/>
                <w:sz w:val="6"/>
                <w:szCs w:val="6"/>
                <w:color w:val="auto"/>
              </w:rPr>
              <w:t>(1)</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500,000</w:t>
            </w:r>
          </w:p>
        </w:tc>
        <w:tc>
          <w:tcPr>
            <w:tcW w:w="1560" w:type="dxa"/>
            <w:vAlign w:val="bottom"/>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Pr>
          <w:p>
            <w:pPr>
              <w:jc w:val="right"/>
              <w:spacing w:after="0"/>
              <w:rPr>
                <w:sz w:val="20"/>
                <w:szCs w:val="20"/>
                <w:color w:val="auto"/>
              </w:rPr>
            </w:pPr>
            <w:r>
              <w:rPr>
                <w:rFonts w:ascii="Arial" w:cs="Arial" w:eastAsia="Arial" w:hAnsi="Arial"/>
                <w:sz w:val="10"/>
                <w:szCs w:val="10"/>
                <w:color w:val="auto"/>
              </w:rPr>
              <w:t>6.000 %</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500,000</w:t>
            </w:r>
          </w:p>
        </w:tc>
        <w:tc>
          <w:tcPr>
            <w:tcW w:w="1580" w:type="dxa"/>
            <w:vAlign w:val="bottom"/>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tcPr>
          <w:p>
            <w:pPr>
              <w:jc w:val="right"/>
              <w:spacing w:after="0"/>
              <w:rPr>
                <w:sz w:val="20"/>
                <w:szCs w:val="20"/>
                <w:color w:val="auto"/>
              </w:rPr>
            </w:pPr>
            <w:r>
              <w:rPr>
                <w:rFonts w:ascii="Arial" w:cs="Arial" w:eastAsia="Arial" w:hAnsi="Arial"/>
                <w:sz w:val="10"/>
                <w:szCs w:val="10"/>
                <w:color w:val="auto"/>
              </w:rPr>
              <w:t>6.000 %</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5/20/2034</w:t>
            </w:r>
          </w:p>
        </w:tc>
        <w:tc>
          <w:tcPr>
            <w:tcW w:w="0" w:type="dxa"/>
            <w:vAlign w:val="bottom"/>
          </w:tcPr>
          <w:p>
            <w:pPr>
              <w:spacing w:after="0"/>
              <w:rPr>
                <w:sz w:val="1"/>
                <w:szCs w:val="1"/>
                <w:color w:val="auto"/>
              </w:rPr>
            </w:pPr>
          </w:p>
        </w:tc>
      </w:tr>
      <w:tr>
        <w:trPr>
          <w:trHeight w:val="138"/>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2035 Senior Notes</w:t>
            </w:r>
            <w:r>
              <w:rPr>
                <w:rFonts w:ascii="Arial" w:cs="Arial" w:eastAsia="Arial" w:hAnsi="Arial"/>
                <w:sz w:val="6"/>
                <w:szCs w:val="6"/>
                <w:color w:val="auto"/>
              </w:rPr>
              <w:t>(1)</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500,000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5.650 %</w:t>
            </w:r>
          </w:p>
        </w:tc>
        <w:tc>
          <w:tcPr>
            <w:tcW w:w="2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500,000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5.650 %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3/15/2035</w:t>
            </w:r>
          </w:p>
        </w:tc>
        <w:tc>
          <w:tcPr>
            <w:tcW w:w="0" w:type="dxa"/>
            <w:vAlign w:val="bottom"/>
          </w:tcPr>
          <w:p>
            <w:pPr>
              <w:spacing w:after="0"/>
              <w:rPr>
                <w:sz w:val="1"/>
                <w:szCs w:val="1"/>
                <w:color w:val="auto"/>
              </w:rPr>
            </w:pPr>
          </w:p>
        </w:tc>
      </w:tr>
      <w:tr>
        <w:trPr>
          <w:trHeight w:val="132"/>
        </w:trPr>
        <w:tc>
          <w:tcPr>
            <w:tcW w:w="3260" w:type="dxa"/>
            <w:vAlign w:val="bottom"/>
            <w:tcBorders>
              <w:bottom w:val="single" w:sz="8" w:color="DBDBDB"/>
            </w:tcBorders>
          </w:tcPr>
          <w:p>
            <w:pPr>
              <w:ind w:left="80"/>
              <w:spacing w:after="0"/>
              <w:rPr>
                <w:sz w:val="20"/>
                <w:szCs w:val="20"/>
                <w:color w:val="auto"/>
              </w:rPr>
            </w:pPr>
            <w:r>
              <w:rPr>
                <w:rFonts w:ascii="Arial" w:cs="Arial" w:eastAsia="Arial" w:hAnsi="Arial"/>
                <w:sz w:val="10"/>
                <w:szCs w:val="10"/>
                <w:color w:val="auto"/>
              </w:rPr>
              <w:t>2035 Senior Notes</w:t>
            </w:r>
            <w:r>
              <w:rPr>
                <w:rFonts w:ascii="Arial" w:cs="Arial" w:eastAsia="Arial" w:hAnsi="Arial"/>
                <w:sz w:val="6"/>
                <w:szCs w:val="6"/>
                <w:color w:val="auto"/>
              </w:rPr>
              <w:t>(1)</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500,000</w:t>
            </w:r>
          </w:p>
        </w:tc>
        <w:tc>
          <w:tcPr>
            <w:tcW w:w="1560" w:type="dxa"/>
            <w:vAlign w:val="bottom"/>
            <w:tcBorders>
              <w:bottom w:val="single" w:sz="8" w:color="DBDBDB"/>
            </w:tcBorders>
          </w:tcPr>
          <w:p>
            <w:pPr>
              <w:jc w:val="center"/>
              <w:ind w:right="12"/>
              <w:spacing w:after="0"/>
              <w:rPr>
                <w:sz w:val="20"/>
                <w:szCs w:val="20"/>
                <w:color w:val="auto"/>
              </w:rPr>
            </w:pPr>
            <w:r>
              <w:rPr>
                <w:rFonts w:ascii="Arial" w:cs="Arial" w:eastAsia="Arial" w:hAnsi="Arial"/>
                <w:sz w:val="10"/>
                <w:szCs w:val="10"/>
                <w:color w:val="auto"/>
                <w:w w:val="95"/>
              </w:rPr>
              <w:t>Fixed Rate</w:t>
            </w: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0"/>
                <w:szCs w:val="10"/>
                <w:color w:val="auto"/>
              </w:rPr>
              <w:t>5.750 %</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500,000</w:t>
            </w:r>
          </w:p>
        </w:tc>
        <w:tc>
          <w:tcPr>
            <w:tcW w:w="1580" w:type="dxa"/>
            <w:vAlign w:val="bottom"/>
            <w:tcBorders>
              <w:bottom w:val="single" w:sz="8" w:color="DBDBDB"/>
            </w:tcBorders>
          </w:tcPr>
          <w:p>
            <w:pPr>
              <w:jc w:val="center"/>
              <w:ind w:right="52"/>
              <w:spacing w:after="0"/>
              <w:rPr>
                <w:sz w:val="20"/>
                <w:szCs w:val="20"/>
                <w:color w:val="auto"/>
              </w:rPr>
            </w:pPr>
            <w:r>
              <w:rPr>
                <w:rFonts w:ascii="Arial" w:cs="Arial" w:eastAsia="Arial" w:hAnsi="Arial"/>
                <w:sz w:val="10"/>
                <w:szCs w:val="10"/>
                <w:color w:val="auto"/>
                <w:w w:val="99"/>
              </w:rPr>
              <w:t>Fixed Rate</w:t>
            </w: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0"/>
                <w:szCs w:val="10"/>
                <w:color w:val="auto"/>
              </w:rPr>
              <w:t>5.750 %</w:t>
            </w: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0"/>
                <w:szCs w:val="10"/>
                <w:color w:val="auto"/>
                <w:w w:val="98"/>
              </w:rPr>
              <w:t>6/15/2035</w:t>
            </w:r>
          </w:p>
        </w:tc>
        <w:tc>
          <w:tcPr>
            <w:tcW w:w="0" w:type="dxa"/>
            <w:vAlign w:val="bottom"/>
          </w:tcPr>
          <w:p>
            <w:pPr>
              <w:spacing w:after="0"/>
              <w:rPr>
                <w:sz w:val="1"/>
                <w:szCs w:val="1"/>
                <w:color w:val="auto"/>
              </w:rPr>
            </w:pPr>
          </w:p>
        </w:tc>
      </w:tr>
      <w:tr>
        <w:trPr>
          <w:trHeight w:val="127"/>
        </w:trPr>
        <w:tc>
          <w:tcPr>
            <w:tcW w:w="3260" w:type="dxa"/>
            <w:vAlign w:val="bottom"/>
            <w:shd w:val="clear" w:color="auto" w:fill="DBDBDB"/>
          </w:tcPr>
          <w:p>
            <w:pPr>
              <w:ind w:left="140"/>
              <w:spacing w:after="0"/>
              <w:rPr>
                <w:sz w:val="20"/>
                <w:szCs w:val="20"/>
                <w:color w:val="auto"/>
              </w:rPr>
            </w:pPr>
            <w:r>
              <w:rPr>
                <w:rFonts w:ascii="Arial" w:cs="Arial" w:eastAsia="Arial" w:hAnsi="Arial"/>
                <w:sz w:val="10"/>
                <w:szCs w:val="10"/>
                <w:color w:val="auto"/>
              </w:rPr>
              <w:t>Total Corporate Debt</w:t>
            </w:r>
          </w:p>
        </w:tc>
        <w:tc>
          <w:tcPr>
            <w:tcW w:w="220" w:type="dxa"/>
            <w:vAlign w:val="bottom"/>
            <w:shd w:val="clear" w:color="auto" w:fill="DBDBDB"/>
          </w:tcPr>
          <w:p>
            <w:pPr>
              <w:spacing w:after="0"/>
              <w:rPr>
                <w:sz w:val="11"/>
                <w:szCs w:val="1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7,220,000</w:t>
            </w:r>
          </w:p>
        </w:tc>
        <w:tc>
          <w:tcPr>
            <w:tcW w:w="156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7,220,000</w:t>
            </w:r>
          </w:p>
        </w:tc>
        <w:tc>
          <w:tcPr>
            <w:tcW w:w="1580" w:type="dxa"/>
            <w:vAlign w:val="bottom"/>
            <w:shd w:val="clear" w:color="auto" w:fill="DBDBDB"/>
          </w:tcPr>
          <w:p>
            <w:pPr>
              <w:spacing w:after="0"/>
              <w:rPr>
                <w:sz w:val="11"/>
                <w:szCs w:val="11"/>
                <w:color w:val="auto"/>
              </w:rPr>
            </w:pPr>
          </w:p>
        </w:tc>
        <w:tc>
          <w:tcPr>
            <w:tcW w:w="84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60" w:type="dxa"/>
            <w:vAlign w:val="bottom"/>
            <w:tcBorders>
              <w:bottom w:val="single" w:sz="8" w:color="DBDBDB"/>
            </w:tcBorders>
          </w:tcPr>
          <w:p>
            <w:pPr>
              <w:ind w:left="80"/>
              <w:spacing w:after="0"/>
              <w:rPr>
                <w:sz w:val="20"/>
                <w:szCs w:val="20"/>
                <w:color w:val="auto"/>
              </w:rPr>
            </w:pPr>
            <w:r>
              <w:rPr>
                <w:rFonts w:ascii="Arial" w:cs="Arial" w:eastAsia="Arial" w:hAnsi="Arial"/>
                <w:sz w:val="10"/>
                <w:szCs w:val="10"/>
                <w:color w:val="auto"/>
              </w:rPr>
              <w:t>Less: Unamortized Debt Issuance Cost</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(33,083)</w:t>
            </w:r>
          </w:p>
        </w:tc>
        <w:tc>
          <w:tcPr>
            <w:tcW w:w="1560" w:type="dxa"/>
            <w:vAlign w:val="bottom"/>
            <w:tcBorders>
              <w:bottom w:val="single" w:sz="8" w:color="DBDBDB"/>
            </w:tcBorders>
          </w:tcPr>
          <w:p>
            <w:pPr>
              <w:spacing w:after="0"/>
              <w:rPr>
                <w:sz w:val="11"/>
                <w:szCs w:val="11"/>
                <w:color w:val="auto"/>
              </w:rPr>
            </w:pPr>
          </w:p>
        </w:tc>
        <w:tc>
          <w:tcPr>
            <w:tcW w:w="860" w:type="dxa"/>
            <w:vAlign w:val="bottom"/>
            <w:tcBorders>
              <w:bottom w:val="single" w:sz="8" w:color="DBDBDB"/>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(40,306)</w:t>
            </w:r>
          </w:p>
        </w:tc>
        <w:tc>
          <w:tcPr>
            <w:tcW w:w="1580" w:type="dxa"/>
            <w:vAlign w:val="bottom"/>
            <w:tcBorders>
              <w:bottom w:val="single" w:sz="8" w:color="DBDBDB"/>
            </w:tcBorders>
          </w:tcPr>
          <w:p>
            <w:pPr>
              <w:spacing w:after="0"/>
              <w:rPr>
                <w:sz w:val="11"/>
                <w:szCs w:val="11"/>
                <w:color w:val="auto"/>
              </w:rPr>
            </w:pPr>
          </w:p>
        </w:tc>
        <w:tc>
          <w:tcPr>
            <w:tcW w:w="840" w:type="dxa"/>
            <w:vAlign w:val="bottom"/>
            <w:tcBorders>
              <w:bottom w:val="single" w:sz="8" w:color="DBDBDB"/>
            </w:tcBorders>
          </w:tcPr>
          <w:p>
            <w:pPr>
              <w:spacing w:after="0"/>
              <w:rPr>
                <w:sz w:val="11"/>
                <w:szCs w:val="11"/>
                <w:color w:val="auto"/>
              </w:rPr>
            </w:pPr>
          </w:p>
        </w:tc>
        <w:tc>
          <w:tcPr>
            <w:tcW w:w="100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260" w:type="dxa"/>
            <w:vAlign w:val="bottom"/>
            <w:shd w:val="clear" w:color="auto" w:fill="DBDBDB"/>
          </w:tcPr>
          <w:p>
            <w:pPr>
              <w:ind w:left="140"/>
              <w:spacing w:after="0"/>
              <w:rPr>
                <w:sz w:val="20"/>
                <w:szCs w:val="20"/>
                <w:color w:val="auto"/>
              </w:rPr>
            </w:pPr>
            <w:r>
              <w:rPr>
                <w:rFonts w:ascii="Arial" w:cs="Arial" w:eastAsia="Arial" w:hAnsi="Arial"/>
                <w:sz w:val="10"/>
                <w:szCs w:val="10"/>
                <w:color w:val="auto"/>
              </w:rPr>
              <w:t>Corporate debt, net</w:t>
            </w:r>
          </w:p>
        </w:tc>
        <w:tc>
          <w:tcPr>
            <w:tcW w:w="220" w:type="dxa"/>
            <w:vAlign w:val="bottom"/>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7,186,917</w:t>
            </w:r>
          </w:p>
        </w:tc>
        <w:tc>
          <w:tcPr>
            <w:tcW w:w="1560" w:type="dxa"/>
            <w:vAlign w:val="bottom"/>
            <w:shd w:val="clear" w:color="auto" w:fill="DBDBDB"/>
          </w:tcPr>
          <w:p>
            <w:pPr>
              <w:spacing w:after="0"/>
              <w:rPr>
                <w:sz w:val="11"/>
                <w:szCs w:val="11"/>
                <w:color w:val="auto"/>
              </w:rPr>
            </w:pPr>
          </w:p>
        </w:tc>
        <w:tc>
          <w:tcPr>
            <w:tcW w:w="1080" w:type="dxa"/>
            <w:vAlign w:val="bottom"/>
            <w:gridSpan w:val="2"/>
            <w:shd w:val="clear" w:color="auto" w:fill="DBDBDB"/>
          </w:tcPr>
          <w:p>
            <w:pPr>
              <w:jc w:val="right"/>
              <w:ind w:right="112"/>
              <w:spacing w:after="0"/>
              <w:rPr>
                <w:sz w:val="20"/>
                <w:szCs w:val="20"/>
                <w:color w:val="auto"/>
              </w:rPr>
            </w:pPr>
            <w:r>
              <w:rPr>
                <w:rFonts w:ascii="Arial" w:cs="Arial" w:eastAsia="Arial" w:hAnsi="Arial"/>
                <w:sz w:val="10"/>
                <w:szCs w:val="10"/>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0"/>
                <w:szCs w:val="10"/>
                <w:color w:val="auto"/>
              </w:rPr>
              <w:t>7,179,694</w:t>
            </w:r>
          </w:p>
        </w:tc>
        <w:tc>
          <w:tcPr>
            <w:tcW w:w="1580" w:type="dxa"/>
            <w:vAlign w:val="bottom"/>
            <w:shd w:val="clear" w:color="auto" w:fill="DBDBDB"/>
          </w:tcPr>
          <w:p>
            <w:pPr>
              <w:spacing w:after="0"/>
              <w:rPr>
                <w:sz w:val="11"/>
                <w:szCs w:val="11"/>
                <w:color w:val="auto"/>
              </w:rPr>
            </w:pPr>
          </w:p>
        </w:tc>
        <w:tc>
          <w:tcPr>
            <w:tcW w:w="84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260" w:type="dxa"/>
            <w:vAlign w:val="bottom"/>
            <w:tcBorders>
              <w:bottom w:val="single" w:sz="8" w:color="auto"/>
            </w:tcBorders>
          </w:tcPr>
          <w:p>
            <w:pPr>
              <w:spacing w:after="0" w:line="106" w:lineRule="exact"/>
              <w:rPr>
                <w:sz w:val="20"/>
                <w:szCs w:val="20"/>
                <w:color w:val="auto"/>
              </w:rPr>
            </w:pPr>
            <w:r>
              <w:rPr>
                <w:rFonts w:ascii="Arial" w:cs="Arial" w:eastAsia="Arial" w:hAnsi="Arial"/>
                <w:sz w:val="10"/>
                <w:szCs w:val="10"/>
                <w:b w:val="1"/>
                <w:bCs w:val="1"/>
                <w:color w:val="auto"/>
              </w:rPr>
              <w:t>Other Borrowings</w:t>
            </w:r>
          </w:p>
        </w:tc>
        <w:tc>
          <w:tcPr>
            <w:tcW w:w="220" w:type="dxa"/>
            <w:vAlign w:val="bottom"/>
            <w:tcBorders>
              <w:top w:val="single" w:sz="8" w:color="auto"/>
              <w:bottom w:val="single" w:sz="8" w:color="DBDBDB"/>
            </w:tcBorders>
          </w:tcPr>
          <w:p>
            <w:pPr>
              <w:spacing w:after="0"/>
              <w:rPr>
                <w:sz w:val="9"/>
                <w:szCs w:val="9"/>
                <w:color w:val="auto"/>
              </w:rPr>
            </w:pPr>
          </w:p>
        </w:tc>
        <w:tc>
          <w:tcPr>
            <w:tcW w:w="880" w:type="dxa"/>
            <w:vAlign w:val="bottom"/>
            <w:tcBorders>
              <w:top w:val="single" w:sz="8" w:color="auto"/>
              <w:bottom w:val="single" w:sz="8" w:color="DBDBDB"/>
            </w:tcBorders>
          </w:tcPr>
          <w:p>
            <w:pPr>
              <w:spacing w:after="0"/>
              <w:rPr>
                <w:sz w:val="9"/>
                <w:szCs w:val="9"/>
                <w:color w:val="auto"/>
              </w:rPr>
            </w:pPr>
          </w:p>
        </w:tc>
        <w:tc>
          <w:tcPr>
            <w:tcW w:w="1560" w:type="dxa"/>
            <w:vAlign w:val="bottom"/>
            <w:tcBorders>
              <w:bottom w:val="single" w:sz="8" w:color="DBDBDB"/>
            </w:tcBorders>
          </w:tcPr>
          <w:p>
            <w:pPr>
              <w:spacing w:after="0"/>
              <w:rPr>
                <w:sz w:val="9"/>
                <w:szCs w:val="9"/>
                <w:color w:val="auto"/>
              </w:rPr>
            </w:pPr>
          </w:p>
        </w:tc>
        <w:tc>
          <w:tcPr>
            <w:tcW w:w="860" w:type="dxa"/>
            <w:vAlign w:val="bottom"/>
            <w:tcBorders>
              <w:bottom w:val="single" w:sz="8" w:color="DBDBDB"/>
            </w:tcBorders>
          </w:tcPr>
          <w:p>
            <w:pPr>
              <w:spacing w:after="0"/>
              <w:rPr>
                <w:sz w:val="9"/>
                <w:szCs w:val="9"/>
                <w:color w:val="auto"/>
              </w:rPr>
            </w:pPr>
          </w:p>
        </w:tc>
        <w:tc>
          <w:tcPr>
            <w:tcW w:w="220" w:type="dxa"/>
            <w:vAlign w:val="bottom"/>
            <w:tcBorders>
              <w:top w:val="single" w:sz="8" w:color="auto"/>
              <w:bottom w:val="single" w:sz="8" w:color="DBDBDB"/>
            </w:tcBorders>
          </w:tcPr>
          <w:p>
            <w:pPr>
              <w:spacing w:after="0"/>
              <w:rPr>
                <w:sz w:val="9"/>
                <w:szCs w:val="9"/>
                <w:color w:val="auto"/>
              </w:rPr>
            </w:pPr>
          </w:p>
        </w:tc>
        <w:tc>
          <w:tcPr>
            <w:tcW w:w="880" w:type="dxa"/>
            <w:vAlign w:val="bottom"/>
            <w:tcBorders>
              <w:top w:val="single" w:sz="8" w:color="auto"/>
              <w:bottom w:val="single" w:sz="8" w:color="DBDBDB"/>
            </w:tcBorders>
          </w:tcPr>
          <w:p>
            <w:pPr>
              <w:spacing w:after="0"/>
              <w:rPr>
                <w:sz w:val="9"/>
                <w:szCs w:val="9"/>
                <w:color w:val="auto"/>
              </w:rPr>
            </w:pPr>
          </w:p>
        </w:tc>
        <w:tc>
          <w:tcPr>
            <w:tcW w:w="1580" w:type="dxa"/>
            <w:vAlign w:val="bottom"/>
            <w:tcBorders>
              <w:bottom w:val="single" w:sz="8" w:color="DBDBDB"/>
            </w:tcBorders>
          </w:tcPr>
          <w:p>
            <w:pPr>
              <w:spacing w:after="0"/>
              <w:rPr>
                <w:sz w:val="9"/>
                <w:szCs w:val="9"/>
                <w:color w:val="auto"/>
              </w:rPr>
            </w:pPr>
          </w:p>
        </w:tc>
        <w:tc>
          <w:tcPr>
            <w:tcW w:w="840" w:type="dxa"/>
            <w:vAlign w:val="bottom"/>
            <w:tcBorders>
              <w:bottom w:val="single" w:sz="8" w:color="DBDBDB"/>
            </w:tcBorders>
          </w:tcPr>
          <w:p>
            <w:pPr>
              <w:spacing w:after="0"/>
              <w:rPr>
                <w:sz w:val="9"/>
                <w:szCs w:val="9"/>
                <w:color w:val="auto"/>
              </w:rPr>
            </w:pPr>
          </w:p>
        </w:tc>
        <w:tc>
          <w:tcPr>
            <w:tcW w:w="100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260" w:type="dxa"/>
            <w:vAlign w:val="bottom"/>
            <w:shd w:val="clear" w:color="auto" w:fill="DBDBDB"/>
          </w:tcPr>
          <w:p>
            <w:pPr>
              <w:ind w:left="80"/>
              <w:spacing w:after="0"/>
              <w:rPr>
                <w:sz w:val="20"/>
                <w:szCs w:val="20"/>
                <w:color w:val="auto"/>
              </w:rPr>
            </w:pPr>
            <w:r>
              <w:rPr>
                <w:rFonts w:ascii="Arial" w:cs="Arial" w:eastAsia="Arial" w:hAnsi="Arial"/>
                <w:sz w:val="10"/>
                <w:szCs w:val="10"/>
                <w:color w:val="auto"/>
              </w:rPr>
              <w:t>Revolving Credit Facility</w:t>
            </w:r>
          </w:p>
        </w:tc>
        <w:tc>
          <w:tcPr>
            <w:tcW w:w="220" w:type="dxa"/>
            <w:vAlign w:val="bottom"/>
            <w:tcBorders>
              <w:bottom w:val="single" w:sz="8" w:color="auto"/>
            </w:tcBorders>
            <w:shd w:val="clear" w:color="auto" w:fill="DBDBDB"/>
          </w:tcPr>
          <w:p>
            <w:pPr>
              <w:spacing w:after="0"/>
              <w:rPr>
                <w:sz w:val="10"/>
                <w:szCs w:val="10"/>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616,000</w:t>
            </w:r>
          </w:p>
        </w:tc>
        <w:tc>
          <w:tcPr>
            <w:tcW w:w="1560" w:type="dxa"/>
            <w:vAlign w:val="bottom"/>
            <w:shd w:val="clear" w:color="auto" w:fill="DBDBDB"/>
          </w:tcPr>
          <w:p>
            <w:pPr>
              <w:jc w:val="center"/>
              <w:ind w:right="12"/>
              <w:spacing w:after="0"/>
              <w:rPr>
                <w:sz w:val="20"/>
                <w:szCs w:val="20"/>
                <w:color w:val="auto"/>
              </w:rPr>
            </w:pPr>
            <w:r>
              <w:rPr>
                <w:rFonts w:ascii="Arial" w:cs="Arial" w:eastAsia="Arial" w:hAnsi="Arial"/>
                <w:sz w:val="10"/>
                <w:szCs w:val="10"/>
                <w:color w:val="auto"/>
                <w:w w:val="96"/>
              </w:rPr>
              <w:t>ABR+37.5 bps / SOFR+147.5 bps</w:t>
            </w:r>
          </w:p>
        </w:tc>
        <w:tc>
          <w:tcPr>
            <w:tcW w:w="86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5.299 %</w:t>
            </w:r>
          </w:p>
        </w:tc>
        <w:tc>
          <w:tcPr>
            <w:tcW w:w="220" w:type="dxa"/>
            <w:vAlign w:val="bottom"/>
            <w:tcBorders>
              <w:bottom w:val="single" w:sz="8" w:color="auto"/>
            </w:tcBorders>
            <w:shd w:val="clear" w:color="auto" w:fill="DBDBDB"/>
          </w:tcPr>
          <w:p>
            <w:pPr>
              <w:spacing w:after="0"/>
              <w:rPr>
                <w:sz w:val="10"/>
                <w:szCs w:val="10"/>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79,000</w:t>
            </w:r>
          </w:p>
        </w:tc>
        <w:tc>
          <w:tcPr>
            <w:tcW w:w="1580" w:type="dxa"/>
            <w:vAlign w:val="bottom"/>
            <w:shd w:val="clear" w:color="auto" w:fill="DBDBDB"/>
          </w:tcPr>
          <w:p>
            <w:pPr>
              <w:jc w:val="center"/>
              <w:ind w:right="52"/>
              <w:spacing w:after="0"/>
              <w:rPr>
                <w:sz w:val="20"/>
                <w:szCs w:val="20"/>
                <w:color w:val="auto"/>
              </w:rPr>
            </w:pPr>
            <w:r>
              <w:rPr>
                <w:rFonts w:ascii="Arial" w:cs="Arial" w:eastAsia="Arial" w:hAnsi="Arial"/>
                <w:sz w:val="10"/>
                <w:szCs w:val="10"/>
                <w:color w:val="auto"/>
                <w:w w:val="95"/>
              </w:rPr>
              <w:t>ABR+37.5 bps / SOFR+147.5 bps</w:t>
            </w:r>
          </w:p>
        </w:tc>
        <w:tc>
          <w:tcPr>
            <w:tcW w:w="840" w:type="dxa"/>
            <w:vAlign w:val="bottom"/>
            <w:shd w:val="clear" w:color="auto" w:fill="DBDBDB"/>
          </w:tcPr>
          <w:p>
            <w:pPr>
              <w:jc w:val="right"/>
              <w:spacing w:after="0"/>
              <w:rPr>
                <w:sz w:val="20"/>
                <w:szCs w:val="20"/>
                <w:color w:val="auto"/>
              </w:rPr>
            </w:pPr>
            <w:r>
              <w:rPr>
                <w:rFonts w:ascii="Arial" w:cs="Arial" w:eastAsia="Arial" w:hAnsi="Arial"/>
                <w:sz w:val="10"/>
                <w:szCs w:val="10"/>
                <w:color w:val="auto"/>
              </w:rPr>
              <w:t>5.634 %</w:t>
            </w:r>
          </w:p>
        </w:tc>
        <w:tc>
          <w:tcPr>
            <w:tcW w:w="1000" w:type="dxa"/>
            <w:vAlign w:val="bottom"/>
            <w:shd w:val="clear" w:color="auto" w:fill="DBDBDB"/>
          </w:tcPr>
          <w:p>
            <w:pPr>
              <w:jc w:val="center"/>
              <w:spacing w:after="0"/>
              <w:rPr>
                <w:sz w:val="20"/>
                <w:szCs w:val="20"/>
                <w:color w:val="auto"/>
              </w:rPr>
            </w:pPr>
            <w:r>
              <w:rPr>
                <w:rFonts w:ascii="Arial" w:cs="Arial" w:eastAsia="Arial" w:hAnsi="Arial"/>
                <w:sz w:val="10"/>
                <w:szCs w:val="10"/>
                <w:color w:val="auto"/>
                <w:w w:val="98"/>
              </w:rPr>
              <w:t>5/20/2029</w:t>
            </w:r>
          </w:p>
        </w:tc>
        <w:tc>
          <w:tcPr>
            <w:tcW w:w="0" w:type="dxa"/>
            <w:vAlign w:val="bottom"/>
          </w:tcPr>
          <w:p>
            <w:pPr>
              <w:spacing w:after="0"/>
              <w:rPr>
                <w:sz w:val="1"/>
                <w:szCs w:val="1"/>
                <w:color w:val="auto"/>
              </w:rPr>
            </w:pPr>
          </w:p>
        </w:tc>
      </w:tr>
      <w:tr>
        <w:trPr>
          <w:trHeight w:val="121"/>
        </w:trPr>
        <w:tc>
          <w:tcPr>
            <w:tcW w:w="3260" w:type="dxa"/>
            <w:vAlign w:val="bottom"/>
            <w:tcBorders>
              <w:bottom w:val="single" w:sz="8" w:color="DBDBDB"/>
            </w:tcBorders>
          </w:tcPr>
          <w:p>
            <w:pPr>
              <w:ind w:left="140"/>
              <w:spacing w:after="0"/>
              <w:rPr>
                <w:sz w:val="20"/>
                <w:szCs w:val="20"/>
                <w:color w:val="auto"/>
              </w:rPr>
            </w:pPr>
            <w:r>
              <w:rPr>
                <w:rFonts w:ascii="Arial" w:cs="Arial" w:eastAsia="Arial" w:hAnsi="Arial"/>
                <w:sz w:val="10"/>
                <w:szCs w:val="10"/>
                <w:color w:val="auto"/>
              </w:rPr>
              <w:t>Total other borrowings</w:t>
            </w: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616,000</w:t>
            </w:r>
          </w:p>
        </w:tc>
        <w:tc>
          <w:tcPr>
            <w:tcW w:w="1560" w:type="dxa"/>
            <w:vAlign w:val="bottom"/>
            <w:tcBorders>
              <w:bottom w:val="single" w:sz="8" w:color="DBDBDB"/>
            </w:tcBorders>
          </w:tcPr>
          <w:p>
            <w:pPr>
              <w:spacing w:after="0"/>
              <w:rPr>
                <w:sz w:val="10"/>
                <w:szCs w:val="10"/>
                <w:color w:val="auto"/>
              </w:rPr>
            </w:pPr>
          </w:p>
        </w:tc>
        <w:tc>
          <w:tcPr>
            <w:tcW w:w="860" w:type="dxa"/>
            <w:vAlign w:val="bottom"/>
            <w:tcBorders>
              <w:bottom w:val="single" w:sz="8" w:color="DBDBDB"/>
            </w:tcBorders>
          </w:tcPr>
          <w:p>
            <w:pPr>
              <w:spacing w:after="0"/>
              <w:rPr>
                <w:sz w:val="10"/>
                <w:szCs w:val="10"/>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79,000</w:t>
            </w:r>
          </w:p>
        </w:tc>
        <w:tc>
          <w:tcPr>
            <w:tcW w:w="1580" w:type="dxa"/>
            <w:vAlign w:val="bottom"/>
            <w:tcBorders>
              <w:bottom w:val="single" w:sz="8" w:color="DBDBDB"/>
            </w:tcBorders>
          </w:tcPr>
          <w:p>
            <w:pPr>
              <w:spacing w:after="0"/>
              <w:rPr>
                <w:sz w:val="10"/>
                <w:szCs w:val="10"/>
                <w:color w:val="auto"/>
              </w:rPr>
            </w:pPr>
          </w:p>
        </w:tc>
        <w:tc>
          <w:tcPr>
            <w:tcW w:w="840" w:type="dxa"/>
            <w:vAlign w:val="bottom"/>
            <w:tcBorders>
              <w:bottom w:val="single" w:sz="8" w:color="DBDBDB"/>
            </w:tcBorders>
          </w:tcPr>
          <w:p>
            <w:pPr>
              <w:spacing w:after="0"/>
              <w:rPr>
                <w:sz w:val="10"/>
                <w:szCs w:val="10"/>
                <w:color w:val="auto"/>
              </w:rPr>
            </w:pPr>
          </w:p>
        </w:tc>
        <w:tc>
          <w:tcPr>
            <w:tcW w:w="1000" w:type="dxa"/>
            <w:vAlign w:val="bottom"/>
            <w:tcBorders>
              <w:bottom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2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0"/>
                <w:szCs w:val="10"/>
                <w:b w:val="1"/>
                <w:bCs w:val="1"/>
                <w:color w:val="auto"/>
              </w:rPr>
              <w:t>Corporate Debt and Other Borrowings, Net</w:t>
            </w:r>
          </w:p>
        </w:tc>
        <w:tc>
          <w:tcPr>
            <w:tcW w:w="220" w:type="dxa"/>
            <w:vAlign w:val="bottom"/>
            <w:tcBorders>
              <w:bottom w:val="single" w:sz="8" w:color="auto"/>
            </w:tcBorders>
            <w:shd w:val="clear" w:color="auto" w:fill="DBDBDB"/>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7,802,917</w:t>
            </w:r>
          </w:p>
        </w:tc>
        <w:tc>
          <w:tcPr>
            <w:tcW w:w="156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spacing w:after="0"/>
              <w:rPr>
                <w:sz w:val="12"/>
                <w:szCs w:val="12"/>
                <w:color w:val="auto"/>
              </w:rPr>
            </w:pPr>
          </w:p>
        </w:tc>
        <w:tc>
          <w:tcPr>
            <w:tcW w:w="220" w:type="dxa"/>
            <w:vAlign w:val="bottom"/>
            <w:tcBorders>
              <w:bottom w:val="single" w:sz="8" w:color="auto"/>
            </w:tcBorders>
            <w:shd w:val="clear" w:color="auto" w:fill="DBDBDB"/>
          </w:tcPr>
          <w:p>
            <w:pPr>
              <w:jc w:val="right"/>
              <w:ind w:right="11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rPr>
              <w:t>7,258,694</w:t>
            </w:r>
          </w:p>
        </w:tc>
        <w:tc>
          <w:tcPr>
            <w:tcW w:w="158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spacing w:after="0"/>
              <w:rPr>
                <w:sz w:val="12"/>
                <w:szCs w:val="12"/>
                <w:color w:val="auto"/>
              </w:rPr>
            </w:pPr>
          </w:p>
        </w:tc>
        <w:tc>
          <w:tcPr>
            <w:tcW w:w="1000" w:type="dxa"/>
            <w:vAlign w:val="bottom"/>
            <w:tcBorders>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308" w:hanging="308"/>
        <w:spacing w:after="0"/>
        <w:tabs>
          <w:tab w:leader="none" w:pos="308" w:val="left"/>
        </w:tabs>
        <w:numPr>
          <w:ilvl w:val="0"/>
          <w:numId w:val="32"/>
        </w:numPr>
        <w:rPr>
          <w:rFonts w:ascii="Arial" w:cs="Arial" w:eastAsia="Arial" w:hAnsi="Arial"/>
          <w:sz w:val="10"/>
          <w:szCs w:val="10"/>
          <w:color w:val="auto"/>
        </w:rPr>
      </w:pPr>
      <w:r>
        <w:rPr>
          <w:rFonts w:ascii="Arial" w:cs="Arial" w:eastAsia="Arial" w:hAnsi="Arial"/>
          <w:sz w:val="10"/>
          <w:szCs w:val="10"/>
          <w:color w:val="auto"/>
        </w:rPr>
        <w:t>No leverage or interest coverage maintenance covenants.</w:t>
      </w:r>
    </w:p>
    <w:p>
      <w:pPr>
        <w:spacing w:after="0" w:line="26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amounts outstanding and available under the Company’s external lines of credit at September 30, 2026 (in millions):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Description</w:t>
            </w:r>
          </w:p>
        </w:tc>
        <w:tc>
          <w:tcPr>
            <w:tcW w:w="2420" w:type="dxa"/>
            <w:vAlign w:val="bottom"/>
            <w:tcBorders>
              <w:bottom w:val="single" w:sz="8" w:color="auto"/>
            </w:tcBorders>
          </w:tcPr>
          <w:p>
            <w:pPr>
              <w:ind w:left="980"/>
              <w:spacing w:after="0"/>
              <w:rPr>
                <w:sz w:val="20"/>
                <w:szCs w:val="20"/>
                <w:color w:val="auto"/>
              </w:rPr>
            </w:pPr>
            <w:r>
              <w:rPr>
                <w:rFonts w:ascii="Arial" w:cs="Arial" w:eastAsia="Arial" w:hAnsi="Arial"/>
                <w:sz w:val="11"/>
                <w:szCs w:val="11"/>
                <w:b w:val="1"/>
                <w:bCs w:val="1"/>
                <w:color w:val="auto"/>
              </w:rPr>
              <w:t>Borrower</w:t>
            </w:r>
          </w:p>
        </w:tc>
        <w:tc>
          <w:tcPr>
            <w:tcW w:w="192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Maturity Date</w:t>
            </w:r>
          </w:p>
        </w:tc>
        <w:tc>
          <w:tcPr>
            <w:tcW w:w="18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Outstanding</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Available</w:t>
            </w:r>
          </w:p>
        </w:tc>
      </w:tr>
      <w:tr>
        <w:trPr>
          <w:trHeight w:val="133"/>
        </w:trPr>
        <w:tc>
          <w:tcPr>
            <w:tcW w:w="2960" w:type="dxa"/>
            <w:vAlign w:val="bottom"/>
            <w:shd w:val="clear" w:color="auto" w:fill="DBDBDB"/>
          </w:tcPr>
          <w:p>
            <w:pPr>
              <w:spacing w:after="0"/>
              <w:rPr>
                <w:sz w:val="20"/>
                <w:szCs w:val="20"/>
                <w:color w:val="auto"/>
              </w:rPr>
            </w:pPr>
            <w:r>
              <w:rPr>
                <w:rFonts w:ascii="Arial" w:cs="Arial" w:eastAsia="Arial" w:hAnsi="Arial"/>
                <w:sz w:val="11"/>
                <w:szCs w:val="11"/>
                <w:color w:val="auto"/>
              </w:rPr>
              <w:t>Senior unsecured, revolving credit facility</w:t>
            </w:r>
          </w:p>
        </w:tc>
        <w:tc>
          <w:tcPr>
            <w:tcW w:w="2420" w:type="dxa"/>
            <w:vAlign w:val="bottom"/>
            <w:shd w:val="clear" w:color="auto" w:fill="DBDBDB"/>
          </w:tcPr>
          <w:p>
            <w:pPr>
              <w:ind w:left="980"/>
              <w:spacing w:after="0"/>
              <w:rPr>
                <w:sz w:val="20"/>
                <w:szCs w:val="20"/>
                <w:color w:val="auto"/>
              </w:rPr>
            </w:pPr>
            <w:r>
              <w:rPr>
                <w:rFonts w:ascii="Arial" w:cs="Arial" w:eastAsia="Arial" w:hAnsi="Arial"/>
                <w:sz w:val="11"/>
                <w:szCs w:val="11"/>
                <w:color w:val="auto"/>
              </w:rPr>
              <w:t>LPL Holdings, Inc.</w:t>
            </w:r>
          </w:p>
        </w:tc>
        <w:tc>
          <w:tcPr>
            <w:tcW w:w="1920" w:type="dxa"/>
            <w:vAlign w:val="bottom"/>
            <w:shd w:val="clear" w:color="auto" w:fill="DBDBDB"/>
          </w:tcPr>
          <w:p>
            <w:pPr>
              <w:ind w:left="560"/>
              <w:spacing w:after="0"/>
              <w:rPr>
                <w:sz w:val="20"/>
                <w:szCs w:val="20"/>
                <w:color w:val="auto"/>
              </w:rPr>
            </w:pPr>
            <w:r>
              <w:rPr>
                <w:rFonts w:ascii="Arial" w:cs="Arial" w:eastAsia="Arial" w:hAnsi="Arial"/>
                <w:sz w:val="11"/>
                <w:szCs w:val="11"/>
                <w:color w:val="auto"/>
              </w:rPr>
              <w:t>May 2029</w:t>
            </w:r>
          </w:p>
        </w:tc>
        <w:tc>
          <w:tcPr>
            <w:tcW w:w="1800" w:type="dxa"/>
            <w:vAlign w:val="bottom"/>
            <w:shd w:val="clear" w:color="auto" w:fill="DBDBDB"/>
          </w:tcPr>
          <w:p>
            <w:pPr>
              <w:jc w:val="right"/>
              <w:ind w:right="1006"/>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ind w:left="80"/>
              <w:spacing w:after="0"/>
              <w:rPr>
                <w:sz w:val="20"/>
                <w:szCs w:val="20"/>
                <w:color w:val="auto"/>
              </w:rPr>
            </w:pPr>
            <w:r>
              <w:rPr>
                <w:rFonts w:ascii="Arial" w:cs="Arial" w:eastAsia="Arial" w:hAnsi="Arial"/>
                <w:sz w:val="11"/>
                <w:szCs w:val="11"/>
                <w:color w:val="auto"/>
                <w:w w:val="97"/>
              </w:rPr>
              <w:t>616</w:t>
            </w:r>
          </w:p>
        </w:tc>
        <w:tc>
          <w:tcPr>
            <w:tcW w:w="3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1,633</w:t>
            </w:r>
          </w:p>
        </w:tc>
      </w:tr>
      <w:tr>
        <w:trPr>
          <w:trHeight w:val="143"/>
        </w:trPr>
        <w:tc>
          <w:tcPr>
            <w:tcW w:w="2960" w:type="dxa"/>
            <w:vAlign w:val="bottom"/>
          </w:tcPr>
          <w:p>
            <w:pPr>
              <w:spacing w:after="0"/>
              <w:rPr>
                <w:sz w:val="20"/>
                <w:szCs w:val="20"/>
                <w:color w:val="auto"/>
              </w:rPr>
            </w:pPr>
            <w:r>
              <w:rPr>
                <w:rFonts w:ascii="Arial" w:cs="Arial" w:eastAsia="Arial" w:hAnsi="Arial"/>
                <w:sz w:val="11"/>
                <w:szCs w:val="11"/>
                <w:color w:val="auto"/>
              </w:rPr>
              <w:t>Broker-dealer revolving credit facility</w:t>
            </w:r>
          </w:p>
        </w:tc>
        <w:tc>
          <w:tcPr>
            <w:tcW w:w="2420" w:type="dxa"/>
            <w:vAlign w:val="bottom"/>
          </w:tcPr>
          <w:p>
            <w:pPr>
              <w:ind w:left="980"/>
              <w:spacing w:after="0"/>
              <w:rPr>
                <w:sz w:val="20"/>
                <w:szCs w:val="20"/>
                <w:color w:val="auto"/>
              </w:rPr>
            </w:pPr>
            <w:r>
              <w:rPr>
                <w:rFonts w:ascii="Arial" w:cs="Arial" w:eastAsia="Arial" w:hAnsi="Arial"/>
                <w:sz w:val="11"/>
                <w:szCs w:val="11"/>
                <w:color w:val="auto"/>
              </w:rPr>
              <w:t>LPL Financial LLC</w:t>
            </w:r>
          </w:p>
        </w:tc>
        <w:tc>
          <w:tcPr>
            <w:tcW w:w="1920" w:type="dxa"/>
            <w:vAlign w:val="bottom"/>
          </w:tcPr>
          <w:p>
            <w:pPr>
              <w:ind w:left="560"/>
              <w:spacing w:after="0"/>
              <w:rPr>
                <w:sz w:val="20"/>
                <w:szCs w:val="20"/>
                <w:color w:val="auto"/>
              </w:rPr>
            </w:pPr>
            <w:r>
              <w:rPr>
                <w:rFonts w:ascii="Arial" w:cs="Arial" w:eastAsia="Arial" w:hAnsi="Arial"/>
                <w:sz w:val="11"/>
                <w:szCs w:val="11"/>
                <w:color w:val="auto"/>
              </w:rPr>
              <w:t>May 2027</w:t>
            </w:r>
          </w:p>
        </w:tc>
        <w:tc>
          <w:tcPr>
            <w:tcW w:w="1800" w:type="dxa"/>
            <w:vAlign w:val="bottom"/>
          </w:tcPr>
          <w:p>
            <w:pPr>
              <w:jc w:val="right"/>
              <w:ind w:right="1006"/>
              <w:spacing w:after="0"/>
              <w:rPr>
                <w:sz w:val="20"/>
                <w:szCs w:val="20"/>
                <w:color w:val="auto"/>
              </w:rPr>
            </w:pPr>
            <w:r>
              <w:rPr>
                <w:rFonts w:ascii="Arial" w:cs="Arial" w:eastAsia="Arial" w:hAnsi="Arial"/>
                <w:sz w:val="11"/>
                <w:szCs w:val="11"/>
                <w:color w:val="auto"/>
              </w:rPr>
              <w:t>$</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3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1,000</w:t>
            </w:r>
          </w:p>
        </w:tc>
      </w:tr>
      <w:tr>
        <w:trPr>
          <w:trHeight w:val="145"/>
        </w:trPr>
        <w:tc>
          <w:tcPr>
            <w:tcW w:w="2960" w:type="dxa"/>
            <w:vAlign w:val="bottom"/>
            <w:shd w:val="clear" w:color="auto" w:fill="DBDBDB"/>
          </w:tcPr>
          <w:p>
            <w:pPr>
              <w:spacing w:after="0"/>
              <w:rPr>
                <w:sz w:val="20"/>
                <w:szCs w:val="20"/>
                <w:color w:val="auto"/>
              </w:rPr>
            </w:pPr>
            <w:r>
              <w:rPr>
                <w:rFonts w:ascii="Arial" w:cs="Arial" w:eastAsia="Arial" w:hAnsi="Arial"/>
                <w:sz w:val="11"/>
                <w:szCs w:val="11"/>
                <w:color w:val="auto"/>
              </w:rPr>
              <w:t>Unsecured, uncommitted lines of credit</w:t>
            </w:r>
          </w:p>
        </w:tc>
        <w:tc>
          <w:tcPr>
            <w:tcW w:w="2420" w:type="dxa"/>
            <w:vAlign w:val="bottom"/>
            <w:shd w:val="clear" w:color="auto" w:fill="DBDBDB"/>
          </w:tcPr>
          <w:p>
            <w:pPr>
              <w:ind w:left="980"/>
              <w:spacing w:after="0"/>
              <w:rPr>
                <w:sz w:val="20"/>
                <w:szCs w:val="20"/>
                <w:color w:val="auto"/>
              </w:rPr>
            </w:pPr>
            <w:r>
              <w:rPr>
                <w:rFonts w:ascii="Arial" w:cs="Arial" w:eastAsia="Arial" w:hAnsi="Arial"/>
                <w:sz w:val="11"/>
                <w:szCs w:val="11"/>
                <w:color w:val="auto"/>
              </w:rPr>
              <w:t>LPL Financial LLC</w:t>
            </w:r>
          </w:p>
        </w:tc>
        <w:tc>
          <w:tcPr>
            <w:tcW w:w="1920" w:type="dxa"/>
            <w:vAlign w:val="bottom"/>
            <w:shd w:val="clear" w:color="auto" w:fill="DBDBDB"/>
          </w:tcPr>
          <w:p>
            <w:pPr>
              <w:ind w:left="560"/>
              <w:spacing w:after="0"/>
              <w:rPr>
                <w:sz w:val="20"/>
                <w:szCs w:val="20"/>
                <w:color w:val="auto"/>
              </w:rPr>
            </w:pPr>
            <w:r>
              <w:rPr>
                <w:rFonts w:ascii="Arial" w:cs="Arial" w:eastAsia="Arial" w:hAnsi="Arial"/>
                <w:sz w:val="11"/>
                <w:szCs w:val="11"/>
                <w:color w:val="auto"/>
              </w:rPr>
              <w:t>None</w:t>
            </w:r>
          </w:p>
        </w:tc>
        <w:tc>
          <w:tcPr>
            <w:tcW w:w="1800" w:type="dxa"/>
            <w:vAlign w:val="bottom"/>
            <w:shd w:val="clear" w:color="auto" w:fill="DBDBDB"/>
          </w:tcPr>
          <w:p>
            <w:pPr>
              <w:jc w:val="right"/>
              <w:ind w:right="1006"/>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DBDBDB"/>
          </w:tcPr>
          <w:p>
            <w:pPr>
              <w:ind w:left="16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2960" w:type="dxa"/>
            <w:vAlign w:val="bottom"/>
          </w:tcPr>
          <w:p>
            <w:pPr>
              <w:spacing w:after="0"/>
              <w:rPr>
                <w:sz w:val="20"/>
                <w:szCs w:val="20"/>
                <w:color w:val="auto"/>
              </w:rPr>
            </w:pPr>
            <w:r>
              <w:rPr>
                <w:rFonts w:ascii="Arial" w:cs="Arial" w:eastAsia="Arial" w:hAnsi="Arial"/>
                <w:sz w:val="11"/>
                <w:szCs w:val="11"/>
                <w:color w:val="auto"/>
              </w:rPr>
              <w:t>Unsecured, uncommitted lines of credit</w:t>
            </w:r>
          </w:p>
        </w:tc>
        <w:tc>
          <w:tcPr>
            <w:tcW w:w="2420" w:type="dxa"/>
            <w:vAlign w:val="bottom"/>
          </w:tcPr>
          <w:p>
            <w:pPr>
              <w:ind w:left="980"/>
              <w:spacing w:after="0"/>
              <w:rPr>
                <w:sz w:val="20"/>
                <w:szCs w:val="20"/>
                <w:color w:val="auto"/>
              </w:rPr>
            </w:pPr>
            <w:r>
              <w:rPr>
                <w:rFonts w:ascii="Arial" w:cs="Arial" w:eastAsia="Arial" w:hAnsi="Arial"/>
                <w:sz w:val="11"/>
                <w:szCs w:val="11"/>
                <w:color w:val="auto"/>
              </w:rPr>
              <w:t>LPL Financial LLC</w:t>
            </w:r>
          </w:p>
        </w:tc>
        <w:tc>
          <w:tcPr>
            <w:tcW w:w="1920" w:type="dxa"/>
            <w:vAlign w:val="bottom"/>
          </w:tcPr>
          <w:p>
            <w:pPr>
              <w:ind w:left="560"/>
              <w:spacing w:after="0"/>
              <w:rPr>
                <w:sz w:val="20"/>
                <w:szCs w:val="20"/>
                <w:color w:val="auto"/>
              </w:rPr>
            </w:pPr>
            <w:r>
              <w:rPr>
                <w:rFonts w:ascii="Arial" w:cs="Arial" w:eastAsia="Arial" w:hAnsi="Arial"/>
                <w:sz w:val="11"/>
                <w:szCs w:val="11"/>
                <w:color w:val="auto"/>
              </w:rPr>
              <w:t>None</w:t>
            </w:r>
          </w:p>
        </w:tc>
        <w:tc>
          <w:tcPr>
            <w:tcW w:w="1800" w:type="dxa"/>
            <w:vAlign w:val="bottom"/>
          </w:tcPr>
          <w:p>
            <w:pPr>
              <w:jc w:val="right"/>
              <w:ind w:right="1006"/>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160"/>
              <w:spacing w:after="0"/>
              <w:rPr>
                <w:sz w:val="20"/>
                <w:szCs w:val="20"/>
                <w:color w:val="auto"/>
              </w:rPr>
            </w:pPr>
            <w:r>
              <w:rPr>
                <w:rFonts w:ascii="Arial" w:cs="Arial" w:eastAsia="Arial" w:hAnsi="Arial"/>
                <w:sz w:val="11"/>
                <w:szCs w:val="11"/>
                <w:color w:val="auto"/>
              </w:rPr>
              <w:t>— $</w:t>
            </w:r>
          </w:p>
        </w:tc>
        <w:tc>
          <w:tcPr>
            <w:tcW w:w="1240" w:type="dxa"/>
            <w:vAlign w:val="bottom"/>
          </w:tcPr>
          <w:p>
            <w:pPr>
              <w:jc w:val="right"/>
              <w:spacing w:after="0"/>
              <w:rPr>
                <w:sz w:val="20"/>
                <w:szCs w:val="20"/>
                <w:color w:val="auto"/>
              </w:rPr>
            </w:pPr>
            <w:r>
              <w:rPr>
                <w:rFonts w:ascii="Arial" w:cs="Arial" w:eastAsia="Arial" w:hAnsi="Arial"/>
                <w:sz w:val="11"/>
                <w:szCs w:val="11"/>
                <w:color w:val="auto"/>
              </w:rPr>
              <w:t>50</w:t>
            </w:r>
          </w:p>
        </w:tc>
      </w:tr>
      <w:tr>
        <w:trPr>
          <w:trHeight w:val="145"/>
        </w:trPr>
        <w:tc>
          <w:tcPr>
            <w:tcW w:w="296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420" w:type="dxa"/>
            <w:vAlign w:val="bottom"/>
            <w:shd w:val="clear" w:color="auto" w:fill="DBDBDB"/>
          </w:tcPr>
          <w:p>
            <w:pPr>
              <w:ind w:left="980"/>
              <w:spacing w:after="0"/>
              <w:rPr>
                <w:sz w:val="20"/>
                <w:szCs w:val="20"/>
                <w:color w:val="auto"/>
              </w:rPr>
            </w:pPr>
            <w:r>
              <w:rPr>
                <w:rFonts w:ascii="Arial" w:cs="Arial" w:eastAsia="Arial" w:hAnsi="Arial"/>
                <w:sz w:val="11"/>
                <w:szCs w:val="11"/>
                <w:color w:val="auto"/>
              </w:rPr>
              <w:t>LPL Financial LLC</w:t>
            </w:r>
          </w:p>
        </w:tc>
        <w:tc>
          <w:tcPr>
            <w:tcW w:w="1920" w:type="dxa"/>
            <w:vAlign w:val="bottom"/>
            <w:shd w:val="clear" w:color="auto" w:fill="DBDBDB"/>
          </w:tcPr>
          <w:p>
            <w:pPr>
              <w:ind w:left="560"/>
              <w:spacing w:after="0"/>
              <w:rPr>
                <w:sz w:val="20"/>
                <w:szCs w:val="20"/>
                <w:color w:val="auto"/>
              </w:rPr>
            </w:pPr>
            <w:r>
              <w:rPr>
                <w:rFonts w:ascii="Arial" w:cs="Arial" w:eastAsia="Arial" w:hAnsi="Arial"/>
                <w:sz w:val="11"/>
                <w:szCs w:val="11"/>
                <w:color w:val="auto"/>
              </w:rPr>
              <w:t>March 2028</w:t>
            </w:r>
          </w:p>
        </w:tc>
        <w:tc>
          <w:tcPr>
            <w:tcW w:w="1800" w:type="dxa"/>
            <w:vAlign w:val="bottom"/>
            <w:shd w:val="clear" w:color="auto" w:fill="DBDBDB"/>
          </w:tcPr>
          <w:p>
            <w:pPr>
              <w:jc w:val="right"/>
              <w:ind w:right="1006"/>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DBDBDB"/>
          </w:tcPr>
          <w:p>
            <w:pPr>
              <w:ind w:left="160"/>
              <w:spacing w:after="0"/>
              <w:rPr>
                <w:sz w:val="20"/>
                <w:szCs w:val="20"/>
                <w:color w:val="auto"/>
              </w:rPr>
            </w:pPr>
            <w:r>
              <w:rPr>
                <w:rFonts w:ascii="Arial" w:cs="Arial" w:eastAsia="Arial" w:hAnsi="Arial"/>
                <w:sz w:val="11"/>
                <w:szCs w:val="11"/>
                <w:color w:val="auto"/>
              </w:rPr>
              <w:t>— $</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2960" w:type="dxa"/>
            <w:vAlign w:val="bottom"/>
          </w:tcPr>
          <w:p>
            <w:pPr>
              <w:spacing w:after="0"/>
              <w:rPr>
                <w:sz w:val="20"/>
                <w:szCs w:val="20"/>
                <w:color w:val="auto"/>
              </w:rPr>
            </w:pPr>
            <w:r>
              <w:rPr>
                <w:rFonts w:ascii="Arial" w:cs="Arial" w:eastAsia="Arial" w:hAnsi="Arial"/>
                <w:sz w:val="11"/>
                <w:szCs w:val="11"/>
                <w:color w:val="auto"/>
              </w:rPr>
              <w:t>Secured, uncommitted lines of credit</w:t>
            </w:r>
          </w:p>
        </w:tc>
        <w:tc>
          <w:tcPr>
            <w:tcW w:w="2420" w:type="dxa"/>
            <w:vAlign w:val="bottom"/>
          </w:tcPr>
          <w:p>
            <w:pPr>
              <w:ind w:left="980"/>
              <w:spacing w:after="0"/>
              <w:rPr>
                <w:sz w:val="20"/>
                <w:szCs w:val="20"/>
                <w:color w:val="auto"/>
              </w:rPr>
            </w:pPr>
            <w:r>
              <w:rPr>
                <w:rFonts w:ascii="Arial" w:cs="Arial" w:eastAsia="Arial" w:hAnsi="Arial"/>
                <w:sz w:val="11"/>
                <w:szCs w:val="11"/>
                <w:color w:val="auto"/>
              </w:rPr>
              <w:t>LPL Financial LLC</w:t>
            </w:r>
          </w:p>
        </w:tc>
        <w:tc>
          <w:tcPr>
            <w:tcW w:w="1920" w:type="dxa"/>
            <w:vAlign w:val="bottom"/>
          </w:tcPr>
          <w:p>
            <w:pPr>
              <w:ind w:left="560"/>
              <w:spacing w:after="0"/>
              <w:rPr>
                <w:sz w:val="20"/>
                <w:szCs w:val="20"/>
                <w:color w:val="auto"/>
              </w:rPr>
            </w:pPr>
            <w:r>
              <w:rPr>
                <w:rFonts w:ascii="Arial" w:cs="Arial" w:eastAsia="Arial" w:hAnsi="Arial"/>
                <w:sz w:val="11"/>
                <w:szCs w:val="11"/>
                <w:color w:val="auto"/>
              </w:rPr>
              <w:t>None</w:t>
            </w:r>
          </w:p>
        </w:tc>
        <w:tc>
          <w:tcPr>
            <w:tcW w:w="1800" w:type="dxa"/>
            <w:vAlign w:val="bottom"/>
          </w:tcPr>
          <w:p>
            <w:pPr>
              <w:jc w:val="right"/>
              <w:ind w:right="1006"/>
              <w:spacing w:after="0"/>
              <w:rPr>
                <w:sz w:val="20"/>
                <w:szCs w:val="20"/>
                <w:color w:val="auto"/>
              </w:rPr>
            </w:pPr>
            <w:r>
              <w:rPr>
                <w:rFonts w:ascii="Arial" w:cs="Arial" w:eastAsia="Arial" w:hAnsi="Arial"/>
                <w:sz w:val="11"/>
                <w:szCs w:val="11"/>
                <w:color w:val="auto"/>
              </w:rPr>
              <w:t>$</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unspecified</w:t>
            </w:r>
          </w:p>
        </w:tc>
      </w:tr>
      <w:tr>
        <w:trPr>
          <w:trHeight w:val="145"/>
        </w:trPr>
        <w:tc>
          <w:tcPr>
            <w:tcW w:w="2960" w:type="dxa"/>
            <w:vAlign w:val="bottom"/>
            <w:shd w:val="clear" w:color="auto" w:fill="DBDBDB"/>
          </w:tcPr>
          <w:p>
            <w:pPr>
              <w:spacing w:after="0"/>
              <w:rPr>
                <w:sz w:val="20"/>
                <w:szCs w:val="20"/>
                <w:color w:val="auto"/>
              </w:rPr>
            </w:pPr>
            <w:r>
              <w:rPr>
                <w:rFonts w:ascii="Arial" w:cs="Arial" w:eastAsia="Arial" w:hAnsi="Arial"/>
                <w:sz w:val="11"/>
                <w:szCs w:val="11"/>
                <w:color w:val="auto"/>
              </w:rPr>
              <w:t>Secured, uncommitted lines of credit</w:t>
            </w:r>
          </w:p>
        </w:tc>
        <w:tc>
          <w:tcPr>
            <w:tcW w:w="2420" w:type="dxa"/>
            <w:vAlign w:val="bottom"/>
            <w:shd w:val="clear" w:color="auto" w:fill="DBDBDB"/>
          </w:tcPr>
          <w:p>
            <w:pPr>
              <w:ind w:left="980"/>
              <w:spacing w:after="0"/>
              <w:rPr>
                <w:sz w:val="20"/>
                <w:szCs w:val="20"/>
                <w:color w:val="auto"/>
              </w:rPr>
            </w:pPr>
            <w:r>
              <w:rPr>
                <w:rFonts w:ascii="Arial" w:cs="Arial" w:eastAsia="Arial" w:hAnsi="Arial"/>
                <w:sz w:val="11"/>
                <w:szCs w:val="11"/>
                <w:color w:val="auto"/>
              </w:rPr>
              <w:t>LPL Financial LLC</w:t>
            </w:r>
          </w:p>
        </w:tc>
        <w:tc>
          <w:tcPr>
            <w:tcW w:w="1920" w:type="dxa"/>
            <w:vAlign w:val="bottom"/>
            <w:shd w:val="clear" w:color="auto" w:fill="DBDBDB"/>
          </w:tcPr>
          <w:p>
            <w:pPr>
              <w:ind w:left="560"/>
              <w:spacing w:after="0"/>
              <w:rPr>
                <w:sz w:val="20"/>
                <w:szCs w:val="20"/>
                <w:color w:val="auto"/>
              </w:rPr>
            </w:pPr>
            <w:r>
              <w:rPr>
                <w:rFonts w:ascii="Arial" w:cs="Arial" w:eastAsia="Arial" w:hAnsi="Arial"/>
                <w:sz w:val="11"/>
                <w:szCs w:val="11"/>
                <w:color w:val="auto"/>
              </w:rPr>
              <w:t>None</w:t>
            </w:r>
          </w:p>
        </w:tc>
        <w:tc>
          <w:tcPr>
            <w:tcW w:w="1800" w:type="dxa"/>
            <w:vAlign w:val="bottom"/>
            <w:shd w:val="clear" w:color="auto" w:fill="DBDBDB"/>
          </w:tcPr>
          <w:p>
            <w:pPr>
              <w:jc w:val="right"/>
              <w:ind w:right="1006"/>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ind w:left="16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DBDBDB"/>
          </w:tcPr>
          <w:p>
            <w:pPr>
              <w:spacing w:after="0"/>
              <w:rPr>
                <w:sz w:val="12"/>
                <w:szCs w:val="12"/>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unspecified</w:t>
            </w:r>
          </w:p>
        </w:tc>
      </w:tr>
    </w:tbl>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Extension of Term Loan A Facility</w:t>
      </w:r>
    </w:p>
    <w:p>
      <w:pPr>
        <w:spacing w:after="0" w:line="67" w:lineRule="exact"/>
        <w:rPr>
          <w:sz w:val="20"/>
          <w:szCs w:val="20"/>
          <w:color w:val="auto"/>
        </w:rPr>
      </w:pPr>
    </w:p>
    <w:p>
      <w:pPr>
        <w:ind w:left="8" w:right="540"/>
        <w:spacing w:after="0" w:line="301" w:lineRule="auto"/>
        <w:rPr>
          <w:sz w:val="20"/>
          <w:szCs w:val="20"/>
          <w:color w:val="auto"/>
        </w:rPr>
      </w:pPr>
      <w:r>
        <w:rPr>
          <w:rFonts w:ascii="Arial" w:cs="Arial" w:eastAsia="Arial" w:hAnsi="Arial"/>
          <w:sz w:val="12"/>
          <w:szCs w:val="12"/>
          <w:color w:val="auto"/>
        </w:rPr>
        <w:t>On November 21, 2025, LPLH refinanced its existing $1.0 billion Term Loan A facility extending its maturity to December 5, 2028. Additionally, the Company's borrowing rate applicable to the Term Loan A decreased by 0.125% at all pricing levels.</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Issuance of 2028 4.900% Senior Notes, 2030 5.150% Senior Notes, and 2035 5.750% Senior Notes</w:t>
      </w:r>
    </w:p>
    <w:p>
      <w:pPr>
        <w:spacing w:after="0" w:line="67" w:lineRule="exact"/>
        <w:rPr>
          <w:sz w:val="20"/>
          <w:szCs w:val="20"/>
          <w:color w:val="auto"/>
        </w:rPr>
      </w:pPr>
    </w:p>
    <w:p>
      <w:pPr>
        <w:ind w:left="8" w:right="20"/>
        <w:spacing w:after="0" w:line="238" w:lineRule="auto"/>
        <w:rPr>
          <w:sz w:val="20"/>
          <w:szCs w:val="20"/>
          <w:color w:val="auto"/>
        </w:rPr>
      </w:pPr>
      <w:r>
        <w:rPr>
          <w:rFonts w:ascii="Arial" w:cs="Arial" w:eastAsia="Arial" w:hAnsi="Arial"/>
          <w:sz w:val="12"/>
          <w:szCs w:val="12"/>
          <w:color w:val="auto"/>
        </w:rPr>
        <w:t>On April 3, 2025, the Company completed the issuance and sale of $500.0 million in aggregate principal amount of 4.900% senior unsecured notes due 2028 (“2028 4.900% Senior Notes”), $500.0 million in aggregate principal amount of 5.150% senior unsecured notes due 2030 (“2030 5.150% Senior Notes”) and $500.0 million in aggregate principal amount of 5.750% senior unsecured notes due 2035 (“2035 5.750% Senior Notes”). The proceeds of the issuance were utilized to fund the acquisition of Commonwealth.</w:t>
      </w:r>
    </w:p>
    <w:p>
      <w:pPr>
        <w:spacing w:after="0" w:line="3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46" w:name="page47"/>
    <w:bookmarkEnd w:id="46"/>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0" w:lineRule="exact"/>
        <w:rPr>
          <w:sz w:val="20"/>
          <w:szCs w:val="20"/>
          <w:color w:val="auto"/>
        </w:rPr>
      </w:pPr>
    </w:p>
    <w:p>
      <w:pPr>
        <w:ind w:right="120"/>
        <w:spacing w:after="0" w:line="233" w:lineRule="auto"/>
        <w:rPr>
          <w:sz w:val="20"/>
          <w:szCs w:val="20"/>
          <w:color w:val="auto"/>
        </w:rPr>
      </w:pPr>
      <w:r>
        <w:rPr>
          <w:rFonts w:ascii="Arial" w:cs="Arial" w:eastAsia="Arial" w:hAnsi="Arial"/>
          <w:sz w:val="12"/>
          <w:szCs w:val="12"/>
          <w:color w:val="auto"/>
        </w:rPr>
        <w:t>The 2028 4.900% Senior Notes will mature on April 3, 2028, and interest is payable semi-annually. The Company may redeem all or part of the 2028 4.900% Senior Notes on or prior to March 3, 2028 at a redemption price that is equal to the greater of: (i) the remaining scheduled payments of principal and interest discounted at the Treasury Rate (as defined in the Sixth Supplemental Indenture dated April 3, 2025) plus 20 basis points less interest accrued to the redemption date, and (ii) 100% of the principal amount of the 2028 4.900% Senior Notes to be redeemed plus accrued interest. On or after March 3, 2028, the Company may redeem the 2028 4.900% Senior Notes at 100% of the principal amount of the notes to be redeemed plus accrued and unpaid interest.</w:t>
      </w:r>
    </w:p>
    <w:p>
      <w:pPr>
        <w:spacing w:after="0" w:line="58"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The 2030 5.150% Senior Notes will mature on June 15, 2030, and interest is payable semi-annually. The Company may redeem all or part of the 2030 5.150% Senior Notes on or prior to May 15, 2030 at a redemption price that is equal to the greater of: (i) the remaining scheduled payments of principal and interest discounted at the Treasury Rate (as defined in the Seventh Supplemental Indenture dated April 3, 2025) plus 20 basis points less interest accrued to the redemption date, and (ii) 100% of the principal amount of the 2030 5.150% Senior Notes to be redeemed plus accrued interest. On or after May 15, 2030, the Company may redeem the 2030 5.150% Senior Notes at 100% of the principal amount of the notes to be redeemed plus accrued and unpaid interest.</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The 2035 5.750% Senior Notes will mature on June 15, 2035, and interest is payable semi-annually. The Company may redeem all or part of the 2035 5.750% Senior Notes on or prior to March 15, 2035 at a redemption price that is equal to the greater of: (i) the remaining scheduled payments of principal and interest discounted at the Treasury Rate (as defined in the Eighth Supplemental Indenture dated April 3, 2025) plus 25 basis points less interest accrued to the redemption date, and (ii) 100% of the principal amount of the 2035 5.750% Senior Notes to be redeemed plus accrued interest. On or after March 15, 2035, the Company may redeem the 2035 5.750% Senior Notes at 100% of the principal amount of the notes to be redeemed plus accrued and unpaid interest.</w:t>
      </w:r>
    </w:p>
    <w:p>
      <w:pPr>
        <w:spacing w:after="0" w:line="45"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 connection with the issuance of the 2028 4.900% Senior Notes, 2030 5.150% Senior Notes and 2035 5.750% Senior Notes, the Company incurred $11.0 million in costs, which were capitalized as debt issuance costs in the condensed consolidated statements of financial condition.</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Issuance of 2030 5.200% Senior Notes and 2035 5.650% Senior Notes</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On February 26, 2025, LPLH issued $750.0 million in aggregate principal amount of 5.200% senior notes due 2030 (“2030 5.200% Senior Notes”) and $500.0 million in aggregate principal amount of 5.650% senior notes due 2035 (“2035 5.650% Senior Notes”). The 2030 5.200% Senior Notes and 2035 5.650% Senior Notes are unsecured obligations of the Company and are fully and unconditionally guaranteed on a senior unsecured basis by LPLFH. The Company used a portion of the proceeds from the issuance to repay borrowings made under its senior unsecured revolving credit facility and for general corporate purposes.</w:t>
      </w:r>
    </w:p>
    <w:p>
      <w:pPr>
        <w:spacing w:after="0" w:line="4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2030 5.200% Senior Notes will mature on March 15, 2030, and interest is payable semi-annually. The Company may redeem all or part of the 2030 5.200% Senior Notes on or prior to February 15, 2030 at a redemption price that is equal to the greater of: (i) the remaining scheduled payments of principal and interest discounted at the Treasury Rate (as defined in the Fourth Supplemental Indenture dated February 26, 2025) plus 15 basis points less interest accrued to the redemption date, and (ii) 100% of the principal amount of the 2030 5.200% Senior Notes to be redeemed plus accrued interest. On or after February 15, 2030, the Company may redeem the 2030 5.200% Senior Notes at 100% of the principal amount of the notes to be redeemed plus accrued and unpaid interest.</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The 2035 5.650% Senior Notes will mature on March 15, 2035, and interest is payable semi-annually. The Company may redeem all or part of the 2035 5.650% Senior Notes on or prior to December 15, 2034 at a redemption price that is equal to the greater of: (i) the remaining scheduled payments of principal and interest discounted at the Treasury Rate (as defined in the Fifth Supplemental Indenture dated February 26, 2025) plus 20 basis points less interest accrued to the redemption date, and (ii) 100% of the principal amount of the 2035 5.650% Senior Notes to be redeemed plus accrued interest. On or after December 15, 2034, the Company may redeem the 2035 5.650% Senior Notes at 100% of the principal amount of the notes to be redeemed plus accrued and unpaid interest.</w:t>
      </w:r>
    </w:p>
    <w:p>
      <w:pPr>
        <w:spacing w:after="0" w:line="45" w:lineRule="exact"/>
        <w:rPr>
          <w:sz w:val="20"/>
          <w:szCs w:val="20"/>
          <w:color w:val="auto"/>
        </w:rPr>
      </w:pPr>
    </w:p>
    <w:p>
      <w:pPr>
        <w:ind w:right="260"/>
        <w:spacing w:after="0" w:line="286" w:lineRule="auto"/>
        <w:rPr>
          <w:sz w:val="20"/>
          <w:szCs w:val="20"/>
          <w:color w:val="auto"/>
        </w:rPr>
      </w:pPr>
      <w:r>
        <w:rPr>
          <w:rFonts w:ascii="Arial" w:cs="Arial" w:eastAsia="Arial" w:hAnsi="Arial"/>
          <w:sz w:val="12"/>
          <w:szCs w:val="12"/>
          <w:color w:val="auto"/>
        </w:rPr>
        <w:t>In connection with the issuance of the 2030 5.200% Senior Notes and 2035 5.650% Senior Notes, the Company incurred $10.4 million in costs, which were capitalized as debt issuance costs in the condensed consolidated statements of financial condition.</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Agreement and Parent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Credit Agreement subjects the Company to certain financial and non-financial covenants. As of September 30, 2026, the Company was in compliance with such covenants.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47" w:name="page48"/>
    <w:bookmarkEnd w:id="47"/>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Broker-Dealer Revolving Credit Facility</w:t>
      </w:r>
    </w:p>
    <w:p>
      <w:pPr>
        <w:spacing w:after="0" w:line="67" w:lineRule="exact"/>
        <w:rPr>
          <w:sz w:val="20"/>
          <w:szCs w:val="20"/>
          <w:color w:val="auto"/>
        </w:rPr>
      </w:pPr>
    </w:p>
    <w:p>
      <w:pPr>
        <w:ind w:right="40"/>
        <w:spacing w:after="0" w:line="245" w:lineRule="auto"/>
        <w:rPr>
          <w:sz w:val="20"/>
          <w:szCs w:val="20"/>
          <w:color w:val="auto"/>
        </w:rPr>
      </w:pPr>
      <w:r>
        <w:rPr>
          <w:rFonts w:ascii="Arial" w:cs="Arial" w:eastAsia="Arial" w:hAnsi="Arial"/>
          <w:sz w:val="12"/>
          <w:szCs w:val="12"/>
          <w:color w:val="auto"/>
        </w:rPr>
        <w:t>On May 18, 2026, LPL Financial, the Company’s broker-dealer subsidiary, renewed its revolving credit facility to extend the maturity of the revolving credit facility to May 2027. The revolving credit facility allows for a maximum borrowing of up to $1.0 billion and borrowings under the credit facility bear interest at a rate per annum equal to 1.25% plus the greatest of (i) SOFR, (ii) the effective federal funds rate and (iii) the</w:t>
      </w:r>
    </w:p>
    <w:p>
      <w:pPr>
        <w:ind w:right="40"/>
        <w:spacing w:after="0" w:line="247" w:lineRule="auto"/>
        <w:rPr>
          <w:sz w:val="20"/>
          <w:szCs w:val="20"/>
          <w:color w:val="auto"/>
        </w:rPr>
      </w:pPr>
      <w:r>
        <w:rPr>
          <w:rFonts w:ascii="Arial" w:cs="Arial" w:eastAsia="Arial" w:hAnsi="Arial"/>
          <w:sz w:val="11"/>
          <w:szCs w:val="11"/>
          <w:color w:val="auto"/>
        </w:rPr>
        <w:t>overnight bank funding rate, in each case, as such rate is administered or determined by the Federal Reserve Bank of New York from time to time. In connection with the renewal of the credit facility, LPL Financial incurred $1.2 million in costs, which were capitalized as debt issuance costs in the condensed consolidated statements of financial condition. The broker-dealer credit agreement subjects LPL Financial to certain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financial and non-financial covenants. LPL Financial was in compliance with such covenants as of September 30, 2026.</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External Lines of Credit</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LPL Financial maintained five uncommitted lines of credit as of September 30, 2026. Two of the lines have unspecified limits, which are primarily dependent on LPL Financial’s ability to provide sufficient collateral.</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 other three lines have a total limit of $200.0 million, of which $125.0 million is uncollateralized. There were no balances outstanding under these lines at September 30, 2026 or December 31, 2025.</w:t>
      </w: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 COMMITMENTS AND CONTINGENCIES</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Service and Development Contracts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Company is party to certain long-term contracts for systems and services that enable back-office trade processing and clearing for its product and service offerings.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Guarantees</w:t>
      </w:r>
    </w:p>
    <w:p>
      <w:pPr>
        <w:spacing w:after="0" w:line="76" w:lineRule="exact"/>
        <w:rPr>
          <w:sz w:val="20"/>
          <w:szCs w:val="20"/>
          <w:color w:val="auto"/>
        </w:rPr>
      </w:pPr>
    </w:p>
    <w:p>
      <w:pPr>
        <w:ind w:right="240"/>
        <w:spacing w:after="0" w:line="286" w:lineRule="auto"/>
        <w:rPr>
          <w:sz w:val="20"/>
          <w:szCs w:val="20"/>
          <w:color w:val="auto"/>
        </w:rPr>
      </w:pPr>
      <w:r>
        <w:rPr>
          <w:rFonts w:ascii="Arial" w:cs="Arial" w:eastAsia="Arial" w:hAnsi="Arial"/>
          <w:sz w:val="12"/>
          <w:szCs w:val="12"/>
          <w:color w:val="auto"/>
        </w:rPr>
        <w:t>The Company occasionally enters into contracts that contingently require it to indemnify certain parties against third -party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could exceed the cash and securities it has posted as collateral. However, the potential requirement for the Company to make payments under these agreements is remote. Accordingly, no liability has been recognized for these transactions.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Loan Commitments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From time to time, LPL Financial makes loans to advisors and institutions, primarily to newly recruited advisors and institutions to assist in the transition process, which may be forgivable. Due to timing differences, LPL Financial may make commitments to issue such loans prior to actually funding them. These commitments are generally contingent upon certain events occurring, including the advisor or institution joining LPL Financial. LPL Financial had no significant unfunded loan commitments at September 30, 2026 or December 31, 2025.</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and Regulatory Matters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The Company is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has in the past and may in the future include fines, customer restitution and other remediation. Assessing the probability of a loss occurring and the timing and amount of any loss related to a legal proceeding or regulatory matter is inherently difficult. While the Company exercises significant and complex judgments to make certain estimates presented in its condensed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17" w:right="359" w:bottom="1440" w:gutter="0" w:footer="0" w:header="0"/>
        </w:sectPr>
      </w:pPr>
    </w:p>
    <w:bookmarkStart w:id="48" w:name="page49"/>
    <w:bookmarkEnd w:id="48"/>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29"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status of the matter and any recent developments; prior experience and the experience of others in similar matters; the size and nature of potential exposures; available defenses; the progress of fact discovery; the opinions of counsel and experts; or the potential opportunities for settlement and the status of any settlement discussions.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w:t>
      </w:r>
    </w:p>
    <w:p>
      <w:pPr>
        <w:spacing w:after="0" w:line="198" w:lineRule="exact"/>
        <w:rPr>
          <w:sz w:val="20"/>
          <w:szCs w:val="20"/>
          <w:color w:val="auto"/>
        </w:rPr>
      </w:pPr>
    </w:p>
    <w:p>
      <w:pPr>
        <w:ind w:right="280"/>
        <w:spacing w:after="0" w:line="270" w:lineRule="auto"/>
        <w:rPr>
          <w:sz w:val="20"/>
          <w:szCs w:val="20"/>
          <w:color w:val="auto"/>
        </w:rPr>
      </w:pPr>
      <w:r>
        <w:rPr>
          <w:rFonts w:ascii="Arial" w:cs="Arial" w:eastAsia="Arial" w:hAnsi="Arial"/>
          <w:sz w:val="12"/>
          <w:szCs w:val="12"/>
          <w:color w:val="auto"/>
        </w:rPr>
        <w:t>In July 2024, putative class action lawsuits were filed against LPL Financial in federal district court alleging certain violations of law in connection with its cash sweep programs. The Company intends to defend vigorously against the lawsuits, which have since been consolidated into one case.</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Third-Party Insurance</w:t>
      </w:r>
    </w:p>
    <w:p>
      <w:pPr>
        <w:spacing w:after="0" w:line="76"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The Company maintains third-party insurance coverage for certain potential legal proceedings, including those involving certain client claims. With respect to such client claims, the estimated losses on many of the pending matters are less than the applicable deductibles of the insurance policies.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Self-Insurance</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The Company has self-insurance for certain potential liabilities through its captive insurance subsidiary. Liabilities associated with the risks that are retained by the Company are not discounted and are estimated by considering, in part, historical claims experience, severity factors, and actuarial assumptions and estimates. The estimated accruals for these potential liabilities could be significantly affected if future occurrences and claims differ from such assumptions and historical trends, so there are particular complexities and uncertainties involved when assessing the adequacy of loss reserves for potential liabilities that are self-insured. Self-insurance liabilities are included in accounts payable and accrued liabilities in the condensed consolidated statements of financial condition. Self-insurance related charges are included in other expense in the condensed consolidated statements of income.</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beginning and ending balances of self-insurance liabilities for the periods presented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9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8"/>
              </w:rPr>
              <w:t>Nine Months Ended September 30,</w:t>
            </w:r>
          </w:p>
        </w:tc>
        <w:tc>
          <w:tcPr>
            <w:tcW w:w="1240" w:type="dxa"/>
            <w:vAlign w:val="bottom"/>
            <w:tcBorders>
              <w:bottom w:val="single" w:sz="8" w:color="auto"/>
            </w:tcBorders>
          </w:tcPr>
          <w:p>
            <w:pPr>
              <w:spacing w:after="0"/>
              <w:rPr>
                <w:sz w:val="12"/>
                <w:szCs w:val="12"/>
                <w:color w:val="auto"/>
              </w:rPr>
            </w:pPr>
          </w:p>
        </w:tc>
      </w:tr>
      <w:tr>
        <w:trPr>
          <w:trHeight w:val="133"/>
        </w:trPr>
        <w:tc>
          <w:tcPr>
            <w:tcW w:w="6980" w:type="dxa"/>
            <w:vAlign w:val="bottom"/>
            <w:tcBorders>
              <w:bottom w:val="single" w:sz="8" w:color="DBDBDB"/>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b w:val="1"/>
                <w:bCs w:val="1"/>
                <w:color w:val="auto"/>
              </w:rPr>
              <w:t>2025</w:t>
            </w:r>
          </w:p>
        </w:tc>
      </w:tr>
      <w:tr>
        <w:trPr>
          <w:trHeight w:val="133"/>
        </w:trPr>
        <w:tc>
          <w:tcPr>
            <w:tcW w:w="6980" w:type="dxa"/>
            <w:vAlign w:val="bottom"/>
            <w:shd w:val="clear" w:color="auto" w:fill="DBDBDB"/>
          </w:tcPr>
          <w:p>
            <w:pPr>
              <w:spacing w:after="0"/>
              <w:rPr>
                <w:sz w:val="20"/>
                <w:szCs w:val="20"/>
                <w:color w:val="auto"/>
              </w:rPr>
            </w:pPr>
            <w:r>
              <w:rPr>
                <w:rFonts w:ascii="Arial" w:cs="Arial" w:eastAsia="Arial" w:hAnsi="Arial"/>
                <w:sz w:val="11"/>
                <w:szCs w:val="11"/>
                <w:color w:val="auto"/>
              </w:rPr>
              <w:t>Beginning balance — January 1</w:t>
            </w:r>
          </w:p>
        </w:tc>
        <w:tc>
          <w:tcPr>
            <w:tcW w:w="1240" w:type="dxa"/>
            <w:vAlign w:val="bottom"/>
            <w:shd w:val="clear" w:color="auto" w:fill="DBDBDB"/>
          </w:tcPr>
          <w:p>
            <w:pPr>
              <w:jc w:val="right"/>
              <w:ind w:right="1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101,551</w:t>
            </w:r>
          </w:p>
        </w:tc>
        <w:tc>
          <w:tcPr>
            <w:tcW w:w="920" w:type="dxa"/>
            <w:vAlign w:val="bottom"/>
            <w:shd w:val="clear" w:color="auto" w:fill="DBDBDB"/>
          </w:tcPr>
          <w:p>
            <w:pPr>
              <w:jc w:val="right"/>
              <w:ind w:right="81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79,637</w:t>
            </w:r>
          </w:p>
        </w:tc>
      </w:tr>
      <w:tr>
        <w:trPr>
          <w:trHeight w:val="143"/>
        </w:trPr>
        <w:tc>
          <w:tcPr>
            <w:tcW w:w="6980" w:type="dxa"/>
            <w:vAlign w:val="bottom"/>
          </w:tcPr>
          <w:p>
            <w:pPr>
              <w:spacing w:after="0"/>
              <w:rPr>
                <w:sz w:val="20"/>
                <w:szCs w:val="20"/>
                <w:color w:val="auto"/>
              </w:rPr>
            </w:pPr>
            <w:r>
              <w:rPr>
                <w:rFonts w:ascii="Arial" w:cs="Arial" w:eastAsia="Arial" w:hAnsi="Arial"/>
                <w:sz w:val="11"/>
                <w:szCs w:val="11"/>
                <w:color w:val="auto"/>
              </w:rPr>
              <w:t>Losses incurred</w:t>
            </w:r>
          </w:p>
        </w:tc>
        <w:tc>
          <w:tcPr>
            <w:tcW w:w="124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28,005</w:t>
            </w:r>
          </w:p>
        </w:tc>
        <w:tc>
          <w:tcPr>
            <w:tcW w:w="92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35,556</w:t>
            </w:r>
          </w:p>
        </w:tc>
      </w:tr>
      <w:tr>
        <w:trPr>
          <w:trHeight w:val="144"/>
        </w:trPr>
        <w:tc>
          <w:tcPr>
            <w:tcW w:w="6980" w:type="dxa"/>
            <w:vAlign w:val="bottom"/>
            <w:shd w:val="clear" w:color="auto" w:fill="DBDBDB"/>
          </w:tcPr>
          <w:p>
            <w:pPr>
              <w:spacing w:after="0"/>
              <w:rPr>
                <w:sz w:val="20"/>
                <w:szCs w:val="20"/>
                <w:color w:val="auto"/>
              </w:rPr>
            </w:pPr>
            <w:r>
              <w:rPr>
                <w:rFonts w:ascii="Arial" w:cs="Arial" w:eastAsia="Arial" w:hAnsi="Arial"/>
                <w:sz w:val="11"/>
                <w:szCs w:val="11"/>
                <w:color w:val="auto"/>
              </w:rPr>
              <w:t>Losses paid</w:t>
            </w:r>
          </w:p>
        </w:tc>
        <w:tc>
          <w:tcPr>
            <w:tcW w:w="1240" w:type="dxa"/>
            <w:vAlign w:val="bottom"/>
            <w:tcBorders>
              <w:bottom w:val="single" w:sz="8" w:color="auto"/>
            </w:tcBorders>
            <w:shd w:val="clear" w:color="auto" w:fill="DBDBDB"/>
          </w:tcPr>
          <w:p>
            <w:pPr>
              <w:spacing w:after="0"/>
              <w:rPr>
                <w:sz w:val="12"/>
                <w:szCs w:val="1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(28,360)</w:t>
            </w:r>
          </w:p>
        </w:tc>
        <w:tc>
          <w:tcPr>
            <w:tcW w:w="920" w:type="dxa"/>
            <w:vAlign w:val="bottom"/>
            <w:tcBorders>
              <w:bottom w:val="single" w:sz="8" w:color="auto"/>
            </w:tcBorders>
            <w:shd w:val="clear" w:color="auto" w:fill="DBDBDB"/>
          </w:tcPr>
          <w:p>
            <w:pPr>
              <w:spacing w:after="0"/>
              <w:rPr>
                <w:sz w:val="12"/>
                <w:szCs w:val="12"/>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(17,613)</w:t>
            </w:r>
          </w:p>
        </w:tc>
      </w:tr>
      <w:tr>
        <w:trPr>
          <w:trHeight w:val="134"/>
        </w:trPr>
        <w:tc>
          <w:tcPr>
            <w:tcW w:w="6980" w:type="dxa"/>
            <w:vAlign w:val="bottom"/>
          </w:tcPr>
          <w:p>
            <w:pPr>
              <w:spacing w:after="0"/>
              <w:rPr>
                <w:sz w:val="20"/>
                <w:szCs w:val="20"/>
                <w:color w:val="auto"/>
              </w:rPr>
            </w:pPr>
            <w:r>
              <w:rPr>
                <w:rFonts w:ascii="Arial" w:cs="Arial" w:eastAsia="Arial" w:hAnsi="Arial"/>
                <w:sz w:val="11"/>
                <w:szCs w:val="11"/>
                <w:color w:val="auto"/>
              </w:rPr>
              <w:t>Ending balance — September 30</w:t>
            </w:r>
          </w:p>
        </w:tc>
        <w:tc>
          <w:tcPr>
            <w:tcW w:w="1240" w:type="dxa"/>
            <w:vAlign w:val="bottom"/>
            <w:tcBorders>
              <w:bottom w:val="single" w:sz="8" w:color="auto"/>
            </w:tcBorders>
          </w:tcPr>
          <w:p>
            <w:pPr>
              <w:jc w:val="right"/>
              <w:ind w:right="11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101,196</w:t>
            </w:r>
          </w:p>
        </w:tc>
        <w:tc>
          <w:tcPr>
            <w:tcW w:w="920" w:type="dxa"/>
            <w:vAlign w:val="bottom"/>
            <w:tcBorders>
              <w:bottom w:val="single" w:sz="8" w:color="auto"/>
            </w:tcBorders>
          </w:tcPr>
          <w:p>
            <w:pPr>
              <w:jc w:val="right"/>
              <w:ind w:right="81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97,580</w:t>
            </w:r>
          </w:p>
        </w:tc>
      </w:tr>
      <w:tr>
        <w:trPr>
          <w:trHeight w:val="20"/>
        </w:trPr>
        <w:tc>
          <w:tcPr>
            <w:tcW w:w="6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Commitments</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As of September 30, 2026, the Company had approximately $899.0 million of client margin loans that were collateralized with securities having a fair value of approximately $ 1.3 billion that LPL Financial can repledge, loan or sell. Of these securities, approximately $521.5 million were client-owned securities pledged to the Options Clearing Corporation as collateral to secure client obligations related to options positions. As of September 30, 2026, there were no restrictions that materially limited the Company’s ability to repledge, loan or sell the remaining $737.1 million of client collateral.</w:t>
      </w:r>
    </w:p>
    <w:p>
      <w:pPr>
        <w:spacing w:after="0" w:line="78" w:lineRule="exact"/>
        <w:rPr>
          <w:sz w:val="20"/>
          <w:szCs w:val="20"/>
          <w:color w:val="auto"/>
        </w:rPr>
      </w:pPr>
    </w:p>
    <w:p>
      <w:pPr>
        <w:ind w:right="280"/>
        <w:spacing w:after="0" w:line="268" w:lineRule="auto"/>
        <w:rPr>
          <w:sz w:val="20"/>
          <w:szCs w:val="20"/>
          <w:color w:val="auto"/>
        </w:rPr>
      </w:pPr>
      <w:r>
        <w:rPr>
          <w:rFonts w:ascii="Arial" w:cs="Arial" w:eastAsia="Arial" w:hAnsi="Arial"/>
          <w:sz w:val="12"/>
          <w:szCs w:val="12"/>
          <w:color w:val="auto"/>
        </w:rPr>
        <w:t>Investment securities on the condensed consolidated statements of financial condition include $19.8 million and $15.0 million of trading securities pledged to the Options Clearing Corporation at September 30, 2026 and December 31, 2025, respectively, and $24.7 million and $25.0 million of trading securities pledged to the National Securities Clearing Corporation at September 30, 2026 and December 31, 2025,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49" w:name="page50"/>
    <w:bookmarkEnd w:id="49"/>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STOCKHOLDERS’ EQUITY</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76"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The payment, timing and amount of any dividends are subject to approval by the Company’s Board of Directors (the “Board”) as well as certain limits under the Credit Agreement. Cash dividends per share of common stock and total cash dividends paid on a quarterly basis were as follows (in millions,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4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jc w:val="center"/>
              <w:ind w:right="1126"/>
              <w:spacing w:after="0"/>
              <w:rPr>
                <w:sz w:val="20"/>
                <w:szCs w:val="20"/>
                <w:color w:val="auto"/>
              </w:rPr>
            </w:pPr>
            <w:r>
              <w:rPr>
                <w:rFonts w:ascii="Arial" w:cs="Arial" w:eastAsia="Arial" w:hAnsi="Arial"/>
                <w:sz w:val="11"/>
                <w:szCs w:val="11"/>
                <w:b w:val="1"/>
                <w:bCs w:val="1"/>
                <w:color w:val="auto"/>
                <w:w w:val="97"/>
              </w:rPr>
              <w:t>2026</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2"/>
          </w:tcPr>
          <w:p>
            <w:pPr>
              <w:jc w:val="center"/>
              <w:ind w:left="1366"/>
              <w:spacing w:after="0"/>
              <w:rPr>
                <w:sz w:val="20"/>
                <w:szCs w:val="20"/>
                <w:color w:val="auto"/>
              </w:rPr>
            </w:pPr>
            <w:r>
              <w:rPr>
                <w:rFonts w:ascii="Arial" w:cs="Arial" w:eastAsia="Arial" w:hAnsi="Arial"/>
                <w:sz w:val="11"/>
                <w:szCs w:val="11"/>
                <w:b w:val="1"/>
                <w:bCs w:val="1"/>
                <w:color w:val="auto"/>
                <w:w w:val="97"/>
              </w:rPr>
              <w:t>2025</w:t>
            </w:r>
          </w:p>
        </w:tc>
        <w:tc>
          <w:tcPr>
            <w:tcW w:w="1700" w:type="dxa"/>
            <w:vAlign w:val="bottom"/>
            <w:tcBorders>
              <w:bottom w:val="single" w:sz="8" w:color="auto"/>
            </w:tcBorders>
          </w:tcPr>
          <w:p>
            <w:pPr>
              <w:spacing w:after="0"/>
              <w:rPr>
                <w:sz w:val="12"/>
                <w:szCs w:val="12"/>
                <w:color w:val="auto"/>
              </w:rPr>
            </w:pPr>
          </w:p>
        </w:tc>
      </w:tr>
      <w:tr>
        <w:trPr>
          <w:trHeight w:val="133"/>
        </w:trPr>
        <w:tc>
          <w:tcPr>
            <w:tcW w:w="3340" w:type="dxa"/>
            <w:vAlign w:val="bottom"/>
            <w:tcBorders>
              <w:bottom w:val="single" w:sz="8" w:color="DBDBDB"/>
            </w:tcBorders>
          </w:tcPr>
          <w:p>
            <w:pPr>
              <w:spacing w:after="0"/>
              <w:rPr>
                <w:sz w:val="11"/>
                <w:szCs w:val="11"/>
                <w:color w:val="auto"/>
              </w:rPr>
            </w:pPr>
          </w:p>
        </w:tc>
        <w:tc>
          <w:tcPr>
            <w:tcW w:w="1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Dividend per Share</w:t>
            </w: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Total Cash Dividend</w:t>
            </w: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Dividend per Share</w:t>
            </w: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Total Cash Dividend</w:t>
            </w:r>
          </w:p>
        </w:tc>
      </w:tr>
      <w:tr>
        <w:trPr>
          <w:trHeight w:val="133"/>
        </w:trPr>
        <w:tc>
          <w:tcPr>
            <w:tcW w:w="3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First quarter</w:t>
            </w:r>
          </w:p>
        </w:tc>
        <w:tc>
          <w:tcPr>
            <w:tcW w:w="1580" w:type="dxa"/>
            <w:vAlign w:val="bottom"/>
            <w:shd w:val="clear" w:color="auto" w:fill="DBDBDB"/>
          </w:tcPr>
          <w:p>
            <w:pPr>
              <w:jc w:val="right"/>
              <w:ind w:right="1446"/>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0.30</w:t>
            </w:r>
          </w:p>
        </w:tc>
        <w:tc>
          <w:tcPr>
            <w:tcW w:w="1680" w:type="dxa"/>
            <w:vAlign w:val="bottom"/>
            <w:shd w:val="clear" w:color="auto" w:fill="DBDBDB"/>
          </w:tcPr>
          <w:p>
            <w:pPr>
              <w:jc w:val="center"/>
              <w:ind w:right="1486"/>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24.1</w:t>
            </w:r>
          </w:p>
        </w:tc>
        <w:tc>
          <w:tcPr>
            <w:tcW w:w="30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0.30</w:t>
            </w:r>
          </w:p>
        </w:tc>
        <w:tc>
          <w:tcPr>
            <w:tcW w:w="340" w:type="dxa"/>
            <w:vAlign w:val="bottom"/>
            <w:shd w:val="clear" w:color="auto" w:fill="DBDBDB"/>
          </w:tcPr>
          <w:p>
            <w:pPr>
              <w:jc w:val="center"/>
              <w:ind w:right="186"/>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w:t>
            </w:r>
          </w:p>
        </w:tc>
      </w:tr>
      <w:tr>
        <w:trPr>
          <w:trHeight w:val="143"/>
        </w:trPr>
        <w:tc>
          <w:tcPr>
            <w:tcW w:w="3340" w:type="dxa"/>
            <w:vAlign w:val="bottom"/>
          </w:tcPr>
          <w:p>
            <w:pPr>
              <w:ind w:left="20"/>
              <w:spacing w:after="0"/>
              <w:rPr>
                <w:sz w:val="20"/>
                <w:szCs w:val="20"/>
                <w:color w:val="auto"/>
              </w:rPr>
            </w:pPr>
            <w:r>
              <w:rPr>
                <w:rFonts w:ascii="Arial" w:cs="Arial" w:eastAsia="Arial" w:hAnsi="Arial"/>
                <w:sz w:val="11"/>
                <w:szCs w:val="11"/>
                <w:color w:val="auto"/>
              </w:rPr>
              <w:t>Second quarter</w:t>
            </w:r>
          </w:p>
        </w:tc>
        <w:tc>
          <w:tcPr>
            <w:tcW w:w="1580" w:type="dxa"/>
            <w:vAlign w:val="bottom"/>
          </w:tcPr>
          <w:p>
            <w:pPr>
              <w:jc w:val="right"/>
              <w:ind w:right="1446"/>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0.30</w:t>
            </w:r>
          </w:p>
        </w:tc>
        <w:tc>
          <w:tcPr>
            <w:tcW w:w="1680" w:type="dxa"/>
            <w:vAlign w:val="bottom"/>
          </w:tcPr>
          <w:p>
            <w:pPr>
              <w:jc w:val="center"/>
              <w:ind w:right="1486"/>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24.0</w:t>
            </w:r>
          </w:p>
        </w:tc>
        <w:tc>
          <w:tcPr>
            <w:tcW w:w="3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640" w:type="dxa"/>
            <w:vAlign w:val="bottom"/>
          </w:tcPr>
          <w:p>
            <w:pPr>
              <w:jc w:val="right"/>
              <w:spacing w:after="0"/>
              <w:rPr>
                <w:sz w:val="20"/>
                <w:szCs w:val="20"/>
                <w:color w:val="auto"/>
              </w:rPr>
            </w:pPr>
            <w:r>
              <w:rPr>
                <w:rFonts w:ascii="Arial" w:cs="Arial" w:eastAsia="Arial" w:hAnsi="Arial"/>
                <w:sz w:val="11"/>
                <w:szCs w:val="11"/>
                <w:color w:val="auto"/>
              </w:rPr>
              <w:t>0.30</w:t>
            </w:r>
          </w:p>
        </w:tc>
        <w:tc>
          <w:tcPr>
            <w:tcW w:w="340" w:type="dxa"/>
            <w:vAlign w:val="bottom"/>
          </w:tcPr>
          <w:p>
            <w:pPr>
              <w:jc w:val="center"/>
              <w:ind w:right="186"/>
              <w:spacing w:after="0"/>
              <w:rPr>
                <w:sz w:val="20"/>
                <w:szCs w:val="20"/>
                <w:color w:val="auto"/>
              </w:rPr>
            </w:pPr>
            <w:r>
              <w:rPr>
                <w:rFonts w:ascii="Arial" w:cs="Arial" w:eastAsia="Arial" w:hAnsi="Arial"/>
                <w:sz w:val="11"/>
                <w:szCs w:val="11"/>
                <w:color w:val="auto"/>
                <w:w w:val="97"/>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24.0</w:t>
            </w:r>
          </w:p>
        </w:tc>
      </w:tr>
      <w:tr>
        <w:trPr>
          <w:trHeight w:val="145"/>
        </w:trPr>
        <w:tc>
          <w:tcPr>
            <w:tcW w:w="3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Third quarter</w:t>
            </w:r>
          </w:p>
        </w:tc>
        <w:tc>
          <w:tcPr>
            <w:tcW w:w="1580" w:type="dxa"/>
            <w:vAlign w:val="bottom"/>
            <w:shd w:val="clear" w:color="auto" w:fill="DBDBDB"/>
          </w:tcPr>
          <w:p>
            <w:pPr>
              <w:jc w:val="right"/>
              <w:ind w:right="1446"/>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0.30</w:t>
            </w:r>
          </w:p>
        </w:tc>
        <w:tc>
          <w:tcPr>
            <w:tcW w:w="1680" w:type="dxa"/>
            <w:vAlign w:val="bottom"/>
            <w:shd w:val="clear" w:color="auto" w:fill="DBDBDB"/>
          </w:tcPr>
          <w:p>
            <w:pPr>
              <w:jc w:val="center"/>
              <w:ind w:right="1486"/>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23.6</w:t>
            </w:r>
          </w:p>
        </w:tc>
        <w:tc>
          <w:tcPr>
            <w:tcW w:w="30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0.30</w:t>
            </w:r>
          </w:p>
        </w:tc>
        <w:tc>
          <w:tcPr>
            <w:tcW w:w="340" w:type="dxa"/>
            <w:vAlign w:val="bottom"/>
            <w:shd w:val="clear" w:color="auto" w:fill="DBDBDB"/>
          </w:tcPr>
          <w:p>
            <w:pPr>
              <w:jc w:val="center"/>
              <w:ind w:right="186"/>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24.0</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 Repurchases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Company engages in a share repurchase program that was approved by the Board, pursuant to which LPLFH may repurchase its issued and outstanding shares of common stock from time to time.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Repurchased shares are included in treasury stock on the condensed consolidated statements of financial condition.</w:t>
      </w:r>
    </w:p>
    <w:p>
      <w:pPr>
        <w:spacing w:after="0" w:line="66"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During the nine months ended September 30, 2026, LPLFH repurchased 1.9 million shares of common stock at a weighted-average price of $313.13 per share for a total of $610.0 million. On July 23, 2026, the Board authorized a new repurchase program that increased the amount available for repurchases of the Company’s issued and outstanding common shares by $2.5 billion. As of September 30, 2026, the Company had $2.5 billion remaining under the share repurchase program. Future share repurchases may be effected in open market or privately negotiated transactions, including transactions with affiliates, with the timing of purchases and the amount of stock purchased generally determined at the discretion of the Company within the constraints of the Credit Agreement and the Company’s general working capital needs.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Offering</w:t>
      </w:r>
    </w:p>
    <w:p>
      <w:pPr>
        <w:spacing w:after="0" w:line="67" w:lineRule="exact"/>
        <w:rPr>
          <w:sz w:val="20"/>
          <w:szCs w:val="20"/>
          <w:color w:val="auto"/>
        </w:rPr>
      </w:pPr>
    </w:p>
    <w:p>
      <w:pPr>
        <w:ind w:right="40"/>
        <w:spacing w:after="0" w:line="259" w:lineRule="auto"/>
        <w:rPr>
          <w:sz w:val="20"/>
          <w:szCs w:val="20"/>
          <w:color w:val="auto"/>
        </w:rPr>
      </w:pPr>
      <w:r>
        <w:rPr>
          <w:rFonts w:ascii="Arial" w:cs="Arial" w:eastAsia="Arial" w:hAnsi="Arial"/>
          <w:sz w:val="11"/>
          <w:szCs w:val="11"/>
          <w:color w:val="auto"/>
        </w:rPr>
        <w:t>On April 2, 2025, the Company completed a public offering of approximately 5.4 million shares of the Company’s common stock at an offering price of $320.00 per share. The Company received proceeds of approximately $1.7 billion, which were used to fund the acquisition of Commonwealth. In connection with the issuance, the Company incurred incremental costs of $48.1 million, which were recorded as a reduction</w:t>
      </w:r>
    </w:p>
    <w:p>
      <w:pPr>
        <w:spacing w:after="0"/>
        <w:rPr>
          <w:sz w:val="20"/>
          <w:szCs w:val="20"/>
          <w:color w:val="auto"/>
        </w:rPr>
      </w:pPr>
      <w:r>
        <w:rPr>
          <w:rFonts w:ascii="Arial" w:cs="Arial" w:eastAsia="Arial" w:hAnsi="Arial"/>
          <w:sz w:val="12"/>
          <w:szCs w:val="12"/>
          <w:color w:val="auto"/>
        </w:rPr>
        <w:t xml:space="preserve">to the offering proceeds. See Note 4 - </w:t>
      </w:r>
      <w:r>
        <w:rPr>
          <w:rFonts w:ascii="Arial" w:cs="Arial" w:eastAsia="Arial" w:hAnsi="Arial"/>
          <w:sz w:val="12"/>
          <w:szCs w:val="12"/>
          <w:i w:val="1"/>
          <w:iCs w:val="1"/>
          <w:color w:val="auto"/>
        </w:rPr>
        <w:t>Acquisitions</w:t>
      </w:r>
      <w:r>
        <w:rPr>
          <w:rFonts w:ascii="Arial" w:cs="Arial" w:eastAsia="Arial" w:hAnsi="Arial"/>
          <w:sz w:val="12"/>
          <w:szCs w:val="12"/>
          <w:color w:val="auto"/>
        </w:rPr>
        <w:t xml:space="preserve"> within the notes to the condensed consolidated financial statements for additional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 SHARE-BASED COMPENSATION</w:t>
      </w:r>
    </w:p>
    <w:p>
      <w:pPr>
        <w:spacing w:after="0" w:line="258"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In May 2021, the Company adopted its 2021 Omnibus Equity Incentive Plan (the “2021 Plan”), which provides for the granting of stock options, warrants, restricted stock awards, restricted stock units, deferred stock units, performance stock units and other equity-based compensation to the Company’s employees, non-employee directors and other service providers. The 2021 Plan serves as the successor to the Company’s 2010 Omnibus Equity Incentive Plan (the “2010 Plan”). Following the adoption of the 2021 Plan, the Company is no longer making grants under the 2010 Plan, and the 2021 Plan is the only plan under which equity awards are granted. However, awards previously granted under the 2010 Plan will remain outstanding until vested, exercised or forfeited, as applicable.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There were 17,754,197 shares authorized for grant under the 2021 Plan and 10,723,427 shares remaining available for future issuance at September 30, 2026.</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50" w:name="page51"/>
    <w:bookmarkEnd w:id="50"/>
    <w:p>
      <w:pPr>
        <w:ind w:left="28"/>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Restricted Stock and Stock Units</w:t>
      </w:r>
    </w:p>
    <w:p>
      <w:pPr>
        <w:spacing w:after="0" w:line="76" w:lineRule="exact"/>
        <w:rPr>
          <w:sz w:val="20"/>
          <w:szCs w:val="20"/>
          <w:color w:val="auto"/>
        </w:rPr>
      </w:pPr>
    </w:p>
    <w:p>
      <w:pPr>
        <w:ind w:left="8" w:right="120"/>
        <w:spacing w:after="0" w:line="277" w:lineRule="auto"/>
        <w:rPr>
          <w:sz w:val="20"/>
          <w:szCs w:val="20"/>
          <w:color w:val="auto"/>
        </w:rPr>
      </w:pPr>
      <w:r>
        <w:rPr>
          <w:rFonts w:ascii="Arial" w:cs="Arial" w:eastAsia="Arial" w:hAnsi="Arial"/>
          <w:sz w:val="12"/>
          <w:szCs w:val="12"/>
          <w:color w:val="auto"/>
        </w:rPr>
        <w:t>The following summarizes the Company’s activity in its restricted stock awards and stock units, which include restricted stock units, deferred stock units and performance stock units, as of and for the nine months ended September 30, 2026:</w:t>
      </w:r>
    </w:p>
    <w:tbl>
      <w:tblPr>
        <w:tblLayout w:type="fixed"/>
        <w:tblInd w:w="8" w:type="dxa"/>
        <w:tblCellMar>
          <w:top w:w="0" w:type="dxa"/>
          <w:left w:w="0" w:type="dxa"/>
          <w:bottom w:w="0" w:type="dxa"/>
          <w:right w:w="0" w:type="dxa"/>
        </w:tblCellMar>
      </w:tblPr>
      <w:tr>
        <w:trPr>
          <w:trHeight w:val="144"/>
        </w:trPr>
        <w:tc>
          <w:tcPr>
            <w:tcW w:w="5900" w:type="dxa"/>
            <w:vAlign w:val="bottom"/>
          </w:tcPr>
          <w:p>
            <w:pPr>
              <w:spacing w:after="0"/>
              <w:rPr>
                <w:sz w:val="12"/>
                <w:szCs w:val="12"/>
                <w:color w:val="auto"/>
              </w:rPr>
            </w:pPr>
          </w:p>
        </w:tc>
        <w:tc>
          <w:tcPr>
            <w:tcW w:w="264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11"/>
                <w:szCs w:val="11"/>
                <w:b w:val="1"/>
                <w:bCs w:val="1"/>
                <w:color w:val="auto"/>
              </w:rPr>
              <w:t>Restricted Stock Awards</w:t>
            </w: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Stock Units</w:t>
            </w: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900" w:type="dxa"/>
            <w:vAlign w:val="bottom"/>
          </w:tcPr>
          <w:p>
            <w:pPr>
              <w:spacing w:after="0"/>
              <w:rPr>
                <w:sz w:val="8"/>
                <w:szCs w:val="8"/>
                <w:color w:val="auto"/>
              </w:rPr>
            </w:pPr>
          </w:p>
        </w:tc>
        <w:tc>
          <w:tcPr>
            <w:tcW w:w="1020" w:type="dxa"/>
            <w:vAlign w:val="bottom"/>
            <w:vMerge w:val="restart"/>
          </w:tcPr>
          <w:p>
            <w:pPr>
              <w:jc w:val="center"/>
              <w:ind w:left="346"/>
              <w:spacing w:after="0"/>
              <w:rPr>
                <w:sz w:val="20"/>
                <w:szCs w:val="20"/>
                <w:color w:val="auto"/>
              </w:rPr>
            </w:pPr>
            <w:r>
              <w:rPr>
                <w:rFonts w:ascii="Arial" w:cs="Arial" w:eastAsia="Arial" w:hAnsi="Arial"/>
                <w:sz w:val="11"/>
                <w:szCs w:val="11"/>
                <w:b w:val="1"/>
                <w:bCs w:val="1"/>
                <w:color w:val="auto"/>
                <w:w w:val="98"/>
              </w:rPr>
              <w:t>Number of</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center"/>
              <w:ind w:right="46"/>
              <w:spacing w:after="0" w:line="97" w:lineRule="exact"/>
              <w:rPr>
                <w:sz w:val="20"/>
                <w:szCs w:val="20"/>
                <w:color w:val="auto"/>
              </w:rPr>
            </w:pPr>
            <w:r>
              <w:rPr>
                <w:rFonts w:ascii="Arial" w:cs="Arial" w:eastAsia="Arial" w:hAnsi="Arial"/>
                <w:sz w:val="11"/>
                <w:szCs w:val="11"/>
                <w:b w:val="1"/>
                <w:bCs w:val="1"/>
                <w:color w:val="auto"/>
                <w:w w:val="97"/>
              </w:rPr>
              <w:t>Weighted-Average</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Number of</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jc w:val="center"/>
              <w:ind w:right="86"/>
              <w:spacing w:after="0" w:line="97" w:lineRule="exact"/>
              <w:rPr>
                <w:sz w:val="20"/>
                <w:szCs w:val="20"/>
                <w:color w:val="auto"/>
              </w:rPr>
            </w:pPr>
            <w:r>
              <w:rPr>
                <w:rFonts w:ascii="Arial" w:cs="Arial" w:eastAsia="Arial" w:hAnsi="Arial"/>
                <w:sz w:val="11"/>
                <w:szCs w:val="11"/>
                <w:b w:val="1"/>
                <w:bCs w:val="1"/>
                <w:color w:val="auto"/>
                <w:w w:val="97"/>
              </w:rPr>
              <w:t>Weighted-Average</w:t>
            </w: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4"/>
              </w:rPr>
              <w:t>Grant-Date</w:t>
            </w:r>
          </w:p>
        </w:tc>
        <w:tc>
          <w:tcPr>
            <w:tcW w:w="12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106"/>
              <w:spacing w:after="0" w:line="108" w:lineRule="exact"/>
              <w:rPr>
                <w:sz w:val="20"/>
                <w:szCs w:val="20"/>
                <w:color w:val="auto"/>
              </w:rPr>
            </w:pPr>
            <w:r>
              <w:rPr>
                <w:rFonts w:ascii="Arial" w:cs="Arial" w:eastAsia="Arial" w:hAnsi="Arial"/>
                <w:sz w:val="11"/>
                <w:szCs w:val="11"/>
                <w:b w:val="1"/>
                <w:bCs w:val="1"/>
                <w:color w:val="auto"/>
                <w:w w:val="98"/>
              </w:rPr>
              <w:t>Grant-Date</w:t>
            </w:r>
          </w:p>
        </w:tc>
        <w:tc>
          <w:tcPr>
            <w:tcW w:w="0" w:type="dxa"/>
            <w:vAlign w:val="bottom"/>
          </w:tcPr>
          <w:p>
            <w:pPr>
              <w:spacing w:after="0"/>
              <w:rPr>
                <w:sz w:val="1"/>
                <w:szCs w:val="1"/>
                <w:color w:val="auto"/>
              </w:rPr>
            </w:pPr>
          </w:p>
        </w:tc>
      </w:tr>
      <w:tr>
        <w:trPr>
          <w:trHeight w:val="144"/>
        </w:trPr>
        <w:tc>
          <w:tcPr>
            <w:tcW w:w="5900" w:type="dxa"/>
            <w:vAlign w:val="bottom"/>
            <w:tcBorders>
              <w:bottom w:val="single" w:sz="8" w:color="DBDBDB"/>
            </w:tcBorders>
          </w:tcPr>
          <w:p>
            <w:pPr>
              <w:spacing w:after="0"/>
              <w:rPr>
                <w:sz w:val="12"/>
                <w:szCs w:val="12"/>
                <w:color w:val="auto"/>
              </w:rPr>
            </w:pPr>
          </w:p>
        </w:tc>
        <w:tc>
          <w:tcPr>
            <w:tcW w:w="1020" w:type="dxa"/>
            <w:vAlign w:val="bottom"/>
            <w:tcBorders>
              <w:bottom w:val="single" w:sz="8" w:color="auto"/>
            </w:tcBorders>
          </w:tcPr>
          <w:p>
            <w:pPr>
              <w:jc w:val="center"/>
              <w:ind w:left="366"/>
              <w:spacing w:after="0"/>
              <w:rPr>
                <w:sz w:val="20"/>
                <w:szCs w:val="20"/>
                <w:color w:val="auto"/>
              </w:rPr>
            </w:pPr>
            <w:r>
              <w:rPr>
                <w:rFonts w:ascii="Arial" w:cs="Arial" w:eastAsia="Arial" w:hAnsi="Arial"/>
                <w:sz w:val="11"/>
                <w:szCs w:val="11"/>
                <w:b w:val="1"/>
                <w:bCs w:val="1"/>
                <w:color w:val="auto"/>
                <w:w w:val="97"/>
              </w:rPr>
              <w:t>Shares</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4"/>
              </w:rPr>
              <w:t>Fair Value</w:t>
            </w:r>
          </w:p>
        </w:tc>
        <w:tc>
          <w:tcPr>
            <w:tcW w:w="12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Units</w:t>
            </w:r>
          </w:p>
        </w:tc>
        <w:tc>
          <w:tcPr>
            <w:tcW w:w="34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33"/>
        </w:trPr>
        <w:tc>
          <w:tcPr>
            <w:tcW w:w="6920" w:type="dxa"/>
            <w:vAlign w:val="bottom"/>
            <w:gridSpan w:val="2"/>
            <w:shd w:val="clear" w:color="auto" w:fill="DBDBDB"/>
          </w:tcPr>
          <w:p>
            <w:pPr>
              <w:spacing w:after="0"/>
              <w:rPr>
                <w:sz w:val="20"/>
                <w:szCs w:val="20"/>
                <w:color w:val="auto"/>
              </w:rPr>
            </w:pPr>
            <w:r>
              <w:rPr>
                <w:rFonts w:ascii="Arial" w:cs="Arial" w:eastAsia="Arial" w:hAnsi="Arial"/>
                <w:sz w:val="11"/>
                <w:szCs w:val="11"/>
                <w:color w:val="auto"/>
              </w:rPr>
              <w:t>Outstanding — December 31, 2025</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1,204</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372.50</w:t>
            </w: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635,087</w:t>
            </w:r>
          </w:p>
        </w:tc>
        <w:tc>
          <w:tcPr>
            <w:tcW w:w="340" w:type="dxa"/>
            <w:vAlign w:val="bottom"/>
            <w:shd w:val="clear" w:color="auto" w:fill="DBDBDB"/>
          </w:tcPr>
          <w:p>
            <w:pPr>
              <w:spacing w:after="0"/>
              <w:rPr>
                <w:sz w:val="11"/>
                <w:szCs w:val="11"/>
                <w:color w:val="auto"/>
              </w:rPr>
            </w:pP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290.25</w:t>
            </w:r>
          </w:p>
        </w:tc>
        <w:tc>
          <w:tcPr>
            <w:tcW w:w="0" w:type="dxa"/>
            <w:vAlign w:val="bottom"/>
          </w:tcPr>
          <w:p>
            <w:pPr>
              <w:spacing w:after="0"/>
              <w:rPr>
                <w:sz w:val="1"/>
                <w:szCs w:val="1"/>
                <w:color w:val="auto"/>
              </w:rPr>
            </w:pPr>
          </w:p>
        </w:tc>
      </w:tr>
      <w:tr>
        <w:trPr>
          <w:trHeight w:val="143"/>
        </w:trPr>
        <w:tc>
          <w:tcPr>
            <w:tcW w:w="6920" w:type="dxa"/>
            <w:vAlign w:val="bottom"/>
            <w:gridSpan w:val="2"/>
          </w:tcPr>
          <w:p>
            <w:pPr>
              <w:ind w:left="60"/>
              <w:spacing w:after="0"/>
              <w:rPr>
                <w:sz w:val="20"/>
                <w:szCs w:val="20"/>
                <w:color w:val="auto"/>
              </w:rPr>
            </w:pPr>
            <w:r>
              <w:rPr>
                <w:rFonts w:ascii="Arial" w:cs="Arial" w:eastAsia="Arial" w:hAnsi="Arial"/>
                <w:sz w:val="11"/>
                <w:szCs w:val="11"/>
                <w:color w:val="auto"/>
              </w:rPr>
              <w:t>Granted</w:t>
            </w:r>
          </w:p>
        </w:tc>
        <w:tc>
          <w:tcPr>
            <w:tcW w:w="400" w:type="dxa"/>
            <w:vAlign w:val="bottom"/>
          </w:tcPr>
          <w:p>
            <w:pPr>
              <w:jc w:val="right"/>
              <w:spacing w:after="0"/>
              <w:rPr>
                <w:sz w:val="20"/>
                <w:szCs w:val="20"/>
                <w:color w:val="auto"/>
              </w:rPr>
            </w:pPr>
            <w:r>
              <w:rPr>
                <w:rFonts w:ascii="Arial" w:cs="Arial" w:eastAsia="Arial" w:hAnsi="Arial"/>
                <w:sz w:val="11"/>
                <w:szCs w:val="11"/>
                <w:color w:val="auto"/>
              </w:rPr>
              <w:t>2,484</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299.73</w:t>
            </w:r>
          </w:p>
        </w:tc>
        <w:tc>
          <w:tcPr>
            <w:tcW w:w="1200" w:type="dxa"/>
            <w:vAlign w:val="bottom"/>
          </w:tcPr>
          <w:p>
            <w:pPr>
              <w:jc w:val="right"/>
              <w:spacing w:after="0"/>
              <w:rPr>
                <w:sz w:val="20"/>
                <w:szCs w:val="20"/>
                <w:color w:val="auto"/>
              </w:rPr>
            </w:pPr>
            <w:r>
              <w:rPr>
                <w:rFonts w:ascii="Arial" w:cs="Arial" w:eastAsia="Arial" w:hAnsi="Arial"/>
                <w:sz w:val="11"/>
                <w:szCs w:val="11"/>
                <w:color w:val="auto"/>
              </w:rPr>
              <w:t>320,588</w:t>
            </w:r>
          </w:p>
        </w:tc>
        <w:tc>
          <w:tcPr>
            <w:tcW w:w="34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326.90</w:t>
            </w:r>
          </w:p>
        </w:tc>
        <w:tc>
          <w:tcPr>
            <w:tcW w:w="0" w:type="dxa"/>
            <w:vAlign w:val="bottom"/>
          </w:tcPr>
          <w:p>
            <w:pPr>
              <w:spacing w:after="0"/>
              <w:rPr>
                <w:sz w:val="1"/>
                <w:szCs w:val="1"/>
                <w:color w:val="auto"/>
              </w:rPr>
            </w:pPr>
          </w:p>
        </w:tc>
      </w:tr>
      <w:tr>
        <w:trPr>
          <w:trHeight w:val="145"/>
        </w:trPr>
        <w:tc>
          <w:tcPr>
            <w:tcW w:w="6920" w:type="dxa"/>
            <w:vAlign w:val="bottom"/>
            <w:gridSpan w:val="2"/>
            <w:shd w:val="clear" w:color="auto" w:fill="DBDBDB"/>
          </w:tcPr>
          <w:p>
            <w:pPr>
              <w:ind w:left="60"/>
              <w:spacing w:after="0"/>
              <w:rPr>
                <w:sz w:val="20"/>
                <w:szCs w:val="20"/>
                <w:color w:val="auto"/>
              </w:rPr>
            </w:pPr>
            <w:r>
              <w:rPr>
                <w:rFonts w:ascii="Arial" w:cs="Arial" w:eastAsia="Arial" w:hAnsi="Arial"/>
                <w:sz w:val="11"/>
                <w:szCs w:val="11"/>
                <w:color w:val="auto"/>
              </w:rPr>
              <w:t>Vested</w:t>
            </w:r>
          </w:p>
        </w:tc>
        <w:tc>
          <w:tcPr>
            <w:tcW w:w="4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(1,552)</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356.18</w:t>
            </w:r>
          </w:p>
        </w:tc>
        <w:tc>
          <w:tcPr>
            <w:tcW w:w="12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(190,714)</w:t>
            </w:r>
          </w:p>
        </w:tc>
        <w:tc>
          <w:tcPr>
            <w:tcW w:w="340" w:type="dxa"/>
            <w:vAlign w:val="bottom"/>
            <w:shd w:val="clear" w:color="auto" w:fill="DBDBDB"/>
          </w:tcPr>
          <w:p>
            <w:pPr>
              <w:spacing w:after="0"/>
              <w:rPr>
                <w:sz w:val="12"/>
                <w:szCs w:val="12"/>
                <w:color w:val="auto"/>
              </w:rPr>
            </w:pP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291.76</w:t>
            </w:r>
          </w:p>
        </w:tc>
        <w:tc>
          <w:tcPr>
            <w:tcW w:w="0" w:type="dxa"/>
            <w:vAlign w:val="bottom"/>
          </w:tcPr>
          <w:p>
            <w:pPr>
              <w:spacing w:after="0"/>
              <w:rPr>
                <w:sz w:val="1"/>
                <w:szCs w:val="1"/>
                <w:color w:val="auto"/>
              </w:rPr>
            </w:pPr>
          </w:p>
        </w:tc>
      </w:tr>
      <w:tr>
        <w:trPr>
          <w:trHeight w:val="143"/>
        </w:trPr>
        <w:tc>
          <w:tcPr>
            <w:tcW w:w="5900" w:type="dxa"/>
            <w:vAlign w:val="bottom"/>
          </w:tcPr>
          <w:p>
            <w:pPr>
              <w:ind w:left="60"/>
              <w:spacing w:after="0"/>
              <w:rPr>
                <w:sz w:val="20"/>
                <w:szCs w:val="20"/>
                <w:color w:val="auto"/>
              </w:rPr>
            </w:pPr>
            <w:r>
              <w:rPr>
                <w:rFonts w:ascii="Arial" w:cs="Arial" w:eastAsia="Arial" w:hAnsi="Arial"/>
                <w:sz w:val="11"/>
                <w:szCs w:val="11"/>
                <w:color w:val="auto"/>
              </w:rPr>
              <w:t>Forfeited</w:t>
            </w:r>
          </w:p>
        </w:tc>
        <w:tc>
          <w:tcPr>
            <w:tcW w:w="10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(49,933)</w:t>
            </w:r>
          </w:p>
        </w:tc>
        <w:tc>
          <w:tcPr>
            <w:tcW w:w="34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328.77</w:t>
            </w:r>
          </w:p>
        </w:tc>
        <w:tc>
          <w:tcPr>
            <w:tcW w:w="0" w:type="dxa"/>
            <w:vAlign w:val="bottom"/>
          </w:tcPr>
          <w:p>
            <w:pPr>
              <w:spacing w:after="0"/>
              <w:rPr>
                <w:sz w:val="1"/>
                <w:szCs w:val="1"/>
                <w:color w:val="auto"/>
              </w:rPr>
            </w:pPr>
          </w:p>
        </w:tc>
      </w:tr>
      <w:tr>
        <w:trPr>
          <w:trHeight w:val="161"/>
        </w:trPr>
        <w:tc>
          <w:tcPr>
            <w:tcW w:w="590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Outstanding — September 30, 2026</w:t>
            </w:r>
          </w:p>
        </w:tc>
        <w:tc>
          <w:tcPr>
            <w:tcW w:w="1020" w:type="dxa"/>
            <w:vAlign w:val="bottom"/>
            <w:tcBorders>
              <w:top w:val="single" w:sz="8" w:color="auto"/>
              <w:bottom w:val="single" w:sz="8" w:color="DBDBDB"/>
            </w:tcBorders>
            <w:shd w:val="clear" w:color="auto" w:fill="DBDBDB"/>
          </w:tcPr>
          <w:p>
            <w:pPr>
              <w:spacing w:after="0"/>
              <w:rPr>
                <w:sz w:val="14"/>
                <w:szCs w:val="14"/>
                <w:color w:val="auto"/>
              </w:rPr>
            </w:pPr>
          </w:p>
        </w:tc>
        <w:tc>
          <w:tcPr>
            <w:tcW w:w="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2,136</w:t>
            </w:r>
          </w:p>
        </w:tc>
        <w:tc>
          <w:tcPr>
            <w:tcW w:w="10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DBDBDB"/>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299.73</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715,028</w:t>
            </w:r>
          </w:p>
        </w:tc>
        <w:tc>
          <w:tcPr>
            <w:tcW w:w="340" w:type="dxa"/>
            <w:vAlign w:val="bottom"/>
            <w:tcBorders>
              <w:top w:val="single" w:sz="8" w:color="DBDBDB"/>
              <w:bottom w:val="single" w:sz="8" w:color="DBDBDB"/>
            </w:tcBorders>
            <w:shd w:val="clear" w:color="auto" w:fill="DBDBDB"/>
          </w:tcPr>
          <w:p>
            <w:pPr>
              <w:jc w:val="right"/>
              <w:ind w:right="172"/>
              <w:spacing w:after="0"/>
              <w:rPr>
                <w:sz w:val="20"/>
                <w:szCs w:val="20"/>
                <w:color w:val="auto"/>
              </w:rPr>
            </w:pPr>
            <w:r>
              <w:rPr>
                <w:rFonts w:ascii="Arial" w:cs="Arial" w:eastAsia="Arial" w:hAnsi="Arial"/>
                <w:sz w:val="10"/>
                <w:szCs w:val="10"/>
                <w:color w:val="auto"/>
                <w:w w:val="81"/>
              </w:rPr>
              <w:t>(1)</w:t>
            </w:r>
          </w:p>
        </w:tc>
        <w:tc>
          <w:tcPr>
            <w:tcW w:w="140" w:type="dxa"/>
            <w:vAlign w:val="bottom"/>
            <w:tcBorders>
              <w:top w:val="single" w:sz="8" w:color="DBDBDB"/>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DBDBDB"/>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303.59</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20"/>
                <w:szCs w:val="20"/>
                <w:color w:val="auto"/>
              </w:rPr>
            </w:pPr>
            <w:r>
              <w:rPr>
                <w:rFonts w:ascii="Arial" w:cs="Arial" w:eastAsia="Arial" w:hAnsi="Arial"/>
                <w:sz w:val="11"/>
                <w:szCs w:val="11"/>
                <w:color w:val="auto"/>
              </w:rPr>
              <w:t>Expected to vest — September 30, 2026</w:t>
            </w:r>
          </w:p>
        </w:tc>
        <w:tc>
          <w:tcPr>
            <w:tcW w:w="10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2,136</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299.73</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548,873</w:t>
            </w:r>
          </w:p>
        </w:tc>
        <w:tc>
          <w:tcPr>
            <w:tcW w:w="3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336.65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w:t>
      </w:r>
    </w:p>
    <w:p>
      <w:pPr>
        <w:spacing w:after="0" w:line="39" w:lineRule="exact"/>
        <w:rPr>
          <w:sz w:val="20"/>
          <w:szCs w:val="20"/>
          <w:color w:val="auto"/>
        </w:rPr>
      </w:pPr>
    </w:p>
    <w:p>
      <w:pPr>
        <w:ind w:left="228" w:hanging="228"/>
        <w:spacing w:after="0"/>
        <w:tabs>
          <w:tab w:leader="none" w:pos="228" w:val="left"/>
        </w:tabs>
        <w:numPr>
          <w:ilvl w:val="0"/>
          <w:numId w:val="33"/>
        </w:numPr>
        <w:rPr>
          <w:rFonts w:ascii="Arial" w:cs="Arial" w:eastAsia="Arial" w:hAnsi="Arial"/>
          <w:sz w:val="10"/>
          <w:szCs w:val="10"/>
          <w:color w:val="auto"/>
        </w:rPr>
      </w:pPr>
      <w:r>
        <w:rPr>
          <w:rFonts w:ascii="Arial" w:cs="Arial" w:eastAsia="Arial" w:hAnsi="Arial"/>
          <w:sz w:val="10"/>
          <w:szCs w:val="10"/>
          <w:color w:val="auto"/>
        </w:rPr>
        <w:t>Includes 103,111 vested and undistributed deferred stock units.</w:t>
      </w:r>
    </w:p>
    <w:p>
      <w:pPr>
        <w:spacing w:after="0" w:line="66"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The Company grants restricted stock awards and deferred stock units to its directors and restricted stock units and performance stock units to its employees and officers. Restricted stock awards and stock units must vest or are subject to forfeiture; however, restricted stock awards are included in shares outstanding upon grant and have the same dividend and voting rights as the Company’s common stock. The Company recognized $18.3 million and $15.8 million of share-based compensation expense related to the vesting of these restricted stock awards and stock units during the three months ended September 30, 2026 and 2025, respectively, and $57.6 million and $48.4 million during the nine months ended September 30, 2026 and 2025, respectively. As of September 30, 2026, total unrecognized compensation cost for restricted stock awards and stock units was $125.1 million, which is expected to be recognized over a weighted-average remaining period of 2.0 years.</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also grants restricted stock units to its advisors and to institutions. The Company recognized share-based compensation expense of $1.0 million and $0.8 million related to the vesting of these</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awards during the three months ended September 30, 2026 and 2025, respectively, and $2.7 million and $2.5 million during the nine months ended September 30, 2026 and 2025, respectively. As of</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September 30, 2026, total unrecognized compensation cost for restricted stock units granted to advisors and institutions was $10.6 million, which is expected to be recognized over a weighted-average remaining</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period of 2.1 years.</w:t>
      </w:r>
    </w:p>
    <w:p>
      <w:pPr>
        <w:spacing w:after="0" w:line="200" w:lineRule="exact"/>
        <w:rPr>
          <w:sz w:val="20"/>
          <w:szCs w:val="20"/>
          <w:color w:val="auto"/>
        </w:rPr>
      </w:pPr>
    </w:p>
    <w:p>
      <w:pPr>
        <w:spacing w:after="0" w:line="2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7" w:right="299" w:bottom="1440" w:gutter="0" w:footer="0" w:header="0"/>
        </w:sectPr>
      </w:pPr>
    </w:p>
    <w:bookmarkStart w:id="51" w:name="page52"/>
    <w:bookmarkEnd w:id="51"/>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EARNINGS PER SHARE</w:t>
      </w:r>
    </w:p>
    <w:p>
      <w:pPr>
        <w:spacing w:after="0" w:line="258"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Basic earnings (loss) per share is computed by dividing net income (loss) available to common stockholders by the weighted-average number of shares of common stock outstanding during the period. The computation of diluted earnings (loss) per share is similar to the computation of basic earnings (loss) per share, except that the denominator is increased to include the number of additional shares of common stock that would have been outstanding if dilutive potential shares of common stock had been issued. The calculation of basic and diluted earnings (loss) per share for the periods noted was as follows (in thousands, except per share data):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00" w:type="dxa"/>
            <w:vAlign w:val="bottom"/>
          </w:tcPr>
          <w:p>
            <w:pPr>
              <w:spacing w:after="0"/>
              <w:rPr>
                <w:sz w:val="12"/>
                <w:szCs w:val="12"/>
                <w:color w:val="auto"/>
              </w:rPr>
            </w:pPr>
          </w:p>
        </w:tc>
        <w:tc>
          <w:tcPr>
            <w:tcW w:w="24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rPr>
              <w:t>Three Months Ended September 30,</w:t>
            </w: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1"/>
                <w:szCs w:val="11"/>
                <w:b w:val="1"/>
                <w:bCs w:val="1"/>
                <w:color w:val="auto"/>
              </w:rPr>
              <w:t>Nine Months Ended September 30,</w:t>
            </w:r>
          </w:p>
        </w:tc>
      </w:tr>
      <w:tr>
        <w:trPr>
          <w:trHeight w:val="133"/>
        </w:trPr>
        <w:tc>
          <w:tcPr>
            <w:tcW w:w="5400" w:type="dxa"/>
            <w:vAlign w:val="bottom"/>
            <w:tcBorders>
              <w:bottom w:val="single" w:sz="8" w:color="DBDBDB"/>
            </w:tcBorders>
          </w:tcPr>
          <w:p>
            <w:pPr>
              <w:spacing w:after="0"/>
              <w:rPr>
                <w:sz w:val="11"/>
                <w:szCs w:val="11"/>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1"/>
                <w:szCs w:val="11"/>
                <w:b w:val="1"/>
                <w:bCs w:val="1"/>
                <w:color w:val="auto"/>
              </w:rPr>
              <w:t>2026</w:t>
            </w:r>
          </w:p>
        </w:tc>
        <w:tc>
          <w:tcPr>
            <w:tcW w:w="5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2026</w:t>
            </w: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2025</w:t>
            </w:r>
          </w:p>
        </w:tc>
      </w:tr>
      <w:tr>
        <w:trPr>
          <w:trHeight w:val="133"/>
        </w:trPr>
        <w:tc>
          <w:tcPr>
            <w:tcW w:w="5400" w:type="dxa"/>
            <w:vAlign w:val="bottom"/>
            <w:shd w:val="clear" w:color="auto" w:fill="DBDBDB"/>
          </w:tcPr>
          <w:p>
            <w:pPr>
              <w:spacing w:after="0"/>
              <w:rPr>
                <w:sz w:val="20"/>
                <w:szCs w:val="20"/>
                <w:color w:val="auto"/>
              </w:rPr>
            </w:pPr>
            <w:r>
              <w:rPr>
                <w:rFonts w:ascii="Arial" w:cs="Arial" w:eastAsia="Arial" w:hAnsi="Arial"/>
                <w:sz w:val="11"/>
                <w:szCs w:val="11"/>
                <w:color w:val="auto"/>
              </w:rPr>
              <w:t>Net income (loss)</w:t>
            </w:r>
          </w:p>
        </w:tc>
        <w:tc>
          <w:tcPr>
            <w:tcW w:w="940" w:type="dxa"/>
            <w:vAlign w:val="bottom"/>
            <w:shd w:val="clear" w:color="auto" w:fill="DBDBDB"/>
          </w:tcPr>
          <w:p>
            <w:pPr>
              <w:jc w:val="right"/>
              <w:ind w:right="82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356,561</w:t>
            </w:r>
          </w:p>
        </w:tc>
        <w:tc>
          <w:tcPr>
            <w:tcW w:w="1000" w:type="dxa"/>
            <w:vAlign w:val="bottom"/>
            <w:shd w:val="clear" w:color="auto" w:fill="DBDBDB"/>
          </w:tcPr>
          <w:p>
            <w:pPr>
              <w:jc w:val="right"/>
              <w:ind w:right="846"/>
              <w:spacing w:after="0"/>
              <w:rPr>
                <w:sz w:val="20"/>
                <w:szCs w:val="20"/>
                <w:color w:val="auto"/>
              </w:rPr>
            </w:pPr>
            <w:r>
              <w:rPr>
                <w:rFonts w:ascii="Arial" w:cs="Arial" w:eastAsia="Arial" w:hAnsi="Arial"/>
                <w:sz w:val="11"/>
                <w:szCs w:val="11"/>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(29,517)</w:t>
            </w:r>
          </w:p>
        </w:tc>
        <w:tc>
          <w:tcPr>
            <w:tcW w:w="34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1,092,226</w:t>
            </w:r>
          </w:p>
        </w:tc>
        <w:tc>
          <w:tcPr>
            <w:tcW w:w="360" w:type="dxa"/>
            <w:vAlign w:val="bottom"/>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562,305</w:t>
            </w:r>
          </w:p>
        </w:tc>
      </w:tr>
      <w:tr>
        <w:trPr>
          <w:trHeight w:val="171"/>
        </w:trPr>
        <w:tc>
          <w:tcPr>
            <w:tcW w:w="5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4"/>
        </w:trPr>
        <w:tc>
          <w:tcPr>
            <w:tcW w:w="5400" w:type="dxa"/>
            <w:vAlign w:val="bottom"/>
            <w:shd w:val="clear" w:color="auto" w:fill="DBDBDB"/>
          </w:tcPr>
          <w:p>
            <w:pPr>
              <w:spacing w:after="0"/>
              <w:rPr>
                <w:sz w:val="20"/>
                <w:szCs w:val="20"/>
                <w:color w:val="auto"/>
              </w:rPr>
            </w:pPr>
            <w:r>
              <w:rPr>
                <w:rFonts w:ascii="Arial" w:cs="Arial" w:eastAsia="Arial" w:hAnsi="Arial"/>
                <w:sz w:val="11"/>
                <w:szCs w:val="11"/>
                <w:color w:val="auto"/>
              </w:rPr>
              <w:t>Basic weighted-average number of shares outstanding</w:t>
            </w:r>
          </w:p>
        </w:tc>
        <w:tc>
          <w:tcPr>
            <w:tcW w:w="94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78,658</w:t>
            </w:r>
          </w:p>
        </w:tc>
        <w:tc>
          <w:tcPr>
            <w:tcW w:w="100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80,017</w:t>
            </w:r>
          </w:p>
        </w:tc>
        <w:tc>
          <w:tcPr>
            <w:tcW w:w="34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79,515</w:t>
            </w:r>
          </w:p>
        </w:tc>
        <w:tc>
          <w:tcPr>
            <w:tcW w:w="360" w:type="dxa"/>
            <w:vAlign w:val="bottom"/>
            <w:shd w:val="clear" w:color="auto" w:fill="DBDBDB"/>
          </w:tcPr>
          <w:p>
            <w:pPr>
              <w:spacing w:after="0"/>
              <w:rPr>
                <w:sz w:val="12"/>
                <w:szCs w:val="12"/>
                <w:color w:val="auto"/>
              </w:rPr>
            </w:pPr>
          </w:p>
        </w:tc>
        <w:tc>
          <w:tcPr>
            <w:tcW w:w="1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78,220</w:t>
            </w:r>
          </w:p>
        </w:tc>
      </w:tr>
      <w:tr>
        <w:trPr>
          <w:trHeight w:val="143"/>
        </w:trPr>
        <w:tc>
          <w:tcPr>
            <w:tcW w:w="54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Dilutive common share equivalents</w:t>
            </w:r>
          </w:p>
        </w:tc>
        <w:tc>
          <w:tcPr>
            <w:tcW w:w="9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310</w:t>
            </w:r>
          </w:p>
        </w:tc>
        <w:tc>
          <w:tcPr>
            <w:tcW w:w="10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340</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374</w:t>
            </w:r>
          </w:p>
        </w:tc>
      </w:tr>
      <w:tr>
        <w:trPr>
          <w:trHeight w:val="150"/>
        </w:trPr>
        <w:tc>
          <w:tcPr>
            <w:tcW w:w="54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Diluted weighted-average number of shares outstanding</w:t>
            </w:r>
          </w:p>
        </w:tc>
        <w:tc>
          <w:tcPr>
            <w:tcW w:w="940" w:type="dxa"/>
            <w:vAlign w:val="bottom"/>
            <w:tcBorders>
              <w:bottom w:val="single" w:sz="8" w:color="auto"/>
            </w:tcBorders>
            <w:shd w:val="clear" w:color="auto" w:fill="DBDBDB"/>
          </w:tcPr>
          <w:p>
            <w:pPr>
              <w:spacing w:after="0"/>
              <w:rPr>
                <w:sz w:val="13"/>
                <w:szCs w:val="13"/>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78,968</w:t>
            </w:r>
          </w:p>
        </w:tc>
        <w:tc>
          <w:tcPr>
            <w:tcW w:w="1000" w:type="dxa"/>
            <w:vAlign w:val="bottom"/>
            <w:tcBorders>
              <w:bottom w:val="single" w:sz="8" w:color="auto"/>
            </w:tcBorders>
            <w:shd w:val="clear" w:color="auto" w:fill="DBDBDB"/>
          </w:tcPr>
          <w:p>
            <w:pPr>
              <w:spacing w:after="0"/>
              <w:rPr>
                <w:sz w:val="13"/>
                <w:szCs w:val="13"/>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80,357</w:t>
            </w:r>
          </w:p>
        </w:tc>
        <w:tc>
          <w:tcPr>
            <w:tcW w:w="340" w:type="dxa"/>
            <w:vAlign w:val="bottom"/>
            <w:tcBorders>
              <w:bottom w:val="single" w:sz="8" w:color="auto"/>
            </w:tcBorders>
            <w:shd w:val="clear" w:color="auto" w:fill="DBDBDB"/>
          </w:tcPr>
          <w:p>
            <w:pPr>
              <w:spacing w:after="0"/>
              <w:rPr>
                <w:sz w:val="13"/>
                <w:szCs w:val="13"/>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79,814</w:t>
            </w:r>
          </w:p>
        </w:tc>
        <w:tc>
          <w:tcPr>
            <w:tcW w:w="360" w:type="dxa"/>
            <w:vAlign w:val="bottom"/>
            <w:tcBorders>
              <w:bottom w:val="single" w:sz="8" w:color="auto"/>
            </w:tcBorders>
            <w:shd w:val="clear" w:color="auto" w:fill="DBDBDB"/>
          </w:tcPr>
          <w:p>
            <w:pPr>
              <w:spacing w:after="0"/>
              <w:rPr>
                <w:sz w:val="13"/>
                <w:szCs w:val="13"/>
                <w:color w:val="auto"/>
              </w:rPr>
            </w:pPr>
          </w:p>
        </w:tc>
        <w:tc>
          <w:tcPr>
            <w:tcW w:w="11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78,594</w:t>
            </w:r>
          </w:p>
        </w:tc>
      </w:tr>
      <w:tr>
        <w:trPr>
          <w:trHeight w:val="153"/>
        </w:trPr>
        <w:tc>
          <w:tcPr>
            <w:tcW w:w="5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54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Basic earnings (loss) per share</w:t>
            </w:r>
          </w:p>
        </w:tc>
        <w:tc>
          <w:tcPr>
            <w:tcW w:w="940" w:type="dxa"/>
            <w:vAlign w:val="bottom"/>
            <w:tcBorders>
              <w:bottom w:val="single" w:sz="8" w:color="auto"/>
            </w:tcBorders>
            <w:shd w:val="clear" w:color="auto" w:fill="DBDBDB"/>
          </w:tcPr>
          <w:p>
            <w:pPr>
              <w:jc w:val="right"/>
              <w:ind w:right="82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4.53</w:t>
            </w:r>
          </w:p>
        </w:tc>
        <w:tc>
          <w:tcPr>
            <w:tcW w:w="1000" w:type="dxa"/>
            <w:vAlign w:val="bottom"/>
            <w:tcBorders>
              <w:bottom w:val="single" w:sz="8" w:color="auto"/>
            </w:tcBorders>
            <w:shd w:val="clear" w:color="auto" w:fill="DBDBDB"/>
          </w:tcPr>
          <w:p>
            <w:pPr>
              <w:jc w:val="right"/>
              <w:ind w:right="84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(0.37)</w:t>
            </w:r>
          </w:p>
        </w:tc>
        <w:tc>
          <w:tcPr>
            <w:tcW w:w="340" w:type="dxa"/>
            <w:vAlign w:val="bottom"/>
            <w:tcBorders>
              <w:bottom w:val="single" w:sz="8" w:color="auto"/>
            </w:tcBorders>
            <w:shd w:val="clear" w:color="auto" w:fill="DBDBDB"/>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13.74</w:t>
            </w:r>
          </w:p>
        </w:tc>
        <w:tc>
          <w:tcPr>
            <w:tcW w:w="360" w:type="dxa"/>
            <w:vAlign w:val="bottom"/>
            <w:tcBorders>
              <w:bottom w:val="single" w:sz="8" w:color="auto"/>
            </w:tcBorders>
            <w:shd w:val="clear" w:color="auto" w:fill="DBDBDB"/>
          </w:tcPr>
          <w:p>
            <w:pPr>
              <w:jc w:val="right"/>
              <w:ind w:right="22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7.19</w:t>
            </w:r>
          </w:p>
        </w:tc>
      </w:tr>
      <w:tr>
        <w:trPr>
          <w:trHeight w:val="144"/>
        </w:trPr>
        <w:tc>
          <w:tcPr>
            <w:tcW w:w="5400" w:type="dxa"/>
            <w:vAlign w:val="bottom"/>
          </w:tcPr>
          <w:p>
            <w:pPr>
              <w:spacing w:after="0"/>
              <w:rPr>
                <w:sz w:val="20"/>
                <w:szCs w:val="20"/>
                <w:color w:val="auto"/>
              </w:rPr>
            </w:pPr>
            <w:r>
              <w:rPr>
                <w:rFonts w:ascii="Arial" w:cs="Arial" w:eastAsia="Arial" w:hAnsi="Arial"/>
                <w:sz w:val="11"/>
                <w:szCs w:val="11"/>
                <w:color w:val="auto"/>
              </w:rPr>
              <w:t>Diluted earnings (loss) per share</w:t>
            </w:r>
          </w:p>
        </w:tc>
        <w:tc>
          <w:tcPr>
            <w:tcW w:w="940" w:type="dxa"/>
            <w:vAlign w:val="bottom"/>
            <w:tcBorders>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4.52</w:t>
            </w:r>
          </w:p>
        </w:tc>
        <w:tc>
          <w:tcPr>
            <w:tcW w:w="100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(0.37)</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13.68</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7.15</w:t>
            </w:r>
          </w:p>
        </w:tc>
      </w:tr>
      <w:tr>
        <w:trPr>
          <w:trHeight w:val="20"/>
        </w:trPr>
        <w:tc>
          <w:tcPr>
            <w:tcW w:w="5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The computation of diluted earnings (loss) per share excludes stock options, warrants and stock units that are anti-dilutive. For the three months ended September 30, 2026 and 2025, stock options, warrants and stock units representing common share equivalents of 97,410 shares and 1,306 shares, respectively, were anti-dilutive. For the nine months ended September 30, 2026 and 2025, stock options, warrants and stock units representing common share equivalents of 93,636 shares and 6,705 shares, respectively, were anti-dilutive.</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 NET CAPITAL AND REGULATORY REQUIREMENTS</w:t>
      </w:r>
    </w:p>
    <w:p>
      <w:pPr>
        <w:spacing w:after="0" w:line="258"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The Company’s broker-dealer subsidiaries are subject to the SEC’s Uniform Net Capital Rule (Rule 15c3-1 under the Exchange Act), which requires the maintenance of minimum net capital. The net capital rules also provide that a broker-dealer’s capital may not be withdrawn if the resulting net capital would be less than minimum requirements. Additionally, certain withdrawals require the approval of the SEC and the Financial Industry Regulatory Authority (“FINRA”) to the extent they exceed defined levels, even though such withdrawals would not cause net capital to be less than minimum requirements. Net capital and the related net capital requirement may fluctuate on a daily basis.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net capital position of the Company’s primary broker-dealer subsidiary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02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September 30, 2026</w:t>
            </w:r>
          </w:p>
        </w:tc>
      </w:tr>
      <w:tr>
        <w:trPr>
          <w:trHeight w:val="124"/>
        </w:trPr>
        <w:tc>
          <w:tcPr>
            <w:tcW w:w="9020" w:type="dxa"/>
            <w:vAlign w:val="bottom"/>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LPL Financial LLC</w:t>
            </w:r>
          </w:p>
        </w:tc>
        <w:tc>
          <w:tcPr>
            <w:tcW w:w="340" w:type="dxa"/>
            <w:vAlign w:val="bottom"/>
            <w:shd w:val="clear" w:color="auto" w:fill="DBDBDB"/>
          </w:tcPr>
          <w:p>
            <w:pPr>
              <w:spacing w:after="0"/>
              <w:rPr>
                <w:sz w:val="10"/>
                <w:szCs w:val="10"/>
                <w:color w:val="auto"/>
              </w:rPr>
            </w:pPr>
          </w:p>
        </w:tc>
        <w:tc>
          <w:tcPr>
            <w:tcW w:w="1840" w:type="dxa"/>
            <w:vAlign w:val="bottom"/>
            <w:shd w:val="clear" w:color="auto" w:fill="DBDBDB"/>
          </w:tcPr>
          <w:p>
            <w:pPr>
              <w:spacing w:after="0"/>
              <w:rPr>
                <w:sz w:val="10"/>
                <w:szCs w:val="10"/>
                <w:color w:val="auto"/>
              </w:rPr>
            </w:pPr>
          </w:p>
        </w:tc>
      </w:tr>
      <w:tr>
        <w:trPr>
          <w:trHeight w:val="143"/>
        </w:trPr>
        <w:tc>
          <w:tcPr>
            <w:tcW w:w="9020" w:type="dxa"/>
            <w:vAlign w:val="bottom"/>
          </w:tcPr>
          <w:p>
            <w:pPr>
              <w:spacing w:after="0"/>
              <w:rPr>
                <w:sz w:val="20"/>
                <w:szCs w:val="20"/>
                <w:color w:val="auto"/>
              </w:rPr>
            </w:pPr>
            <w:r>
              <w:rPr>
                <w:rFonts w:ascii="Arial" w:cs="Arial" w:eastAsia="Arial" w:hAnsi="Arial"/>
                <w:sz w:val="11"/>
                <w:szCs w:val="11"/>
                <w:color w:val="auto"/>
              </w:rPr>
              <w:t>Net capital</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840" w:type="dxa"/>
            <w:vAlign w:val="bottom"/>
          </w:tcPr>
          <w:p>
            <w:pPr>
              <w:jc w:val="right"/>
              <w:spacing w:after="0"/>
              <w:rPr>
                <w:sz w:val="20"/>
                <w:szCs w:val="20"/>
                <w:color w:val="auto"/>
              </w:rPr>
            </w:pPr>
            <w:r>
              <w:rPr>
                <w:rFonts w:ascii="Arial" w:cs="Arial" w:eastAsia="Arial" w:hAnsi="Arial"/>
                <w:sz w:val="11"/>
                <w:szCs w:val="11"/>
                <w:color w:val="auto"/>
              </w:rPr>
              <w:t>506,380</w:t>
            </w:r>
          </w:p>
        </w:tc>
      </w:tr>
      <w:tr>
        <w:trPr>
          <w:trHeight w:val="144"/>
        </w:trPr>
        <w:tc>
          <w:tcPr>
            <w:tcW w:w="9020" w:type="dxa"/>
            <w:vAlign w:val="bottom"/>
            <w:shd w:val="clear" w:color="auto" w:fill="DBDBDB"/>
          </w:tcPr>
          <w:p>
            <w:pPr>
              <w:spacing w:after="0"/>
              <w:rPr>
                <w:sz w:val="20"/>
                <w:szCs w:val="20"/>
                <w:color w:val="auto"/>
              </w:rPr>
            </w:pPr>
            <w:r>
              <w:rPr>
                <w:rFonts w:ascii="Arial" w:cs="Arial" w:eastAsia="Arial" w:hAnsi="Arial"/>
                <w:sz w:val="11"/>
                <w:szCs w:val="11"/>
                <w:color w:val="auto"/>
              </w:rPr>
              <w:t>Less: required net capital</w:t>
            </w:r>
          </w:p>
        </w:tc>
        <w:tc>
          <w:tcPr>
            <w:tcW w:w="340" w:type="dxa"/>
            <w:vAlign w:val="bottom"/>
            <w:tcBorders>
              <w:bottom w:val="single" w:sz="8" w:color="auto"/>
            </w:tcBorders>
            <w:shd w:val="clear" w:color="auto" w:fill="DBDBDB"/>
          </w:tcPr>
          <w:p>
            <w:pPr>
              <w:spacing w:after="0"/>
              <w:rPr>
                <w:sz w:val="12"/>
                <w:szCs w:val="12"/>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27,826</w:t>
            </w:r>
          </w:p>
        </w:tc>
      </w:tr>
      <w:tr>
        <w:trPr>
          <w:trHeight w:val="134"/>
        </w:trPr>
        <w:tc>
          <w:tcPr>
            <w:tcW w:w="9020" w:type="dxa"/>
            <w:vAlign w:val="bottom"/>
          </w:tcPr>
          <w:p>
            <w:pPr>
              <w:spacing w:after="0"/>
              <w:rPr>
                <w:sz w:val="20"/>
                <w:szCs w:val="20"/>
                <w:color w:val="auto"/>
              </w:rPr>
            </w:pPr>
            <w:r>
              <w:rPr>
                <w:rFonts w:ascii="Arial" w:cs="Arial" w:eastAsia="Arial" w:hAnsi="Arial"/>
                <w:sz w:val="11"/>
                <w:szCs w:val="11"/>
                <w:color w:val="auto"/>
              </w:rPr>
              <w:t>Excess net capital</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478,554</w:t>
            </w:r>
          </w:p>
        </w:tc>
      </w:tr>
      <w:tr>
        <w:trPr>
          <w:trHeight w:val="20"/>
        </w:trPr>
        <w:tc>
          <w:tcPr>
            <w:tcW w:w="9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The Company’s other regulated subsidiaries, including LPL Enterprise, CES, and PTC, are also subject to various regulatory capital requirements. Failure to meet the respective minimum capital requirements can result in certain mandatory and discretionary actions by regulators that, if undertaken, could have substantial monetary and non-monetary impacts on their operations. As of September 30, 2026, the Company’s other regulated subsidiaries met all capital adequacy requirements to which they were subject.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17" w:right="319" w:bottom="1440" w:gutter="0" w:footer="0" w:header="0"/>
        </w:sectPr>
      </w:pPr>
    </w:p>
    <w:bookmarkStart w:id="52" w:name="page53"/>
    <w:bookmarkEnd w:id="52"/>
    <w:p>
      <w:pPr>
        <w:ind w:left="20"/>
        <w:spacing w:after="0"/>
        <w:rPr>
          <w:sz w:val="20"/>
          <w:szCs w:val="20"/>
          <w:color w:val="auto"/>
        </w:rPr>
      </w:pPr>
      <w:r>
        <w:rPr>
          <w:rFonts w:ascii="Arial" w:cs="Arial" w:eastAsia="Arial" w:hAnsi="Arial"/>
          <w:sz w:val="12"/>
          <w:szCs w:val="12"/>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LPL FINANCIAL HOLDINGS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FINANCIAL INSTRUMENTS WITH OFF-BALANCE SHEET CREDIT RISK AND CONCENTRATIONS OF CREDIT RISK</w:t>
      </w:r>
    </w:p>
    <w:p>
      <w:pPr>
        <w:spacing w:after="0" w:line="204" w:lineRule="exact"/>
        <w:rPr>
          <w:sz w:val="20"/>
          <w:szCs w:val="20"/>
          <w:color w:val="auto"/>
        </w:rPr>
      </w:pPr>
    </w:p>
    <w:p>
      <w:pPr>
        <w:ind w:right="260"/>
        <w:spacing w:after="0" w:line="268" w:lineRule="auto"/>
        <w:rPr>
          <w:sz w:val="20"/>
          <w:szCs w:val="20"/>
          <w:color w:val="auto"/>
        </w:rPr>
      </w:pPr>
      <w:r>
        <w:rPr>
          <w:rFonts w:ascii="Arial" w:cs="Arial" w:eastAsia="Arial" w:hAnsi="Arial"/>
          <w:sz w:val="12"/>
          <w:szCs w:val="12"/>
          <w:color w:val="auto"/>
        </w:rPr>
        <w:t>LPL Financial may offer loans to new and existing advisors and institutions to facilitate their relationship with LPL Financial, transition to LPL Financial’s platform or fund business development activities. LPL Financial may incur losses if advisors or institutions do not fulfill their obligations with respect to these loans. To mitigate this risk, LPL Financial evaluates the performance and creditworthiness of the advisor or institution prior to offering repayable loans.</w:t>
      </w:r>
    </w:p>
    <w:p>
      <w:pPr>
        <w:spacing w:after="0" w:line="42"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LPL Financial’s client securities activities are transacted on either a cash or margin basis. In margin transactions, LPL Financial extends credit to the advisor’s client, subject to various regulatory and internal margin requirements, which is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one business day after the trade date. If clients do not fulfill their contractual obligations, LPL Financial may incur losses. In addition, the Company occasionally enters into certain types of contracts to fulfill its sale of when-issued securities. When-issued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LPL Financial may at times hold equity securities on both a long and short basis that are recorded on the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 SEGMENT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The Company's Chief Operating Decision Maker (“CODM”) is the group that includes the Chief Executive Officer and the President and Chief Financial Officer of the Company.</w:t>
      </w:r>
    </w:p>
    <w:p>
      <w:pPr>
        <w:spacing w:after="0" w:line="78"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 xml:space="preserve">The Company determined that it has one reportable segment, given the common nature of the Company’s operations, products and services, production and distribution process, and regulatory environment. The Company provides an integrated platform of brokerage and investment advisory services to independent financial advisors and advisors at financial institutions from which the Company derives its revenues and incurs expenses. For additional information, see Note 3 - </w:t>
      </w:r>
      <w:r>
        <w:rPr>
          <w:rFonts w:ascii="Arial" w:cs="Arial" w:eastAsia="Arial" w:hAnsi="Arial"/>
          <w:sz w:val="12"/>
          <w:szCs w:val="12"/>
          <w:i w:val="1"/>
          <w:iCs w:val="1"/>
          <w:color w:val="auto"/>
        </w:rPr>
        <w:t>Revenue.</w:t>
      </w:r>
    </w:p>
    <w:p>
      <w:pPr>
        <w:spacing w:after="0" w:line="42" w:lineRule="exact"/>
        <w:rPr>
          <w:sz w:val="20"/>
          <w:szCs w:val="20"/>
          <w:color w:val="auto"/>
        </w:rPr>
      </w:pPr>
    </w:p>
    <w:p>
      <w:pPr>
        <w:ind w:right="380"/>
        <w:spacing w:after="0" w:line="268" w:lineRule="auto"/>
        <w:rPr>
          <w:sz w:val="20"/>
          <w:szCs w:val="20"/>
          <w:color w:val="auto"/>
        </w:rPr>
      </w:pPr>
      <w:r>
        <w:rPr>
          <w:rFonts w:ascii="Arial" w:cs="Arial" w:eastAsia="Arial" w:hAnsi="Arial"/>
          <w:sz w:val="12"/>
          <w:szCs w:val="12"/>
          <w:color w:val="auto"/>
        </w:rPr>
        <w:t>The CODM regularly reviews pre-tax net income as presented on the Company’s condensed consolidated statements of income for purposes of assessing performance and making decisions about resource allocation. Expenses regularly reviewed by the CODM include those line items reported on the Company’s condensed consolidated statements of income, the most significant of which include advisory and commission, compensation and benefits, promotional and occupancy and equipment expenses.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 SUBSEQUENT EVENTS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Board declared a cash dividend of $0.30 per share on LPLFH’s outstanding common stock to be paid on November 30, 2026 to all stockholders of record on November 12, 2026.</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53" w:name="page54"/>
    <w:bookmarkEnd w:id="5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Risk</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We maintain trading securities and securities sold, but not yet purchased in order to facilitate client transactions, to meet a portion of our clearing deposit requirements at various clearing organizations, to track the performance of our research models and in connection with our dividend reinvestment program. Trading securities are included in investment securities while securities sold, but not yet purchased are included in other liabilities on the condensed consolidated statements of financial condition and can include mutual funds, money market funds, debt securities and equity securities. We enter into market risk sensitive instruments for purposes other than trading, which are included in other assets on the condensed consolidated statements of financial condition and can include deferred compensation plan assets invested in life insurance, money market and other mutual funds, investments in fractional shares held by customers, and other non-traded real estate investment trusts. Changes in the value of our market risk sensitive instruments may result from fluctuations in interest rates, credit ratings of the issuer, equity prices or a combination of these factors.</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In facilitating client transactions, our trading securities and securities sold, but not yet purchased generally involve mutual funds, including dividend reinvestments. Our positions held are based upon the settlement of client transactions, which are monitored by our Trading and Operations department.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Positions held to meet clearing deposit requirements consist of U.S. government securities and equity securities. The amount of securities deposited depends upon the requirements of the clearing organization.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level of securities deposited is monitored by the settlements group within our Trading and Operations department.</w:t>
      </w:r>
    </w:p>
    <w:p>
      <w:pPr>
        <w:spacing w:after="0" w:line="6" w:lineRule="exact"/>
        <w:rPr>
          <w:sz w:val="20"/>
          <w:szCs w:val="20"/>
          <w:color w:val="auto"/>
        </w:rPr>
      </w:pPr>
    </w:p>
    <w:p>
      <w:pPr>
        <w:ind w:right="420"/>
        <w:spacing w:after="0" w:line="250" w:lineRule="auto"/>
        <w:rPr>
          <w:sz w:val="20"/>
          <w:szCs w:val="20"/>
          <w:color w:val="auto"/>
        </w:rPr>
      </w:pPr>
      <w:r>
        <w:rPr>
          <w:rFonts w:ascii="Arial" w:cs="Arial" w:eastAsia="Arial" w:hAnsi="Arial"/>
          <w:sz w:val="12"/>
          <w:szCs w:val="12"/>
          <w:color w:val="auto"/>
        </w:rPr>
        <w:t>Our Research department develops model portfolios that are used by advisors in developing client portfolios. We maintain securities owned in internal accounts based on these model portfolios to track the performance of our Research department. At the time a portfolio is developed, we purchase the securities in that model portfolio in an amount equal to the account minimum, which varies by product.</w:t>
      </w:r>
    </w:p>
    <w:p>
      <w:pPr>
        <w:spacing w:after="0" w:line="1"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In addition, 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spacing w:after="0" w:line="43"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 xml:space="preserve">As of September 30, 2026, the fair value of our trading securities was $140.3 million and securities sold, but not yet purchased were not material. The fair value of market risk sensitive instruments entered into for other than trading purposes included within other assets was $1.7 billion as of September 30, 2026. See Note 5 - </w:t>
      </w:r>
      <w:r>
        <w:rPr>
          <w:rFonts w:ascii="Arial" w:cs="Arial" w:eastAsia="Arial" w:hAnsi="Arial"/>
          <w:sz w:val="12"/>
          <w:szCs w:val="12"/>
          <w:i w:val="1"/>
          <w:iCs w:val="1"/>
          <w:color w:val="auto"/>
        </w:rPr>
        <w:t>Fair Value Measurements</w:t>
      </w:r>
      <w:r>
        <w:rPr>
          <w:rFonts w:ascii="Arial" w:cs="Arial" w:eastAsia="Arial" w:hAnsi="Arial"/>
          <w:sz w:val="12"/>
          <w:szCs w:val="12"/>
          <w:color w:val="auto"/>
        </w:rPr>
        <w:t>, within the notes to the condensed consolidated financial statements for information regarding the fair value of trading securities; securities sold, but not yet purchased; and other assets associated with our client facilitation activities.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78"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We are exposed to risk associated with changes in interest rates. As of September 30, 2026, $1.6 billion of our outstanding debt was subject to floating interest rate risk. While our term loan is subject to increases in interest rates, we do not believe that a short-term change in interest rates would have a material impact on our net income given revenue generated by our client cash balances, which is generally subject to the same, but off-setting, interest rate risk.</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8" w:right="379" w:bottom="1440" w:gutter="0" w:footer="0" w:header="0"/>
        </w:sectPr>
      </w:pPr>
    </w:p>
    <w:bookmarkStart w:id="54" w:name="page55"/>
    <w:bookmarkEnd w:id="54"/>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 w:right="20"/>
        <w:spacing w:after="0" w:line="286" w:lineRule="auto"/>
        <w:rPr>
          <w:sz w:val="20"/>
          <w:szCs w:val="20"/>
          <w:color w:val="auto"/>
        </w:rPr>
      </w:pPr>
      <w:r>
        <w:rPr>
          <w:rFonts w:ascii="Arial" w:cs="Arial" w:eastAsia="Arial" w:hAnsi="Arial"/>
          <w:sz w:val="12"/>
          <w:szCs w:val="12"/>
          <w:color w:val="auto"/>
        </w:rPr>
        <w:t>The following table summarizes the impact of increasing interest rates on our interest expense from the variable portion of our debt outstanding, calculated using the projected average outstanding balance over the subsequent twelve-month period (in thousands):</w:t>
      </w:r>
    </w:p>
    <w:tbl>
      <w:tblPr>
        <w:tblLayout w:type="fixed"/>
        <w:tblInd w:w="8"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right"/>
              <w:ind w:right="106"/>
              <w:spacing w:after="0"/>
              <w:rPr>
                <w:sz w:val="20"/>
                <w:szCs w:val="20"/>
                <w:color w:val="auto"/>
              </w:rPr>
            </w:pPr>
            <w:r>
              <w:rPr>
                <w:rFonts w:ascii="Arial" w:cs="Arial" w:eastAsia="Arial" w:hAnsi="Arial"/>
                <w:sz w:val="11"/>
                <w:szCs w:val="11"/>
                <w:b w:val="1"/>
                <w:bCs w:val="1"/>
                <w:color w:val="auto"/>
                <w:w w:val="97"/>
              </w:rPr>
              <w:t>Annual Impact of an Interest Rate</w:t>
            </w:r>
            <w:r>
              <w:rPr>
                <w:rFonts w:ascii="Arial" w:cs="Arial" w:eastAsia="Arial" w:hAnsi="Arial"/>
                <w:sz w:val="14"/>
                <w:szCs w:val="14"/>
                <w:b w:val="1"/>
                <w:bCs w:val="1"/>
                <w:color w:val="auto"/>
                <w:w w:val="97"/>
                <w:vertAlign w:val="superscript"/>
              </w:rPr>
              <w:t>(†)</w:t>
            </w:r>
            <w:r>
              <w:rPr>
                <w:rFonts w:ascii="Arial" w:cs="Arial" w:eastAsia="Arial" w:hAnsi="Arial"/>
                <w:sz w:val="11"/>
                <w:szCs w:val="11"/>
                <w:b w:val="1"/>
                <w:bCs w:val="1"/>
                <w:color w:val="auto"/>
                <w:w w:val="97"/>
              </w:rPr>
              <w:t xml:space="preserve"> Increase of</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vMerge w:val="restart"/>
          </w:tcPr>
          <w:p>
            <w:pPr>
              <w:jc w:val="right"/>
              <w:ind w:right="366"/>
              <w:spacing w:after="0"/>
              <w:rPr>
                <w:sz w:val="20"/>
                <w:szCs w:val="20"/>
                <w:color w:val="auto"/>
              </w:rPr>
            </w:pPr>
            <w:r>
              <w:rPr>
                <w:rFonts w:ascii="Arial" w:cs="Arial" w:eastAsia="Arial" w:hAnsi="Arial"/>
                <w:sz w:val="11"/>
                <w:szCs w:val="11"/>
                <w:b w:val="1"/>
                <w:bCs w:val="1"/>
                <w:color w:val="auto"/>
              </w:rPr>
              <w:t>Outstanding Balance at</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10 Basis</w:t>
            </w: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25 Basis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06"/>
              <w:spacing w:after="0"/>
              <w:rPr>
                <w:sz w:val="20"/>
                <w:szCs w:val="20"/>
                <w:color w:val="auto"/>
              </w:rPr>
            </w:pPr>
            <w:r>
              <w:rPr>
                <w:rFonts w:ascii="Arial" w:cs="Arial" w:eastAsia="Arial" w:hAnsi="Arial"/>
                <w:sz w:val="11"/>
                <w:szCs w:val="11"/>
                <w:b w:val="1"/>
                <w:bCs w:val="1"/>
                <w:color w:val="auto"/>
              </w:rPr>
              <w:t>50 Basis</w:t>
            </w:r>
          </w:p>
        </w:tc>
        <w:tc>
          <w:tcPr>
            <w:tcW w:w="220" w:type="dxa"/>
            <w:vAlign w:val="bottom"/>
          </w:tcPr>
          <w:p>
            <w:pPr>
              <w:spacing w:after="0"/>
              <w:rPr>
                <w:sz w:val="13"/>
                <w:szCs w:val="13"/>
                <w:color w:val="auto"/>
              </w:rPr>
            </w:pPr>
          </w:p>
        </w:tc>
        <w:tc>
          <w:tcPr>
            <w:tcW w:w="980" w:type="dxa"/>
            <w:vAlign w:val="bottom"/>
          </w:tcPr>
          <w:p>
            <w:pPr>
              <w:jc w:val="right"/>
              <w:ind w:right="286"/>
              <w:spacing w:after="0"/>
              <w:rPr>
                <w:sz w:val="20"/>
                <w:szCs w:val="20"/>
                <w:color w:val="auto"/>
              </w:rPr>
            </w:pPr>
            <w:r>
              <w:rPr>
                <w:rFonts w:ascii="Arial" w:cs="Arial" w:eastAsia="Arial" w:hAnsi="Arial"/>
                <w:sz w:val="11"/>
                <w:szCs w:val="11"/>
                <w:b w:val="1"/>
                <w:bCs w:val="1"/>
                <w:color w:val="auto"/>
              </w:rPr>
              <w:t>100 Basis</w:t>
            </w:r>
          </w:p>
        </w:tc>
        <w:tc>
          <w:tcPr>
            <w:tcW w:w="0" w:type="dxa"/>
            <w:vAlign w:val="bottom"/>
          </w:tcPr>
          <w:p>
            <w:pPr>
              <w:spacing w:after="0"/>
              <w:rPr>
                <w:sz w:val="1"/>
                <w:szCs w:val="1"/>
                <w:color w:val="auto"/>
              </w:rPr>
            </w:pPr>
          </w:p>
        </w:tc>
      </w:tr>
      <w:tr>
        <w:trPr>
          <w:trHeight w:val="23"/>
        </w:trPr>
        <w:tc>
          <w:tcPr>
            <w:tcW w:w="4540" w:type="dxa"/>
            <w:vAlign w:val="bottom"/>
            <w:vMerge w:val="restart"/>
          </w:tcPr>
          <w:p>
            <w:pPr>
              <w:spacing w:after="0"/>
              <w:rPr>
                <w:sz w:val="20"/>
                <w:szCs w:val="20"/>
                <w:color w:val="auto"/>
              </w:rPr>
            </w:pPr>
            <w:r>
              <w:rPr>
                <w:rFonts w:ascii="Arial" w:cs="Arial" w:eastAsia="Arial" w:hAnsi="Arial"/>
                <w:sz w:val="11"/>
                <w:szCs w:val="11"/>
                <w:b w:val="1"/>
                <w:bCs w:val="1"/>
                <w:color w:val="auto"/>
              </w:rPr>
              <w:t>Corporate Debt and Other Borrowings</w:t>
            </w:r>
          </w:p>
        </w:tc>
        <w:tc>
          <w:tcPr>
            <w:tcW w:w="24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Points</w:t>
            </w:r>
          </w:p>
        </w:tc>
        <w:tc>
          <w:tcPr>
            <w:tcW w:w="320" w:type="dxa"/>
            <w:vAlign w:val="bottom"/>
          </w:tcPr>
          <w:p>
            <w:pPr>
              <w:spacing w:after="0"/>
              <w:rPr>
                <w:sz w:val="2"/>
                <w:szCs w:val="2"/>
                <w:color w:val="auto"/>
              </w:rPr>
            </w:pPr>
          </w:p>
        </w:tc>
        <w:tc>
          <w:tcPr>
            <w:tcW w:w="86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Points</w:t>
            </w: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46"/>
              <w:spacing w:after="0"/>
              <w:rPr>
                <w:sz w:val="20"/>
                <w:szCs w:val="20"/>
                <w:color w:val="auto"/>
              </w:rPr>
            </w:pPr>
            <w:r>
              <w:rPr>
                <w:rFonts w:ascii="Arial" w:cs="Arial" w:eastAsia="Arial" w:hAnsi="Arial"/>
                <w:sz w:val="11"/>
                <w:szCs w:val="11"/>
                <w:b w:val="1"/>
                <w:bCs w:val="1"/>
                <w:color w:val="auto"/>
              </w:rPr>
              <w:t>Points</w:t>
            </w:r>
          </w:p>
        </w:tc>
        <w:tc>
          <w:tcPr>
            <w:tcW w:w="220" w:type="dxa"/>
            <w:vAlign w:val="bottom"/>
          </w:tcPr>
          <w:p>
            <w:pPr>
              <w:spacing w:after="0"/>
              <w:rPr>
                <w:sz w:val="2"/>
                <w:szCs w:val="2"/>
                <w:color w:val="auto"/>
              </w:rPr>
            </w:pPr>
          </w:p>
        </w:tc>
        <w:tc>
          <w:tcPr>
            <w:tcW w:w="980" w:type="dxa"/>
            <w:vAlign w:val="bottom"/>
            <w:vMerge w:val="restart"/>
          </w:tcPr>
          <w:p>
            <w:pPr>
              <w:jc w:val="right"/>
              <w:ind w:right="386"/>
              <w:spacing w:after="0"/>
              <w:rPr>
                <w:sz w:val="20"/>
                <w:szCs w:val="20"/>
                <w:color w:val="auto"/>
              </w:rPr>
            </w:pPr>
            <w:r>
              <w:rPr>
                <w:rFonts w:ascii="Arial" w:cs="Arial" w:eastAsia="Arial" w:hAnsi="Arial"/>
                <w:sz w:val="11"/>
                <w:szCs w:val="11"/>
                <w:b w:val="1"/>
                <w:bCs w:val="1"/>
                <w:color w:val="auto"/>
              </w:rPr>
              <w:t>Points</w:t>
            </w:r>
          </w:p>
        </w:tc>
        <w:tc>
          <w:tcPr>
            <w:tcW w:w="0" w:type="dxa"/>
            <w:vAlign w:val="bottom"/>
          </w:tcPr>
          <w:p>
            <w:pPr>
              <w:spacing w:after="0" w:line="20" w:lineRule="exact"/>
              <w:rPr>
                <w:sz w:val="1"/>
                <w:szCs w:val="1"/>
                <w:color w:val="auto"/>
              </w:rPr>
            </w:pPr>
          </w:p>
        </w:tc>
      </w:tr>
      <w:tr>
        <w:trPr>
          <w:trHeight w:val="144"/>
        </w:trPr>
        <w:tc>
          <w:tcPr>
            <w:tcW w:w="45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September 30, 2026</w:t>
            </w:r>
          </w:p>
        </w:tc>
        <w:tc>
          <w:tcPr>
            <w:tcW w:w="8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540" w:type="dxa"/>
            <w:vAlign w:val="bottom"/>
            <w:shd w:val="clear" w:color="auto" w:fill="DBDBDB"/>
          </w:tcPr>
          <w:p>
            <w:pPr>
              <w:spacing w:after="0"/>
              <w:rPr>
                <w:sz w:val="20"/>
                <w:szCs w:val="20"/>
                <w:color w:val="auto"/>
              </w:rPr>
            </w:pPr>
            <w:r>
              <w:rPr>
                <w:rFonts w:ascii="Arial" w:cs="Arial" w:eastAsia="Arial" w:hAnsi="Arial"/>
                <w:sz w:val="11"/>
                <w:szCs w:val="11"/>
                <w:color w:val="auto"/>
              </w:rPr>
              <w:t>Term Loan A</w:t>
            </w:r>
          </w:p>
        </w:tc>
        <w:tc>
          <w:tcPr>
            <w:tcW w:w="240" w:type="dxa"/>
            <w:vAlign w:val="bottom"/>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1,020,000</w:t>
            </w:r>
          </w:p>
        </w:tc>
        <w:tc>
          <w:tcPr>
            <w:tcW w:w="820" w:type="dxa"/>
            <w:vAlign w:val="bottom"/>
            <w:shd w:val="clear" w:color="auto" w:fill="DBDBDB"/>
          </w:tcPr>
          <w:p>
            <w:pPr>
              <w:jc w:val="right"/>
              <w:ind w:right="686"/>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1,020</w:t>
            </w:r>
          </w:p>
        </w:tc>
        <w:tc>
          <w:tcPr>
            <w:tcW w:w="860" w:type="dxa"/>
            <w:vAlign w:val="bottom"/>
            <w:shd w:val="clear" w:color="auto" w:fill="DBDBDB"/>
          </w:tcPr>
          <w:p>
            <w:pPr>
              <w:jc w:val="right"/>
              <w:ind w:right="706"/>
              <w:spacing w:after="0"/>
              <w:rPr>
                <w:sz w:val="20"/>
                <w:szCs w:val="20"/>
                <w:color w:val="auto"/>
              </w:rPr>
            </w:pPr>
            <w:r>
              <w:rPr>
                <w:rFonts w:ascii="Arial" w:cs="Arial" w:eastAsia="Arial" w:hAnsi="Arial"/>
                <w:sz w:val="11"/>
                <w:szCs w:val="11"/>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2,550</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5,100</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10,200</w:t>
            </w:r>
          </w:p>
        </w:tc>
        <w:tc>
          <w:tcPr>
            <w:tcW w:w="0" w:type="dxa"/>
            <w:vAlign w:val="bottom"/>
          </w:tcPr>
          <w:p>
            <w:pPr>
              <w:spacing w:after="0"/>
              <w:rPr>
                <w:sz w:val="1"/>
                <w:szCs w:val="1"/>
                <w:color w:val="auto"/>
              </w:rPr>
            </w:pPr>
          </w:p>
        </w:tc>
      </w:tr>
      <w:tr>
        <w:trPr>
          <w:trHeight w:val="143"/>
        </w:trPr>
        <w:tc>
          <w:tcPr>
            <w:tcW w:w="45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Revolving Credit Facility</w:t>
            </w:r>
          </w:p>
        </w:tc>
        <w:tc>
          <w:tcPr>
            <w:tcW w:w="2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616,000</w:t>
            </w:r>
          </w:p>
        </w:tc>
        <w:tc>
          <w:tcPr>
            <w:tcW w:w="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616</w:t>
            </w:r>
          </w:p>
        </w:tc>
        <w:tc>
          <w:tcPr>
            <w:tcW w:w="8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1,540</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3,080</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6,160</w:t>
            </w:r>
          </w:p>
        </w:tc>
        <w:tc>
          <w:tcPr>
            <w:tcW w:w="0" w:type="dxa"/>
            <w:vAlign w:val="bottom"/>
          </w:tcPr>
          <w:p>
            <w:pPr>
              <w:spacing w:after="0"/>
              <w:rPr>
                <w:sz w:val="1"/>
                <w:szCs w:val="1"/>
                <w:color w:val="auto"/>
              </w:rPr>
            </w:pPr>
          </w:p>
        </w:tc>
      </w:tr>
      <w:tr>
        <w:trPr>
          <w:trHeight w:val="150"/>
        </w:trPr>
        <w:tc>
          <w:tcPr>
            <w:tcW w:w="45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Variable Rate Debt Outstanding</w:t>
            </w:r>
          </w:p>
        </w:tc>
        <w:tc>
          <w:tcPr>
            <w:tcW w:w="2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1,636,000</w:t>
            </w:r>
          </w:p>
        </w:tc>
        <w:tc>
          <w:tcPr>
            <w:tcW w:w="820" w:type="dxa"/>
            <w:vAlign w:val="bottom"/>
            <w:tcBorders>
              <w:bottom w:val="single" w:sz="8" w:color="auto"/>
            </w:tcBorders>
            <w:shd w:val="clear" w:color="auto" w:fill="DBDBDB"/>
          </w:tcPr>
          <w:p>
            <w:pPr>
              <w:jc w:val="right"/>
              <w:ind w:right="686"/>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1,636</w:t>
            </w:r>
          </w:p>
        </w:tc>
        <w:tc>
          <w:tcPr>
            <w:tcW w:w="860" w:type="dxa"/>
            <w:vAlign w:val="bottom"/>
            <w:tcBorders>
              <w:bottom w:val="single" w:sz="8" w:color="auto"/>
            </w:tcBorders>
            <w:shd w:val="clear" w:color="auto" w:fill="DBDBDB"/>
          </w:tcPr>
          <w:p>
            <w:pPr>
              <w:jc w:val="right"/>
              <w:ind w:right="70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4,090</w:t>
            </w:r>
          </w:p>
        </w:tc>
        <w:tc>
          <w:tcPr>
            <w:tcW w:w="24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8,180</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16,360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76" w:lineRule="exact"/>
        <w:rPr>
          <w:sz w:val="20"/>
          <w:szCs w:val="20"/>
          <w:color w:val="auto"/>
        </w:rPr>
      </w:pPr>
    </w:p>
    <w:p>
      <w:pPr>
        <w:ind w:left="268" w:right="60" w:hanging="268"/>
        <w:spacing w:after="0" w:line="264" w:lineRule="auto"/>
        <w:tabs>
          <w:tab w:leader="none" w:pos="142" w:val="left"/>
        </w:tabs>
        <w:numPr>
          <w:ilvl w:val="0"/>
          <w:numId w:val="34"/>
        </w:numPr>
        <w:rPr>
          <w:rFonts w:ascii="Arial" w:cs="Arial" w:eastAsia="Arial" w:hAnsi="Arial"/>
          <w:sz w:val="10"/>
          <w:szCs w:val="10"/>
          <w:color w:val="auto"/>
        </w:rPr>
      </w:pPr>
      <w:r>
        <w:rPr>
          <w:rFonts w:ascii="Arial" w:cs="Arial" w:eastAsia="Arial" w:hAnsi="Arial"/>
          <w:sz w:val="10"/>
          <w:szCs w:val="10"/>
          <w:color w:val="auto"/>
        </w:rPr>
        <w:t>Our interest rate for our Term Loan A is locked in for one, two, three, six or twelve months as allowed under the Credit Agreement. At the end of the selected periods, the rates will be locked in at the then current rate. The effects of these interest rate locks are not included in the table above.</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See Note 9 - </w:t>
      </w:r>
      <w:r>
        <w:rPr>
          <w:rFonts w:ascii="Arial" w:cs="Arial" w:eastAsia="Arial" w:hAnsi="Arial"/>
          <w:sz w:val="12"/>
          <w:szCs w:val="12"/>
          <w:i w:val="1"/>
          <w:iCs w:val="1"/>
          <w:color w:val="auto"/>
        </w:rPr>
        <w:t>Corporate Debt and Other Borrowings, Net,</w:t>
      </w:r>
      <w:r>
        <w:rPr>
          <w:rFonts w:ascii="Arial" w:cs="Arial" w:eastAsia="Arial" w:hAnsi="Arial"/>
          <w:sz w:val="12"/>
          <w:szCs w:val="12"/>
          <w:color w:val="auto"/>
        </w:rPr>
        <w:t xml:space="preserve"> within the notes to the condensed consolidated financial statements for additional information.</w:t>
      </w:r>
    </w:p>
    <w:p>
      <w:pPr>
        <w:spacing w:after="0" w:line="78" w:lineRule="exact"/>
        <w:rPr>
          <w:sz w:val="20"/>
          <w:szCs w:val="20"/>
          <w:color w:val="auto"/>
        </w:rPr>
      </w:pPr>
    </w:p>
    <w:p>
      <w:pPr>
        <w:ind w:left="8" w:right="160"/>
        <w:spacing w:after="0" w:line="259" w:lineRule="auto"/>
        <w:rPr>
          <w:sz w:val="20"/>
          <w:szCs w:val="20"/>
          <w:color w:val="auto"/>
        </w:rPr>
      </w:pPr>
      <w:r>
        <w:rPr>
          <w:rFonts w:ascii="Arial" w:cs="Arial" w:eastAsia="Arial" w:hAnsi="Arial"/>
          <w:sz w:val="12"/>
          <w:szCs w:val="12"/>
          <w:color w:val="auto"/>
        </w:rPr>
        <w:t>We offer our advisors and their clients two FDIC insured bank sweep vehicles and a client cash account (“CCA”) that are interest rate sensitive. Our FDIC insured sweep vehicles include an (1) insured cash account (“ICA”) for individuals, trusts, sole proprietorships and entities organized or operated to make a profit, such as corporations, partnerships, associations, business trusts and other organizations and (2) an insured deposit cash account (“DCA”) for individual retirement accounts and retirement plan accounts that are enrolled in certain LPL advisory programs. Clients earn interest on deposits in the ICA and the DCA while we earn a fee. The fees we earn from cash held in the ICA are based primarily on prevailing interest rates in the current interest rate environment, and are therefore subject to interest rate risk. The fees we earn from the DCA are calculated as a per account fee, and such fees increase as the federal funds target rate increases, subject to a cap.</w:t>
      </w:r>
    </w:p>
    <w:p>
      <w:pPr>
        <w:spacing w:after="0" w:line="47" w:lineRule="exact"/>
        <w:rPr>
          <w:sz w:val="20"/>
          <w:szCs w:val="20"/>
          <w:color w:val="auto"/>
        </w:rPr>
      </w:pPr>
    </w:p>
    <w:p>
      <w:pPr>
        <w:ind w:left="8" w:right="60"/>
        <w:spacing w:after="0" w:line="257" w:lineRule="auto"/>
        <w:rPr>
          <w:sz w:val="20"/>
          <w:szCs w:val="20"/>
          <w:color w:val="auto"/>
        </w:rPr>
      </w:pPr>
      <w:r>
        <w:rPr>
          <w:rFonts w:ascii="Arial" w:cs="Arial" w:eastAsia="Arial" w:hAnsi="Arial"/>
          <w:sz w:val="12"/>
          <w:szCs w:val="12"/>
          <w:color w:val="auto"/>
        </w:rPr>
        <w:t>The Company places ICA sweep overflow into the CCA. These deposits are either used to fund client margin lending or placed in third-party bank or investment accounts, both of which are segregated under federal or other regulations, where they are held as cash or invested in short-term U.S. treasury bills. We earn interest income on these bank deposits and investments in short-term U.S. treasury bills and pay interest to clients on these CCA balances, which are sensitive to prevailing interest rates. This interest income and expense is included in interest income, net in the condensed consolidated statements of income. Changes in interest rates and fees for the deposit sweep vehicles are monitored by our Rate Setting Committee (the “RSC”), which governs and approves any changes to our fees. By meeting promptly around the time of Federal Open Market Committee meetings, or for other market or non-market reasons, the RSC considers financial risk of the deposit sweep vehicles relative to other products into which clients may move cash balances.</w:t>
      </w:r>
    </w:p>
    <w:p>
      <w:pPr>
        <w:spacing w:after="0" w:line="8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Credit Risk</w:t>
      </w:r>
    </w:p>
    <w:p>
      <w:pPr>
        <w:spacing w:after="0" w:line="78" w:lineRule="exact"/>
        <w:rPr>
          <w:sz w:val="20"/>
          <w:szCs w:val="20"/>
          <w:color w:val="auto"/>
        </w:rPr>
      </w:pPr>
    </w:p>
    <w:p>
      <w:pPr>
        <w:ind w:left="8" w:right="220"/>
        <w:spacing w:after="0" w:line="268" w:lineRule="auto"/>
        <w:rPr>
          <w:sz w:val="20"/>
          <w:szCs w:val="20"/>
          <w:color w:val="auto"/>
        </w:rPr>
      </w:pPr>
      <w:r>
        <w:rPr>
          <w:rFonts w:ascii="Arial" w:cs="Arial" w:eastAsia="Arial" w:hAnsi="Arial"/>
          <w:sz w:val="12"/>
          <w:szCs w:val="12"/>
          <w:color w:val="auto"/>
        </w:rPr>
        <w:t>Credit risk is the risk of loss due to adverse changes in a borrower’s, issuer’s or counterparty’s ability to meet its financial obligations under contractual or agreed upon terms. We are subject to credit risk from certain loans extended to advisors and institutions when we extend loans with repayment terms to facilitate advisors’ and institutions’ transition to our platform or to fund business development activities. We are also subject to credit risk when a forgivable loan to an advisor or institution converts to repayable upon advisor or institution termination or change in agreed upon terms.</w:t>
      </w:r>
    </w:p>
    <w:p>
      <w:pPr>
        <w:spacing w:after="0" w:line="42" w:lineRule="exact"/>
        <w:rPr>
          <w:sz w:val="20"/>
          <w:szCs w:val="20"/>
          <w:color w:val="auto"/>
        </w:rPr>
      </w:pPr>
    </w:p>
    <w:p>
      <w:pPr>
        <w:ind w:left="8" w:right="100"/>
        <w:spacing w:after="0" w:line="268" w:lineRule="auto"/>
        <w:rPr>
          <w:sz w:val="20"/>
          <w:szCs w:val="20"/>
          <w:color w:val="auto"/>
        </w:rPr>
      </w:pPr>
      <w:r>
        <w:rPr>
          <w:rFonts w:ascii="Arial" w:cs="Arial" w:eastAsia="Arial" w:hAnsi="Arial"/>
          <w:sz w:val="12"/>
          <w:szCs w:val="12"/>
          <w:color w:val="auto"/>
        </w:rPr>
        <w:t>Credit risk also arises when collateral posted with LPL Financial by clients to support margin lending or derivative trading is insufficient to meet clients’ contractual obligations to LPL Financial. Our credit exposure in these transactions consists primarily of margin accounts, through which we extend credit to advisors’ clients collateralized by securities in the clients’ accounts. Under many of these agreements, we are permitted to sell, repledge or loan these securities held as collateral and use these securities to enter into securities lending arrangements or to deliver to counterparties to cover short positions.</w:t>
      </w:r>
    </w:p>
    <w:p>
      <w:pPr>
        <w:spacing w:after="0" w:line="42" w:lineRule="exact"/>
        <w:rPr>
          <w:sz w:val="20"/>
          <w:szCs w:val="20"/>
          <w:color w:val="auto"/>
        </w:rPr>
      </w:pPr>
    </w:p>
    <w:p>
      <w:pPr>
        <w:ind w:left="8" w:right="120"/>
        <w:spacing w:after="0" w:line="262" w:lineRule="auto"/>
        <w:rPr>
          <w:sz w:val="20"/>
          <w:szCs w:val="20"/>
          <w:color w:val="auto"/>
        </w:rPr>
      </w:pPr>
      <w:r>
        <w:rPr>
          <w:rFonts w:ascii="Arial" w:cs="Arial" w:eastAsia="Arial" w:hAnsi="Arial"/>
          <w:sz w:val="12"/>
          <w:szCs w:val="12"/>
          <w:color w:val="auto"/>
        </w:rPr>
        <w:t>As our advisors execute margin transactions on behalf of their clients, we may incur losses if clients do not fulfill their obligations, the collateral in the clients’ accounts is insufficient to fully cover losses from such investments and our advisors fail to reimburse us for such losses. Our losses on margin accounts were not material during the three and nine months ended September 30, 2026 or 2025.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0" w:lineRule="exact"/>
        <w:rPr>
          <w:sz w:val="20"/>
          <w:szCs w:val="20"/>
          <w:color w:val="auto"/>
        </w:rPr>
      </w:pPr>
    </w:p>
    <w:p>
      <w:pPr>
        <w:spacing w:after="0" w:line="2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8" w:right="319" w:bottom="1440" w:gutter="0" w:footer="0" w:header="0"/>
        </w:sectPr>
      </w:pPr>
    </w:p>
    <w:bookmarkStart w:id="55" w:name="page56"/>
    <w:bookmarkEnd w:id="55"/>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 w:right="280"/>
        <w:spacing w:after="0" w:line="262" w:lineRule="auto"/>
        <w:rPr>
          <w:sz w:val="20"/>
          <w:szCs w:val="20"/>
          <w:color w:val="auto"/>
        </w:rPr>
      </w:pPr>
      <w:r>
        <w:rPr>
          <w:rFonts w:ascii="Arial" w:cs="Arial" w:eastAsia="Arial" w:hAnsi="Arial"/>
          <w:sz w:val="12"/>
          <w:szCs w:val="12"/>
          <w:color w:val="auto"/>
        </w:rPr>
        <w:t>We are subject to concentration risk if we extend large loans to or have large commitments with a single counterparty, borrower or group of similar counterparties or borrowers, or if we accept a concentrated position as collateral for a margin loan. Receivables from and payables to clients and stock borrowing and lending activities are conducted with a large number of clients and counterparties and potential concentration is monitored. We seek to limit this risk through review of the underlying business and the use of limits established by senior management taking into consideration factors including current market conditions, the financial strength of the counterparty, the size of the position or commitment, the expected duration of the position or commitment and other positions or commitments outstanding.</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4. Controls and Procedures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78" w:lineRule="exact"/>
        <w:rPr>
          <w:sz w:val="20"/>
          <w:szCs w:val="20"/>
          <w:color w:val="auto"/>
        </w:rPr>
      </w:pPr>
    </w:p>
    <w:p>
      <w:pPr>
        <w:ind w:left="8" w:right="160"/>
        <w:spacing w:after="0" w:line="268" w:lineRule="auto"/>
        <w:rPr>
          <w:sz w:val="20"/>
          <w:szCs w:val="20"/>
          <w:color w:val="auto"/>
        </w:rPr>
      </w:pPr>
      <w:r>
        <w:rPr>
          <w:rFonts w:ascii="Arial" w:cs="Arial" w:eastAsia="Arial" w:hAnsi="Arial"/>
          <w:sz w:val="12"/>
          <w:szCs w:val="12"/>
          <w:color w:val="auto"/>
        </w:rPr>
        <w:t>Management, with the participation of our Chief Executive Officer and Chief Financial Officer, evaluated the effectiveness of our disclosure controls and procedures, as defined in Rules 13a-15(e) and 15d-15(e) under the Exchange Act,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Change in Internal Control over Financial Reporting</w:t>
      </w:r>
    </w:p>
    <w:p>
      <w:pPr>
        <w:spacing w:after="0" w:line="78" w:lineRule="exact"/>
        <w:rPr>
          <w:sz w:val="20"/>
          <w:szCs w:val="20"/>
          <w:color w:val="auto"/>
        </w:rPr>
      </w:pPr>
    </w:p>
    <w:p>
      <w:pPr>
        <w:ind w:left="8" w:right="60"/>
        <w:spacing w:after="0" w:line="268" w:lineRule="auto"/>
        <w:rPr>
          <w:sz w:val="20"/>
          <w:szCs w:val="20"/>
          <w:color w:val="auto"/>
        </w:rPr>
      </w:pPr>
      <w:r>
        <w:rPr>
          <w:rFonts w:ascii="Arial" w:cs="Arial" w:eastAsia="Arial" w:hAnsi="Arial"/>
          <w:sz w:val="12"/>
          <w:szCs w:val="12"/>
          <w:color w:val="auto"/>
        </w:rPr>
        <w:t>On August 1, 2025, we acquired CFN. During the three months ended September 30, 2026, we continued the ongoing integration of CFN, including the incorporation of CFN’s internal controls over financial reporting into our overall internal control framework. This integration represents a material change that affected our internal control over financial reporting. Except as described above, there were no other changes during the third quarter ended September 30, 2026 that have materially affected, or are reasonably likely to materially affect, our internal control over financial reporting.</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II — OTHER INFORMATION</w:t>
      </w:r>
    </w:p>
    <w:p>
      <w:pPr>
        <w:spacing w:after="0" w:line="27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 Legal Proceedings</w:t>
      </w:r>
    </w:p>
    <w:p>
      <w:pPr>
        <w:spacing w:after="0" w:line="78" w:lineRule="exact"/>
        <w:rPr>
          <w:sz w:val="20"/>
          <w:szCs w:val="20"/>
          <w:color w:val="auto"/>
        </w:rPr>
      </w:pPr>
    </w:p>
    <w:p>
      <w:pPr>
        <w:ind w:left="8" w:right="80"/>
        <w:spacing w:after="0" w:line="268" w:lineRule="auto"/>
        <w:rPr>
          <w:sz w:val="20"/>
          <w:szCs w:val="20"/>
          <w:color w:val="auto"/>
        </w:rPr>
      </w:pPr>
      <w:r>
        <w:rPr>
          <w:rFonts w:ascii="Arial" w:cs="Arial" w:eastAsia="Arial" w:hAnsi="Arial"/>
          <w:sz w:val="12"/>
          <w:szCs w:val="12"/>
          <w:color w:val="auto"/>
        </w:rPr>
        <w:t xml:space="preserve">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 See Note 10 -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within the notes to the condensed consolidated financial statements for additional information.</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1A. Risk Factors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There have been no material changes in the information regarding the Company’s risks, as set forth under Part I, “</w:t>
      </w:r>
      <w:r>
        <w:rPr>
          <w:rFonts w:ascii="Arial" w:cs="Arial" w:eastAsia="Arial" w:hAnsi="Arial"/>
          <w:sz w:val="12"/>
          <w:szCs w:val="12"/>
          <w:i w:val="1"/>
          <w:iCs w:val="1"/>
          <w:color w:val="auto"/>
        </w:rPr>
        <w:t>Item 1A. Risk Factors”</w:t>
      </w:r>
      <w:r>
        <w:rPr>
          <w:rFonts w:ascii="Arial" w:cs="Arial" w:eastAsia="Arial" w:hAnsi="Arial"/>
          <w:sz w:val="12"/>
          <w:szCs w:val="12"/>
          <w:color w:val="auto"/>
        </w:rPr>
        <w:t xml:space="preserve"> in the Company’s 2025 Annual Report on Form 10-K.</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sets forth information regarding repurchases, reported on a trade date basis, during the three months ended September 30, 2026:</w:t>
      </w:r>
    </w:p>
    <w:p>
      <w:pPr>
        <w:spacing w:after="0" w:line="3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Total Number of Shares</w:t>
            </w:r>
          </w:p>
        </w:tc>
        <w:tc>
          <w:tcPr>
            <w:tcW w:w="238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Approximate Dollar Value of Shares That May</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8"/>
              </w:rPr>
              <w:t>Total Number of Shares</w:t>
            </w:r>
          </w:p>
        </w:tc>
        <w:tc>
          <w:tcPr>
            <w:tcW w:w="100" w:type="dxa"/>
            <w:vAlign w:val="bottom"/>
          </w:tcPr>
          <w:p>
            <w:pPr>
              <w:spacing w:after="0"/>
              <w:rPr>
                <w:sz w:val="2"/>
                <w:szCs w:val="2"/>
                <w:color w:val="auto"/>
              </w:rPr>
            </w:pPr>
          </w:p>
        </w:tc>
        <w:tc>
          <w:tcPr>
            <w:tcW w:w="106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7"/>
              </w:rPr>
              <w:t>Weighted-Average</w:t>
            </w:r>
          </w:p>
        </w:tc>
        <w:tc>
          <w:tcPr>
            <w:tcW w:w="16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Yet Be Purchased Under the Program</w:t>
            </w:r>
          </w:p>
        </w:tc>
        <w:tc>
          <w:tcPr>
            <w:tcW w:w="0" w:type="dxa"/>
            <w:vAlign w:val="bottom"/>
          </w:tcPr>
          <w:p>
            <w:pPr>
              <w:spacing w:after="0" w:line="20" w:lineRule="exact"/>
              <w:rPr>
                <w:sz w:val="1"/>
                <w:szCs w:val="1"/>
                <w:color w:val="auto"/>
              </w:rPr>
            </w:pPr>
          </w:p>
        </w:tc>
      </w:tr>
      <w:tr>
        <w:trPr>
          <w:trHeight w:val="108"/>
        </w:trPr>
        <w:tc>
          <w:tcPr>
            <w:tcW w:w="4860" w:type="dxa"/>
            <w:vAlign w:val="bottom"/>
            <w:vMerge w:val="restart"/>
          </w:tcPr>
          <w:p>
            <w:pPr>
              <w:spacing w:after="0"/>
              <w:rPr>
                <w:sz w:val="20"/>
                <w:szCs w:val="20"/>
                <w:color w:val="auto"/>
              </w:rPr>
            </w:pPr>
            <w:r>
              <w:rPr>
                <w:rFonts w:ascii="Arial" w:cs="Arial" w:eastAsia="Arial" w:hAnsi="Arial"/>
                <w:sz w:val="11"/>
                <w:szCs w:val="11"/>
                <w:b w:val="1"/>
                <w:bCs w:val="1"/>
                <w:color w:val="auto"/>
              </w:rPr>
              <w:t>Period</w:t>
            </w:r>
          </w:p>
        </w:tc>
        <w:tc>
          <w:tcPr>
            <w:tcW w:w="1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6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Purchased as Part of Publicly</w:t>
            </w:r>
          </w:p>
        </w:tc>
        <w:tc>
          <w:tcPr>
            <w:tcW w:w="16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860" w:type="dxa"/>
            <w:vAlign w:val="bottom"/>
            <w:tcBorders>
              <w:bottom w:val="single" w:sz="8" w:color="DBDBDB"/>
            </w:tcBorders>
            <w:vMerge w:val="continue"/>
          </w:tcPr>
          <w:p>
            <w:pPr>
              <w:spacing w:after="0"/>
              <w:rPr>
                <w:sz w:val="12"/>
                <w:szCs w:val="12"/>
                <w:color w:val="auto"/>
              </w:rPr>
            </w:pPr>
          </w:p>
        </w:tc>
        <w:tc>
          <w:tcPr>
            <w:tcW w:w="130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Purchased</w:t>
            </w:r>
          </w:p>
        </w:tc>
        <w:tc>
          <w:tcPr>
            <w:tcW w:w="11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rPr>
              <w:t>Price Paid per Share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Announced Programs</w:t>
            </w:r>
          </w:p>
        </w:tc>
        <w:tc>
          <w:tcPr>
            <w:tcW w:w="1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b w:val="1"/>
                <w:bCs w:val="1"/>
                <w:color w:val="auto"/>
              </w:rPr>
              <w:t>(millions)</w:t>
            </w:r>
            <w:r>
              <w:rPr>
                <w:rFonts w:ascii="Arial" w:cs="Arial" w:eastAsia="Arial" w:hAnsi="Arial"/>
                <w:sz w:val="7"/>
                <w:szCs w:val="7"/>
                <w:b w:val="1"/>
                <w:bCs w:val="1"/>
                <w:color w:val="auto"/>
              </w:rPr>
              <w:t>(1)</w:t>
            </w:r>
          </w:p>
        </w:tc>
        <w:tc>
          <w:tcPr>
            <w:tcW w:w="0" w:type="dxa"/>
            <w:vAlign w:val="bottom"/>
          </w:tcPr>
          <w:p>
            <w:pPr>
              <w:spacing w:after="0"/>
              <w:rPr>
                <w:sz w:val="1"/>
                <w:szCs w:val="1"/>
                <w:color w:val="auto"/>
              </w:rPr>
            </w:pPr>
          </w:p>
        </w:tc>
      </w:tr>
      <w:tr>
        <w:trPr>
          <w:trHeight w:val="133"/>
        </w:trPr>
        <w:tc>
          <w:tcPr>
            <w:tcW w:w="4860" w:type="dxa"/>
            <w:vAlign w:val="bottom"/>
            <w:shd w:val="clear" w:color="auto" w:fill="DBDBDB"/>
          </w:tcPr>
          <w:p>
            <w:pPr>
              <w:ind w:left="80"/>
              <w:spacing w:after="0"/>
              <w:rPr>
                <w:sz w:val="20"/>
                <w:szCs w:val="20"/>
                <w:color w:val="auto"/>
              </w:rPr>
            </w:pPr>
            <w:r>
              <w:rPr>
                <w:rFonts w:ascii="Arial" w:cs="Arial" w:eastAsia="Arial" w:hAnsi="Arial"/>
                <w:sz w:val="11"/>
                <w:szCs w:val="11"/>
                <w:color w:val="auto"/>
              </w:rPr>
              <w:t>July 1, 2026 through July 31, 2026</w:t>
            </w: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437,488</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320.64</w:t>
            </w:r>
          </w:p>
        </w:tc>
        <w:tc>
          <w:tcPr>
            <w:tcW w:w="16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437,488</w:t>
            </w:r>
          </w:p>
        </w:tc>
        <w:tc>
          <w:tcPr>
            <w:tcW w:w="160" w:type="dxa"/>
            <w:vAlign w:val="bottom"/>
            <w:shd w:val="clear" w:color="auto" w:fill="DBDBDB"/>
          </w:tcPr>
          <w:p>
            <w:pPr>
              <w:ind w:left="20"/>
              <w:spacing w:after="0"/>
              <w:rPr>
                <w:sz w:val="20"/>
                <w:szCs w:val="20"/>
                <w:color w:val="auto"/>
              </w:rPr>
            </w:pPr>
            <w:r>
              <w:rPr>
                <w:rFonts w:ascii="Arial" w:cs="Arial" w:eastAsia="Arial" w:hAnsi="Arial"/>
                <w:sz w:val="11"/>
                <w:szCs w:val="11"/>
                <w:color w:val="auto"/>
              </w:rPr>
              <w:t>$</w:t>
            </w:r>
          </w:p>
        </w:tc>
        <w:tc>
          <w:tcPr>
            <w:tcW w:w="22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2,680.3</w:t>
            </w:r>
          </w:p>
        </w:tc>
        <w:tc>
          <w:tcPr>
            <w:tcW w:w="0" w:type="dxa"/>
            <w:vAlign w:val="bottom"/>
          </w:tcPr>
          <w:p>
            <w:pPr>
              <w:spacing w:after="0"/>
              <w:rPr>
                <w:sz w:val="1"/>
                <w:szCs w:val="1"/>
                <w:color w:val="auto"/>
              </w:rPr>
            </w:pPr>
          </w:p>
        </w:tc>
      </w:tr>
      <w:tr>
        <w:trPr>
          <w:trHeight w:val="143"/>
        </w:trPr>
        <w:tc>
          <w:tcPr>
            <w:tcW w:w="4860" w:type="dxa"/>
            <w:vAlign w:val="bottom"/>
          </w:tcPr>
          <w:p>
            <w:pPr>
              <w:ind w:left="80"/>
              <w:spacing w:after="0"/>
              <w:rPr>
                <w:sz w:val="20"/>
                <w:szCs w:val="20"/>
                <w:color w:val="auto"/>
              </w:rPr>
            </w:pPr>
            <w:r>
              <w:rPr>
                <w:rFonts w:ascii="Arial" w:cs="Arial" w:eastAsia="Arial" w:hAnsi="Arial"/>
                <w:sz w:val="11"/>
                <w:szCs w:val="11"/>
                <w:color w:val="auto"/>
              </w:rPr>
              <w:t>August 1, 2026 through August 31, 2026</w:t>
            </w:r>
          </w:p>
        </w:tc>
        <w:tc>
          <w:tcPr>
            <w:tcW w:w="1300" w:type="dxa"/>
            <w:vAlign w:val="bottom"/>
          </w:tcPr>
          <w:p>
            <w:pPr>
              <w:jc w:val="right"/>
              <w:spacing w:after="0"/>
              <w:rPr>
                <w:sz w:val="20"/>
                <w:szCs w:val="20"/>
                <w:color w:val="auto"/>
              </w:rPr>
            </w:pPr>
            <w:r>
              <w:rPr>
                <w:rFonts w:ascii="Arial" w:cs="Arial" w:eastAsia="Arial" w:hAnsi="Arial"/>
                <w:sz w:val="11"/>
                <w:szCs w:val="11"/>
                <w:color w:val="auto"/>
              </w:rPr>
              <w:t>221,280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362.74</w:t>
            </w:r>
          </w:p>
        </w:tc>
        <w:tc>
          <w:tcPr>
            <w:tcW w:w="1600" w:type="dxa"/>
            <w:vAlign w:val="bottom"/>
          </w:tcPr>
          <w:p>
            <w:pPr>
              <w:jc w:val="right"/>
              <w:spacing w:after="0"/>
              <w:rPr>
                <w:sz w:val="20"/>
                <w:szCs w:val="20"/>
                <w:color w:val="auto"/>
              </w:rPr>
            </w:pPr>
            <w:r>
              <w:rPr>
                <w:rFonts w:ascii="Arial" w:cs="Arial" w:eastAsia="Arial" w:hAnsi="Arial"/>
                <w:sz w:val="11"/>
                <w:szCs w:val="11"/>
                <w:color w:val="auto"/>
              </w:rPr>
              <w:t>221,280</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2220" w:type="dxa"/>
            <w:vAlign w:val="bottom"/>
          </w:tcPr>
          <w:p>
            <w:pPr>
              <w:jc w:val="right"/>
              <w:ind w:right="6"/>
              <w:spacing w:after="0"/>
              <w:rPr>
                <w:sz w:val="20"/>
                <w:szCs w:val="20"/>
                <w:color w:val="auto"/>
              </w:rPr>
            </w:pPr>
            <w:r>
              <w:rPr>
                <w:rFonts w:ascii="Arial" w:cs="Arial" w:eastAsia="Arial" w:hAnsi="Arial"/>
                <w:sz w:val="11"/>
                <w:szCs w:val="11"/>
                <w:color w:val="auto"/>
              </w:rPr>
              <w:t>2,600.0</w:t>
            </w:r>
          </w:p>
        </w:tc>
        <w:tc>
          <w:tcPr>
            <w:tcW w:w="0" w:type="dxa"/>
            <w:vAlign w:val="bottom"/>
          </w:tcPr>
          <w:p>
            <w:pPr>
              <w:spacing w:after="0"/>
              <w:rPr>
                <w:sz w:val="1"/>
                <w:szCs w:val="1"/>
                <w:color w:val="auto"/>
              </w:rPr>
            </w:pPr>
          </w:p>
        </w:tc>
      </w:tr>
      <w:tr>
        <w:trPr>
          <w:trHeight w:val="144"/>
        </w:trPr>
        <w:tc>
          <w:tcPr>
            <w:tcW w:w="4860" w:type="dxa"/>
            <w:vAlign w:val="bottom"/>
            <w:shd w:val="clear" w:color="auto" w:fill="DBDBDB"/>
          </w:tcPr>
          <w:p>
            <w:pPr>
              <w:ind w:left="80"/>
              <w:spacing w:after="0"/>
              <w:rPr>
                <w:sz w:val="20"/>
                <w:szCs w:val="20"/>
                <w:color w:val="auto"/>
              </w:rPr>
            </w:pPr>
            <w:r>
              <w:rPr>
                <w:rFonts w:ascii="Arial" w:cs="Arial" w:eastAsia="Arial" w:hAnsi="Arial"/>
                <w:sz w:val="11"/>
                <w:szCs w:val="11"/>
                <w:color w:val="auto"/>
              </w:rPr>
              <w:t>September 1, 2026 through September 30, 2026</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234,408</w:t>
            </w: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341.37</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234,408</w:t>
            </w:r>
          </w:p>
        </w:tc>
        <w:tc>
          <w:tcPr>
            <w:tcW w:w="160" w:type="dxa"/>
            <w:vAlign w:val="bottom"/>
            <w:shd w:val="clear" w:color="auto" w:fill="DBDBDB"/>
          </w:tcPr>
          <w:p>
            <w:pPr>
              <w:ind w:left="20"/>
              <w:spacing w:after="0"/>
              <w:rPr>
                <w:sz w:val="20"/>
                <w:szCs w:val="20"/>
                <w:color w:val="auto"/>
              </w:rPr>
            </w:pPr>
            <w:r>
              <w:rPr>
                <w:rFonts w:ascii="Arial" w:cs="Arial" w:eastAsia="Arial" w:hAnsi="Arial"/>
                <w:sz w:val="11"/>
                <w:szCs w:val="11"/>
                <w:color w:val="auto"/>
              </w:rPr>
              <w:t>$</w:t>
            </w:r>
          </w:p>
        </w:tc>
        <w:tc>
          <w:tcPr>
            <w:tcW w:w="22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2,520.0</w:t>
            </w:r>
          </w:p>
        </w:tc>
        <w:tc>
          <w:tcPr>
            <w:tcW w:w="0" w:type="dxa"/>
            <w:vAlign w:val="bottom"/>
          </w:tcPr>
          <w:p>
            <w:pPr>
              <w:spacing w:after="0"/>
              <w:rPr>
                <w:sz w:val="1"/>
                <w:szCs w:val="1"/>
                <w:color w:val="auto"/>
              </w:rPr>
            </w:pPr>
          </w:p>
        </w:tc>
      </w:tr>
      <w:tr>
        <w:trPr>
          <w:trHeight w:val="134"/>
        </w:trPr>
        <w:tc>
          <w:tcPr>
            <w:tcW w:w="4860" w:type="dxa"/>
            <w:vAlign w:val="bottom"/>
          </w:tcPr>
          <w:p>
            <w:pPr>
              <w:ind w:left="80"/>
              <w:spacing w:after="0"/>
              <w:rPr>
                <w:sz w:val="20"/>
                <w:szCs w:val="20"/>
                <w:color w:val="auto"/>
              </w:rPr>
            </w:pPr>
            <w:r>
              <w:rPr>
                <w:rFonts w:ascii="Arial" w:cs="Arial" w:eastAsia="Arial" w:hAnsi="Arial"/>
                <w:sz w:val="11"/>
                <w:szCs w:val="11"/>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893,176</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893,176</w:t>
            </w:r>
          </w:p>
        </w:tc>
        <w:tc>
          <w:tcPr>
            <w:tcW w:w="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28" w:right="480" w:hanging="328"/>
        <w:spacing w:after="0" w:line="245" w:lineRule="auto"/>
        <w:tabs>
          <w:tab w:leader="none" w:pos="148" w:val="left"/>
        </w:tabs>
        <w:numPr>
          <w:ilvl w:val="0"/>
          <w:numId w:val="35"/>
        </w:numPr>
        <w:rPr>
          <w:rFonts w:ascii="Arial" w:cs="Arial" w:eastAsia="Arial" w:hAnsi="Arial"/>
          <w:sz w:val="10"/>
          <w:szCs w:val="10"/>
          <w:color w:val="auto"/>
        </w:rPr>
      </w:pPr>
      <w:r>
        <w:rPr>
          <w:rFonts w:ascii="Arial" w:cs="Arial" w:eastAsia="Arial" w:hAnsi="Arial"/>
          <w:sz w:val="10"/>
          <w:szCs w:val="10"/>
          <w:color w:val="auto"/>
        </w:rPr>
        <w:t xml:space="preserve">On September 21, 2022, the Board authorized a $2.1 billion increase to the amount available for repurchases of LPLFH’s issued and outstanding common shares. On July 23, 2026, the Board authorized a $2.5 billion increase to the amount available for repurchases of LPLFH’s issued and outstanding common shares. See </w:t>
      </w:r>
      <w:r>
        <w:rPr>
          <w:rFonts w:ascii="Arial" w:cs="Arial" w:eastAsia="Arial" w:hAnsi="Arial"/>
          <w:sz w:val="10"/>
          <w:szCs w:val="10"/>
          <w:i w:val="1"/>
          <w:iCs w:val="1"/>
          <w:color w:val="auto"/>
        </w:rPr>
        <w:t>Note 11 - Stockholders’ Equity</w:t>
      </w:r>
      <w:r>
        <w:rPr>
          <w:rFonts w:ascii="Arial" w:cs="Arial" w:eastAsia="Arial" w:hAnsi="Arial"/>
          <w:sz w:val="10"/>
          <w:szCs w:val="10"/>
          <w:color w:val="auto"/>
        </w:rPr>
        <w:t>, within the notes to the condensed consolidated financial statements for additional information.</w:t>
      </w: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56" w:name="page57"/>
    <w:bookmarkEnd w:id="56"/>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4. Mine Safety Disclosures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 applicable.</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5. Other Information</w:t>
      </w:r>
    </w:p>
    <w:p>
      <w:pPr>
        <w:spacing w:after="0" w:line="114" w:lineRule="exact"/>
        <w:rPr>
          <w:sz w:val="20"/>
          <w:szCs w:val="20"/>
          <w:color w:val="auto"/>
        </w:rPr>
      </w:pPr>
    </w:p>
    <w:p>
      <w:pPr>
        <w:ind w:left="8" w:right="220"/>
        <w:spacing w:after="0" w:line="286" w:lineRule="auto"/>
        <w:rPr>
          <w:sz w:val="20"/>
          <w:szCs w:val="20"/>
          <w:color w:val="auto"/>
        </w:rPr>
      </w:pPr>
      <w:r>
        <w:rPr>
          <w:rFonts w:ascii="Arial" w:cs="Arial" w:eastAsia="Arial" w:hAnsi="Arial"/>
          <w:sz w:val="12"/>
          <w:szCs w:val="12"/>
          <w:color w:val="auto"/>
        </w:rPr>
        <w:t>During the three months ended September 30, 2026, certain of our directors or officers (as defined in Rule 16a-1(f) under the Exchange Act) entered into, modified or terminated contracts, instructions or written plans for the purchase or sale of our common stock that are intended to satisfy the affirmative defense conditions specified in Rule 10b5-1(c) under the Exchange Act.</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Arial" w:cs="Arial" w:eastAsia="Arial" w:hAnsi="Arial"/>
                <w:sz w:val="11"/>
                <w:szCs w:val="11"/>
                <w:b w:val="1"/>
                <w:bCs w:val="1"/>
                <w:color w:val="auto"/>
                <w:w w:val="98"/>
              </w:rPr>
              <w:t>Maximum Number of Securities to be</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60" w:type="dxa"/>
            <w:vAlign w:val="bottom"/>
            <w:vMerge w:val="restart"/>
          </w:tcPr>
          <w:p>
            <w:pPr>
              <w:spacing w:after="0"/>
              <w:rPr>
                <w:sz w:val="20"/>
                <w:szCs w:val="20"/>
                <w:color w:val="auto"/>
              </w:rPr>
            </w:pPr>
            <w:r>
              <w:rPr>
                <w:rFonts w:ascii="Arial" w:cs="Arial" w:eastAsia="Arial" w:hAnsi="Arial"/>
                <w:sz w:val="11"/>
                <w:szCs w:val="11"/>
                <w:b w:val="1"/>
                <w:bCs w:val="1"/>
                <w:color w:val="auto"/>
              </w:rPr>
              <w:t>Officer</w:t>
            </w:r>
          </w:p>
        </w:tc>
        <w:tc>
          <w:tcPr>
            <w:tcW w:w="1720" w:type="dxa"/>
            <w:vAlign w:val="bottom"/>
            <w:vMerge w:val="restart"/>
          </w:tcPr>
          <w:p>
            <w:pPr>
              <w:jc w:val="center"/>
              <w:ind w:left="6"/>
              <w:spacing w:after="0"/>
              <w:rPr>
                <w:sz w:val="20"/>
                <w:szCs w:val="20"/>
                <w:color w:val="auto"/>
              </w:rPr>
            </w:pPr>
            <w:r>
              <w:rPr>
                <w:rFonts w:ascii="Arial" w:cs="Arial" w:eastAsia="Arial" w:hAnsi="Arial"/>
                <w:sz w:val="11"/>
                <w:szCs w:val="11"/>
                <w:b w:val="1"/>
                <w:bCs w:val="1"/>
                <w:color w:val="auto"/>
                <w:w w:val="99"/>
              </w:rPr>
              <w:t>Date of Plan Adoption</w:t>
            </w:r>
          </w:p>
        </w:tc>
        <w:tc>
          <w:tcPr>
            <w:tcW w:w="2100" w:type="dxa"/>
            <w:vAlign w:val="bottom"/>
            <w:vMerge w:val="restart"/>
          </w:tcPr>
          <w:p>
            <w:pPr>
              <w:jc w:val="center"/>
              <w:ind w:left="126"/>
              <w:spacing w:after="0"/>
              <w:rPr>
                <w:sz w:val="20"/>
                <w:szCs w:val="20"/>
                <w:color w:val="auto"/>
              </w:rPr>
            </w:pPr>
            <w:r>
              <w:rPr>
                <w:rFonts w:ascii="Arial" w:cs="Arial" w:eastAsia="Arial" w:hAnsi="Arial"/>
                <w:sz w:val="11"/>
                <w:szCs w:val="11"/>
                <w:b w:val="1"/>
                <w:bCs w:val="1"/>
                <w:color w:val="auto"/>
                <w:w w:val="97"/>
              </w:rPr>
              <w:t>Commencement of Trading Period</w:t>
            </w:r>
          </w:p>
        </w:tc>
        <w:tc>
          <w:tcPr>
            <w:tcW w:w="1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Termination of Trading Period</w:t>
            </w:r>
            <w:r>
              <w:rPr>
                <w:rFonts w:ascii="Arial" w:cs="Arial" w:eastAsia="Arial" w:hAnsi="Arial"/>
                <w:sz w:val="14"/>
                <w:szCs w:val="14"/>
                <w:b w:val="1"/>
                <w:bCs w:val="1"/>
                <w:color w:val="auto"/>
                <w:w w:val="94"/>
                <w:vertAlign w:val="superscript"/>
              </w:rPr>
              <w:t>(1)</w:t>
            </w:r>
          </w:p>
        </w:tc>
        <w:tc>
          <w:tcPr>
            <w:tcW w:w="23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Purchased or Sold Pursuant to the Rule</w:t>
            </w: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Purchase or Sale</w:t>
            </w:r>
          </w:p>
        </w:tc>
        <w:tc>
          <w:tcPr>
            <w:tcW w:w="0" w:type="dxa"/>
            <w:vAlign w:val="bottom"/>
          </w:tcPr>
          <w:p>
            <w:pPr>
              <w:spacing w:after="0"/>
              <w:rPr>
                <w:sz w:val="1"/>
                <w:szCs w:val="1"/>
                <w:color w:val="auto"/>
              </w:rPr>
            </w:pPr>
          </w:p>
        </w:tc>
      </w:tr>
      <w:tr>
        <w:trPr>
          <w:trHeight w:val="144"/>
        </w:trPr>
        <w:tc>
          <w:tcPr>
            <w:tcW w:w="2160" w:type="dxa"/>
            <w:vAlign w:val="bottom"/>
            <w:tcBorders>
              <w:bottom w:val="single" w:sz="8" w:color="auto"/>
            </w:tcBorders>
            <w:vMerge w:val="continue"/>
          </w:tcPr>
          <w:p>
            <w:pPr>
              <w:spacing w:after="0"/>
              <w:rPr>
                <w:sz w:val="12"/>
                <w:szCs w:val="12"/>
                <w:color w:val="auto"/>
              </w:rPr>
            </w:pPr>
          </w:p>
        </w:tc>
        <w:tc>
          <w:tcPr>
            <w:tcW w:w="1720" w:type="dxa"/>
            <w:vAlign w:val="bottom"/>
            <w:tcBorders>
              <w:bottom w:val="single" w:sz="8" w:color="auto"/>
            </w:tcBorders>
            <w:vMerge w:val="continue"/>
          </w:tcPr>
          <w:p>
            <w:pPr>
              <w:spacing w:after="0"/>
              <w:rPr>
                <w:sz w:val="12"/>
                <w:szCs w:val="12"/>
                <w:color w:val="auto"/>
              </w:rPr>
            </w:pPr>
          </w:p>
        </w:tc>
        <w:tc>
          <w:tcPr>
            <w:tcW w:w="2100" w:type="dxa"/>
            <w:vAlign w:val="bottom"/>
            <w:tcBorders>
              <w:bottom w:val="single" w:sz="8" w:color="auto"/>
            </w:tcBorders>
            <w:vMerge w:val="continue"/>
          </w:tcPr>
          <w:p>
            <w:pPr>
              <w:spacing w:after="0"/>
              <w:rPr>
                <w:sz w:val="12"/>
                <w:szCs w:val="12"/>
                <w:color w:val="auto"/>
              </w:rPr>
            </w:pPr>
          </w:p>
        </w:tc>
        <w:tc>
          <w:tcPr>
            <w:tcW w:w="1780" w:type="dxa"/>
            <w:vAlign w:val="bottom"/>
            <w:tcBorders>
              <w:bottom w:val="single" w:sz="8" w:color="auto"/>
            </w:tcBorders>
            <w:vMerge w:val="continue"/>
          </w:tcPr>
          <w:p>
            <w:pPr>
              <w:spacing w:after="0"/>
              <w:rPr>
                <w:sz w:val="12"/>
                <w:szCs w:val="1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10b5-1 Trading Arrangements</w:t>
            </w: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160" w:type="dxa"/>
            <w:vAlign w:val="bottom"/>
            <w:shd w:val="clear" w:color="auto" w:fill="DBDBDB"/>
          </w:tcPr>
          <w:p>
            <w:pPr>
              <w:spacing w:after="0" w:line="97" w:lineRule="exact"/>
              <w:rPr>
                <w:sz w:val="20"/>
                <w:szCs w:val="20"/>
                <w:color w:val="auto"/>
              </w:rPr>
            </w:pPr>
            <w:r>
              <w:rPr>
                <w:rFonts w:ascii="Arial" w:cs="Arial" w:eastAsia="Arial" w:hAnsi="Arial"/>
                <w:sz w:val="11"/>
                <w:szCs w:val="11"/>
                <w:color w:val="auto"/>
              </w:rPr>
              <w:t>Matthew Audette, President and Chief</w:t>
            </w:r>
          </w:p>
        </w:tc>
        <w:tc>
          <w:tcPr>
            <w:tcW w:w="1720" w:type="dxa"/>
            <w:vAlign w:val="bottom"/>
            <w:shd w:val="clear" w:color="auto" w:fill="DBDBDB"/>
          </w:tcPr>
          <w:p>
            <w:pPr>
              <w:jc w:val="center"/>
              <w:ind w:left="6"/>
              <w:spacing w:after="0" w:line="97" w:lineRule="exact"/>
              <w:rPr>
                <w:sz w:val="20"/>
                <w:szCs w:val="20"/>
                <w:color w:val="auto"/>
              </w:rPr>
            </w:pPr>
            <w:r>
              <w:rPr>
                <w:rFonts w:ascii="Arial" w:cs="Arial" w:eastAsia="Arial" w:hAnsi="Arial"/>
                <w:sz w:val="11"/>
                <w:szCs w:val="11"/>
                <w:color w:val="auto"/>
                <w:w w:val="99"/>
              </w:rPr>
              <w:t>August 5, 2026</w:t>
            </w:r>
          </w:p>
        </w:tc>
        <w:tc>
          <w:tcPr>
            <w:tcW w:w="2100" w:type="dxa"/>
            <w:vAlign w:val="bottom"/>
            <w:shd w:val="clear" w:color="auto" w:fill="DBDBDB"/>
          </w:tcPr>
          <w:p>
            <w:pPr>
              <w:jc w:val="center"/>
              <w:ind w:left="126"/>
              <w:spacing w:after="0" w:line="97" w:lineRule="exact"/>
              <w:rPr>
                <w:sz w:val="20"/>
                <w:szCs w:val="20"/>
                <w:color w:val="auto"/>
              </w:rPr>
            </w:pPr>
            <w:r>
              <w:rPr>
                <w:rFonts w:ascii="Arial" w:cs="Arial" w:eastAsia="Arial" w:hAnsi="Arial"/>
                <w:sz w:val="11"/>
                <w:szCs w:val="11"/>
                <w:color w:val="auto"/>
                <w:w w:val="97"/>
              </w:rPr>
              <w:t>February 25, 2027</w:t>
            </w:r>
          </w:p>
        </w:tc>
        <w:tc>
          <w:tcPr>
            <w:tcW w:w="1780" w:type="dxa"/>
            <w:vAlign w:val="bottom"/>
            <w:shd w:val="clear" w:color="auto" w:fill="DBDBDB"/>
          </w:tcPr>
          <w:p>
            <w:pPr>
              <w:jc w:val="center"/>
              <w:spacing w:after="0" w:line="97" w:lineRule="exact"/>
              <w:rPr>
                <w:sz w:val="20"/>
                <w:szCs w:val="20"/>
                <w:color w:val="auto"/>
              </w:rPr>
            </w:pPr>
            <w:r>
              <w:rPr>
                <w:rFonts w:ascii="Arial" w:cs="Arial" w:eastAsia="Arial" w:hAnsi="Arial"/>
                <w:sz w:val="11"/>
                <w:szCs w:val="11"/>
                <w:color w:val="auto"/>
              </w:rPr>
              <w:t>April 15, 2027</w:t>
            </w:r>
          </w:p>
        </w:tc>
        <w:tc>
          <w:tcPr>
            <w:tcW w:w="2300" w:type="dxa"/>
            <w:vAlign w:val="bottom"/>
            <w:shd w:val="clear" w:color="auto" w:fill="DBDBDB"/>
          </w:tcPr>
          <w:p>
            <w:pPr>
              <w:jc w:val="center"/>
              <w:spacing w:after="0" w:line="97" w:lineRule="exact"/>
              <w:rPr>
                <w:sz w:val="20"/>
                <w:szCs w:val="20"/>
                <w:color w:val="auto"/>
              </w:rPr>
            </w:pPr>
            <w:r>
              <w:rPr>
                <w:rFonts w:ascii="Arial" w:cs="Arial" w:eastAsia="Arial" w:hAnsi="Arial"/>
                <w:sz w:val="11"/>
                <w:szCs w:val="11"/>
                <w:color w:val="auto"/>
                <w:w w:val="94"/>
              </w:rPr>
              <w:t>8,516</w:t>
            </w:r>
          </w:p>
        </w:tc>
        <w:tc>
          <w:tcPr>
            <w:tcW w:w="1240" w:type="dxa"/>
            <w:vAlign w:val="bottom"/>
            <w:shd w:val="clear" w:color="auto" w:fill="DBDBDB"/>
          </w:tcPr>
          <w:p>
            <w:pPr>
              <w:jc w:val="center"/>
              <w:ind w:right="6"/>
              <w:spacing w:after="0" w:line="97" w:lineRule="exact"/>
              <w:rPr>
                <w:sz w:val="20"/>
                <w:szCs w:val="20"/>
                <w:color w:val="auto"/>
              </w:rPr>
            </w:pPr>
            <w:r>
              <w:rPr>
                <w:rFonts w:ascii="Arial" w:cs="Arial" w:eastAsia="Arial" w:hAnsi="Arial"/>
                <w:sz w:val="11"/>
                <w:szCs w:val="11"/>
                <w:color w:val="auto"/>
                <w:w w:val="99"/>
              </w:rPr>
              <w:t>Sale</w:t>
            </w:r>
          </w:p>
        </w:tc>
        <w:tc>
          <w:tcPr>
            <w:tcW w:w="0" w:type="dxa"/>
            <w:vAlign w:val="bottom"/>
          </w:tcPr>
          <w:p>
            <w:pPr>
              <w:spacing w:after="0"/>
              <w:rPr>
                <w:sz w:val="1"/>
                <w:szCs w:val="1"/>
                <w:color w:val="auto"/>
              </w:rPr>
            </w:pPr>
          </w:p>
        </w:tc>
      </w:tr>
      <w:tr>
        <w:trPr>
          <w:trHeight w:val="144"/>
        </w:trPr>
        <w:tc>
          <w:tcPr>
            <w:tcW w:w="2160" w:type="dxa"/>
            <w:vAlign w:val="bottom"/>
            <w:shd w:val="clear" w:color="auto" w:fill="DBDBDB"/>
          </w:tcPr>
          <w:p>
            <w:pPr>
              <w:spacing w:after="0"/>
              <w:rPr>
                <w:sz w:val="20"/>
                <w:szCs w:val="20"/>
                <w:color w:val="auto"/>
              </w:rPr>
            </w:pPr>
            <w:r>
              <w:rPr>
                <w:rFonts w:ascii="Arial" w:cs="Arial" w:eastAsia="Arial" w:hAnsi="Arial"/>
                <w:sz w:val="11"/>
                <w:szCs w:val="11"/>
                <w:color w:val="auto"/>
              </w:rPr>
              <w:t>Financial Officer</w:t>
            </w:r>
          </w:p>
        </w:tc>
        <w:tc>
          <w:tcPr>
            <w:tcW w:w="1720" w:type="dxa"/>
            <w:vAlign w:val="bottom"/>
            <w:shd w:val="clear" w:color="auto" w:fill="DBDBDB"/>
          </w:tcPr>
          <w:p>
            <w:pPr>
              <w:spacing w:after="0"/>
              <w:rPr>
                <w:sz w:val="12"/>
                <w:szCs w:val="12"/>
                <w:color w:val="auto"/>
              </w:rPr>
            </w:pPr>
          </w:p>
        </w:tc>
        <w:tc>
          <w:tcPr>
            <w:tcW w:w="2100" w:type="dxa"/>
            <w:vAlign w:val="bottom"/>
            <w:shd w:val="clear" w:color="auto" w:fill="DBDBDB"/>
          </w:tcPr>
          <w:p>
            <w:pPr>
              <w:spacing w:after="0"/>
              <w:rPr>
                <w:sz w:val="12"/>
                <w:szCs w:val="12"/>
                <w:color w:val="auto"/>
              </w:rPr>
            </w:pPr>
          </w:p>
        </w:tc>
        <w:tc>
          <w:tcPr>
            <w:tcW w:w="1780" w:type="dxa"/>
            <w:vAlign w:val="bottom"/>
            <w:shd w:val="clear" w:color="auto" w:fill="DBDBDB"/>
          </w:tcPr>
          <w:p>
            <w:pPr>
              <w:spacing w:after="0"/>
              <w:rPr>
                <w:sz w:val="12"/>
                <w:szCs w:val="12"/>
                <w:color w:val="auto"/>
              </w:rPr>
            </w:pPr>
          </w:p>
        </w:tc>
        <w:tc>
          <w:tcPr>
            <w:tcW w:w="230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60" w:type="dxa"/>
            <w:vAlign w:val="bottom"/>
          </w:tcPr>
          <w:p>
            <w:pPr>
              <w:spacing w:after="0" w:line="109" w:lineRule="exact"/>
              <w:rPr>
                <w:sz w:val="20"/>
                <w:szCs w:val="20"/>
                <w:color w:val="auto"/>
              </w:rPr>
            </w:pPr>
            <w:r>
              <w:rPr>
                <w:rFonts w:ascii="Arial" w:cs="Arial" w:eastAsia="Arial" w:hAnsi="Arial"/>
                <w:sz w:val="11"/>
                <w:szCs w:val="11"/>
                <w:color w:val="auto"/>
              </w:rPr>
              <w:t>Richard Steinmeier, Chief Executive</w:t>
            </w:r>
          </w:p>
        </w:tc>
        <w:tc>
          <w:tcPr>
            <w:tcW w:w="1720" w:type="dxa"/>
            <w:vAlign w:val="bottom"/>
          </w:tcPr>
          <w:p>
            <w:pPr>
              <w:jc w:val="center"/>
              <w:ind w:left="6"/>
              <w:spacing w:after="0" w:line="109" w:lineRule="exact"/>
              <w:rPr>
                <w:sz w:val="20"/>
                <w:szCs w:val="20"/>
                <w:color w:val="auto"/>
              </w:rPr>
            </w:pPr>
            <w:r>
              <w:rPr>
                <w:rFonts w:ascii="Arial" w:cs="Arial" w:eastAsia="Arial" w:hAnsi="Arial"/>
                <w:sz w:val="11"/>
                <w:szCs w:val="11"/>
                <w:color w:val="auto"/>
                <w:w w:val="99"/>
              </w:rPr>
              <w:t>August 6, 2026</w:t>
            </w:r>
          </w:p>
        </w:tc>
        <w:tc>
          <w:tcPr>
            <w:tcW w:w="2100" w:type="dxa"/>
            <w:vAlign w:val="bottom"/>
          </w:tcPr>
          <w:p>
            <w:pPr>
              <w:jc w:val="center"/>
              <w:ind w:left="126"/>
              <w:spacing w:after="0" w:line="109" w:lineRule="exact"/>
              <w:rPr>
                <w:sz w:val="20"/>
                <w:szCs w:val="20"/>
                <w:color w:val="auto"/>
              </w:rPr>
            </w:pPr>
            <w:r>
              <w:rPr>
                <w:rFonts w:ascii="Arial" w:cs="Arial" w:eastAsia="Arial" w:hAnsi="Arial"/>
                <w:sz w:val="11"/>
                <w:szCs w:val="11"/>
                <w:color w:val="auto"/>
                <w:w w:val="97"/>
              </w:rPr>
              <w:t>November 5, 2026</w:t>
            </w:r>
          </w:p>
        </w:tc>
        <w:tc>
          <w:tcPr>
            <w:tcW w:w="1780" w:type="dxa"/>
            <w:vAlign w:val="bottom"/>
          </w:tcPr>
          <w:p>
            <w:pPr>
              <w:jc w:val="center"/>
              <w:spacing w:after="0" w:line="109" w:lineRule="exact"/>
              <w:rPr>
                <w:sz w:val="20"/>
                <w:szCs w:val="20"/>
                <w:color w:val="auto"/>
              </w:rPr>
            </w:pPr>
            <w:r>
              <w:rPr>
                <w:rFonts w:ascii="Arial" w:cs="Arial" w:eastAsia="Arial" w:hAnsi="Arial"/>
                <w:sz w:val="11"/>
                <w:szCs w:val="11"/>
                <w:color w:val="auto"/>
                <w:w w:val="99"/>
              </w:rPr>
              <w:t>December 14, 2026</w:t>
            </w:r>
          </w:p>
        </w:tc>
        <w:tc>
          <w:tcPr>
            <w:tcW w:w="2300" w:type="dxa"/>
            <w:vAlign w:val="bottom"/>
          </w:tcPr>
          <w:p>
            <w:pPr>
              <w:jc w:val="center"/>
              <w:spacing w:after="0" w:line="109" w:lineRule="exact"/>
              <w:rPr>
                <w:sz w:val="20"/>
                <w:szCs w:val="20"/>
                <w:color w:val="auto"/>
              </w:rPr>
            </w:pPr>
            <w:r>
              <w:rPr>
                <w:rFonts w:ascii="Arial" w:cs="Arial" w:eastAsia="Arial" w:hAnsi="Arial"/>
                <w:sz w:val="11"/>
                <w:szCs w:val="11"/>
                <w:color w:val="auto"/>
                <w:w w:val="94"/>
              </w:rPr>
              <w:t>3,692</w:t>
            </w:r>
          </w:p>
        </w:tc>
        <w:tc>
          <w:tcPr>
            <w:tcW w:w="1240" w:type="dxa"/>
            <w:vAlign w:val="bottom"/>
          </w:tcPr>
          <w:p>
            <w:pPr>
              <w:jc w:val="center"/>
              <w:ind w:right="6"/>
              <w:spacing w:after="0" w:line="109" w:lineRule="exact"/>
              <w:rPr>
                <w:sz w:val="20"/>
                <w:szCs w:val="20"/>
                <w:color w:val="auto"/>
              </w:rPr>
            </w:pPr>
            <w:r>
              <w:rPr>
                <w:rFonts w:ascii="Arial" w:cs="Arial" w:eastAsia="Arial" w:hAnsi="Arial"/>
                <w:sz w:val="11"/>
                <w:szCs w:val="11"/>
                <w:color w:val="auto"/>
                <w:w w:val="99"/>
              </w:rPr>
              <w:t>Sale</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20"/>
                <w:szCs w:val="20"/>
                <w:color w:val="auto"/>
              </w:rPr>
            </w:pPr>
            <w:r>
              <w:rPr>
                <w:rFonts w:ascii="Arial" w:cs="Arial" w:eastAsia="Arial" w:hAnsi="Arial"/>
                <w:sz w:val="11"/>
                <w:szCs w:val="11"/>
                <w:color w:val="auto"/>
              </w:rPr>
              <w:t>Officer</w:t>
            </w:r>
          </w:p>
        </w:tc>
        <w:tc>
          <w:tcPr>
            <w:tcW w:w="17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328" w:right="280" w:hanging="328"/>
        <w:spacing w:after="0" w:line="245" w:lineRule="auto"/>
        <w:tabs>
          <w:tab w:leader="none" w:pos="148" w:val="left"/>
        </w:tabs>
        <w:numPr>
          <w:ilvl w:val="0"/>
          <w:numId w:val="36"/>
        </w:numPr>
        <w:rPr>
          <w:rFonts w:ascii="Arial" w:cs="Arial" w:eastAsia="Arial" w:hAnsi="Arial"/>
          <w:sz w:val="10"/>
          <w:szCs w:val="10"/>
          <w:color w:val="auto"/>
        </w:rPr>
      </w:pPr>
      <w:r>
        <w:rPr>
          <w:rFonts w:ascii="Arial" w:cs="Arial" w:eastAsia="Arial" w:hAnsi="Arial"/>
          <w:sz w:val="10"/>
          <w:szCs w:val="10"/>
          <w:color w:val="auto"/>
        </w:rPr>
        <w:t>Represents the outside termination date pursuant to terms of each applicable plan. The agreement governing the applicable plan may terminate earlier pursuant to its terms in certain circumstances outside of the control of the applicable officer, including if all trades under the plan are completed prior to the termination of the trading period.</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65"/>
        </w:trPr>
        <w:tc>
          <w:tcPr>
            <w:tcW w:w="1100" w:type="dxa"/>
            <w:vAlign w:val="bottom"/>
          </w:tcPr>
          <w:p>
            <w:pPr>
              <w:jc w:val="right"/>
              <w:ind w:right="160"/>
              <w:spacing w:after="0"/>
              <w:rPr>
                <w:sz w:val="20"/>
                <w:szCs w:val="20"/>
                <w:color w:val="auto"/>
              </w:rPr>
            </w:pPr>
            <w:r>
              <w:rPr>
                <w:rFonts w:ascii="Arial" w:cs="Arial" w:eastAsia="Arial" w:hAnsi="Arial"/>
                <w:sz w:val="12"/>
                <w:szCs w:val="12"/>
                <w:b w:val="1"/>
                <w:bCs w:val="1"/>
                <w:color w:val="auto"/>
                <w:w w:val="97"/>
              </w:rPr>
              <w:t>Item 6. Exhibits</w:t>
            </w:r>
          </w:p>
        </w:tc>
        <w:tc>
          <w:tcPr>
            <w:tcW w:w="8620" w:type="dxa"/>
            <w:vAlign w:val="bottom"/>
          </w:tcPr>
          <w:p>
            <w:pPr>
              <w:spacing w:after="0"/>
              <w:rPr>
                <w:sz w:val="14"/>
                <w:szCs w:val="14"/>
                <w:color w:val="auto"/>
              </w:rPr>
            </w:pPr>
          </w:p>
        </w:tc>
      </w:tr>
      <w:tr>
        <w:trPr>
          <w:trHeight w:val="186"/>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3.1</w:t>
            </w:r>
          </w:p>
        </w:tc>
        <w:tc>
          <w:tcPr>
            <w:tcW w:w="8620" w:type="dxa"/>
            <w:vAlign w:val="bottom"/>
          </w:tcPr>
          <w:p>
            <w:pPr>
              <w:ind w:left="100"/>
              <w:spacing w:after="0"/>
              <w:rPr>
                <w:rFonts w:ascii="Arial" w:cs="Arial" w:eastAsia="Arial" w:hAnsi="Arial"/>
                <w:sz w:val="12"/>
                <w:szCs w:val="12"/>
                <w:color w:val="0000FF"/>
                <w:w w:val="99"/>
              </w:rPr>
            </w:pPr>
            <w:hyperlink r:id="rId79">
              <w:r>
                <w:rPr>
                  <w:rFonts w:ascii="Arial" w:cs="Arial" w:eastAsia="Arial" w:hAnsi="Arial"/>
                  <w:sz w:val="12"/>
                  <w:szCs w:val="12"/>
                  <w:color w:val="0000FF"/>
                  <w:w w:val="99"/>
                </w:rPr>
                <w:t>Second Amended and Restated Certificate of Incorporation of LPL Financial Holdings Inc., dated May 14, 2026 (incorporated by reference to the Form 10-Q filed</w:t>
              </w:r>
            </w:hyperlink>
          </w:p>
        </w:tc>
      </w:tr>
      <w:tr>
        <w:trPr>
          <w:trHeight w:val="153"/>
        </w:trPr>
        <w:tc>
          <w:tcPr>
            <w:tcW w:w="1100" w:type="dxa"/>
            <w:vAlign w:val="bottom"/>
          </w:tcPr>
          <w:p>
            <w:pPr>
              <w:spacing w:after="0"/>
              <w:rPr>
                <w:sz w:val="13"/>
                <w:szCs w:val="13"/>
                <w:color w:val="auto"/>
              </w:rPr>
            </w:pPr>
          </w:p>
        </w:tc>
        <w:tc>
          <w:tcPr>
            <w:tcW w:w="8620" w:type="dxa"/>
            <w:vAlign w:val="bottom"/>
          </w:tcPr>
          <w:p>
            <w:pPr>
              <w:ind w:left="100"/>
              <w:spacing w:after="0"/>
              <w:rPr>
                <w:rFonts w:ascii="Arial" w:cs="Arial" w:eastAsia="Arial" w:hAnsi="Arial"/>
                <w:sz w:val="12"/>
                <w:szCs w:val="12"/>
                <w:color w:val="0000FF"/>
              </w:rPr>
            </w:pPr>
            <w:hyperlink r:id="rId79">
              <w:r>
                <w:rPr>
                  <w:rFonts w:ascii="Arial" w:cs="Arial" w:eastAsia="Arial" w:hAnsi="Arial"/>
                  <w:sz w:val="12"/>
                  <w:szCs w:val="12"/>
                  <w:color w:val="0000FF"/>
                </w:rPr>
                <w:t>on August 3, 2026, File No. 001-34963).</w:t>
              </w:r>
            </w:hyperlink>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3.2</w:t>
            </w:r>
          </w:p>
        </w:tc>
        <w:tc>
          <w:tcPr>
            <w:tcW w:w="8620" w:type="dxa"/>
            <w:vAlign w:val="bottom"/>
          </w:tcPr>
          <w:p>
            <w:pPr>
              <w:ind w:left="100"/>
              <w:spacing w:after="0"/>
              <w:rPr>
                <w:rFonts w:ascii="Arial" w:cs="Arial" w:eastAsia="Arial" w:hAnsi="Arial"/>
                <w:sz w:val="12"/>
                <w:szCs w:val="12"/>
                <w:color w:val="0000FF"/>
              </w:rPr>
            </w:pPr>
            <w:hyperlink r:id="rId80">
              <w:r>
                <w:rPr>
                  <w:rFonts w:ascii="Arial" w:cs="Arial" w:eastAsia="Arial" w:hAnsi="Arial"/>
                  <w:sz w:val="12"/>
                  <w:szCs w:val="12"/>
                  <w:color w:val="0000FF"/>
                </w:rPr>
                <w:t>Eighth Amended and Restated Bylaws of LPL Financial Holdings Inc. (incorporated by reference to the Form 10-Q filed on August 3, 2026, File No. 001-34963).</w:t>
              </w:r>
            </w:hyperlink>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22.1</w:t>
            </w:r>
          </w:p>
        </w:tc>
        <w:tc>
          <w:tcPr>
            <w:tcW w:w="8620" w:type="dxa"/>
            <w:vAlign w:val="bottom"/>
          </w:tcPr>
          <w:p>
            <w:pPr>
              <w:ind w:left="100"/>
              <w:spacing w:after="0"/>
              <w:rPr>
                <w:sz w:val="20"/>
                <w:szCs w:val="20"/>
                <w:color w:val="auto"/>
              </w:rPr>
            </w:pPr>
            <w:r>
              <w:rPr>
                <w:rFonts w:ascii="Arial" w:cs="Arial" w:eastAsia="Arial" w:hAnsi="Arial"/>
                <w:sz w:val="12"/>
                <w:szCs w:val="12"/>
                <w:color w:val="0000FF"/>
              </w:rPr>
              <w:t>List of Subsidiary Guarantors and Issuers of Guaranteed Securities.*</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31.1</w:t>
            </w:r>
          </w:p>
        </w:tc>
        <w:tc>
          <w:tcPr>
            <w:tcW w:w="8620" w:type="dxa"/>
            <w:vAlign w:val="bottom"/>
          </w:tcPr>
          <w:p>
            <w:pPr>
              <w:ind w:left="100"/>
              <w:spacing w:after="0"/>
              <w:rPr>
                <w:sz w:val="20"/>
                <w:szCs w:val="20"/>
                <w:color w:val="auto"/>
              </w:rPr>
            </w:pPr>
            <w:r>
              <w:rPr>
                <w:rFonts w:ascii="Arial" w:cs="Arial" w:eastAsia="Arial" w:hAnsi="Arial"/>
                <w:sz w:val="12"/>
                <w:szCs w:val="12"/>
                <w:color w:val="0000FF"/>
              </w:rPr>
              <w:t>Certification of the Chief Executive Officer pursuant to Rule 13a-14(a).*</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31.2</w:t>
            </w:r>
          </w:p>
        </w:tc>
        <w:tc>
          <w:tcPr>
            <w:tcW w:w="8620" w:type="dxa"/>
            <w:vAlign w:val="bottom"/>
          </w:tcPr>
          <w:p>
            <w:pPr>
              <w:ind w:left="100"/>
              <w:spacing w:after="0"/>
              <w:rPr>
                <w:sz w:val="20"/>
                <w:szCs w:val="20"/>
                <w:color w:val="auto"/>
              </w:rPr>
            </w:pPr>
            <w:r>
              <w:rPr>
                <w:rFonts w:ascii="Arial" w:cs="Arial" w:eastAsia="Arial" w:hAnsi="Arial"/>
                <w:sz w:val="12"/>
                <w:szCs w:val="12"/>
                <w:color w:val="0000FF"/>
              </w:rPr>
              <w:t>Certification of the Chief Financial Officer pursuant to Rule 13a-14(a).*</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32.1</w:t>
            </w:r>
          </w:p>
        </w:tc>
        <w:tc>
          <w:tcPr>
            <w:tcW w:w="8620" w:type="dxa"/>
            <w:vAlign w:val="bottom"/>
          </w:tcPr>
          <w:p>
            <w:pPr>
              <w:ind w:left="100"/>
              <w:spacing w:after="0"/>
              <w:rPr>
                <w:sz w:val="20"/>
                <w:szCs w:val="20"/>
                <w:color w:val="auto"/>
              </w:rPr>
            </w:pPr>
            <w:r>
              <w:rPr>
                <w:rFonts w:ascii="Arial" w:cs="Arial" w:eastAsia="Arial" w:hAnsi="Arial"/>
                <w:sz w:val="12"/>
                <w:szCs w:val="12"/>
                <w:color w:val="0000FF"/>
              </w:rPr>
              <w:t>Certification of the Chief Executive Officer pursuant to 18 U.S.C. Section 1350, as adopted pursuant to Section 906 of the Sarbanes-Oxley Act of 2002.**</w:t>
            </w:r>
          </w:p>
        </w:tc>
      </w:tr>
      <w:tr>
        <w:trPr>
          <w:trHeight w:val="153"/>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32.2</w:t>
            </w:r>
          </w:p>
        </w:tc>
        <w:tc>
          <w:tcPr>
            <w:tcW w:w="8620" w:type="dxa"/>
            <w:vAlign w:val="bottom"/>
          </w:tcPr>
          <w:p>
            <w:pPr>
              <w:ind w:left="100"/>
              <w:spacing w:after="0"/>
              <w:rPr>
                <w:sz w:val="20"/>
                <w:szCs w:val="20"/>
                <w:color w:val="auto"/>
              </w:rPr>
            </w:pPr>
            <w:r>
              <w:rPr>
                <w:rFonts w:ascii="Arial" w:cs="Arial" w:eastAsia="Arial" w:hAnsi="Arial"/>
                <w:sz w:val="12"/>
                <w:szCs w:val="12"/>
                <w:color w:val="0000FF"/>
              </w:rPr>
              <w:t>Certification of the Chief Financial Officer pursuant to 18 U.S.C. Section 1350, as adopted pursuant to Section 906 of the Sarbanes-Oxley Act of 2002.**</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101.SCH</w:t>
            </w:r>
          </w:p>
        </w:tc>
        <w:tc>
          <w:tcPr>
            <w:tcW w:w="8620" w:type="dxa"/>
            <w:vAlign w:val="bottom"/>
          </w:tcPr>
          <w:p>
            <w:pPr>
              <w:ind w:left="100"/>
              <w:spacing w:after="0"/>
              <w:rPr>
                <w:sz w:val="20"/>
                <w:szCs w:val="20"/>
                <w:color w:val="auto"/>
              </w:rPr>
            </w:pPr>
            <w:r>
              <w:rPr>
                <w:rFonts w:ascii="Arial" w:cs="Arial" w:eastAsia="Arial" w:hAnsi="Arial"/>
                <w:sz w:val="12"/>
                <w:szCs w:val="12"/>
                <w:color w:val="auto"/>
              </w:rPr>
              <w:t>Inline XBRL Taxonomy Extension Schema*</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101.CAL</w:t>
            </w:r>
          </w:p>
        </w:tc>
        <w:tc>
          <w:tcPr>
            <w:tcW w:w="8620" w:type="dxa"/>
            <w:vAlign w:val="bottom"/>
          </w:tcPr>
          <w:p>
            <w:pPr>
              <w:ind w:left="100"/>
              <w:spacing w:after="0"/>
              <w:rPr>
                <w:sz w:val="20"/>
                <w:szCs w:val="20"/>
                <w:color w:val="auto"/>
              </w:rPr>
            </w:pPr>
            <w:r>
              <w:rPr>
                <w:rFonts w:ascii="Arial" w:cs="Arial" w:eastAsia="Arial" w:hAnsi="Arial"/>
                <w:sz w:val="12"/>
                <w:szCs w:val="12"/>
                <w:color w:val="auto"/>
              </w:rPr>
              <w:t>Inline XBRL Taxonomy Extension Calculation*</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101.LAB</w:t>
            </w:r>
          </w:p>
        </w:tc>
        <w:tc>
          <w:tcPr>
            <w:tcW w:w="8620" w:type="dxa"/>
            <w:vAlign w:val="bottom"/>
          </w:tcPr>
          <w:p>
            <w:pPr>
              <w:ind w:left="100"/>
              <w:spacing w:after="0"/>
              <w:rPr>
                <w:sz w:val="20"/>
                <w:szCs w:val="20"/>
                <w:color w:val="auto"/>
              </w:rPr>
            </w:pPr>
            <w:r>
              <w:rPr>
                <w:rFonts w:ascii="Arial" w:cs="Arial" w:eastAsia="Arial" w:hAnsi="Arial"/>
                <w:sz w:val="12"/>
                <w:szCs w:val="12"/>
                <w:color w:val="auto"/>
              </w:rPr>
              <w:t>Inline XBRL Taxonomy Extension Label*</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101.PRE</w:t>
            </w:r>
          </w:p>
        </w:tc>
        <w:tc>
          <w:tcPr>
            <w:tcW w:w="8620" w:type="dxa"/>
            <w:vAlign w:val="bottom"/>
          </w:tcPr>
          <w:p>
            <w:pPr>
              <w:ind w:left="100"/>
              <w:spacing w:after="0"/>
              <w:rPr>
                <w:sz w:val="20"/>
                <w:szCs w:val="20"/>
                <w:color w:val="auto"/>
              </w:rPr>
            </w:pPr>
            <w:r>
              <w:rPr>
                <w:rFonts w:ascii="Arial" w:cs="Arial" w:eastAsia="Arial" w:hAnsi="Arial"/>
                <w:sz w:val="12"/>
                <w:szCs w:val="12"/>
                <w:color w:val="auto"/>
              </w:rPr>
              <w:t>Inline XBRL Taxonomy Extension Presentation*</w:t>
            </w:r>
          </w:p>
        </w:tc>
      </w:tr>
      <w:tr>
        <w:trPr>
          <w:trHeight w:val="153"/>
        </w:trPr>
        <w:tc>
          <w:tcPr>
            <w:tcW w:w="1100" w:type="dxa"/>
            <w:vAlign w:val="bottom"/>
          </w:tcPr>
          <w:p>
            <w:pPr>
              <w:jc w:val="right"/>
              <w:ind w:right="60"/>
              <w:spacing w:after="0"/>
              <w:rPr>
                <w:sz w:val="20"/>
                <w:szCs w:val="20"/>
                <w:color w:val="auto"/>
              </w:rPr>
            </w:pPr>
            <w:r>
              <w:rPr>
                <w:rFonts w:ascii="Arial" w:cs="Arial" w:eastAsia="Arial" w:hAnsi="Arial"/>
                <w:sz w:val="12"/>
                <w:szCs w:val="12"/>
                <w:color w:val="auto"/>
              </w:rPr>
              <w:t>101.DEF</w:t>
            </w:r>
          </w:p>
        </w:tc>
        <w:tc>
          <w:tcPr>
            <w:tcW w:w="8620" w:type="dxa"/>
            <w:vAlign w:val="bottom"/>
          </w:tcPr>
          <w:p>
            <w:pPr>
              <w:ind w:left="100"/>
              <w:spacing w:after="0"/>
              <w:rPr>
                <w:sz w:val="20"/>
                <w:szCs w:val="20"/>
                <w:color w:val="auto"/>
              </w:rPr>
            </w:pPr>
            <w:r>
              <w:rPr>
                <w:rFonts w:ascii="Arial" w:cs="Arial" w:eastAsia="Arial" w:hAnsi="Arial"/>
                <w:sz w:val="12"/>
                <w:szCs w:val="12"/>
                <w:color w:val="auto"/>
              </w:rPr>
              <w:t>Inline XBRL Taxonomy Extension Definition*</w:t>
            </w:r>
          </w:p>
        </w:tc>
      </w:tr>
      <w:tr>
        <w:trPr>
          <w:trHeight w:val="159"/>
        </w:trPr>
        <w:tc>
          <w:tcPr>
            <w:tcW w:w="1100" w:type="dxa"/>
            <w:vAlign w:val="bottom"/>
          </w:tcPr>
          <w:p>
            <w:pPr>
              <w:jc w:val="right"/>
              <w:ind w:right="100"/>
              <w:spacing w:after="0"/>
              <w:rPr>
                <w:sz w:val="20"/>
                <w:szCs w:val="20"/>
                <w:color w:val="auto"/>
              </w:rPr>
            </w:pPr>
            <w:r>
              <w:rPr>
                <w:rFonts w:ascii="Arial" w:cs="Arial" w:eastAsia="Arial" w:hAnsi="Arial"/>
                <w:sz w:val="12"/>
                <w:szCs w:val="12"/>
                <w:color w:val="auto"/>
              </w:rPr>
              <w:t>104</w:t>
            </w:r>
          </w:p>
        </w:tc>
        <w:tc>
          <w:tcPr>
            <w:tcW w:w="8620" w:type="dxa"/>
            <w:vAlign w:val="bottom"/>
          </w:tcPr>
          <w:p>
            <w:pPr>
              <w:ind w:left="100"/>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r>
    </w:tbl>
    <w:p>
      <w:pPr>
        <w:spacing w:after="0" w:line="53"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w:t>
      </w:r>
    </w:p>
    <w:p>
      <w:pPr>
        <w:spacing w:after="0" w:line="86" w:lineRule="exact"/>
        <w:rPr>
          <w:sz w:val="20"/>
          <w:szCs w:val="20"/>
          <w:color w:val="auto"/>
        </w:rPr>
      </w:pPr>
    </w:p>
    <w:p>
      <w:pPr>
        <w:ind w:left="1368" w:hanging="293"/>
        <w:spacing w:after="0"/>
        <w:tabs>
          <w:tab w:leader="none" w:pos="1368" w:val="left"/>
        </w:tabs>
        <w:numPr>
          <w:ilvl w:val="0"/>
          <w:numId w:val="37"/>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21" w:lineRule="exact"/>
        <w:rPr>
          <w:sz w:val="20"/>
          <w:szCs w:val="20"/>
          <w:color w:val="auto"/>
        </w:rPr>
      </w:pPr>
    </w:p>
    <w:p>
      <w:pPr>
        <w:ind w:left="1368" w:hanging="339"/>
        <w:spacing w:after="0"/>
        <w:tabs>
          <w:tab w:leader="none" w:pos="13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tbl>
      <w:tblPr>
        <w:tblLayout w:type="fixed"/>
        <w:tblInd w:w="360" w:type="dxa"/>
        <w:tblCellMar>
          <w:top w:w="0" w:type="dxa"/>
          <w:left w:w="0" w:type="dxa"/>
          <w:bottom w:w="0" w:type="dxa"/>
          <w:right w:w="0" w:type="dxa"/>
        </w:tblCellMar>
      </w:tblPr>
      <w:tr>
        <w:trPr>
          <w:trHeight w:val="165"/>
        </w:trPr>
        <w:tc>
          <w:tcPr>
            <w:tcW w:w="3020" w:type="dxa"/>
            <w:vAlign w:val="bottom"/>
          </w:tcPr>
          <w:p>
            <w:pPr>
              <w:spacing w:after="0"/>
              <w:rPr>
                <w:sz w:val="14"/>
                <w:szCs w:val="14"/>
                <w:color w:val="auto"/>
              </w:rPr>
            </w:pPr>
          </w:p>
        </w:tc>
        <w:tc>
          <w:tcPr>
            <w:tcW w:w="5400" w:type="dxa"/>
            <w:vAlign w:val="bottom"/>
            <w:gridSpan w:val="3"/>
          </w:tcPr>
          <w:p>
            <w:pPr>
              <w:ind w:left="1800"/>
              <w:spacing w:after="0"/>
              <w:rPr>
                <w:sz w:val="20"/>
                <w:szCs w:val="20"/>
                <w:color w:val="auto"/>
              </w:rPr>
            </w:pPr>
            <w:r>
              <w:rPr>
                <w:rFonts w:ascii="Arial" w:cs="Arial" w:eastAsia="Arial" w:hAnsi="Arial"/>
                <w:sz w:val="12"/>
                <w:szCs w:val="12"/>
                <w:b w:val="1"/>
                <w:bCs w:val="1"/>
                <w:color w:val="auto"/>
              </w:rPr>
              <w:t>LPL Financial Holdings Inc.</w:t>
            </w:r>
          </w:p>
        </w:tc>
      </w:tr>
      <w:tr>
        <w:trPr>
          <w:trHeight w:val="271"/>
        </w:trPr>
        <w:tc>
          <w:tcPr>
            <w:tcW w:w="3020" w:type="dxa"/>
            <w:vAlign w:val="bottom"/>
          </w:tcPr>
          <w:p>
            <w:pPr>
              <w:spacing w:after="0"/>
              <w:rPr>
                <w:sz w:val="20"/>
                <w:szCs w:val="20"/>
                <w:color w:val="auto"/>
              </w:rPr>
            </w:pPr>
            <w:r>
              <w:rPr>
                <w:rFonts w:ascii="Arial" w:cs="Arial" w:eastAsia="Arial" w:hAnsi="Arial"/>
                <w:sz w:val="12"/>
                <w:szCs w:val="12"/>
                <w:color w:val="auto"/>
              </w:rPr>
              <w:t>Date: October 29, 2026</w:t>
            </w:r>
          </w:p>
        </w:tc>
        <w:tc>
          <w:tcPr>
            <w:tcW w:w="2080" w:type="dxa"/>
            <w:vAlign w:val="bottom"/>
          </w:tcPr>
          <w:p>
            <w:pPr>
              <w:ind w:left="1800"/>
              <w:spacing w:after="0"/>
              <w:rPr>
                <w:sz w:val="20"/>
                <w:szCs w:val="20"/>
                <w:color w:val="auto"/>
              </w:rPr>
            </w:pPr>
            <w:r>
              <w:rPr>
                <w:rFonts w:ascii="Arial" w:cs="Arial" w:eastAsia="Arial" w:hAnsi="Arial"/>
                <w:sz w:val="12"/>
                <w:szCs w:val="12"/>
                <w:color w:val="auto"/>
              </w:rPr>
              <w:t>By:</w:t>
            </w:r>
          </w:p>
        </w:tc>
        <w:tc>
          <w:tcPr>
            <w:tcW w:w="160" w:type="dxa"/>
            <w:vAlign w:val="bottom"/>
          </w:tcPr>
          <w:p>
            <w:pPr>
              <w:spacing w:after="0"/>
              <w:rPr>
                <w:sz w:val="23"/>
                <w:szCs w:val="23"/>
                <w:color w:val="auto"/>
              </w:rPr>
            </w:pP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RICHARD STEINMEIER</w:t>
            </w:r>
          </w:p>
        </w:tc>
      </w:tr>
      <w:tr>
        <w:trPr>
          <w:trHeight w:val="138"/>
        </w:trPr>
        <w:tc>
          <w:tcPr>
            <w:tcW w:w="3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Richard Steinmeier</w:t>
            </w:r>
          </w:p>
        </w:tc>
      </w:tr>
      <w:tr>
        <w:trPr>
          <w:trHeight w:val="159"/>
        </w:trPr>
        <w:tc>
          <w:tcPr>
            <w:tcW w:w="3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Chief Executive Officer</w:t>
            </w:r>
          </w:p>
        </w:tc>
      </w:tr>
      <w:tr>
        <w:trPr>
          <w:trHeight w:val="187"/>
        </w:trPr>
        <w:tc>
          <w:tcPr>
            <w:tcW w:w="3020" w:type="dxa"/>
            <w:vAlign w:val="bottom"/>
          </w:tcPr>
          <w:p>
            <w:pPr>
              <w:spacing w:after="0"/>
              <w:rPr>
                <w:sz w:val="20"/>
                <w:szCs w:val="20"/>
                <w:color w:val="auto"/>
              </w:rPr>
            </w:pPr>
            <w:r>
              <w:rPr>
                <w:rFonts w:ascii="Arial" w:cs="Arial" w:eastAsia="Arial" w:hAnsi="Arial"/>
                <w:sz w:val="12"/>
                <w:szCs w:val="12"/>
                <w:color w:val="auto"/>
              </w:rPr>
              <w:t>Date: October 29, 2026</w:t>
            </w:r>
          </w:p>
        </w:tc>
        <w:tc>
          <w:tcPr>
            <w:tcW w:w="2080" w:type="dxa"/>
            <w:vAlign w:val="bottom"/>
          </w:tcPr>
          <w:p>
            <w:pPr>
              <w:ind w:left="1800"/>
              <w:spacing w:after="0"/>
              <w:rPr>
                <w:sz w:val="20"/>
                <w:szCs w:val="20"/>
                <w:color w:val="auto"/>
              </w:rPr>
            </w:pPr>
            <w:r>
              <w:rPr>
                <w:rFonts w:ascii="Arial" w:cs="Arial" w:eastAsia="Arial" w:hAnsi="Arial"/>
                <w:sz w:val="12"/>
                <w:szCs w:val="12"/>
                <w:color w:val="auto"/>
              </w:rPr>
              <w:t>By:</w:t>
            </w:r>
          </w:p>
        </w:tc>
        <w:tc>
          <w:tcPr>
            <w:tcW w:w="160" w:type="dxa"/>
            <w:vAlign w:val="bottom"/>
          </w:tcPr>
          <w:p>
            <w:pPr>
              <w:spacing w:after="0"/>
              <w:rPr>
                <w:sz w:val="16"/>
                <w:szCs w:val="16"/>
                <w:color w:val="auto"/>
              </w:rPr>
            </w:pP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MATTHEW AUDETTE</w:t>
            </w:r>
          </w:p>
        </w:tc>
      </w:tr>
      <w:tr>
        <w:trPr>
          <w:trHeight w:val="138"/>
        </w:trPr>
        <w:tc>
          <w:tcPr>
            <w:tcW w:w="3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Matthew Audette</w:t>
            </w:r>
          </w:p>
        </w:tc>
      </w:tr>
      <w:tr>
        <w:trPr>
          <w:trHeight w:val="159"/>
        </w:trPr>
        <w:tc>
          <w:tcPr>
            <w:tcW w:w="3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President and Chief Financial Officer</w:t>
            </w:r>
          </w:p>
        </w:tc>
      </w:tr>
      <w:tr>
        <w:trPr>
          <w:trHeight w:val="331"/>
        </w:trPr>
        <w:tc>
          <w:tcPr>
            <w:tcW w:w="3020" w:type="dxa"/>
            <w:vAlign w:val="bottom"/>
          </w:tcPr>
          <w:p>
            <w:pPr>
              <w:spacing w:after="0"/>
              <w:rPr>
                <w:sz w:val="20"/>
                <w:szCs w:val="20"/>
                <w:color w:val="auto"/>
              </w:rPr>
            </w:pPr>
            <w:r>
              <w:rPr>
                <w:rFonts w:ascii="Arial" w:cs="Arial" w:eastAsia="Arial" w:hAnsi="Arial"/>
                <w:sz w:val="12"/>
                <w:szCs w:val="12"/>
                <w:color w:val="auto"/>
              </w:rPr>
              <w:t>Date: October 29, 2026</w:t>
            </w:r>
          </w:p>
        </w:tc>
        <w:tc>
          <w:tcPr>
            <w:tcW w:w="2080" w:type="dxa"/>
            <w:vAlign w:val="bottom"/>
          </w:tcPr>
          <w:p>
            <w:pPr>
              <w:ind w:left="1800"/>
              <w:spacing w:after="0"/>
              <w:rPr>
                <w:sz w:val="20"/>
                <w:szCs w:val="20"/>
                <w:color w:val="auto"/>
              </w:rPr>
            </w:pPr>
            <w:r>
              <w:rPr>
                <w:rFonts w:ascii="Arial" w:cs="Arial" w:eastAsia="Arial" w:hAnsi="Arial"/>
                <w:sz w:val="12"/>
                <w:szCs w:val="12"/>
                <w:color w:val="auto"/>
              </w:rPr>
              <w:t>By:</w:t>
            </w:r>
          </w:p>
        </w:tc>
        <w:tc>
          <w:tcPr>
            <w:tcW w:w="160" w:type="dxa"/>
            <w:vAlign w:val="bottom"/>
          </w:tcPr>
          <w:p>
            <w:pPr>
              <w:spacing w:after="0"/>
              <w:rPr>
                <w:sz w:val="24"/>
                <w:szCs w:val="24"/>
                <w:color w:val="auto"/>
              </w:rPr>
            </w:pP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KATHARINE REEPING</w:t>
            </w:r>
          </w:p>
        </w:tc>
      </w:tr>
      <w:tr>
        <w:trPr>
          <w:trHeight w:val="138"/>
        </w:trPr>
        <w:tc>
          <w:tcPr>
            <w:tcW w:w="3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Katharine Reeping</w:t>
            </w:r>
          </w:p>
        </w:tc>
      </w:tr>
      <w:tr>
        <w:trPr>
          <w:trHeight w:val="159"/>
        </w:trPr>
        <w:tc>
          <w:tcPr>
            <w:tcW w:w="3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60" w:type="dxa"/>
            <w:vAlign w:val="bottom"/>
          </w:tcPr>
          <w:p>
            <w:pPr>
              <w:ind w:left="20"/>
              <w:spacing w:after="0"/>
              <w:rPr>
                <w:sz w:val="20"/>
                <w:szCs w:val="20"/>
                <w:color w:val="auto"/>
              </w:rPr>
            </w:pPr>
            <w:r>
              <w:rPr>
                <w:rFonts w:ascii="Arial" w:cs="Arial" w:eastAsia="Arial" w:hAnsi="Arial"/>
                <w:sz w:val="12"/>
                <w:szCs w:val="12"/>
                <w:color w:val="auto"/>
              </w:rPr>
              <w:t>Chief Accounting Officer</w:t>
            </w:r>
          </w:p>
        </w:tc>
      </w:tr>
      <w:tr>
        <w:trPr>
          <w:trHeight w:val="765"/>
        </w:trPr>
        <w:tc>
          <w:tcPr>
            <w:tcW w:w="3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20" w:type="dxa"/>
            <w:vAlign w:val="bottom"/>
            <w:gridSpan w:val="2"/>
          </w:tcPr>
          <w:p>
            <w:pPr>
              <w:jc w:val="right"/>
              <w:ind w:right="3000"/>
              <w:spacing w:after="0"/>
              <w:rPr>
                <w:sz w:val="20"/>
                <w:szCs w:val="20"/>
                <w:color w:val="auto"/>
              </w:rPr>
            </w:pPr>
            <w:r>
              <w:rPr>
                <w:rFonts w:ascii="Arial" w:cs="Arial" w:eastAsia="Arial" w:hAnsi="Arial"/>
                <w:sz w:val="12"/>
                <w:szCs w:val="12"/>
                <w:color w:val="auto"/>
              </w:rPr>
              <w:t>53</w:t>
            </w:r>
          </w:p>
        </w:tc>
      </w:tr>
    </w:tbl>
    <w:p>
      <w:pPr>
        <w:sectPr>
          <w:pgSz w:w="11900" w:h="16838" w:orient="portrait"/>
          <w:cols w:equalWidth="0" w:num="1">
            <w:col w:w="10440"/>
          </w:cols>
          <w:pgMar w:left="300" w:top="128" w:right="11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3"/>
          <w:szCs w:val="13"/>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List of Subsidiary Guarantors and Issuers of Guaranteed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September 30, 2026, LPL Financial Holdings Inc., a Delaware corporation, has fully and unconditionally guaranteed the 5.700% Senior Notes due 2027, the 4.900% and 6.750% Senior Notes due 2028, the</w:t>
      </w:r>
    </w:p>
    <w:p>
      <w:pPr>
        <w:spacing w:after="0" w:line="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3"/>
          <w:szCs w:val="13"/>
          <w:color w:val="auto"/>
        </w:rPr>
        <w:t>5.150% and 5.200% Senior Notes due 2030, the 6.000% Senior Notes due 2034 and the 5.650% and 5.750% Senior Notes due 2035 issued by LPL Holdings, Inc., a Massachusetts corporation, pursuant to offerings registered under the Securities Act of 1933, as amended.</w:t>
      </w:r>
    </w:p>
    <w:p>
      <w:pPr>
        <w:sectPr>
          <w:pgSz w:w="11900" w:h="16838" w:orient="portrait"/>
          <w:cols w:equalWidth="0" w:num="1">
            <w:col w:w="11300"/>
          </w:cols>
          <w:pgMar w:left="300" w:top="114" w:right="299" w:bottom="1440" w:gutter="0" w:footer="0" w:header="0"/>
        </w:sectPr>
      </w:pPr>
    </w:p>
    <w:bookmarkStart w:id="59" w:name="page60"/>
    <w:bookmarkEnd w:id="59"/>
    <w:p>
      <w:pPr>
        <w:jc w:val="right"/>
        <w:spacing w:after="0"/>
        <w:rPr>
          <w:sz w:val="20"/>
          <w:szCs w:val="20"/>
          <w:color w:val="auto"/>
        </w:rPr>
      </w:pPr>
      <w:r>
        <w:rPr>
          <w:rFonts w:ascii="Arial" w:cs="Arial" w:eastAsia="Arial" w:hAnsi="Arial"/>
          <w:sz w:val="12"/>
          <w:szCs w:val="12"/>
          <w:b w:val="1"/>
          <w:bCs w:val="1"/>
          <w:color w:val="auto"/>
        </w:rPr>
        <w:t>Exhibit 31.1</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PRINCIPAL EXECUTIVE OFFICER</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color w:val="auto"/>
        </w:rPr>
        <w:t>I, Richard Steinmeier, certify that:</w:t>
      </w:r>
    </w:p>
    <w:p>
      <w:pPr>
        <w:spacing w:after="0" w:line="78" w:lineRule="exact"/>
        <w:rPr>
          <w:sz w:val="20"/>
          <w:szCs w:val="20"/>
          <w:color w:val="auto"/>
        </w:rPr>
      </w:pPr>
    </w:p>
    <w:p>
      <w:pPr>
        <w:ind w:left="428" w:hanging="428"/>
        <w:spacing w:after="0"/>
        <w:tabs>
          <w:tab w:leader="none" w:pos="42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LPL Financial Holdings Inc.;</w:t>
      </w:r>
    </w:p>
    <w:p>
      <w:pPr>
        <w:spacing w:after="0" w:line="78" w:lineRule="exact"/>
        <w:rPr>
          <w:rFonts w:ascii="Arial" w:cs="Arial" w:eastAsia="Arial" w:hAnsi="Arial"/>
          <w:sz w:val="12"/>
          <w:szCs w:val="12"/>
          <w:color w:val="auto"/>
        </w:rPr>
      </w:pPr>
    </w:p>
    <w:p>
      <w:pPr>
        <w:ind w:left="428" w:right="280" w:hanging="428"/>
        <w:spacing w:after="0" w:line="286" w:lineRule="auto"/>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2"/>
          <w:szCs w:val="12"/>
          <w:color w:val="auto"/>
        </w:rPr>
      </w:pPr>
    </w:p>
    <w:p>
      <w:pPr>
        <w:ind w:left="428" w:right="120" w:hanging="428"/>
        <w:spacing w:after="0" w:line="286" w:lineRule="auto"/>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2"/>
          <w:szCs w:val="12"/>
          <w:color w:val="auto"/>
        </w:rPr>
      </w:pPr>
    </w:p>
    <w:p>
      <w:pPr>
        <w:ind w:left="428" w:right="200" w:hanging="428"/>
        <w:spacing w:after="0" w:line="286" w:lineRule="auto"/>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 w:lineRule="exact"/>
        <w:rPr>
          <w:rFonts w:ascii="Arial" w:cs="Arial" w:eastAsia="Arial" w:hAnsi="Arial"/>
          <w:sz w:val="12"/>
          <w:szCs w:val="12"/>
          <w:color w:val="auto"/>
        </w:rPr>
      </w:pPr>
    </w:p>
    <w:p>
      <w:pPr>
        <w:ind w:left="868" w:right="340" w:hanging="436"/>
        <w:spacing w:after="0" w:line="286" w:lineRule="auto"/>
        <w:tabs>
          <w:tab w:leader="none" w:pos="860" w:val="left"/>
        </w:tabs>
        <w:numPr>
          <w:ilvl w:val="1"/>
          <w:numId w:val="3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Arial" w:cs="Arial" w:eastAsia="Arial" w:hAnsi="Arial"/>
          <w:sz w:val="12"/>
          <w:szCs w:val="12"/>
          <w:color w:val="auto"/>
        </w:rPr>
      </w:pPr>
    </w:p>
    <w:p>
      <w:pPr>
        <w:ind w:left="868" w:right="80" w:hanging="436"/>
        <w:spacing w:after="0" w:line="286" w:lineRule="auto"/>
        <w:tabs>
          <w:tab w:leader="none" w:pos="860" w:val="left"/>
        </w:tabs>
        <w:numPr>
          <w:ilvl w:val="1"/>
          <w:numId w:val="3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2"/>
          <w:szCs w:val="12"/>
          <w:color w:val="auto"/>
        </w:rPr>
      </w:pPr>
    </w:p>
    <w:p>
      <w:pPr>
        <w:ind w:left="868" w:right="100" w:hanging="436"/>
        <w:spacing w:after="0" w:line="286" w:lineRule="auto"/>
        <w:tabs>
          <w:tab w:leader="none" w:pos="862" w:val="left"/>
        </w:tabs>
        <w:numPr>
          <w:ilvl w:val="1"/>
          <w:numId w:val="3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2"/>
          <w:szCs w:val="12"/>
          <w:color w:val="auto"/>
        </w:rPr>
      </w:pPr>
    </w:p>
    <w:p>
      <w:pPr>
        <w:ind w:left="868" w:right="40" w:hanging="436"/>
        <w:spacing w:after="0" w:line="286" w:lineRule="auto"/>
        <w:tabs>
          <w:tab w:leader="none" w:pos="860" w:val="left"/>
        </w:tabs>
        <w:numPr>
          <w:ilvl w:val="1"/>
          <w:numId w:val="3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Arial" w:cs="Arial" w:eastAsia="Arial" w:hAnsi="Arial"/>
          <w:sz w:val="12"/>
          <w:szCs w:val="12"/>
          <w:color w:val="auto"/>
        </w:rPr>
      </w:pPr>
    </w:p>
    <w:p>
      <w:pPr>
        <w:ind w:left="428" w:right="460" w:hanging="428"/>
        <w:spacing w:after="0" w:line="286" w:lineRule="auto"/>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2"/>
          <w:szCs w:val="12"/>
          <w:color w:val="auto"/>
        </w:rPr>
      </w:pPr>
    </w:p>
    <w:p>
      <w:pPr>
        <w:ind w:left="868" w:right="360" w:hanging="436"/>
        <w:spacing w:after="0" w:line="286" w:lineRule="auto"/>
        <w:tabs>
          <w:tab w:leader="none" w:pos="860" w:val="left"/>
        </w:tabs>
        <w:numPr>
          <w:ilvl w:val="1"/>
          <w:numId w:val="3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2"/>
          <w:szCs w:val="12"/>
          <w:color w:val="auto"/>
        </w:rPr>
      </w:pPr>
    </w:p>
    <w:p>
      <w:pPr>
        <w:ind w:left="848" w:hanging="416"/>
        <w:spacing w:after="0"/>
        <w:tabs>
          <w:tab w:leader="none" w:pos="848" w:val="left"/>
        </w:tabs>
        <w:numPr>
          <w:ilvl w:val="1"/>
          <w:numId w:val="3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October 29, 2026</w:t>
      </w:r>
    </w:p>
    <w:p>
      <w:pPr>
        <w:spacing w:after="0" w:line="105" w:lineRule="exact"/>
        <w:rPr>
          <w:sz w:val="20"/>
          <w:szCs w:val="20"/>
          <w:color w:val="auto"/>
        </w:rPr>
      </w:pPr>
    </w:p>
    <w:p>
      <w:pPr>
        <w:ind w:left="8388"/>
        <w:spacing w:after="0"/>
        <w:rPr>
          <w:sz w:val="20"/>
          <w:szCs w:val="20"/>
          <w:color w:val="auto"/>
        </w:rPr>
      </w:pPr>
      <w:r>
        <w:rPr>
          <w:rFonts w:ascii="Arial" w:cs="Arial" w:eastAsia="Arial" w:hAnsi="Arial"/>
          <w:sz w:val="12"/>
          <w:szCs w:val="12"/>
          <w:color w:val="auto"/>
        </w:rPr>
        <w:t>/s/ 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17780</wp:posOffset>
            </wp:positionV>
            <wp:extent cx="13258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148" w:lineRule="exact"/>
        <w:rPr>
          <w:sz w:val="20"/>
          <w:szCs w:val="20"/>
          <w:color w:val="auto"/>
        </w:rPr>
      </w:pPr>
    </w:p>
    <w:p>
      <w:pPr>
        <w:ind w:left="8388"/>
        <w:spacing w:after="0"/>
        <w:rPr>
          <w:sz w:val="20"/>
          <w:szCs w:val="20"/>
          <w:color w:val="auto"/>
        </w:rPr>
      </w:pPr>
      <w:r>
        <w:rPr>
          <w:rFonts w:ascii="Arial" w:cs="Arial" w:eastAsia="Arial" w:hAnsi="Arial"/>
          <w:sz w:val="12"/>
          <w:szCs w:val="12"/>
          <w:color w:val="auto"/>
        </w:rPr>
        <w:t>Richard Steinmeier</w:t>
      </w:r>
    </w:p>
    <w:p>
      <w:pPr>
        <w:spacing w:after="0" w:line="44" w:lineRule="exact"/>
        <w:rPr>
          <w:sz w:val="20"/>
          <w:szCs w:val="20"/>
          <w:color w:val="auto"/>
        </w:rPr>
      </w:pPr>
    </w:p>
    <w:p>
      <w:pPr>
        <w:ind w:left="8388"/>
        <w:spacing w:after="0"/>
        <w:rPr>
          <w:sz w:val="20"/>
          <w:szCs w:val="20"/>
          <w:color w:val="auto"/>
        </w:rPr>
      </w:pPr>
      <w:r>
        <w:rPr>
          <w:rFonts w:ascii="Arial" w:cs="Arial" w:eastAsia="Arial" w:hAnsi="Arial"/>
          <w:sz w:val="12"/>
          <w:szCs w:val="12"/>
          <w:i w:val="1"/>
          <w:iCs w:val="1"/>
          <w:color w:val="auto"/>
        </w:rPr>
        <w:t>Chief Executive Officer</w:t>
      </w:r>
    </w:p>
    <w:p>
      <w:pPr>
        <w:spacing w:after="0" w:line="33" w:lineRule="exact"/>
        <w:rPr>
          <w:sz w:val="20"/>
          <w:szCs w:val="20"/>
          <w:color w:val="auto"/>
        </w:rPr>
      </w:pPr>
    </w:p>
    <w:p>
      <w:pPr>
        <w:ind w:left="8388"/>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308"/>
          </w:cols>
          <w:pgMar w:left="292" w:top="640" w:right="299" w:bottom="1440" w:gutter="0" w:footer="0" w:header="0"/>
        </w:sectPr>
      </w:pPr>
    </w:p>
    <w:bookmarkStart w:id="60" w:name="page61"/>
    <w:bookmarkEnd w:id="60"/>
    <w:p>
      <w:pPr>
        <w:jc w:val="right"/>
        <w:spacing w:after="0"/>
        <w:rPr>
          <w:sz w:val="20"/>
          <w:szCs w:val="20"/>
          <w:color w:val="auto"/>
        </w:rPr>
      </w:pPr>
      <w:r>
        <w:rPr>
          <w:rFonts w:ascii="Arial" w:cs="Arial" w:eastAsia="Arial" w:hAnsi="Arial"/>
          <w:sz w:val="12"/>
          <w:szCs w:val="12"/>
          <w:b w:val="1"/>
          <w:bCs w:val="1"/>
          <w:color w:val="auto"/>
        </w:rPr>
        <w:t>Exhibit 31.2</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PRINCIPAL FINANCIAL OFFICER</w:t>
      </w:r>
    </w:p>
    <w:p>
      <w:pPr>
        <w:spacing w:after="0" w:line="22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Matthew Audette, certify that:</w:t>
      </w:r>
    </w:p>
    <w:p>
      <w:pPr>
        <w:spacing w:after="0" w:line="78" w:lineRule="exact"/>
        <w:rPr>
          <w:sz w:val="20"/>
          <w:szCs w:val="20"/>
          <w:color w:val="auto"/>
        </w:rPr>
      </w:pPr>
    </w:p>
    <w:p>
      <w:pPr>
        <w:ind w:left="428" w:hanging="428"/>
        <w:spacing w:after="0"/>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LPL Financial Holdings Inc.;</w:t>
      </w:r>
    </w:p>
    <w:p>
      <w:pPr>
        <w:spacing w:after="0" w:line="78" w:lineRule="exact"/>
        <w:rPr>
          <w:rFonts w:ascii="Arial" w:cs="Arial" w:eastAsia="Arial" w:hAnsi="Arial"/>
          <w:sz w:val="12"/>
          <w:szCs w:val="12"/>
          <w:color w:val="auto"/>
        </w:rPr>
      </w:pPr>
    </w:p>
    <w:p>
      <w:pPr>
        <w:ind w:left="428" w:right="280" w:hanging="428"/>
        <w:spacing w:after="0" w:line="286" w:lineRule="auto"/>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Arial" w:cs="Arial" w:eastAsia="Arial" w:hAnsi="Arial"/>
          <w:sz w:val="12"/>
          <w:szCs w:val="12"/>
          <w:color w:val="auto"/>
        </w:rPr>
      </w:pPr>
    </w:p>
    <w:p>
      <w:pPr>
        <w:ind w:left="428" w:right="120" w:hanging="428"/>
        <w:spacing w:after="0" w:line="286" w:lineRule="auto"/>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Arial" w:cs="Arial" w:eastAsia="Arial" w:hAnsi="Arial"/>
          <w:sz w:val="12"/>
          <w:szCs w:val="12"/>
          <w:color w:val="auto"/>
        </w:rPr>
      </w:pPr>
    </w:p>
    <w:p>
      <w:pPr>
        <w:ind w:left="428" w:right="200" w:hanging="428"/>
        <w:spacing w:after="0" w:line="286" w:lineRule="auto"/>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 w:lineRule="exact"/>
        <w:rPr>
          <w:rFonts w:ascii="Arial" w:cs="Arial" w:eastAsia="Arial" w:hAnsi="Arial"/>
          <w:sz w:val="12"/>
          <w:szCs w:val="12"/>
          <w:color w:val="auto"/>
        </w:rPr>
      </w:pPr>
    </w:p>
    <w:p>
      <w:pPr>
        <w:ind w:left="868" w:right="340" w:hanging="436"/>
        <w:spacing w:after="0" w:line="286" w:lineRule="auto"/>
        <w:tabs>
          <w:tab w:leader="none" w:pos="860" w:val="left"/>
        </w:tabs>
        <w:numPr>
          <w:ilvl w:val="1"/>
          <w:numId w:val="4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 w:lineRule="exact"/>
        <w:rPr>
          <w:rFonts w:ascii="Arial" w:cs="Arial" w:eastAsia="Arial" w:hAnsi="Arial"/>
          <w:sz w:val="12"/>
          <w:szCs w:val="12"/>
          <w:color w:val="auto"/>
        </w:rPr>
      </w:pPr>
    </w:p>
    <w:p>
      <w:pPr>
        <w:ind w:left="868" w:right="80" w:hanging="436"/>
        <w:spacing w:after="0" w:line="286" w:lineRule="auto"/>
        <w:tabs>
          <w:tab w:leader="none" w:pos="860" w:val="left"/>
        </w:tabs>
        <w:numPr>
          <w:ilvl w:val="1"/>
          <w:numId w:val="4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2"/>
          <w:szCs w:val="12"/>
          <w:color w:val="auto"/>
        </w:rPr>
      </w:pPr>
    </w:p>
    <w:p>
      <w:pPr>
        <w:ind w:left="868" w:right="100" w:hanging="436"/>
        <w:spacing w:after="0" w:line="286" w:lineRule="auto"/>
        <w:tabs>
          <w:tab w:leader="none" w:pos="862" w:val="left"/>
        </w:tabs>
        <w:numPr>
          <w:ilvl w:val="1"/>
          <w:numId w:val="4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2"/>
          <w:szCs w:val="12"/>
          <w:color w:val="auto"/>
        </w:rPr>
      </w:pPr>
    </w:p>
    <w:p>
      <w:pPr>
        <w:ind w:left="868" w:right="40" w:hanging="436"/>
        <w:spacing w:after="0" w:line="286" w:lineRule="auto"/>
        <w:tabs>
          <w:tab w:leader="none" w:pos="860" w:val="left"/>
        </w:tabs>
        <w:numPr>
          <w:ilvl w:val="1"/>
          <w:numId w:val="4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rFonts w:ascii="Arial" w:cs="Arial" w:eastAsia="Arial" w:hAnsi="Arial"/>
          <w:sz w:val="12"/>
          <w:szCs w:val="12"/>
          <w:color w:val="auto"/>
        </w:rPr>
      </w:pPr>
    </w:p>
    <w:p>
      <w:pPr>
        <w:ind w:left="428" w:right="460" w:hanging="428"/>
        <w:spacing w:after="0" w:line="286" w:lineRule="auto"/>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2"/>
          <w:szCs w:val="12"/>
          <w:color w:val="auto"/>
        </w:rPr>
      </w:pPr>
    </w:p>
    <w:p>
      <w:pPr>
        <w:ind w:left="868" w:right="360" w:hanging="436"/>
        <w:spacing w:after="0" w:line="286" w:lineRule="auto"/>
        <w:tabs>
          <w:tab w:leader="none" w:pos="860" w:val="left"/>
        </w:tabs>
        <w:numPr>
          <w:ilvl w:val="1"/>
          <w:numId w:val="4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2"/>
          <w:szCs w:val="12"/>
          <w:color w:val="auto"/>
        </w:rPr>
      </w:pPr>
    </w:p>
    <w:p>
      <w:pPr>
        <w:ind w:left="848" w:hanging="416"/>
        <w:spacing w:after="0"/>
        <w:tabs>
          <w:tab w:leader="none" w:pos="848" w:val="left"/>
        </w:tabs>
        <w:numPr>
          <w:ilvl w:val="1"/>
          <w:numId w:val="4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October 29, 2026</w:t>
      </w:r>
    </w:p>
    <w:p>
      <w:pPr>
        <w:spacing w:after="0" w:line="42" w:lineRule="exact"/>
        <w:rPr>
          <w:sz w:val="20"/>
          <w:szCs w:val="20"/>
          <w:color w:val="auto"/>
        </w:rPr>
      </w:pPr>
    </w:p>
    <w:p>
      <w:pPr>
        <w:ind w:left="8348"/>
        <w:spacing w:after="0"/>
        <w:rPr>
          <w:sz w:val="20"/>
          <w:szCs w:val="20"/>
          <w:color w:val="auto"/>
        </w:rPr>
      </w:pPr>
      <w:r>
        <w:rPr>
          <w:rFonts w:ascii="Arial" w:cs="Arial" w:eastAsia="Arial" w:hAnsi="Arial"/>
          <w:sz w:val="12"/>
          <w:szCs w:val="12"/>
          <w:color w:val="auto"/>
        </w:rPr>
        <w:t>/s/ Matthew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17780</wp:posOffset>
            </wp:positionV>
            <wp:extent cx="13258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148" w:lineRule="exact"/>
        <w:rPr>
          <w:sz w:val="20"/>
          <w:szCs w:val="20"/>
          <w:color w:val="auto"/>
        </w:rPr>
      </w:pPr>
    </w:p>
    <w:p>
      <w:pPr>
        <w:ind w:left="8348"/>
        <w:spacing w:after="0"/>
        <w:rPr>
          <w:sz w:val="20"/>
          <w:szCs w:val="20"/>
          <w:color w:val="auto"/>
        </w:rPr>
      </w:pPr>
      <w:r>
        <w:rPr>
          <w:rFonts w:ascii="Arial" w:cs="Arial" w:eastAsia="Arial" w:hAnsi="Arial"/>
          <w:sz w:val="12"/>
          <w:szCs w:val="12"/>
          <w:color w:val="auto"/>
        </w:rPr>
        <w:t>Matthew Audette</w:t>
      </w:r>
    </w:p>
    <w:p>
      <w:pPr>
        <w:spacing w:after="0" w:line="24" w:lineRule="exact"/>
        <w:rPr>
          <w:sz w:val="20"/>
          <w:szCs w:val="20"/>
          <w:color w:val="auto"/>
        </w:rPr>
      </w:pPr>
    </w:p>
    <w:p>
      <w:pPr>
        <w:ind w:left="8348"/>
        <w:spacing w:after="0"/>
        <w:rPr>
          <w:sz w:val="20"/>
          <w:szCs w:val="20"/>
          <w:color w:val="auto"/>
        </w:rPr>
      </w:pPr>
      <w:r>
        <w:rPr>
          <w:rFonts w:ascii="Arial" w:cs="Arial" w:eastAsia="Arial" w:hAnsi="Arial"/>
          <w:sz w:val="12"/>
          <w:szCs w:val="12"/>
          <w:i w:val="1"/>
          <w:iCs w:val="1"/>
          <w:color w:val="auto"/>
        </w:rPr>
        <w:t>President and Chief Financial Officer</w:t>
      </w:r>
    </w:p>
    <w:p>
      <w:pPr>
        <w:ind w:left="8348"/>
        <w:spacing w:after="0"/>
        <w:rPr>
          <w:sz w:val="20"/>
          <w:szCs w:val="20"/>
          <w:color w:val="auto"/>
        </w:rPr>
      </w:pPr>
      <w:r>
        <w:rPr>
          <w:rFonts w:ascii="Arial" w:cs="Arial" w:eastAsia="Arial" w:hAnsi="Arial"/>
          <w:sz w:val="12"/>
          <w:szCs w:val="12"/>
          <w:i w:val="1"/>
          <w:iCs w:val="1"/>
          <w:color w:val="auto"/>
        </w:rPr>
        <w:t>(principal financial officer)</w:t>
      </w:r>
    </w:p>
    <w:p>
      <w:pPr>
        <w:sectPr>
          <w:pgSz w:w="11900" w:h="16838" w:orient="portrait"/>
          <w:cols w:equalWidth="0" w:num="1">
            <w:col w:w="11308"/>
          </w:cols>
          <w:pgMar w:left="292" w:top="640" w:right="299" w:bottom="1440" w:gutter="0" w:footer="0" w:header="0"/>
        </w:sectPr>
      </w:pPr>
    </w:p>
    <w:bookmarkStart w:id="61" w:name="page62"/>
    <w:bookmarkEnd w:id="61"/>
    <w:p>
      <w:pPr>
        <w:jc w:val="right"/>
        <w:spacing w:after="0"/>
        <w:rPr>
          <w:sz w:val="20"/>
          <w:szCs w:val="20"/>
          <w:color w:val="auto"/>
        </w:rPr>
      </w:pPr>
      <w:r>
        <w:rPr>
          <w:rFonts w:ascii="Arial" w:cs="Arial" w:eastAsia="Arial" w:hAnsi="Arial"/>
          <w:sz w:val="12"/>
          <w:szCs w:val="12"/>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connection with the Quarterly Report on Form 10-Q of LPL Financial Holdings Inc. (the “Company”) for the period ending September 30, 2026 as filed with the Securities and Exchange Commission (“SEC”)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on the date hereof (the “Report”), I, Richard Steinmeier, Chief Executive Officer of the Company, certify, pursuant to 18 U.S.C. 1350, as adopted pursuant to section 906 of the Sarbanes-Oxley Act of 2002, that:</w:t>
      </w:r>
    </w:p>
    <w:p>
      <w:pPr>
        <w:spacing w:after="0" w:line="66" w:lineRule="exact"/>
        <w:rPr>
          <w:sz w:val="20"/>
          <w:szCs w:val="20"/>
          <w:color w:val="auto"/>
        </w:rPr>
      </w:pPr>
    </w:p>
    <w:p>
      <w:pPr>
        <w:ind w:left="540" w:hanging="332"/>
        <w:spacing w:after="0"/>
        <w:tabs>
          <w:tab w:leader="none" w:pos="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78" w:lineRule="exact"/>
        <w:rPr>
          <w:rFonts w:ascii="Arial" w:cs="Arial" w:eastAsia="Arial" w:hAnsi="Arial"/>
          <w:sz w:val="12"/>
          <w:szCs w:val="12"/>
          <w:color w:val="auto"/>
        </w:rPr>
      </w:pPr>
    </w:p>
    <w:p>
      <w:pPr>
        <w:ind w:left="540" w:hanging="332"/>
        <w:spacing w:after="0"/>
        <w:tabs>
          <w:tab w:leader="none" w:pos="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 signed original of this written statement has been provided to the Company and will be retained by the Company and furnished to the SEC or its staff upon request.</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 October 29, 2026</w:t>
      </w:r>
    </w:p>
    <w:p>
      <w:pPr>
        <w:spacing w:after="0" w:line="267" w:lineRule="exact"/>
        <w:rPr>
          <w:sz w:val="20"/>
          <w:szCs w:val="20"/>
          <w:color w:val="auto"/>
        </w:rPr>
      </w:pPr>
    </w:p>
    <w:p>
      <w:pPr>
        <w:ind w:left="8340"/>
        <w:spacing w:after="0"/>
        <w:rPr>
          <w:sz w:val="20"/>
          <w:szCs w:val="20"/>
          <w:color w:val="auto"/>
        </w:rPr>
      </w:pPr>
      <w:r>
        <w:rPr>
          <w:rFonts w:ascii="Arial" w:cs="Arial" w:eastAsia="Arial" w:hAnsi="Arial"/>
          <w:sz w:val="12"/>
          <w:szCs w:val="12"/>
          <w:color w:val="auto"/>
        </w:rPr>
        <w:t>/s/ Richard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5292725</wp:posOffset>
            </wp:positionH>
            <wp:positionV relativeFrom="paragraph">
              <wp:posOffset>17780</wp:posOffset>
            </wp:positionV>
            <wp:extent cx="134302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343025" cy="5715"/>
                    </a:xfrm>
                    <a:prstGeom prst="rect">
                      <a:avLst/>
                    </a:prstGeom>
                    <a:noFill/>
                  </pic:spPr>
                </pic:pic>
              </a:graphicData>
            </a:graphic>
          </wp:anchor>
        </w:drawing>
      </w:r>
    </w:p>
    <w:p>
      <w:pPr>
        <w:spacing w:after="0" w:line="148" w:lineRule="exact"/>
        <w:rPr>
          <w:sz w:val="20"/>
          <w:szCs w:val="20"/>
          <w:color w:val="auto"/>
        </w:rPr>
      </w:pPr>
    </w:p>
    <w:p>
      <w:pPr>
        <w:ind w:left="8340"/>
        <w:spacing w:after="0"/>
        <w:rPr>
          <w:sz w:val="20"/>
          <w:szCs w:val="20"/>
          <w:color w:val="auto"/>
        </w:rPr>
      </w:pPr>
      <w:r>
        <w:rPr>
          <w:rFonts w:ascii="Arial" w:cs="Arial" w:eastAsia="Arial" w:hAnsi="Arial"/>
          <w:sz w:val="12"/>
          <w:szCs w:val="12"/>
          <w:color w:val="auto"/>
        </w:rPr>
        <w:t>Richard Steinmeier</w:t>
      </w:r>
    </w:p>
    <w:p>
      <w:pPr>
        <w:spacing w:after="0" w:line="44" w:lineRule="exact"/>
        <w:rPr>
          <w:sz w:val="20"/>
          <w:szCs w:val="20"/>
          <w:color w:val="auto"/>
        </w:rPr>
      </w:pPr>
    </w:p>
    <w:p>
      <w:pPr>
        <w:ind w:left="8340"/>
        <w:spacing w:after="0"/>
        <w:rPr>
          <w:sz w:val="20"/>
          <w:szCs w:val="20"/>
          <w:color w:val="auto"/>
        </w:rPr>
      </w:pPr>
      <w:r>
        <w:rPr>
          <w:rFonts w:ascii="Arial" w:cs="Arial" w:eastAsia="Arial" w:hAnsi="Arial"/>
          <w:sz w:val="12"/>
          <w:szCs w:val="12"/>
          <w:i w:val="1"/>
          <w:iCs w:val="1"/>
          <w:color w:val="auto"/>
        </w:rPr>
        <w:t>Chief Executive Officer</w:t>
      </w:r>
    </w:p>
    <w:p>
      <w:pPr>
        <w:sectPr>
          <w:pgSz w:w="11900" w:h="16838" w:orient="portrait"/>
          <w:cols w:equalWidth="0" w:num="1">
            <w:col w:w="11300"/>
          </w:cols>
          <w:pgMar w:left="300" w:top="640" w:right="299" w:bottom="1440" w:gutter="0" w:footer="0" w:header="0"/>
        </w:sectPr>
      </w:pPr>
    </w:p>
    <w:bookmarkStart w:id="62" w:name="page63"/>
    <w:bookmarkEnd w:id="62"/>
    <w:p>
      <w:pPr>
        <w:jc w:val="right"/>
        <w:spacing w:after="0"/>
        <w:rPr>
          <w:sz w:val="20"/>
          <w:szCs w:val="20"/>
          <w:color w:val="auto"/>
        </w:rPr>
      </w:pPr>
      <w:r>
        <w:rPr>
          <w:rFonts w:ascii="Arial" w:cs="Arial" w:eastAsia="Arial" w:hAnsi="Arial"/>
          <w:sz w:val="12"/>
          <w:szCs w:val="12"/>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connection with the Quarterly Report on Form 10-Q of LPL Financial Holdings Inc. (the “Company”) for the period ending September 30, 2026 as filed with the Securities and Exchange Commission (“SEC”)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on the date hereof (the “Report”), I, Matthew Audette, Chief Financial Officer of the Company, certify, pursuant to 18 U.S.C. 1350, as adopted pursuant to section 906 of the Sarbanes-Oxley Act of 2002, that:</w:t>
      </w:r>
    </w:p>
    <w:p>
      <w:pPr>
        <w:spacing w:after="0" w:line="66" w:lineRule="exact"/>
        <w:rPr>
          <w:sz w:val="20"/>
          <w:szCs w:val="20"/>
          <w:color w:val="auto"/>
        </w:rPr>
      </w:pPr>
    </w:p>
    <w:p>
      <w:pPr>
        <w:ind w:left="540" w:hanging="332"/>
        <w:spacing w:after="0"/>
        <w:tabs>
          <w:tab w:leader="none" w:pos="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78" w:lineRule="exact"/>
        <w:rPr>
          <w:rFonts w:ascii="Arial" w:cs="Arial" w:eastAsia="Arial" w:hAnsi="Arial"/>
          <w:sz w:val="12"/>
          <w:szCs w:val="12"/>
          <w:color w:val="auto"/>
        </w:rPr>
      </w:pPr>
    </w:p>
    <w:p>
      <w:pPr>
        <w:ind w:left="540" w:hanging="332"/>
        <w:spacing w:after="0"/>
        <w:tabs>
          <w:tab w:leader="none" w:pos="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 signed original of this written statement has been provided to the Company and will be retained by the Company and furnished to the SEC or its staff upon request.</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 October 29, 2026</w:t>
      </w:r>
    </w:p>
    <w:p>
      <w:pPr>
        <w:spacing w:after="0" w:line="267"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/s/ Matthew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5309870</wp:posOffset>
            </wp:positionH>
            <wp:positionV relativeFrom="paragraph">
              <wp:posOffset>17780</wp:posOffset>
            </wp:positionV>
            <wp:extent cx="13258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325880" cy="5715"/>
                    </a:xfrm>
                    <a:prstGeom prst="rect">
                      <a:avLst/>
                    </a:prstGeom>
                    <a:noFill/>
                  </pic:spPr>
                </pic:pic>
              </a:graphicData>
            </a:graphic>
          </wp:anchor>
        </w:drawing>
      </w:r>
    </w:p>
    <w:p>
      <w:pPr>
        <w:spacing w:after="0" w:line="148" w:lineRule="exact"/>
        <w:rPr>
          <w:sz w:val="20"/>
          <w:szCs w:val="20"/>
          <w:color w:val="auto"/>
        </w:rPr>
      </w:pPr>
    </w:p>
    <w:p>
      <w:pPr>
        <w:ind w:left="8380"/>
        <w:spacing w:after="0"/>
        <w:rPr>
          <w:sz w:val="20"/>
          <w:szCs w:val="20"/>
          <w:color w:val="auto"/>
        </w:rPr>
      </w:pPr>
      <w:r>
        <w:rPr>
          <w:rFonts w:ascii="Arial" w:cs="Arial" w:eastAsia="Arial" w:hAnsi="Arial"/>
          <w:sz w:val="12"/>
          <w:szCs w:val="12"/>
          <w:color w:val="auto"/>
        </w:rPr>
        <w:t>Matthew Audette</w:t>
      </w:r>
    </w:p>
    <w:p>
      <w:pPr>
        <w:spacing w:after="0" w:line="44" w:lineRule="exact"/>
        <w:rPr>
          <w:sz w:val="20"/>
          <w:szCs w:val="20"/>
          <w:color w:val="auto"/>
        </w:rPr>
      </w:pPr>
    </w:p>
    <w:p>
      <w:pPr>
        <w:ind w:left="8380"/>
        <w:spacing w:after="0"/>
        <w:rPr>
          <w:sz w:val="20"/>
          <w:szCs w:val="20"/>
          <w:color w:val="auto"/>
        </w:rPr>
      </w:pPr>
      <w:r>
        <w:rPr>
          <w:rFonts w:ascii="Arial" w:cs="Arial" w:eastAsia="Arial" w:hAnsi="Arial"/>
          <w:sz w:val="12"/>
          <w:szCs w:val="12"/>
          <w:i w:val="1"/>
          <w:iCs w:val="1"/>
          <w:color w:val="auto"/>
        </w:rPr>
        <w:t>President and Chief Financial Officer</w:t>
      </w: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8"/>
    </w:lvl>
  </w:abstractNum>
  <w:abstractNum w:abstractNumId="8">
    <w:nsid w:val="4353D0CD"/>
    <w:multiLevelType w:val="hybridMultilevel"/>
    <w:lvl w:ilvl="0">
      <w:lvlJc w:val="left"/>
      <w:lvlText w:val="(%1)"/>
      <w:numFmt w:val="decimal"/>
      <w:start w:val="8"/>
    </w:lvl>
    <w:lvl w:ilvl="1">
      <w:lvlJc w:val="left"/>
      <w:lvlText w:val="(†)"/>
      <w:numFmt w:val="bullet"/>
      <w:start w:val="1"/>
    </w:lvl>
  </w:abstractNum>
  <w:abstractNum w:abstractNumId="9">
    <w:nsid w:val="B03E0C6"/>
    <w:multiLevelType w:val="hybridMultilevel"/>
    <w:lvl w:ilvl="0">
      <w:lvlJc w:val="left"/>
      <w:lvlText w:val="(%1)"/>
      <w:numFmt w:val="decimal"/>
      <w:start w:val="9"/>
    </w:lvl>
    <w:lvl w:ilvl="1">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1"/>
    </w:lvl>
  </w:abstractNum>
  <w:abstractNum w:abstractNumId="12">
    <w:nsid w:val="71F32454"/>
    <w:multiLevelType w:val="hybridMultilevel"/>
    <w:lvl w:ilvl="0">
      <w:lvlJc w:val="left"/>
      <w:lvlText w:val="(%1)"/>
      <w:numFmt w:val="decimal"/>
      <w:start w:val="11"/>
    </w:lvl>
    <w:lvl w:ilvl="1">
      <w:lvlJc w:val="left"/>
      <w:lvlText w:val="(†)"/>
      <w:numFmt w:val="bullet"/>
      <w:start w:val="1"/>
    </w:lvl>
  </w:abstractNum>
  <w:abstractNum w:abstractNumId="13">
    <w:nsid w:val="2CA88611"/>
    <w:multiLevelType w:val="hybridMultilevel"/>
    <w:lvl w:ilvl="0">
      <w:lvlJc w:val="left"/>
      <w:lvlText w:val="(%1)"/>
      <w:numFmt w:val="decimal"/>
      <w:start w:val="15"/>
    </w:lvl>
    <w:lvl w:ilvl="1">
      <w:lvlJc w:val="left"/>
      <w:lvlText w:val="(†)"/>
      <w:numFmt w:val="bullet"/>
      <w:start w:val="1"/>
    </w:lvl>
  </w:abstractNum>
  <w:abstractNum w:abstractNumId="14">
    <w:nsid w:val="836C40E"/>
    <w:multiLevelType w:val="hybridMultilevel"/>
    <w:lvl w:ilvl="0">
      <w:lvlJc w:val="left"/>
      <w:lvlText w:val="(%1)"/>
      <w:numFmt w:val="decimal"/>
      <w:start w:val="18"/>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79" Type="http://schemas.openxmlformats.org/officeDocument/2006/relationships/hyperlink" Target="https://www.sec.gov/Archives/edgar/data/1397911/000162828026051542/exhibit3120260630.htm" TargetMode="External"/><Relationship Id="rId80" Type="http://schemas.openxmlformats.org/officeDocument/2006/relationships/hyperlink" Target="https://www.sec.gov/Archives/edgar/data/1397911/000162828026051542/exhibit322026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2026-10-29T15:49:20Z</dcterms:created>
  <dcterms:modified xsi:type="dcterms:W3CDTF">2026-10-29T15:49:20Z</dcterms:modified>
</cp:coreProperties>
</file>