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71"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40"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40"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July 25, 2016 was 89,071,546.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7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10"/>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Item Number</w:t>
            </w:r>
          </w:p>
        </w:tc>
        <w:tc>
          <w:tcPr>
            <w:tcW w:w="9420" w:type="dxa"/>
            <w:vAlign w:val="bottom"/>
            <w:gridSpan w:val="19"/>
          </w:tcPr>
          <w:p>
            <w:pPr>
              <w:spacing w:after="0"/>
              <w:rPr>
                <w:sz w:val="24"/>
                <w:szCs w:val="24"/>
                <w:color w:val="auto"/>
              </w:rPr>
            </w:pPr>
          </w:p>
        </w:tc>
        <w:tc>
          <w:tcPr>
            <w:tcW w:w="800" w:type="dxa"/>
            <w:vAlign w:val="bottom"/>
            <w:gridSpan w:val="4"/>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10580" w:type="dxa"/>
            <w:vAlign w:val="bottom"/>
            <w:gridSpan w:val="23"/>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580" w:type="dxa"/>
            <w:vAlign w:val="bottom"/>
            <w:gridSpan w:val="2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50">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22nd Floor, Boston, MA 02109). The information contained or incorporated on our website is not a part of this Quarterly Report on Form 10-Q.</w:t>
      </w:r>
    </w:p>
    <w:p>
      <w:pPr>
        <w:spacing w:after="0" w:line="191"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outlook, growth, plans, business strategies, liquidity, future indebtedness, future share repurchases, and future dividends, including statements regarding future resolution of regulatory matters, legal proceedings, and related costs, future revenues and expenses, and projected savings and anticipated improvements to the Company's operating model, services, and technology as a result of its initiatives and programs,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July 29, 2016.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fluctuations in the number of retail investors served by the Company; effects of competition in the financial services industry and the success of the Company in attracting and retaining financial advisors and institutions;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the Company's strategy in managing cash sweep program fees; changes in the growth and profitability of the Company’s fee-based business; the effect of current, pending, and future legislation, regulation, and regulatory actions, including the U.S. Department of Labor's final rule ("DOL Rule") and disciplinary actions imposed by federal and state securities regulators and self-regulatory organizations; the costs of settling and remediating issues related to pending or future regulatory matters; changes made to the Company’s offerings and services in response to current, pending, and future legislation, regulation, and regulatory actions, including the DOL Rule, and the effect that such changes may have on the Company’s gross profit streams and costs; execution of the Company’s capital management plans, including its compliance with the terms of its existing credit agreement; the price, the availability of shares, and the trading volumes of the Company’s common stock, which will affect the timing and size of future share repurchases by the Company; execution of the Company's plans and its success in realizing the expense savings and service improvements and efficiencies expected to result from its initiatives and programs, particularly its expense plans and technological initiatives; the Company's success in negotiating and developing commercial arrangements with third-party services providers; the performance of third-party service providers to which business processes are transitioned from the Company; the Company's ability to control operating risks, information technology systems risks, cybersecurity risks, and sourcing risks; and the other</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360" w:right="259" w:bottom="1440" w:gutter="0" w:footer="0" w:header="0"/>
        </w:sectPr>
      </w:pPr>
    </w:p>
    <w:bookmarkStart w:id="3" w:name="page4"/>
    <w:bookmarkEnd w:id="3"/>
    <w:p>
      <w:pPr>
        <w:spacing w:after="0" w:line="253" w:lineRule="auto"/>
        <w:rPr>
          <w:sz w:val="20"/>
          <w:szCs w:val="20"/>
          <w:color w:val="auto"/>
        </w:rPr>
      </w:pPr>
      <w:r>
        <w:rPr>
          <w:rFonts w:ascii="Arial" w:cs="Arial" w:eastAsia="Arial" w:hAnsi="Arial"/>
          <w:sz w:val="18"/>
          <w:szCs w:val="18"/>
          <w:color w:val="auto"/>
        </w:rPr>
        <w:t>factors set forth in Part I, “Item 1A. Risk Factors” in the Company's 2015 Annual Report on Form 10-K, as may be amended or updated in the Company's Quarterly Reports on Form 10-Q.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38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are a leader in the retail financial advice market, the nation's largest independent broker-dealer (based on total revenues, Financial Planning magazine June 1996-2016), a top custodian for registered investment advisors (“RIAs”), and a leading independent consultant to retirement plans. We provide an integrated platform of brokerage and investment advisory services to more than 14,000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4,200 financial advisors who are affiliated and licensed with insurance companies that use our customized clearing, advisory platforms, and technology solutions.</w:t>
      </w:r>
    </w:p>
    <w:p>
      <w:pPr>
        <w:spacing w:after="0" w:line="20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Through our advisors, we are one of the largest distributors of financial products and services in the United States, and we believe we are one of the top five firms in terms of overall advisor base in the United States.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101"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LPL makes it easy for advisors to do what is best for their clients, protecting advisors and investors while promoting independence and choice through access to a wide range of diligently evaluated non-proprietary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3"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Results for the second quarter of 2016 included net income of $47.8 million or $0.53 per share, which compares to $50.2 million, or $0.52 per share, in the second quarter of 2015. Increased cash sweep revenue, lower advisor production bonuses, disciplined expense management, and lower share count all contributed to the earnings per share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Growth Trends</w:t>
      </w:r>
    </w:p>
    <w:p>
      <w:pPr>
        <w:spacing w:after="0" w:line="243" w:lineRule="exact"/>
        <w:rPr>
          <w:sz w:val="20"/>
          <w:szCs w:val="20"/>
          <w:color w:val="auto"/>
        </w:rPr>
      </w:pPr>
    </w:p>
    <w:p>
      <w:pPr>
        <w:jc w:val="both"/>
        <w:ind w:right="460" w:firstLine="486"/>
        <w:spacing w:after="0" w:line="254" w:lineRule="auto"/>
        <w:rPr>
          <w:sz w:val="20"/>
          <w:szCs w:val="20"/>
          <w:color w:val="auto"/>
        </w:rPr>
      </w:pPr>
      <w:r>
        <w:rPr>
          <w:rFonts w:ascii="Arial" w:cs="Arial" w:eastAsia="Arial" w:hAnsi="Arial"/>
          <w:sz w:val="18"/>
          <w:szCs w:val="18"/>
          <w:color w:val="auto"/>
        </w:rPr>
        <w:t>Net new advisory assets were $2.8 billion for the three months ended June 30, 2016, compared to $4.3 billion in the same period in 2015. Uncertainty and volatility in the macro environment impacted market-sensitive asset valuations and offset most of the net new asset flows from the last twelve months, leaving total brokerage and advisory assets served at $488.0 billion as of June 30, 2016, up from the June 30, 2015 balance of $485.7 billion.</w:t>
      </w:r>
    </w:p>
    <w:p>
      <w:pPr>
        <w:spacing w:after="0" w:line="204"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As of June 30, 2016, our advisory assets had grown to $196.1 billion from $186.8 billion as of June 30, 2015 and represented 40.2% of total brokerage and advisory assets served. Assets on our platform that serves independent RIAs that conduct their advisory business through separate entities (“Hybrid RIAs”) operating pursuant to the Investment Advisers Act of 1940 or through their respective states' investment advisory licensing rules, rather than through LPL Financial, had grown to $132.3 billion as of June 30, 2016 compared to $111.6 billion as of June 30, 2015, and represented 27.1% of total brokerage and advisory assets served.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243"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Second quarter gross profit, a non-GAAP measure, was $ 344.9 million, which was up from $340.3 million in the comparable period in 2015. Management presents gross profit, which is calculated as net revenues less production expenses, because we believe they can be useful to investors because they show the Company’s core operating performance before indirect costs that are general and administrative in nature. See footnote 6 to the Financial Metrics table within the "How We Evaluate Our Business" section for additional information on gross profit. Second quarter gross profit included an increase in cash sweep revenue from the impact of the increase in the target range for the federal funds effective rate announced in December 2015 and higher average cash</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balances, partially offset by decreases in commissions and advisory revenues, net of the correlated reduction in production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Regulatory-related charges</w:t>
      </w:r>
    </w:p>
    <w:p>
      <w:pPr>
        <w:spacing w:after="0" w:line="243"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Regulatory-related charges decreased $1.2 million for the three months ended June 30, 2016 compared to the comparable period in 2015, as we experienced a lower level of charges and expenses related to known matters for the second quarter. We anticipate that the remaining half of 2016 will have a higher level of regulatory-related charges than the first half of 2016 due to recoveries we received in the first quarter; however, we expect 2016 regulatory-related charges to be meaningfully lower than 2015 levels.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Management Activity</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paid $22.3 million of dividends to shareholders and did not conduct any share repurchases in the three months ended June 30,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that provides our cash sweep programs and access to over 750 product providers that offer the following product lines:</w:t>
      </w:r>
    </w:p>
    <w:p>
      <w:pPr>
        <w:sectPr>
          <w:pgSz w:w="11900" w:h="16838" w:orient="portrait"/>
          <w:cols w:equalWidth="0" w:num="1">
            <w:col w:w="11420"/>
          </w:cols>
          <w:pgMar w:left="240" w:top="490" w:right="239" w:bottom="1440" w:gutter="0" w:footer="0" w:header="0"/>
        </w:sectPr>
      </w:pP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Alternative Investments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 Retirement Plan Products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Annuities</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7"/>
          <w:szCs w:val="17"/>
          <w:color w:val="auto"/>
        </w:rPr>
        <w:t>• Separately Managed Accounts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Exchange Traded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Structured Products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Insurance Based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Unit Investment Trusts</w:t>
      </w:r>
    </w:p>
    <w:p>
      <w:pPr>
        <w:spacing w:after="0" w:line="74" w:lineRule="exact"/>
        <w:rPr>
          <w:sz w:val="20"/>
          <w:szCs w:val="20"/>
          <w:color w:val="auto"/>
        </w:rPr>
      </w:pPr>
    </w:p>
    <w:p>
      <w:pPr>
        <w:sectPr>
          <w:pgSz w:w="11900" w:h="16838" w:orient="portrait"/>
          <w:cols w:equalWidth="0" w:num="2">
            <w:col w:w="4620" w:space="720"/>
            <w:col w:w="6080"/>
          </w:cols>
          <w:pgMar w:left="240" w:top="490"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Mutual Funds</w:t>
      </w:r>
    </w:p>
    <w:p>
      <w:pPr>
        <w:sectPr>
          <w:pgSz w:w="11900" w:h="16838" w:orient="portrait"/>
          <w:cols w:equalWidth="0" w:num="1">
            <w:col w:w="11420"/>
          </w:cols>
          <w:pgMar w:left="240" w:top="490" w:right="239" w:bottom="1440" w:gutter="0" w:footer="0" w:header="0"/>
          <w:type w:val="continuous"/>
        </w:sectPr>
      </w:pPr>
    </w:p>
    <w:p>
      <w:pPr>
        <w:spacing w:after="0" w:line="131"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90" w:right="239" w:bottom="1440" w:gutter="0" w:footer="0" w:header="0"/>
          <w:type w:val="continuous"/>
        </w:sectPr>
      </w:pPr>
    </w:p>
    <w:bookmarkStart w:id="6" w:name="page7"/>
    <w:bookmarkEnd w:id="6"/>
    <w:p>
      <w:pPr>
        <w:ind w:left="500"/>
        <w:spacing w:after="0"/>
        <w:rPr>
          <w:sz w:val="20"/>
          <w:szCs w:val="20"/>
          <w:color w:val="auto"/>
        </w:rPr>
      </w:pPr>
      <w:r>
        <w:rPr>
          <w:rFonts w:ascii="Arial" w:cs="Arial" w:eastAsia="Arial" w:hAnsi="Arial"/>
          <w:sz w:val="18"/>
          <w:szCs w:val="18"/>
          <w:color w:val="auto"/>
        </w:rPr>
        <w:t>The table below summarizes the sources and drivers of our revenue:</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860" w:type="dxa"/>
            <w:vAlign w:val="bottom"/>
            <w:tcBorders>
              <w:right w:val="single" w:sz="8" w:color="A5A5A5"/>
            </w:tcBorders>
          </w:tcPr>
          <w:p>
            <w:pPr>
              <w:spacing w:after="0"/>
              <w:rPr>
                <w:sz w:val="24"/>
                <w:szCs w:val="24"/>
                <w:color w:val="auto"/>
              </w:rPr>
            </w:pPr>
          </w:p>
        </w:tc>
        <w:tc>
          <w:tcPr>
            <w:tcW w:w="2380" w:type="dxa"/>
            <w:vAlign w:val="bottom"/>
            <w:tcBorders>
              <w:top w:val="single" w:sz="8" w:color="A5A5A5"/>
              <w:bottom w:val="single" w:sz="8" w:color="80C9FF"/>
              <w:right w:val="single" w:sz="8" w:color="A5A5A5"/>
            </w:tcBorders>
            <w:shd w:val="clear" w:color="auto" w:fill="80C9FF"/>
          </w:tcPr>
          <w:p>
            <w:pPr>
              <w:spacing w:after="0"/>
              <w:rPr>
                <w:sz w:val="24"/>
                <w:szCs w:val="24"/>
                <w:color w:val="auto"/>
              </w:rPr>
            </w:pPr>
          </w:p>
        </w:tc>
        <w:tc>
          <w:tcPr>
            <w:tcW w:w="2280" w:type="dxa"/>
            <w:vAlign w:val="bottom"/>
            <w:tcBorders>
              <w:top w:val="single" w:sz="8" w:color="A5A5A5"/>
              <w:bottom w:val="single" w:sz="8" w:color="80C9FF"/>
              <w:right w:val="single" w:sz="8" w:color="A5A5A5"/>
            </w:tcBorders>
            <w:shd w:val="clear" w:color="auto" w:fill="80C9FF"/>
          </w:tcPr>
          <w:p>
            <w:pPr>
              <w:spacing w:after="0"/>
              <w:rPr>
                <w:sz w:val="24"/>
                <w:szCs w:val="24"/>
                <w:color w:val="auto"/>
              </w:rPr>
            </w:pPr>
          </w:p>
        </w:tc>
        <w:tc>
          <w:tcPr>
            <w:tcW w:w="880" w:type="dxa"/>
            <w:vAlign w:val="bottom"/>
            <w:tcBorders>
              <w:top w:val="single" w:sz="8" w:color="A5A5A5"/>
              <w:bottom w:val="single" w:sz="8" w:color="80C9FF"/>
            </w:tcBorders>
            <w:shd w:val="clear" w:color="auto" w:fill="80C9FF"/>
          </w:tcPr>
          <w:p>
            <w:pPr>
              <w:spacing w:after="0"/>
              <w:rPr>
                <w:sz w:val="24"/>
                <w:szCs w:val="24"/>
                <w:color w:val="auto"/>
              </w:rPr>
            </w:pPr>
          </w:p>
        </w:tc>
        <w:tc>
          <w:tcPr>
            <w:tcW w:w="3440" w:type="dxa"/>
            <w:vAlign w:val="bottom"/>
            <w:tcBorders>
              <w:top w:val="single" w:sz="8" w:color="A5A5A5"/>
              <w:bottom w:val="single" w:sz="8" w:color="80C9FF"/>
              <w:right w:val="single" w:sz="8" w:color="A5A5A5"/>
            </w:tcBorders>
            <w:gridSpan w:val="4"/>
            <w:shd w:val="clear" w:color="auto" w:fill="80C9FF"/>
          </w:tcPr>
          <w:p>
            <w:pPr>
              <w:spacing w:after="0"/>
              <w:rPr>
                <w:sz w:val="20"/>
                <w:szCs w:val="20"/>
                <w:color w:val="auto"/>
              </w:rPr>
            </w:pPr>
            <w:r>
              <w:rPr>
                <w:rFonts w:ascii="Arial" w:cs="Arial" w:eastAsia="Arial" w:hAnsi="Arial"/>
                <w:sz w:val="16"/>
                <w:szCs w:val="16"/>
                <w:b w:val="1"/>
                <w:bCs w:val="1"/>
                <w:color w:val="auto"/>
                <w:shd w:val="clear" w:color="auto" w:fill="80C9FF"/>
              </w:rPr>
              <w:t>Six Months Ended June 30, 2016</w:t>
            </w:r>
          </w:p>
        </w:tc>
        <w:tc>
          <w:tcPr>
            <w:tcW w:w="0" w:type="dxa"/>
            <w:vAlign w:val="bottom"/>
          </w:tcPr>
          <w:p>
            <w:pPr>
              <w:spacing w:after="0"/>
              <w:rPr>
                <w:sz w:val="1"/>
                <w:szCs w:val="1"/>
                <w:color w:val="auto"/>
              </w:rPr>
            </w:pPr>
          </w:p>
        </w:tc>
      </w:tr>
      <w:tr>
        <w:trPr>
          <w:trHeight w:val="191"/>
        </w:trPr>
        <w:tc>
          <w:tcPr>
            <w:tcW w:w="1860" w:type="dxa"/>
            <w:vAlign w:val="bottom"/>
            <w:tcBorders>
              <w:right w:val="single" w:sz="8" w:color="A5A5A5"/>
            </w:tcBorders>
          </w:tcPr>
          <w:p>
            <w:pPr>
              <w:spacing w:after="0"/>
              <w:rPr>
                <w:sz w:val="16"/>
                <w:szCs w:val="16"/>
                <w:color w:val="auto"/>
              </w:rPr>
            </w:pPr>
          </w:p>
        </w:tc>
        <w:tc>
          <w:tcPr>
            <w:tcW w:w="2380" w:type="dxa"/>
            <w:vAlign w:val="bottom"/>
            <w:tcBorders>
              <w:top w:val="single" w:sz="8" w:color="80C9FF"/>
              <w:right w:val="single" w:sz="8" w:color="A5A5A5"/>
            </w:tcBorders>
            <w:shd w:val="clear" w:color="auto" w:fill="80C9FF"/>
          </w:tcPr>
          <w:p>
            <w:pPr>
              <w:spacing w:after="0"/>
              <w:rPr>
                <w:sz w:val="16"/>
                <w:szCs w:val="16"/>
                <w:color w:val="auto"/>
              </w:rPr>
            </w:pPr>
          </w:p>
        </w:tc>
        <w:tc>
          <w:tcPr>
            <w:tcW w:w="2280" w:type="dxa"/>
            <w:vAlign w:val="bottom"/>
            <w:tcBorders>
              <w:top w:val="single" w:sz="8" w:color="80C9FF"/>
              <w:right w:val="single" w:sz="8" w:color="A5A5A5"/>
            </w:tcBorders>
            <w:shd w:val="clear" w:color="auto" w:fill="80C9FF"/>
          </w:tcPr>
          <w:p>
            <w:pPr>
              <w:spacing w:after="0"/>
              <w:rPr>
                <w:sz w:val="16"/>
                <w:szCs w:val="16"/>
                <w:color w:val="auto"/>
              </w:rPr>
            </w:pPr>
          </w:p>
        </w:tc>
        <w:tc>
          <w:tcPr>
            <w:tcW w:w="880" w:type="dxa"/>
            <w:vAlign w:val="bottom"/>
            <w:tcBorders>
              <w:top w:val="single" w:sz="8" w:color="A5A5A5"/>
            </w:tcBorders>
            <w:shd w:val="clear" w:color="auto" w:fill="80C9FF"/>
          </w:tcPr>
          <w:p>
            <w:pPr>
              <w:spacing w:after="0"/>
              <w:rPr>
                <w:sz w:val="16"/>
                <w:szCs w:val="16"/>
                <w:color w:val="auto"/>
              </w:rPr>
            </w:pPr>
          </w:p>
        </w:tc>
        <w:tc>
          <w:tcPr>
            <w:tcW w:w="200" w:type="dxa"/>
            <w:vAlign w:val="bottom"/>
            <w:tcBorders>
              <w:top w:val="single" w:sz="8" w:color="A5A5A5"/>
              <w:right w:val="single" w:sz="8" w:color="A5A5A5"/>
            </w:tcBorders>
            <w:shd w:val="clear" w:color="auto" w:fill="80C9FF"/>
          </w:tcPr>
          <w:p>
            <w:pPr>
              <w:spacing w:after="0"/>
              <w:rPr>
                <w:sz w:val="16"/>
                <w:szCs w:val="16"/>
                <w:color w:val="auto"/>
              </w:rPr>
            </w:pPr>
          </w:p>
        </w:tc>
        <w:tc>
          <w:tcPr>
            <w:tcW w:w="1080" w:type="dxa"/>
            <w:vAlign w:val="bottom"/>
            <w:tcBorders>
              <w:top w:val="single" w:sz="8" w:color="A5A5A5"/>
              <w:right w:val="single" w:sz="8" w:color="A5A5A5"/>
            </w:tcBorders>
            <w:shd w:val="clear" w:color="auto" w:fill="80C9FF"/>
          </w:tcPr>
          <w:p>
            <w:pPr>
              <w:spacing w:after="0"/>
              <w:rPr>
                <w:sz w:val="16"/>
                <w:szCs w:val="16"/>
                <w:color w:val="auto"/>
              </w:rPr>
            </w:pPr>
          </w:p>
        </w:tc>
        <w:tc>
          <w:tcPr>
            <w:tcW w:w="1080" w:type="dxa"/>
            <w:vAlign w:val="bottom"/>
            <w:tcBorders>
              <w:top w:val="single" w:sz="8" w:color="A5A5A5"/>
              <w:right w:val="single" w:sz="8" w:color="A5A5A5"/>
            </w:tcBorders>
            <w:shd w:val="clear" w:color="auto" w:fill="80C9FF"/>
          </w:tcPr>
          <w:p>
            <w:pPr>
              <w:jc w:val="right"/>
              <w:ind w:right="305"/>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5A5A5"/>
              <w:right w:val="single" w:sz="8" w:color="A5A5A5"/>
            </w:tcBorders>
            <w:shd w:val="clear" w:color="auto" w:fill="80C9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Borders>
              <w:right w:val="single" w:sz="8" w:color="A5A5A5"/>
            </w:tcBorders>
          </w:tcPr>
          <w:p>
            <w:pPr>
              <w:spacing w:after="0"/>
              <w:rPr>
                <w:sz w:val="16"/>
                <w:szCs w:val="16"/>
                <w:color w:val="auto"/>
              </w:rPr>
            </w:pPr>
          </w:p>
        </w:tc>
        <w:tc>
          <w:tcPr>
            <w:tcW w:w="2380" w:type="dxa"/>
            <w:vAlign w:val="bottom"/>
            <w:tcBorders>
              <w:right w:val="single" w:sz="8" w:color="A5A5A5"/>
            </w:tcBorders>
            <w:shd w:val="clear" w:color="auto" w:fill="80C9FF"/>
          </w:tcPr>
          <w:p>
            <w:pPr>
              <w:spacing w:after="0"/>
              <w:rPr>
                <w:sz w:val="16"/>
                <w:szCs w:val="16"/>
                <w:color w:val="auto"/>
              </w:rPr>
            </w:pPr>
          </w:p>
        </w:tc>
        <w:tc>
          <w:tcPr>
            <w:tcW w:w="2280" w:type="dxa"/>
            <w:vAlign w:val="bottom"/>
            <w:tcBorders>
              <w:right w:val="single" w:sz="8" w:color="A5A5A5"/>
            </w:tcBorders>
            <w:shd w:val="clear" w:color="auto" w:fill="80C9FF"/>
          </w:tcPr>
          <w:p>
            <w:pPr>
              <w:spacing w:after="0"/>
              <w:rPr>
                <w:sz w:val="16"/>
                <w:szCs w:val="16"/>
                <w:color w:val="auto"/>
              </w:rPr>
            </w:pPr>
          </w:p>
        </w:tc>
        <w:tc>
          <w:tcPr>
            <w:tcW w:w="880" w:type="dxa"/>
            <w:vAlign w:val="bottom"/>
            <w:shd w:val="clear" w:color="auto" w:fill="80C9FF"/>
          </w:tcPr>
          <w:p>
            <w:pPr>
              <w:jc w:val="center"/>
              <w:ind w:left="86"/>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Borders>
              <w:right w:val="single" w:sz="8" w:color="A5A5A5"/>
            </w:tcBorders>
            <w:shd w:val="clear" w:color="auto" w:fill="80C9FF"/>
          </w:tcPr>
          <w:p>
            <w:pPr>
              <w:spacing w:after="0"/>
              <w:rPr>
                <w:sz w:val="16"/>
                <w:szCs w:val="16"/>
                <w:color w:val="auto"/>
              </w:rPr>
            </w:pPr>
          </w:p>
        </w:tc>
        <w:tc>
          <w:tcPr>
            <w:tcW w:w="1080" w:type="dxa"/>
            <w:vAlign w:val="bottom"/>
            <w:tcBorders>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w w:val="99"/>
              </w:rPr>
              <w:t>% of Total</w:t>
            </w:r>
          </w:p>
        </w:tc>
        <w:tc>
          <w:tcPr>
            <w:tcW w:w="1080" w:type="dxa"/>
            <w:vAlign w:val="bottom"/>
            <w:tcBorders>
              <w:right w:val="single" w:sz="8" w:color="A5A5A5"/>
            </w:tcBorders>
            <w:shd w:val="clear" w:color="auto" w:fill="80C9FF"/>
          </w:tcPr>
          <w:p>
            <w:pPr>
              <w:jc w:val="right"/>
              <w:ind w:right="125"/>
              <w:spacing w:after="0"/>
              <w:rPr>
                <w:sz w:val="20"/>
                <w:szCs w:val="20"/>
                <w:color w:val="auto"/>
              </w:rPr>
            </w:pPr>
            <w:r>
              <w:rPr>
                <w:rFonts w:ascii="Arial" w:cs="Arial" w:eastAsia="Arial" w:hAnsi="Arial"/>
                <w:sz w:val="16"/>
                <w:szCs w:val="16"/>
                <w:b w:val="1"/>
                <w:bCs w:val="1"/>
                <w:color w:val="auto"/>
              </w:rPr>
              <w:t>Recurring</w:t>
            </w:r>
          </w:p>
        </w:tc>
        <w:tc>
          <w:tcPr>
            <w:tcW w:w="1080" w:type="dxa"/>
            <w:vAlign w:val="bottom"/>
            <w:tcBorders>
              <w:right w:val="single" w:sz="8" w:color="A5A5A5"/>
            </w:tcBorders>
            <w:shd w:val="clear" w:color="auto" w:fill="80C9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60" w:type="dxa"/>
            <w:vAlign w:val="bottom"/>
            <w:tcBorders>
              <w:bottom w:val="single" w:sz="8" w:color="999999"/>
              <w:right w:val="single" w:sz="8" w:color="A5A5A5"/>
            </w:tcBorders>
          </w:tcPr>
          <w:p>
            <w:pPr>
              <w:spacing w:after="0"/>
              <w:rPr>
                <w:sz w:val="19"/>
                <w:szCs w:val="19"/>
                <w:color w:val="auto"/>
              </w:rPr>
            </w:pPr>
          </w:p>
        </w:tc>
        <w:tc>
          <w:tcPr>
            <w:tcW w:w="2380" w:type="dxa"/>
            <w:vAlign w:val="bottom"/>
            <w:tcBorders>
              <w:bottom w:val="single" w:sz="8" w:color="A5A5A5"/>
              <w:right w:val="single" w:sz="8" w:color="A5A5A5"/>
            </w:tcBorders>
            <w:shd w:val="clear" w:color="auto" w:fill="80C9FF"/>
          </w:tcPr>
          <w:p>
            <w:pPr>
              <w:ind w:left="400"/>
              <w:spacing w:after="0"/>
              <w:rPr>
                <w:sz w:val="20"/>
                <w:szCs w:val="20"/>
                <w:color w:val="auto"/>
              </w:rPr>
            </w:pPr>
            <w:r>
              <w:rPr>
                <w:rFonts w:ascii="Arial" w:cs="Arial" w:eastAsia="Arial" w:hAnsi="Arial"/>
                <w:sz w:val="16"/>
                <w:szCs w:val="16"/>
                <w:b w:val="1"/>
                <w:bCs w:val="1"/>
                <w:color w:val="auto"/>
              </w:rPr>
              <w:t>Sources of Revenue</w:t>
            </w:r>
          </w:p>
        </w:tc>
        <w:tc>
          <w:tcPr>
            <w:tcW w:w="2280" w:type="dxa"/>
            <w:vAlign w:val="bottom"/>
            <w:tcBorders>
              <w:bottom w:val="single" w:sz="8" w:color="A5A5A5"/>
              <w:right w:val="single" w:sz="8" w:color="A5A5A5"/>
            </w:tcBorders>
            <w:shd w:val="clear" w:color="auto" w:fill="80C9FF"/>
          </w:tcPr>
          <w:p>
            <w:pPr>
              <w:ind w:left="520"/>
              <w:spacing w:after="0"/>
              <w:rPr>
                <w:sz w:val="20"/>
                <w:szCs w:val="20"/>
                <w:color w:val="auto"/>
              </w:rPr>
            </w:pPr>
            <w:r>
              <w:rPr>
                <w:rFonts w:ascii="Arial" w:cs="Arial" w:eastAsia="Arial" w:hAnsi="Arial"/>
                <w:sz w:val="16"/>
                <w:szCs w:val="16"/>
                <w:b w:val="1"/>
                <w:bCs w:val="1"/>
                <w:color w:val="auto"/>
              </w:rPr>
              <w:t>Primary Drivers</w:t>
            </w:r>
          </w:p>
        </w:tc>
        <w:tc>
          <w:tcPr>
            <w:tcW w:w="880" w:type="dxa"/>
            <w:vAlign w:val="bottom"/>
            <w:tcBorders>
              <w:bottom w:val="single" w:sz="8" w:color="A5A5A5"/>
            </w:tcBorders>
            <w:shd w:val="clear" w:color="auto" w:fill="80C9FF"/>
          </w:tcPr>
          <w:p>
            <w:pPr>
              <w:jc w:val="center"/>
              <w:ind w:left="86"/>
              <w:spacing w:after="0"/>
              <w:rPr>
                <w:sz w:val="20"/>
                <w:szCs w:val="20"/>
                <w:color w:val="auto"/>
              </w:rPr>
            </w:pPr>
            <w:r>
              <w:rPr>
                <w:rFonts w:ascii="Arial" w:cs="Arial" w:eastAsia="Arial" w:hAnsi="Arial"/>
                <w:sz w:val="16"/>
                <w:szCs w:val="16"/>
                <w:b w:val="1"/>
                <w:bCs w:val="1"/>
                <w:color w:val="auto"/>
              </w:rPr>
              <w:t>(millions)</w:t>
            </w:r>
          </w:p>
        </w:tc>
        <w:tc>
          <w:tcPr>
            <w:tcW w:w="200" w:type="dxa"/>
            <w:vAlign w:val="bottom"/>
            <w:tcBorders>
              <w:bottom w:val="single" w:sz="8" w:color="A5A5A5"/>
              <w:right w:val="single" w:sz="8" w:color="A5A5A5"/>
            </w:tcBorders>
            <w:shd w:val="clear" w:color="auto" w:fill="80C9FF"/>
          </w:tcPr>
          <w:p>
            <w:pPr>
              <w:spacing w:after="0"/>
              <w:rPr>
                <w:sz w:val="19"/>
                <w:szCs w:val="19"/>
                <w:color w:val="auto"/>
              </w:rPr>
            </w:pPr>
          </w:p>
        </w:tc>
        <w:tc>
          <w:tcPr>
            <w:tcW w:w="108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Net Revenue</w:t>
            </w:r>
          </w:p>
        </w:tc>
        <w:tc>
          <w:tcPr>
            <w:tcW w:w="1080" w:type="dxa"/>
            <w:vAlign w:val="bottom"/>
            <w:tcBorders>
              <w:bottom w:val="single" w:sz="8" w:color="A5A5A5"/>
              <w:right w:val="single" w:sz="8" w:color="A5A5A5"/>
            </w:tcBorders>
            <w:shd w:val="clear" w:color="auto" w:fill="80C9FF"/>
          </w:tcPr>
          <w:p>
            <w:pPr>
              <w:jc w:val="right"/>
              <w:ind w:right="125"/>
              <w:spacing w:after="0"/>
              <w:rPr>
                <w:sz w:val="20"/>
                <w:szCs w:val="20"/>
                <w:color w:val="auto"/>
              </w:rPr>
            </w:pPr>
            <w:r>
              <w:rPr>
                <w:rFonts w:ascii="Arial" w:cs="Arial" w:eastAsia="Arial" w:hAnsi="Arial"/>
                <w:sz w:val="16"/>
                <w:szCs w:val="16"/>
                <w:b w:val="1"/>
                <w:bCs w:val="1"/>
                <w:color w:val="auto"/>
              </w:rPr>
              <w:t>(millions)</w:t>
            </w:r>
          </w:p>
        </w:tc>
        <w:tc>
          <w:tcPr>
            <w:tcW w:w="1080" w:type="dxa"/>
            <w:vAlign w:val="bottom"/>
            <w:tcBorders>
              <w:bottom w:val="single" w:sz="8" w:color="A5A5A5"/>
              <w:right w:val="single" w:sz="8" w:color="A5A5A5"/>
            </w:tcBorders>
            <w:shd w:val="clear" w:color="auto" w:fill="80C9FF"/>
          </w:tcPr>
          <w:p>
            <w:pPr>
              <w:jc w:val="center"/>
              <w:spacing w:after="0"/>
              <w:rPr>
                <w:sz w:val="20"/>
                <w:szCs w:val="20"/>
                <w:color w:val="auto"/>
              </w:rPr>
            </w:pPr>
            <w:r>
              <w:rPr>
                <w:rFonts w:ascii="Arial" w:cs="Arial" w:eastAsia="Arial" w:hAnsi="Arial"/>
                <w:sz w:val="16"/>
                <w:szCs w:val="16"/>
                <w:b w:val="1"/>
                <w:bCs w:val="1"/>
                <w:color w:val="auto"/>
              </w:rPr>
              <w:t>% Recurring</w:t>
            </w:r>
          </w:p>
        </w:tc>
        <w:tc>
          <w:tcPr>
            <w:tcW w:w="0" w:type="dxa"/>
            <w:vAlign w:val="bottom"/>
          </w:tcPr>
          <w:p>
            <w:pPr>
              <w:spacing w:after="0"/>
              <w:rPr>
                <w:sz w:val="1"/>
                <w:szCs w:val="1"/>
                <w:color w:val="auto"/>
              </w:rPr>
            </w:pPr>
          </w:p>
        </w:tc>
      </w:tr>
      <w:tr>
        <w:trPr>
          <w:trHeight w:val="302"/>
        </w:trPr>
        <w:tc>
          <w:tcPr>
            <w:tcW w:w="186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 revenue</w:t>
            </w: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880" w:type="dxa"/>
            <w:vAlign w:val="bottom"/>
          </w:tcPr>
          <w:p>
            <w:pPr>
              <w:jc w:val="center"/>
              <w:ind w:left="86"/>
              <w:spacing w:after="0"/>
              <w:rPr>
                <w:sz w:val="20"/>
                <w:szCs w:val="20"/>
                <w:color w:val="auto"/>
              </w:rPr>
            </w:pPr>
            <w:r>
              <w:rPr>
                <w:rFonts w:ascii="Arial" w:cs="Arial" w:eastAsia="Arial" w:hAnsi="Arial"/>
                <w:sz w:val="14"/>
                <w:szCs w:val="14"/>
                <w:color w:val="auto"/>
              </w:rPr>
              <w:t>$882</w:t>
            </w:r>
          </w:p>
        </w:tc>
        <w:tc>
          <w:tcPr>
            <w:tcW w:w="200" w:type="dxa"/>
            <w:vAlign w:val="bottom"/>
            <w:tcBorders>
              <w:right w:val="single" w:sz="8" w:color="A5A5A5"/>
            </w:tcBorders>
          </w:tcPr>
          <w:p>
            <w:pPr>
              <w:spacing w:after="0"/>
              <w:rPr>
                <w:sz w:val="24"/>
                <w:szCs w:val="24"/>
                <w:color w:val="auto"/>
              </w:rPr>
            </w:pP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43.6%</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$449</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84"/>
        </w:trPr>
        <w:tc>
          <w:tcPr>
            <w:tcW w:w="186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with ~85%-90% payout</w:t>
            </w:r>
          </w:p>
        </w:tc>
        <w:tc>
          <w:tcPr>
            <w:tcW w:w="2380" w:type="dxa"/>
            <w:vAlign w:val="bottom"/>
            <w:tcBorders>
              <w:bottom w:val="single" w:sz="8" w:color="A5A5A5"/>
              <w:right w:val="single" w:sz="8" w:color="A5A5A5"/>
            </w:tcBorders>
          </w:tcPr>
          <w:p>
            <w:pPr>
              <w:spacing w:after="0"/>
              <w:rPr>
                <w:sz w:val="16"/>
                <w:szCs w:val="16"/>
                <w:color w:val="auto"/>
              </w:rPr>
            </w:pPr>
          </w:p>
        </w:tc>
        <w:tc>
          <w:tcPr>
            <w:tcW w:w="228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Brokerage asset levels</w:t>
            </w:r>
          </w:p>
        </w:tc>
        <w:tc>
          <w:tcPr>
            <w:tcW w:w="880" w:type="dxa"/>
            <w:vAlign w:val="bottom"/>
            <w:tcBorders>
              <w:bottom w:val="single" w:sz="8" w:color="A5A5A5"/>
            </w:tcBorders>
          </w:tcPr>
          <w:p>
            <w:pPr>
              <w:spacing w:after="0"/>
              <w:rPr>
                <w:sz w:val="16"/>
                <w:szCs w:val="16"/>
                <w:color w:val="auto"/>
              </w:rPr>
            </w:pPr>
          </w:p>
        </w:tc>
        <w:tc>
          <w:tcPr>
            <w:tcW w:w="200" w:type="dxa"/>
            <w:vAlign w:val="bottom"/>
            <w:tcBorders>
              <w:bottom w:val="single" w:sz="8" w:color="A5A5A5"/>
              <w:right w:val="single" w:sz="8" w:color="A5A5A5"/>
            </w:tcBorders>
          </w:tcPr>
          <w:p>
            <w:pPr>
              <w:spacing w:after="0"/>
              <w:rPr>
                <w:sz w:val="16"/>
                <w:szCs w:val="16"/>
                <w:color w:val="auto"/>
              </w:rPr>
            </w:pPr>
          </w:p>
        </w:tc>
        <w:tc>
          <w:tcPr>
            <w:tcW w:w="1080" w:type="dxa"/>
            <w:vAlign w:val="bottom"/>
            <w:tcBorders>
              <w:bottom w:val="single" w:sz="8" w:color="A5A5A5"/>
              <w:right w:val="single" w:sz="8" w:color="A5A5A5"/>
            </w:tcBorders>
          </w:tcPr>
          <w:p>
            <w:pPr>
              <w:spacing w:after="0"/>
              <w:rPr>
                <w:sz w:val="16"/>
                <w:szCs w:val="16"/>
                <w:color w:val="auto"/>
              </w:rPr>
            </w:pPr>
          </w:p>
        </w:tc>
        <w:tc>
          <w:tcPr>
            <w:tcW w:w="1080" w:type="dxa"/>
            <w:vAlign w:val="bottom"/>
            <w:tcBorders>
              <w:bottom w:val="single" w:sz="8" w:color="A5A5A5"/>
              <w:right w:val="single" w:sz="8" w:color="A5A5A5"/>
            </w:tcBorders>
          </w:tcPr>
          <w:p>
            <w:pPr>
              <w:spacing w:after="0"/>
              <w:rPr>
                <w:sz w:val="16"/>
                <w:szCs w:val="16"/>
                <w:color w:val="auto"/>
              </w:rPr>
            </w:pPr>
          </w:p>
        </w:tc>
        <w:tc>
          <w:tcPr>
            <w:tcW w:w="1080" w:type="dxa"/>
            <w:vAlign w:val="bottom"/>
            <w:tcBorders>
              <w:bottom w:val="single" w:sz="8" w:color="A5A5A5"/>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999999"/>
              <w:right w:val="single" w:sz="8" w:color="A5A5A5"/>
            </w:tcBorders>
          </w:tcPr>
          <w:p>
            <w:pPr>
              <w:jc w:val="center"/>
              <w:spacing w:after="0" w:line="157" w:lineRule="exact"/>
              <w:rPr>
                <w:sz w:val="20"/>
                <w:szCs w:val="20"/>
                <w:color w:val="auto"/>
              </w:rPr>
            </w:pPr>
            <w:r>
              <w:rPr>
                <w:rFonts w:ascii="Arial" w:cs="Arial" w:eastAsia="Arial" w:hAnsi="Arial"/>
                <w:sz w:val="14"/>
                <w:szCs w:val="14"/>
                <w:color w:val="auto"/>
              </w:rPr>
              <w:t>ratio</w:t>
            </w: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Advisory</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Advisory asset levels</w:t>
            </w:r>
          </w:p>
        </w:tc>
        <w:tc>
          <w:tcPr>
            <w:tcW w:w="880" w:type="dxa"/>
            <w:vAlign w:val="bottom"/>
          </w:tcPr>
          <w:p>
            <w:pPr>
              <w:jc w:val="center"/>
              <w:ind w:left="86"/>
              <w:spacing w:after="0"/>
              <w:rPr>
                <w:sz w:val="20"/>
                <w:szCs w:val="20"/>
                <w:color w:val="auto"/>
              </w:rPr>
            </w:pPr>
            <w:r>
              <w:rPr>
                <w:rFonts w:ascii="Arial" w:cs="Arial" w:eastAsia="Arial" w:hAnsi="Arial"/>
                <w:sz w:val="14"/>
                <w:szCs w:val="14"/>
                <w:color w:val="auto"/>
              </w:rPr>
              <w:t>$642</w:t>
            </w:r>
          </w:p>
        </w:tc>
        <w:tc>
          <w:tcPr>
            <w:tcW w:w="200" w:type="dxa"/>
            <w:vAlign w:val="bottom"/>
            <w:tcBorders>
              <w:right w:val="single" w:sz="8" w:color="A5A5A5"/>
            </w:tcBorders>
          </w:tcPr>
          <w:p>
            <w:pPr>
              <w:spacing w:after="0"/>
              <w:rPr>
                <w:sz w:val="17"/>
                <w:szCs w:val="17"/>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31.7%</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$639</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14"/>
        </w:trPr>
        <w:tc>
          <w:tcPr>
            <w:tcW w:w="1860" w:type="dxa"/>
            <w:vAlign w:val="bottom"/>
            <w:tcBorders>
              <w:left w:val="single" w:sz="8" w:color="999999"/>
              <w:bottom w:val="single" w:sz="8" w:color="999999"/>
              <w:right w:val="single" w:sz="8" w:color="A5A5A5"/>
            </w:tcBorders>
          </w:tcPr>
          <w:p>
            <w:pPr>
              <w:spacing w:after="0"/>
              <w:rPr>
                <w:sz w:val="9"/>
                <w:szCs w:val="9"/>
                <w:color w:val="auto"/>
              </w:rPr>
            </w:pPr>
          </w:p>
        </w:tc>
        <w:tc>
          <w:tcPr>
            <w:tcW w:w="2380" w:type="dxa"/>
            <w:vAlign w:val="bottom"/>
            <w:tcBorders>
              <w:bottom w:val="single" w:sz="8" w:color="A5A5A5"/>
              <w:right w:val="single" w:sz="8" w:color="A5A5A5"/>
            </w:tcBorders>
          </w:tcPr>
          <w:p>
            <w:pPr>
              <w:spacing w:after="0"/>
              <w:rPr>
                <w:sz w:val="9"/>
                <w:szCs w:val="9"/>
                <w:color w:val="auto"/>
              </w:rPr>
            </w:pPr>
          </w:p>
        </w:tc>
        <w:tc>
          <w:tcPr>
            <w:tcW w:w="2280" w:type="dxa"/>
            <w:vAlign w:val="bottom"/>
            <w:tcBorders>
              <w:bottom w:val="single" w:sz="8" w:color="A5A5A5"/>
              <w:right w:val="single" w:sz="8" w:color="A5A5A5"/>
            </w:tcBorders>
          </w:tcPr>
          <w:p>
            <w:pPr>
              <w:spacing w:after="0"/>
              <w:rPr>
                <w:sz w:val="9"/>
                <w:szCs w:val="9"/>
                <w:color w:val="auto"/>
              </w:rPr>
            </w:pPr>
          </w:p>
        </w:tc>
        <w:tc>
          <w:tcPr>
            <w:tcW w:w="880" w:type="dxa"/>
            <w:vAlign w:val="bottom"/>
            <w:tcBorders>
              <w:bottom w:val="single" w:sz="8" w:color="A5A5A5"/>
            </w:tcBorders>
          </w:tcPr>
          <w:p>
            <w:pPr>
              <w:spacing w:after="0"/>
              <w:rPr>
                <w:sz w:val="9"/>
                <w:szCs w:val="9"/>
                <w:color w:val="auto"/>
              </w:rPr>
            </w:pPr>
          </w:p>
        </w:tc>
        <w:tc>
          <w:tcPr>
            <w:tcW w:w="200" w:type="dxa"/>
            <w:vAlign w:val="bottom"/>
            <w:tcBorders>
              <w:bottom w:val="single" w:sz="8" w:color="A5A5A5"/>
              <w:right w:val="single" w:sz="8" w:color="A5A5A5"/>
            </w:tcBorders>
          </w:tcPr>
          <w:p>
            <w:pPr>
              <w:spacing w:after="0"/>
              <w:rPr>
                <w:sz w:val="9"/>
                <w:szCs w:val="9"/>
                <w:color w:val="auto"/>
              </w:rPr>
            </w:pPr>
          </w:p>
        </w:tc>
        <w:tc>
          <w:tcPr>
            <w:tcW w:w="1080" w:type="dxa"/>
            <w:vAlign w:val="bottom"/>
            <w:tcBorders>
              <w:bottom w:val="single" w:sz="8" w:color="A5A5A5"/>
              <w:right w:val="single" w:sz="8" w:color="A5A5A5"/>
            </w:tcBorders>
            <w:vMerge w:val="continue"/>
          </w:tcPr>
          <w:p>
            <w:pPr>
              <w:spacing w:after="0"/>
              <w:rPr>
                <w:sz w:val="9"/>
                <w:szCs w:val="9"/>
                <w:color w:val="auto"/>
              </w:rPr>
            </w:pPr>
          </w:p>
        </w:tc>
        <w:tc>
          <w:tcPr>
            <w:tcW w:w="1080" w:type="dxa"/>
            <w:vAlign w:val="bottom"/>
            <w:tcBorders>
              <w:bottom w:val="single" w:sz="8" w:color="A5A5A5"/>
              <w:right w:val="single" w:sz="8" w:color="A5A5A5"/>
            </w:tcBorders>
          </w:tcPr>
          <w:p>
            <w:pPr>
              <w:spacing w:after="0"/>
              <w:rPr>
                <w:sz w:val="9"/>
                <w:szCs w:val="9"/>
                <w:color w:val="auto"/>
              </w:rPr>
            </w:pPr>
          </w:p>
        </w:tc>
        <w:tc>
          <w:tcPr>
            <w:tcW w:w="1080" w:type="dxa"/>
            <w:vAlign w:val="bottom"/>
            <w:tcBorders>
              <w:bottom w:val="single" w:sz="8" w:color="A5A5A5"/>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60" w:type="dxa"/>
            <w:vAlign w:val="bottom"/>
            <w:tcBorders>
              <w:left w:val="single" w:sz="8" w:color="999999"/>
              <w:right w:val="single" w:sz="8" w:color="A5A5A5"/>
            </w:tcBorders>
          </w:tcPr>
          <w:p>
            <w:pPr>
              <w:spacing w:after="0"/>
              <w:rPr>
                <w:sz w:val="16"/>
                <w:szCs w:val="16"/>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balances</w:t>
            </w:r>
          </w:p>
        </w:tc>
        <w:tc>
          <w:tcPr>
            <w:tcW w:w="880" w:type="dxa"/>
            <w:vAlign w:val="bottom"/>
          </w:tcPr>
          <w:p>
            <w:pPr>
              <w:jc w:val="center"/>
              <w:ind w:left="86"/>
              <w:spacing w:after="0"/>
              <w:rPr>
                <w:sz w:val="20"/>
                <w:szCs w:val="20"/>
                <w:color w:val="auto"/>
              </w:rPr>
            </w:pPr>
            <w:r>
              <w:rPr>
                <w:rFonts w:ascii="Arial" w:cs="Arial" w:eastAsia="Arial" w:hAnsi="Arial"/>
                <w:sz w:val="14"/>
                <w:szCs w:val="14"/>
                <w:color w:val="auto"/>
              </w:rPr>
              <w:t>$274</w:t>
            </w:r>
          </w:p>
        </w:tc>
        <w:tc>
          <w:tcPr>
            <w:tcW w:w="200" w:type="dxa"/>
            <w:vAlign w:val="bottom"/>
            <w:tcBorders>
              <w:right w:val="single" w:sz="8" w:color="A5A5A5"/>
            </w:tcBorders>
          </w:tcPr>
          <w:p>
            <w:pPr>
              <w:spacing w:after="0"/>
              <w:rPr>
                <w:sz w:val="16"/>
                <w:szCs w:val="16"/>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13.5%</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$268</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18"/>
        </w:trPr>
        <w:tc>
          <w:tcPr>
            <w:tcW w:w="1860" w:type="dxa"/>
            <w:vAlign w:val="bottom"/>
            <w:tcBorders>
              <w:left w:val="single" w:sz="8" w:color="999999"/>
              <w:right w:val="single" w:sz="8" w:color="A5A5A5"/>
            </w:tcBorders>
          </w:tcPr>
          <w:p>
            <w:pPr>
              <w:spacing w:after="0"/>
              <w:rPr>
                <w:sz w:val="10"/>
                <w:szCs w:val="10"/>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Cash Sweep Fees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Interest rates</w:t>
            </w:r>
          </w:p>
        </w:tc>
        <w:tc>
          <w:tcPr>
            <w:tcW w:w="880" w:type="dxa"/>
            <w:vAlign w:val="bottom"/>
          </w:tcPr>
          <w:p>
            <w:pPr>
              <w:spacing w:after="0"/>
              <w:rPr>
                <w:sz w:val="10"/>
                <w:szCs w:val="10"/>
                <w:color w:val="auto"/>
              </w:rPr>
            </w:pPr>
          </w:p>
        </w:tc>
        <w:tc>
          <w:tcPr>
            <w:tcW w:w="20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860" w:type="dxa"/>
            <w:vAlign w:val="bottom"/>
            <w:tcBorders>
              <w:left w:val="single" w:sz="8" w:color="999999"/>
              <w:right w:val="single" w:sz="8" w:color="A5A5A5"/>
            </w:tcBorders>
          </w:tcPr>
          <w:p>
            <w:pPr>
              <w:spacing w:after="0"/>
              <w:rPr>
                <w:sz w:val="3"/>
                <w:szCs w:val="3"/>
                <w:color w:val="auto"/>
              </w:rPr>
            </w:pPr>
          </w:p>
        </w:tc>
        <w:tc>
          <w:tcPr>
            <w:tcW w:w="2380" w:type="dxa"/>
            <w:vAlign w:val="bottom"/>
            <w:tcBorders>
              <w:right w:val="single" w:sz="8" w:color="A5A5A5"/>
            </w:tcBorders>
            <w:vMerge w:val="continue"/>
          </w:tcPr>
          <w:p>
            <w:pPr>
              <w:spacing w:after="0"/>
              <w:rPr>
                <w:sz w:val="3"/>
                <w:szCs w:val="3"/>
                <w:color w:val="auto"/>
              </w:rPr>
            </w:pPr>
          </w:p>
        </w:tc>
        <w:tc>
          <w:tcPr>
            <w:tcW w:w="2280" w:type="dxa"/>
            <w:vAlign w:val="bottom"/>
            <w:tcBorders>
              <w:right w:val="single" w:sz="8" w:color="A5A5A5"/>
            </w:tcBorders>
            <w:vMerge w:val="continue"/>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999999"/>
              <w:right w:val="single" w:sz="8" w:color="A5A5A5"/>
            </w:tcBorders>
          </w:tcPr>
          <w:p>
            <w:pPr>
              <w:spacing w:after="0"/>
              <w:rPr>
                <w:sz w:val="14"/>
                <w:szCs w:val="1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asset levels</w:t>
            </w:r>
          </w:p>
        </w:tc>
        <w:tc>
          <w:tcPr>
            <w:tcW w:w="880" w:type="dxa"/>
            <w:vAlign w:val="bottom"/>
          </w:tcPr>
          <w:p>
            <w:pPr>
              <w:spacing w:after="0"/>
              <w:rPr>
                <w:sz w:val="14"/>
                <w:szCs w:val="14"/>
                <w:color w:val="auto"/>
              </w:rPr>
            </w:pPr>
          </w:p>
        </w:tc>
        <w:tc>
          <w:tcPr>
            <w:tcW w:w="20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60" w:type="dxa"/>
            <w:vAlign w:val="bottom"/>
            <w:tcBorders>
              <w:left w:val="single" w:sz="8" w:color="999999"/>
              <w:right w:val="single" w:sz="8" w:color="A5A5A5"/>
            </w:tcBorders>
          </w:tcPr>
          <w:p>
            <w:pPr>
              <w:spacing w:after="0"/>
              <w:rPr>
                <w:sz w:val="14"/>
                <w:szCs w:val="1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880" w:type="dxa"/>
            <w:vAlign w:val="bottom"/>
          </w:tcPr>
          <w:p>
            <w:pPr>
              <w:spacing w:after="0"/>
              <w:rPr>
                <w:sz w:val="14"/>
                <w:szCs w:val="14"/>
                <w:color w:val="auto"/>
              </w:rPr>
            </w:pPr>
          </w:p>
        </w:tc>
        <w:tc>
          <w:tcPr>
            <w:tcW w:w="20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60" w:type="dxa"/>
            <w:vAlign w:val="bottom"/>
            <w:tcBorders>
              <w:left w:val="single" w:sz="8" w:color="999999"/>
              <w:right w:val="single" w:sz="8" w:color="A5A5A5"/>
            </w:tcBorders>
          </w:tcPr>
          <w:p>
            <w:pPr>
              <w:spacing w:after="0"/>
              <w:rPr>
                <w:sz w:val="15"/>
                <w:szCs w:val="15"/>
                <w:color w:val="auto"/>
              </w:rPr>
            </w:pPr>
          </w:p>
        </w:tc>
        <w:tc>
          <w:tcPr>
            <w:tcW w:w="2380" w:type="dxa"/>
            <w:vAlign w:val="bottom"/>
            <w:tcBorders>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spacing w:after="0"/>
              <w:rPr>
                <w:sz w:val="15"/>
                <w:szCs w:val="15"/>
                <w:color w:val="auto"/>
              </w:rPr>
            </w:pPr>
          </w:p>
        </w:tc>
        <w:tc>
          <w:tcPr>
            <w:tcW w:w="88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6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Attachment revenue</w:t>
            </w: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activity</w:t>
            </w:r>
          </w:p>
        </w:tc>
        <w:tc>
          <w:tcPr>
            <w:tcW w:w="880" w:type="dxa"/>
            <w:vAlign w:val="bottom"/>
          </w:tcPr>
          <w:p>
            <w:pPr>
              <w:jc w:val="center"/>
              <w:ind w:left="86"/>
              <w:spacing w:after="0"/>
              <w:rPr>
                <w:sz w:val="20"/>
                <w:szCs w:val="20"/>
                <w:color w:val="auto"/>
              </w:rPr>
            </w:pPr>
            <w:r>
              <w:rPr>
                <w:rFonts w:ascii="Arial" w:cs="Arial" w:eastAsia="Arial" w:hAnsi="Arial"/>
                <w:sz w:val="14"/>
                <w:szCs w:val="14"/>
                <w:color w:val="auto"/>
              </w:rPr>
              <w:t>$205</w:t>
            </w:r>
          </w:p>
        </w:tc>
        <w:tc>
          <w:tcPr>
            <w:tcW w:w="200" w:type="dxa"/>
            <w:vAlign w:val="bottom"/>
            <w:tcBorders>
              <w:right w:val="single" w:sz="8" w:color="A5A5A5"/>
            </w:tcBorders>
          </w:tcPr>
          <w:p>
            <w:pPr>
              <w:spacing w:after="0"/>
              <w:rPr>
                <w:sz w:val="16"/>
                <w:szCs w:val="16"/>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10.2%</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$125</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81"/>
        </w:trPr>
        <w:tc>
          <w:tcPr>
            <w:tcW w:w="1860" w:type="dxa"/>
            <w:vAlign w:val="bottom"/>
            <w:tcBorders>
              <w:left w:val="single" w:sz="8" w:color="999999"/>
              <w:right w:val="single" w:sz="8" w:color="A5A5A5"/>
            </w:tcBorders>
            <w:vMerge w:val="continue"/>
          </w:tcPr>
          <w:p>
            <w:pPr>
              <w:spacing w:after="0"/>
              <w:rPr>
                <w:sz w:val="7"/>
                <w:szCs w:val="7"/>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Transactions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clients</w:t>
            </w:r>
          </w:p>
        </w:tc>
        <w:tc>
          <w:tcPr>
            <w:tcW w:w="880" w:type="dxa"/>
            <w:vAlign w:val="bottom"/>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vMerge w:val="continue"/>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retained by us</w:t>
            </w:r>
          </w:p>
        </w:tc>
        <w:tc>
          <w:tcPr>
            <w:tcW w:w="2380" w:type="dxa"/>
            <w:vAlign w:val="bottom"/>
            <w:tcBorders>
              <w:right w:val="single" w:sz="8" w:color="A5A5A5"/>
            </w:tcBorders>
            <w:vMerge w:val="continue"/>
          </w:tcPr>
          <w:p>
            <w:pPr>
              <w:spacing w:after="0"/>
              <w:rPr>
                <w:sz w:val="7"/>
                <w:szCs w:val="7"/>
                <w:color w:val="auto"/>
              </w:rPr>
            </w:pPr>
          </w:p>
        </w:tc>
        <w:tc>
          <w:tcPr>
            <w:tcW w:w="2280" w:type="dxa"/>
            <w:vAlign w:val="bottom"/>
            <w:tcBorders>
              <w:right w:val="single" w:sz="8" w:color="A5A5A5"/>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860" w:type="dxa"/>
            <w:vAlign w:val="bottom"/>
            <w:tcBorders>
              <w:left w:val="single" w:sz="8" w:color="999999"/>
              <w:right w:val="single" w:sz="8" w:color="A5A5A5"/>
            </w:tcBorders>
            <w:vMerge w:val="continue"/>
          </w:tcPr>
          <w:p>
            <w:pPr>
              <w:spacing w:after="0"/>
              <w:rPr>
                <w:sz w:val="7"/>
                <w:szCs w:val="7"/>
                <w:color w:val="auto"/>
              </w:rPr>
            </w:pPr>
          </w:p>
        </w:tc>
        <w:tc>
          <w:tcPr>
            <w:tcW w:w="23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Client (Investor) Accounts</w:t>
            </w: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Number of advisors</w:t>
            </w:r>
          </w:p>
        </w:tc>
        <w:tc>
          <w:tcPr>
            <w:tcW w:w="880" w:type="dxa"/>
            <w:vAlign w:val="bottom"/>
          </w:tcPr>
          <w:p>
            <w:pPr>
              <w:spacing w:after="0"/>
              <w:rPr>
                <w:sz w:val="7"/>
                <w:szCs w:val="7"/>
                <w:color w:val="auto"/>
              </w:rPr>
            </w:pPr>
          </w:p>
        </w:tc>
        <w:tc>
          <w:tcPr>
            <w:tcW w:w="20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108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860" w:type="dxa"/>
            <w:vAlign w:val="bottom"/>
            <w:tcBorders>
              <w:left w:val="single" w:sz="8" w:color="999999"/>
              <w:right w:val="single" w:sz="8" w:color="A5A5A5"/>
            </w:tcBorders>
          </w:tcPr>
          <w:p>
            <w:pPr>
              <w:spacing w:after="0"/>
              <w:rPr>
                <w:sz w:val="6"/>
                <w:szCs w:val="6"/>
                <w:color w:val="auto"/>
              </w:rPr>
            </w:pPr>
          </w:p>
        </w:tc>
        <w:tc>
          <w:tcPr>
            <w:tcW w:w="2380" w:type="dxa"/>
            <w:vAlign w:val="bottom"/>
            <w:tcBorders>
              <w:right w:val="single" w:sz="8" w:color="A5A5A5"/>
            </w:tcBorders>
            <w:vMerge w:val="continue"/>
          </w:tcPr>
          <w:p>
            <w:pPr>
              <w:spacing w:after="0"/>
              <w:rPr>
                <w:sz w:val="6"/>
                <w:szCs w:val="6"/>
                <w:color w:val="auto"/>
              </w:rPr>
            </w:pPr>
          </w:p>
        </w:tc>
        <w:tc>
          <w:tcPr>
            <w:tcW w:w="2280" w:type="dxa"/>
            <w:vAlign w:val="bottom"/>
            <w:tcBorders>
              <w:right w:val="single" w:sz="8" w:color="A5A5A5"/>
            </w:tcBorders>
            <w:vMerge w:val="continue"/>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Borders>
              <w:right w:val="single" w:sz="8" w:color="A5A5A5"/>
            </w:tcBorders>
          </w:tcPr>
          <w:p>
            <w:pPr>
              <w:spacing w:after="0"/>
              <w:rPr>
                <w:sz w:val="6"/>
                <w:szCs w:val="6"/>
                <w:color w:val="auto"/>
              </w:rPr>
            </w:pPr>
          </w:p>
        </w:tc>
        <w:tc>
          <w:tcPr>
            <w:tcW w:w="1080" w:type="dxa"/>
            <w:vAlign w:val="bottom"/>
            <w:tcBorders>
              <w:right w:val="single" w:sz="8" w:color="A5A5A5"/>
            </w:tcBorders>
          </w:tcPr>
          <w:p>
            <w:pPr>
              <w:spacing w:after="0"/>
              <w:rPr>
                <w:sz w:val="6"/>
                <w:szCs w:val="6"/>
                <w:color w:val="auto"/>
              </w:rPr>
            </w:pPr>
          </w:p>
        </w:tc>
        <w:tc>
          <w:tcPr>
            <w:tcW w:w="1080" w:type="dxa"/>
            <w:vAlign w:val="bottom"/>
            <w:tcBorders>
              <w:right w:val="single" w:sz="8" w:color="A5A5A5"/>
            </w:tcBorders>
          </w:tcPr>
          <w:p>
            <w:pPr>
              <w:spacing w:after="0"/>
              <w:rPr>
                <w:sz w:val="6"/>
                <w:szCs w:val="6"/>
                <w:color w:val="auto"/>
              </w:rPr>
            </w:pPr>
          </w:p>
        </w:tc>
        <w:tc>
          <w:tcPr>
            <w:tcW w:w="108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860" w:type="dxa"/>
            <w:vAlign w:val="bottom"/>
            <w:tcBorders>
              <w:left w:val="single" w:sz="8" w:color="999999"/>
              <w:right w:val="single" w:sz="8" w:color="A5A5A5"/>
            </w:tcBorders>
          </w:tcPr>
          <w:p>
            <w:pPr>
              <w:spacing w:after="0"/>
              <w:rPr>
                <w:sz w:val="14"/>
                <w:szCs w:val="14"/>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 Seat and Technology</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880" w:type="dxa"/>
            <w:vAlign w:val="bottom"/>
          </w:tcPr>
          <w:p>
            <w:pPr>
              <w:spacing w:after="0"/>
              <w:rPr>
                <w:sz w:val="14"/>
                <w:szCs w:val="14"/>
                <w:color w:val="auto"/>
              </w:rPr>
            </w:pPr>
          </w:p>
        </w:tc>
        <w:tc>
          <w:tcPr>
            <w:tcW w:w="20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108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999999"/>
              <w:right w:val="single" w:sz="8" w:color="A5A5A5"/>
            </w:tcBorders>
          </w:tcPr>
          <w:p>
            <w:pPr>
              <w:spacing w:after="0"/>
              <w:rPr>
                <w:sz w:val="15"/>
                <w:szCs w:val="15"/>
                <w:color w:val="auto"/>
              </w:rPr>
            </w:pPr>
          </w:p>
        </w:tc>
        <w:tc>
          <w:tcPr>
            <w:tcW w:w="2380" w:type="dxa"/>
            <w:vAlign w:val="bottom"/>
            <w:tcBorders>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Premium technology subscribers</w:t>
            </w:r>
          </w:p>
        </w:tc>
        <w:tc>
          <w:tcPr>
            <w:tcW w:w="88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860" w:type="dxa"/>
            <w:vAlign w:val="bottom"/>
            <w:tcBorders>
              <w:left w:val="single" w:sz="8" w:color="999999"/>
              <w:right w:val="single" w:sz="8" w:color="A5A5A5"/>
            </w:tcBorders>
          </w:tcPr>
          <w:p>
            <w:pPr>
              <w:spacing w:after="0"/>
              <w:rPr>
                <w:sz w:val="16"/>
                <w:szCs w:val="16"/>
                <w:color w:val="auto"/>
              </w:rPr>
            </w:pPr>
          </w:p>
        </w:tc>
        <w:tc>
          <w:tcPr>
            <w:tcW w:w="238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28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Margin account balances</w:t>
            </w:r>
          </w:p>
        </w:tc>
        <w:tc>
          <w:tcPr>
            <w:tcW w:w="880" w:type="dxa"/>
            <w:vAlign w:val="bottom"/>
          </w:tcPr>
          <w:p>
            <w:pPr>
              <w:jc w:val="center"/>
              <w:ind w:left="86"/>
              <w:spacing w:after="0"/>
              <w:rPr>
                <w:sz w:val="20"/>
                <w:szCs w:val="20"/>
                <w:color w:val="auto"/>
              </w:rPr>
            </w:pPr>
            <w:r>
              <w:rPr>
                <w:rFonts w:ascii="Arial" w:cs="Arial" w:eastAsia="Arial" w:hAnsi="Arial"/>
                <w:sz w:val="14"/>
                <w:szCs w:val="14"/>
                <w:color w:val="auto"/>
              </w:rPr>
              <w:t>$21</w:t>
            </w:r>
          </w:p>
        </w:tc>
        <w:tc>
          <w:tcPr>
            <w:tcW w:w="200" w:type="dxa"/>
            <w:vAlign w:val="bottom"/>
            <w:tcBorders>
              <w:right w:val="single" w:sz="8" w:color="A5A5A5"/>
            </w:tcBorders>
          </w:tcPr>
          <w:p>
            <w:pPr>
              <w:spacing w:after="0"/>
              <w:rPr>
                <w:sz w:val="16"/>
                <w:szCs w:val="16"/>
                <w:color w:val="auto"/>
              </w:rPr>
            </w:pP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$12</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18"/>
        </w:trPr>
        <w:tc>
          <w:tcPr>
            <w:tcW w:w="1860" w:type="dxa"/>
            <w:vAlign w:val="bottom"/>
            <w:tcBorders>
              <w:left w:val="single" w:sz="8" w:color="999999"/>
              <w:right w:val="single" w:sz="8" w:color="A5A5A5"/>
            </w:tcBorders>
          </w:tcPr>
          <w:p>
            <w:pPr>
              <w:spacing w:after="0"/>
              <w:rPr>
                <w:sz w:val="10"/>
                <w:szCs w:val="10"/>
                <w:color w:val="auto"/>
              </w:rPr>
            </w:pPr>
          </w:p>
        </w:tc>
        <w:tc>
          <w:tcPr>
            <w:tcW w:w="2380" w:type="dxa"/>
            <w:vAlign w:val="bottom"/>
            <w:tcBorders>
              <w:right w:val="single" w:sz="8" w:color="A5A5A5"/>
            </w:tcBorders>
          </w:tcPr>
          <w:p>
            <w:pPr>
              <w:spacing w:after="0"/>
              <w:rPr>
                <w:sz w:val="10"/>
                <w:szCs w:val="10"/>
                <w:color w:val="auto"/>
              </w:rPr>
            </w:pPr>
          </w:p>
        </w:tc>
        <w:tc>
          <w:tcPr>
            <w:tcW w:w="228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Alternative investment</w:t>
            </w:r>
          </w:p>
        </w:tc>
        <w:tc>
          <w:tcPr>
            <w:tcW w:w="880" w:type="dxa"/>
            <w:vAlign w:val="bottom"/>
          </w:tcPr>
          <w:p>
            <w:pPr>
              <w:spacing w:after="0"/>
              <w:rPr>
                <w:sz w:val="10"/>
                <w:szCs w:val="10"/>
                <w:color w:val="auto"/>
              </w:rPr>
            </w:pPr>
          </w:p>
        </w:tc>
        <w:tc>
          <w:tcPr>
            <w:tcW w:w="20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1080" w:type="dxa"/>
            <w:vAlign w:val="bottom"/>
            <w:tcBorders>
              <w:right w:val="single" w:sz="8" w:color="A5A5A5"/>
            </w:tcBorders>
          </w:tcPr>
          <w:p>
            <w:pPr>
              <w:spacing w:after="0"/>
              <w:rPr>
                <w:sz w:val="10"/>
                <w:szCs w:val="10"/>
                <w:color w:val="auto"/>
              </w:rPr>
            </w:pPr>
          </w:p>
        </w:tc>
        <w:tc>
          <w:tcPr>
            <w:tcW w:w="108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860" w:type="dxa"/>
            <w:vAlign w:val="bottom"/>
            <w:tcBorders>
              <w:left w:val="single" w:sz="8" w:color="999999"/>
              <w:right w:val="single" w:sz="8" w:color="A5A5A5"/>
            </w:tcBorders>
          </w:tcPr>
          <w:p>
            <w:pPr>
              <w:spacing w:after="0"/>
              <w:rPr>
                <w:sz w:val="3"/>
                <w:szCs w:val="3"/>
                <w:color w:val="auto"/>
              </w:rPr>
            </w:pPr>
          </w:p>
        </w:tc>
        <w:tc>
          <w:tcPr>
            <w:tcW w:w="2380" w:type="dxa"/>
            <w:vAlign w:val="bottom"/>
            <w:tcBorders>
              <w:right w:val="single" w:sz="8" w:color="A5A5A5"/>
            </w:tcBorders>
          </w:tcPr>
          <w:p>
            <w:pPr>
              <w:spacing w:after="0"/>
              <w:rPr>
                <w:sz w:val="3"/>
                <w:szCs w:val="3"/>
                <w:color w:val="auto"/>
              </w:rPr>
            </w:pPr>
          </w:p>
        </w:tc>
        <w:tc>
          <w:tcPr>
            <w:tcW w:w="2280" w:type="dxa"/>
            <w:vAlign w:val="bottom"/>
            <w:tcBorders>
              <w:right w:val="single" w:sz="8" w:color="A5A5A5"/>
            </w:tcBorders>
            <w:vMerge w:val="continue"/>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108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860" w:type="dxa"/>
            <w:vAlign w:val="bottom"/>
            <w:tcBorders>
              <w:left w:val="single" w:sz="8" w:color="999999"/>
              <w:bottom w:val="single" w:sz="8" w:color="999999"/>
              <w:right w:val="single" w:sz="8" w:color="A5A5A5"/>
            </w:tcBorders>
          </w:tcPr>
          <w:p>
            <w:pPr>
              <w:spacing w:after="0"/>
              <w:rPr>
                <w:sz w:val="15"/>
                <w:szCs w:val="15"/>
                <w:color w:val="auto"/>
              </w:rPr>
            </w:pPr>
          </w:p>
        </w:tc>
        <w:tc>
          <w:tcPr>
            <w:tcW w:w="2380" w:type="dxa"/>
            <w:vAlign w:val="bottom"/>
            <w:tcBorders>
              <w:bottom w:val="single" w:sz="8" w:color="A5A5A5"/>
              <w:right w:val="single" w:sz="8" w:color="A5A5A5"/>
            </w:tcBorders>
          </w:tcPr>
          <w:p>
            <w:pPr>
              <w:spacing w:after="0"/>
              <w:rPr>
                <w:sz w:val="15"/>
                <w:szCs w:val="15"/>
                <w:color w:val="auto"/>
              </w:rPr>
            </w:pPr>
          </w:p>
        </w:tc>
        <w:tc>
          <w:tcPr>
            <w:tcW w:w="2280" w:type="dxa"/>
            <w:vAlign w:val="bottom"/>
            <w:tcBorders>
              <w:bottom w:val="single" w:sz="8" w:color="A5A5A5"/>
              <w:right w:val="single" w:sz="8" w:color="A5A5A5"/>
            </w:tcBorders>
          </w:tcPr>
          <w:p>
            <w:pPr>
              <w:ind w:left="180"/>
              <w:spacing w:after="0"/>
              <w:rPr>
                <w:sz w:val="20"/>
                <w:szCs w:val="20"/>
                <w:color w:val="auto"/>
              </w:rPr>
            </w:pPr>
            <w:r>
              <w:rPr>
                <w:rFonts w:ascii="Arial" w:cs="Arial" w:eastAsia="Arial" w:hAnsi="Arial"/>
                <w:sz w:val="14"/>
                <w:szCs w:val="14"/>
                <w:color w:val="auto"/>
              </w:rPr>
              <w:t>transactions</w:t>
            </w:r>
          </w:p>
        </w:tc>
        <w:tc>
          <w:tcPr>
            <w:tcW w:w="880" w:type="dxa"/>
            <w:vAlign w:val="bottom"/>
            <w:tcBorders>
              <w:bottom w:val="single" w:sz="8" w:color="A5A5A5"/>
            </w:tcBorders>
          </w:tcPr>
          <w:p>
            <w:pPr>
              <w:spacing w:after="0"/>
              <w:rPr>
                <w:sz w:val="15"/>
                <w:szCs w:val="15"/>
                <w:color w:val="auto"/>
              </w:rPr>
            </w:pPr>
          </w:p>
        </w:tc>
        <w:tc>
          <w:tcPr>
            <w:tcW w:w="20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108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860" w:type="dxa"/>
            <w:vAlign w:val="bottom"/>
            <w:tcBorders>
              <w:right w:val="single" w:sz="8" w:color="A5A5A5"/>
            </w:tcBorders>
          </w:tcPr>
          <w:p>
            <w:pPr>
              <w:spacing w:after="0"/>
              <w:rPr>
                <w:sz w:val="22"/>
                <w:szCs w:val="22"/>
                <w:color w:val="auto"/>
              </w:rPr>
            </w:pPr>
          </w:p>
        </w:tc>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280" w:type="dxa"/>
            <w:vAlign w:val="bottom"/>
            <w:tcBorders>
              <w:right w:val="single" w:sz="8" w:color="A5A5A5"/>
            </w:tcBorders>
          </w:tcPr>
          <w:p>
            <w:pPr>
              <w:spacing w:after="0"/>
              <w:rPr>
                <w:sz w:val="22"/>
                <w:szCs w:val="22"/>
                <w:color w:val="auto"/>
              </w:rPr>
            </w:pPr>
          </w:p>
        </w:tc>
        <w:tc>
          <w:tcPr>
            <w:tcW w:w="880" w:type="dxa"/>
            <w:vAlign w:val="bottom"/>
          </w:tcPr>
          <w:p>
            <w:pPr>
              <w:jc w:val="center"/>
              <w:ind w:left="86"/>
              <w:spacing w:after="0"/>
              <w:rPr>
                <w:sz w:val="20"/>
                <w:szCs w:val="20"/>
                <w:color w:val="auto"/>
              </w:rPr>
            </w:pPr>
            <w:r>
              <w:rPr>
                <w:rFonts w:ascii="Arial" w:cs="Arial" w:eastAsia="Arial" w:hAnsi="Arial"/>
                <w:sz w:val="14"/>
                <w:szCs w:val="14"/>
                <w:color w:val="auto"/>
              </w:rPr>
              <w:t>$2,024</w:t>
            </w:r>
          </w:p>
        </w:tc>
        <w:tc>
          <w:tcPr>
            <w:tcW w:w="200" w:type="dxa"/>
            <w:vAlign w:val="bottom"/>
            <w:tcBorders>
              <w:right w:val="single" w:sz="8" w:color="A5A5A5"/>
            </w:tcBorders>
          </w:tcPr>
          <w:p>
            <w:pPr>
              <w:spacing w:after="0"/>
              <w:rPr>
                <w:sz w:val="22"/>
                <w:szCs w:val="22"/>
                <w:color w:val="auto"/>
              </w:rPr>
            </w:pP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100.0%</w:t>
            </w:r>
          </w:p>
        </w:tc>
        <w:tc>
          <w:tcPr>
            <w:tcW w:w="108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$1,493</w:t>
            </w:r>
          </w:p>
        </w:tc>
        <w:tc>
          <w:tcPr>
            <w:tcW w:w="108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60"/>
        </w:trPr>
        <w:tc>
          <w:tcPr>
            <w:tcW w:w="1860" w:type="dxa"/>
            <w:vAlign w:val="bottom"/>
            <w:tcBorders>
              <w:right w:val="single" w:sz="8" w:color="A5A5A5"/>
            </w:tcBorders>
          </w:tcPr>
          <w:p>
            <w:pPr>
              <w:spacing w:after="0"/>
              <w:rPr>
                <w:sz w:val="5"/>
                <w:szCs w:val="5"/>
                <w:color w:val="auto"/>
              </w:rPr>
            </w:pPr>
          </w:p>
        </w:tc>
        <w:tc>
          <w:tcPr>
            <w:tcW w:w="2380" w:type="dxa"/>
            <w:vAlign w:val="bottom"/>
            <w:tcBorders>
              <w:bottom w:val="single" w:sz="8" w:color="A5A5A5"/>
            </w:tcBorders>
          </w:tcPr>
          <w:p>
            <w:pPr>
              <w:spacing w:after="0"/>
              <w:rPr>
                <w:sz w:val="5"/>
                <w:szCs w:val="5"/>
                <w:color w:val="auto"/>
              </w:rPr>
            </w:pPr>
          </w:p>
        </w:tc>
        <w:tc>
          <w:tcPr>
            <w:tcW w:w="2280" w:type="dxa"/>
            <w:vAlign w:val="bottom"/>
            <w:tcBorders>
              <w:bottom w:val="single" w:sz="8" w:color="A5A5A5"/>
              <w:right w:val="single" w:sz="8" w:color="A5A5A5"/>
            </w:tcBorders>
          </w:tcPr>
          <w:p>
            <w:pPr>
              <w:spacing w:after="0"/>
              <w:rPr>
                <w:sz w:val="5"/>
                <w:szCs w:val="5"/>
                <w:color w:val="auto"/>
              </w:rPr>
            </w:pPr>
          </w:p>
        </w:tc>
        <w:tc>
          <w:tcPr>
            <w:tcW w:w="880" w:type="dxa"/>
            <w:vAlign w:val="bottom"/>
            <w:tcBorders>
              <w:bottom w:val="single" w:sz="8" w:color="A5A5A5"/>
            </w:tcBorders>
          </w:tcPr>
          <w:p>
            <w:pPr>
              <w:spacing w:after="0"/>
              <w:rPr>
                <w:sz w:val="5"/>
                <w:szCs w:val="5"/>
                <w:color w:val="auto"/>
              </w:rPr>
            </w:pPr>
          </w:p>
        </w:tc>
        <w:tc>
          <w:tcPr>
            <w:tcW w:w="20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tcPr>
          <w:p>
            <w:pPr>
              <w:spacing w:after="0"/>
              <w:rPr>
                <w:sz w:val="5"/>
                <w:szCs w:val="5"/>
                <w:color w:val="auto"/>
              </w:rPr>
            </w:pPr>
          </w:p>
        </w:tc>
        <w:tc>
          <w:tcPr>
            <w:tcW w:w="1080" w:type="dxa"/>
            <w:vAlign w:val="bottom"/>
            <w:tcBorders>
              <w:bottom w:val="single" w:sz="8" w:color="A5A5A5"/>
              <w:right w:val="single" w:sz="8" w:color="A5A5A5"/>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We regularly review various aspects of our operations and service offerings, including our policies, procedures, and platforms, in response to marketplace developments. We currently expect to implement changes to aspects of our operations and service offerings in order to position our advisors for long-term growth and to align with competitive and regulatory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Business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key business and financial metrics in evaluating the success of our business relationships and our resulting financial position and operating performance. Our key business and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768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Business Metrics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Brokerage and advisory assets served (in billions)(1)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485.7</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60"/>
        </w:trPr>
        <w:tc>
          <w:tcPr>
            <w:tcW w:w="7680" w:type="dxa"/>
            <w:vAlign w:val="bottom"/>
          </w:tcPr>
          <w:p>
            <w:pPr>
              <w:ind w:left="80"/>
              <w:spacing w:after="0"/>
              <w:rPr>
                <w:sz w:val="20"/>
                <w:szCs w:val="20"/>
                <w:color w:val="auto"/>
              </w:rPr>
            </w:pPr>
            <w:r>
              <w:rPr>
                <w:rFonts w:ascii="Arial" w:cs="Arial" w:eastAsia="Arial" w:hAnsi="Arial"/>
                <w:sz w:val="16"/>
                <w:szCs w:val="16"/>
                <w:color w:val="auto"/>
              </w:rPr>
              <w:t>Advisory assets under custody (in billions)(1)(2)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80"/>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new advisory assets (in billions)(3)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60"/>
        </w:trPr>
        <w:tc>
          <w:tcPr>
            <w:tcW w:w="7680" w:type="dxa"/>
            <w:vAlign w:val="bottom"/>
          </w:tcPr>
          <w:p>
            <w:pPr>
              <w:ind w:left="80"/>
              <w:spacing w:after="0"/>
              <w:rPr>
                <w:sz w:val="20"/>
                <w:szCs w:val="20"/>
                <w:color w:val="auto"/>
              </w:rPr>
            </w:pPr>
            <w:r>
              <w:rPr>
                <w:rFonts w:ascii="Arial" w:cs="Arial" w:eastAsia="Arial" w:hAnsi="Arial"/>
                <w:sz w:val="16"/>
                <w:szCs w:val="16"/>
                <w:color w:val="auto"/>
              </w:rPr>
              <w:t>Insured cash account balances (in billions)(1)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20.0 %</w:t>
            </w:r>
          </w:p>
        </w:tc>
      </w:tr>
      <w:tr>
        <w:trPr>
          <w:trHeight w:val="280"/>
        </w:trPr>
        <w:tc>
          <w:tcPr>
            <w:tcW w:w="7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Money market account balances (in billions)(1)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51"/>
        </w:trPr>
        <w:tc>
          <w:tcPr>
            <w:tcW w:w="7680" w:type="dxa"/>
            <w:vAlign w:val="bottom"/>
          </w:tcPr>
          <w:p>
            <w:pPr>
              <w:ind w:left="80"/>
              <w:spacing w:after="0"/>
              <w:rPr>
                <w:sz w:val="20"/>
                <w:szCs w:val="20"/>
                <w:color w:val="auto"/>
              </w:rPr>
            </w:pPr>
            <w:r>
              <w:rPr>
                <w:rFonts w:ascii="Arial" w:cs="Arial" w:eastAsia="Arial" w:hAnsi="Arial"/>
                <w:sz w:val="16"/>
                <w:szCs w:val="16"/>
                <w:color w:val="auto"/>
              </w:rPr>
              <w:t>Advisors(4)</w:t>
            </w: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14,130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0.4 %</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32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Financial Metrics</w:t>
            </w: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257"/>
        </w:trPr>
        <w:tc>
          <w:tcPr>
            <w:tcW w:w="5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(decrease) increase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341"/>
        </w:trPr>
        <w:tc>
          <w:tcPr>
            <w:tcW w:w="5320" w:type="dxa"/>
            <w:vAlign w:val="bottom"/>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73.8 %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73.8 %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280"/>
        </w:trPr>
        <w:tc>
          <w:tcPr>
            <w:tcW w:w="5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Pre-tax income (in millions)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168.8</w:t>
            </w:r>
          </w:p>
        </w:tc>
      </w:tr>
      <w:tr>
        <w:trPr>
          <w:trHeight w:val="260"/>
        </w:trPr>
        <w:tc>
          <w:tcPr>
            <w:tcW w:w="5320" w:type="dxa"/>
            <w:vAlign w:val="bottom"/>
          </w:tcPr>
          <w:p>
            <w:pPr>
              <w:ind w:left="200"/>
              <w:spacing w:after="0"/>
              <w:rPr>
                <w:sz w:val="20"/>
                <w:szCs w:val="20"/>
                <w:color w:val="auto"/>
              </w:rPr>
            </w:pPr>
            <w:r>
              <w:rPr>
                <w:rFonts w:ascii="Arial" w:cs="Arial" w:eastAsia="Arial" w:hAnsi="Arial"/>
                <w:sz w:val="16"/>
                <w:szCs w:val="16"/>
                <w:color w:val="auto"/>
              </w:rPr>
              <w:t>Net income (in millions)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100.9</w:t>
            </w:r>
          </w:p>
        </w:tc>
      </w:tr>
      <w:tr>
        <w:trPr>
          <w:trHeight w:val="280"/>
        </w:trPr>
        <w:tc>
          <w:tcPr>
            <w:tcW w:w="5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Earnings per share (diluted)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w:t>
            </w:r>
          </w:p>
        </w:tc>
      </w:tr>
      <w:tr>
        <w:trPr>
          <w:trHeight w:val="260"/>
        </w:trPr>
        <w:tc>
          <w:tcPr>
            <w:tcW w:w="5320" w:type="dxa"/>
            <w:vAlign w:val="bottom"/>
          </w:tcPr>
          <w:p>
            <w:pPr>
              <w:ind w:left="80"/>
              <w:spacing w:after="0"/>
              <w:rPr>
                <w:sz w:val="20"/>
                <w:szCs w:val="20"/>
                <w:color w:val="auto"/>
              </w:rPr>
            </w:pPr>
            <w:r>
              <w:rPr>
                <w:rFonts w:ascii="Arial" w:cs="Arial" w:eastAsia="Arial" w:hAnsi="Arial"/>
                <w:sz w:val="16"/>
                <w:szCs w:val="16"/>
                <w:color w:val="auto"/>
              </w:rPr>
              <w:t>Non-GAAP Measures:(5)</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5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(in millions)(6)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700.6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695.6</w:t>
            </w:r>
          </w:p>
        </w:tc>
      </w:tr>
      <w:tr>
        <w:trPr>
          <w:trHeight w:val="260"/>
        </w:trPr>
        <w:tc>
          <w:tcPr>
            <w:tcW w:w="5320" w:type="dxa"/>
            <w:vAlign w:val="bottom"/>
          </w:tcPr>
          <w:p>
            <w:pPr>
              <w:ind w:left="200"/>
              <w:spacing w:after="0"/>
              <w:rPr>
                <w:sz w:val="20"/>
                <w:szCs w:val="20"/>
                <w:color w:val="auto"/>
              </w:rPr>
            </w:pPr>
            <w:r>
              <w:rPr>
                <w:rFonts w:ascii="Arial" w:cs="Arial" w:eastAsia="Arial" w:hAnsi="Arial"/>
                <w:sz w:val="16"/>
                <w:szCs w:val="16"/>
                <w:color w:val="auto"/>
              </w:rPr>
              <w:t>Gross profit growth from prior period(6)</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80"/>
        </w:trPr>
        <w:tc>
          <w:tcPr>
            <w:tcW w:w="5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as a % of net revenue(6)</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36" w:right="239" w:bottom="1440" w:gutter="0" w:footer="0" w:header="0"/>
        </w:sectPr>
      </w:pPr>
    </w:p>
    <w:bookmarkStart w:id="7" w:name="page8"/>
    <w:bookmarkEnd w:id="7"/>
    <w:p>
      <w:pPr>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Brokerage and advisory assets served are comprised of assets that are custodied, networked, and non-networked and reflect market movement in addition to new assets, inclusive of new business development and net of attrition. Insured cash account and money market account balances are also included in brokerage and advisory assets served. Set forth below are other client assets at June 30, 2016 and 2015, including retirement plan assets and certain trust and high-net-worth assets, that are custodied with third-party providers and therefore excluded from brokerage and advisory assets (in billions):</w:t>
      </w:r>
    </w:p>
    <w:p>
      <w:pPr>
        <w:spacing w:after="0" w:line="161"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Trust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r>
    </w:tbl>
    <w:p>
      <w:pPr>
        <w:ind w:left="660"/>
        <w:spacing w:after="0"/>
        <w:rPr>
          <w:sz w:val="20"/>
          <w:szCs w:val="20"/>
          <w:color w:val="auto"/>
        </w:rPr>
      </w:pPr>
      <w:r>
        <w:rPr>
          <w:rFonts w:ascii="Arial" w:cs="Arial" w:eastAsia="Arial" w:hAnsi="Arial"/>
          <w:sz w:val="7"/>
          <w:szCs w:val="7"/>
          <w:color w:val="auto"/>
        </w:rPr>
        <w:t>_____________________________</w:t>
      </w:r>
    </w:p>
    <w:p>
      <w:pPr>
        <w:ind w:left="980" w:right="20" w:hanging="324"/>
        <w:spacing w:after="0" w:line="252"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June 30, 2016 and 2015, our retirement plan assets represent those assets that are custodied with various third-party providers of retirement plan administrative services who provide reporting feeds. We estimate the total assets in retirement plans supported to be approximately $124 billion at June 30, 2016. If we receive reporting feeds in the future from providers for whom we do not currently receive feeds, we intend to include and identify such additional assets in this metric. Such additional feeds since June 30, 2015, accounted for $3.9 billion of the total retirement plan assets.</w:t>
      </w:r>
    </w:p>
    <w:p>
      <w:pPr>
        <w:spacing w:after="0" w:line="208" w:lineRule="exact"/>
        <w:rPr>
          <w:rFonts w:ascii="Arial" w:cs="Arial" w:eastAsia="Arial" w:hAnsi="Arial"/>
          <w:sz w:val="18"/>
          <w:szCs w:val="18"/>
          <w:color w:val="auto"/>
        </w:rPr>
      </w:pPr>
    </w:p>
    <w:p>
      <w:pPr>
        <w:ind w:left="660" w:right="16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Advisory assets under custody are comprised of advisory assets under management in our corporate RIA platform and Hybrid RIA assets in advisory accounts custodied by us. See “Results of Operations” for a tabular presentation of advisory assets under custody.</w:t>
      </w:r>
    </w:p>
    <w:p>
      <w:pPr>
        <w:spacing w:after="0" w:line="174" w:lineRule="exact"/>
        <w:rPr>
          <w:rFonts w:ascii="Arial" w:cs="Arial" w:eastAsia="Arial" w:hAnsi="Arial"/>
          <w:sz w:val="17"/>
          <w:szCs w:val="17"/>
          <w:color w:val="auto"/>
        </w:rPr>
      </w:pPr>
    </w:p>
    <w:p>
      <w:pPr>
        <w:ind w:left="660" w:right="6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net new assets for the six months ended June 30, 2016 and 2015 consisting of funds deposited into new advisory accounts and additional funds deposited into existing advisory accounts that are custodied in our fee-based advisory platforms.</w:t>
      </w:r>
    </w:p>
    <w:p>
      <w:pPr>
        <w:spacing w:after="0" w:line="196"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our broker-dealer subsidiary.</w:t>
      </w:r>
    </w:p>
    <w:p>
      <w:pPr>
        <w:spacing w:after="0" w:line="196" w:lineRule="exact"/>
        <w:rPr>
          <w:rFonts w:ascii="Arial" w:cs="Arial" w:eastAsia="Arial" w:hAnsi="Arial"/>
          <w:sz w:val="18"/>
          <w:szCs w:val="18"/>
          <w:color w:val="auto"/>
        </w:rPr>
      </w:pPr>
    </w:p>
    <w:p>
      <w:pPr>
        <w:ind w:left="660" w:right="28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management believes that presenting certain non-GAAP measures by excluding or including certain items can be helpful to investors and analysts who may wish to use some or all of this information to analyze our current performance, prospects, and valuation. Our management uses this non-GAAP information internally to evaluate operating performance and in formulating the budget for future periods. Our management believes that the non-GAAP measures and metrics discussed below are appropriate for evaluating the performance of the Company.</w:t>
      </w:r>
    </w:p>
    <w:p>
      <w:pPr>
        <w:spacing w:after="0" w:line="205" w:lineRule="exact"/>
        <w:rPr>
          <w:rFonts w:ascii="Arial" w:cs="Arial" w:eastAsia="Arial" w:hAnsi="Arial"/>
          <w:sz w:val="18"/>
          <w:szCs w:val="18"/>
          <w:color w:val="auto"/>
        </w:rPr>
      </w:pPr>
    </w:p>
    <w:p>
      <w:pPr>
        <w:ind w:left="660" w:right="60" w:hanging="328"/>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is calculated as net revenues less production expenses. Production expenses consist of the following expense categories from our unaudited condensed consolidated statements of income: (i) commission and advisory and (ii) brokerage, clearing, and exchange. All other expense categories, including depreciation and amortization of fixed assets and amortization of intangible assets, are considered general and administrative in nature. Because our gross profit amounts do not include any depreciation and amortization expense, we consider our gross profit amounts to be non-GAAP measures that may not be comparable to those of others in our industry. We believe that gross profit amounts can be useful to investors because they show the Company’s core operating performance before indirect costs that are general and administrative in nature.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Matters</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As a regulated entity, we are subject to regulatory oversight and inquiries related to, among other items, our compliance and supervisory systems and procedures and other controls, as well as our disclosures, supervision, and reporting. The ongoing environment of additional regulation, increased regulatory compliance obligations, and enhanced regulatory enforcement has resulted in additional operational and compliance costs, as well as increased costs in the form of fines, restitution, and remediation related to regulatory matters.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82" w:right="259" w:bottom="1440" w:gutter="0" w:footer="0" w:header="0"/>
        </w:sectPr>
      </w:pPr>
    </w:p>
    <w:bookmarkStart w:id="8" w:name="page9"/>
    <w:bookmarkEnd w:id="8"/>
    <w:p>
      <w:pPr>
        <w:spacing w:after="0" w:line="262" w:lineRule="auto"/>
        <w:rPr>
          <w:sz w:val="20"/>
          <w:szCs w:val="20"/>
          <w:color w:val="auto"/>
        </w:rPr>
      </w:pPr>
      <w:r>
        <w:rPr>
          <w:rFonts w:ascii="Arial" w:cs="Arial" w:eastAsia="Arial" w:hAnsi="Arial"/>
          <w:sz w:val="18"/>
          <w:szCs w:val="18"/>
          <w:color w:val="auto"/>
        </w:rPr>
        <w:t>owned captive insurance subsidiary, which is chartered with the insurance commissioner in the state of Tennessee. Our ability to estimate such costs may vary based on the current stage of evaluation and status of discussion with regulators, as applicable.</w:t>
      </w:r>
    </w:p>
    <w:p>
      <w:pPr>
        <w:spacing w:after="0" w:line="19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accruals, including those established through the captive insurance subsidiary, at June 30, 2016 include estimated costs for significant regulatory matters, generally relating to the adequacy of our compliance and supervisory systems and procedures and other controls, for which we believe losses are both probable and reasonably estimable. One of the matters relates to sales of certain securities over several years, and our accrual at June 30, 2016 includes an estimate for the loss we expect to incur in resolving this matter, including if we were to repurchase certain affected securities at their original sales prices.</w:t>
      </w:r>
    </w:p>
    <w:p>
      <w:pPr>
        <w:spacing w:after="0" w:line="206"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the unaudited condensed consolidated financial statements.</w:t>
      </w:r>
    </w:p>
    <w:p>
      <w:pPr>
        <w:spacing w:after="0" w:line="18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In April 2016, the U.S. Department of Labor issued a final rule (the “DOL Rule”): </w:t>
      </w:r>
      <w:r>
        <w:rPr>
          <w:rFonts w:ascii="Arial" w:cs="Arial" w:eastAsia="Arial" w:hAnsi="Arial"/>
          <w:sz w:val="18"/>
          <w:szCs w:val="18"/>
          <w:i w:val="1"/>
          <w:iCs w:val="1"/>
          <w:color w:val="auto"/>
        </w:rPr>
        <w:t>“Definition of the Term “Fiduciary”; Conflict of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Rule-Retirement Investment Advice.” </w:t>
      </w:r>
      <w:r>
        <w:rPr>
          <w:rFonts w:ascii="Arial" w:cs="Arial" w:eastAsia="Arial" w:hAnsi="Arial"/>
          <w:sz w:val="18"/>
          <w:szCs w:val="18"/>
          <w:color w:val="auto"/>
        </w:rPr>
        <w:t>The DOL Rule broadens the circumstances under which we may be considered a “fiduciary”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accounts that are subject to the Employee Retirement Income Security Act, and the prohibited transaction rules under section 4975 of the Internal Revenue Code, including many employer-sponsored retirement plans and individual retirement accounts. The DOL Rule will likely affect the products and services we provide to these types of accounts and the compensation that we and our advisors receive in connection with such products and services, as well as our regulatory compliance and other costs and those of our advisors. In addition, the DOL Rule creates increased risk of private arbitration and litigation, including potential class action litigation, based on violations of the DOL Rule. We are continuing to analyze the potential effects of the DOL Rule on our business, including implications for both our revenues and expenses, and the broader financial services industry as of the date of this quarterly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May 2013, we entered into a long-term contractual obligation (the "Agreement") with a third-party provider to enhance the quality and speed and reduce the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of the signing of the Agreement,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213"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auto"/>
        </w:rPr>
        <w:t>We use derivative financial instruments consisting primarily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78" w:lineRule="exact"/>
        <w:rPr>
          <w:sz w:val="20"/>
          <w:szCs w:val="20"/>
          <w:color w:val="auto"/>
        </w:rPr>
      </w:pPr>
    </w:p>
    <w:p>
      <w:pPr>
        <w:ind w:right="740" w:firstLine="486"/>
        <w:spacing w:after="0" w:line="282"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the unaudited condensed consolidated financial statements for additional information regarding our derivative financial instruments.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six months ended June 30, 2016. See our 2015 Annual Report on Form 10-K for 2015 activity.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9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financial markets, particularly in the United States. In the U.S., economic data continues to point to fairly steady, but still below-trend, economic growth. According to the most recent estimate by the Bureau of Economic Analysis, real gross domestic product (“GDP”) growth slowed to a 1.1% annualized rate in the first quarter of 2016, putting the overall growth rate over the last four quarters at 2.1%. More recent data point to GDP tracking to above 2% for the second quarter of 2016. A largely healthy labor market, a relatively strong but cautious U.S. consumer, and low interest rates have all been supportive of growth. In addition, stabilizing oil prices have helped manufacturing to rebound modestly, while services sector activity remains steady. Nevertheless, a lack of support from global growth continues to be a concern and increased uncertainty from the surprising outcome of the U.K.’s June 23, 2016 referendum vote in favor of leaving the European Union and the upcoming election in the U.S. may be causing some businesses to delay committing to major projects pending greater clarity. While prospective growth of 2-3% is modest by historical standards, such a growth rate would still be above the Congressional Budget Office’s potential GDP growth rate, and therefore could be enough to continue to slowly tighten the labor market, to push wages higher, and to increase the probability of the Fed raising rates later this year.</w:t>
      </w:r>
    </w:p>
    <w:p>
      <w:pPr>
        <w:spacing w:after="0" w:line="1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Equity markets saw a marked decline in volatility over most of the second quarter compared to a volatile prior quarter, and market-based measures of financial stress were steadily declining heading into June, when uncertainty about the potential outcome of the U.K.’s referendum vote began to appear in some markets. Despite a sharp two-day decline in equity markets following the actual outcome of the vote, stocks rebounded into quarter end, and the S&amp;P 500 finished the quarter with a gain, although the price index still sat below its May 21, 2015 all-time high. Throughout the quarter, however, fund flow data and investor sentiment surveys indicated continued caution among retail investors. Advancing equities have done little to satisfy the market’s appetite for quality bonds and treasury yields at the longer end of the curve continued to push lower through most of the quarter, including a sharp decline following the outcome of the U.K. referendum vote. Several factors have worked together to keep rates low, including low rates abroad, well-contained inflation, a slower prospective rate hike path from the Fed, and a tempered appetite for risk. Market-based measures of inflation have also remained contained. Although credit spreads have narrowed and equities have risen, long-term interest rates have remained extraordinarily low.</w:t>
      </w:r>
    </w:p>
    <w:p>
      <w:pPr>
        <w:spacing w:after="0" w:line="104"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business is also sensitive to current and expected short-term interest rates, which are largely driven by Fed policy. In particular, low short-term rates can weigh on the profitability of our cash sweep program, due to the fee compression needed to keep our rates competitive. Low interest rates and the prospect of rising rates over the long term can also have an impact on demand for fixed and variable annuity products. While the Fed, at its March meeting, had reduced its projection of the number of 0.25% rate hikes that it expected by the end of 2016 from four to two, there continued to be a meaningful difference between the Fed’s and the market’s expectations of the future path of the Fed’s key policy rate, both in 2016 and longer term. The Fed continued to exhibit its resolve to raise rates twice in 2017 at its April meeting and in post-meeting speeches by Fed members, but its plan was delayed by an unusually weak May Employment Situation report from the U.S. Department of Labor and derailed by the outcome of the U.K. referendum, with market-implied expectations of the next rate hike getting pushed back as far as 2018 by the end of the quarter. Although these events may contribute to rates remaining low for longer than previously expected, the Fed continues to emphasize that its policy path will be data dependent and has presented a generally positive picture of the U.S. economy while acknowledging risks from abroad.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The following table and discussion below presents an analysis of our results of operations for the three and six months ended June 30, 2016 and 2015. Where appropriate, we have identified specific events and changes that affect comparability or identification or monitoring of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c>
          <w:tcPr>
            <w:tcW w:w="1360" w:type="dxa"/>
            <w:vAlign w:val="bottom"/>
          </w:tcPr>
          <w:p>
            <w:pPr>
              <w:spacing w:after="0"/>
              <w:rPr>
                <w:sz w:val="19"/>
                <w:szCs w:val="19"/>
                <w:color w:val="auto"/>
              </w:rPr>
            </w:pPr>
          </w:p>
        </w:tc>
      </w:tr>
      <w:tr>
        <w:trPr>
          <w:trHeight w:val="264"/>
        </w:trPr>
        <w:tc>
          <w:tcPr>
            <w:tcW w:w="3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3"/>
        </w:trPr>
        <w:tc>
          <w:tcPr>
            <w:tcW w:w="342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0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445,755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509,689</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882,482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1,033,088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Advisory</w:t>
            </w: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322,955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344,884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642,387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686,996</w:t>
            </w: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137,797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125,072</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10.2 %</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274,048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245,704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101,824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97,811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4.1 %</w:t>
            </w: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204,514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199,506</w:t>
            </w:r>
          </w:p>
        </w:tc>
        <w:tc>
          <w:tcPr>
            <w:tcW w:w="136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net of interest expense</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1.2 %</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64"/>
        </w:trPr>
        <w:tc>
          <w:tcPr>
            <w:tcW w:w="34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8,028</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(30.1)%</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10,487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24,914</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(57.9)%</w:t>
            </w:r>
          </w:p>
        </w:tc>
      </w:tr>
      <w:tr>
        <w:trPr>
          <w:trHeight w:val="257"/>
        </w:trPr>
        <w:tc>
          <w:tcPr>
            <w:tcW w:w="34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net revenues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1,019,181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1,090,661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2,024,486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2,199,963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54"/>
        </w:trPr>
        <w:tc>
          <w:tcPr>
            <w:tcW w:w="342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674,289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750,390</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1,323,889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1,504,378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Compensation and benefits</w:t>
            </w: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105,773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112,337</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219,828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224,617</w:t>
            </w: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107,308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99,457</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7.9 %</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211,981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213,811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60"/>
        </w:trPr>
        <w:tc>
          <w:tcPr>
            <w:tcW w:w="342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18,749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17,196</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9.0 %</w:t>
            </w: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37,711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33,625</w:t>
            </w:r>
          </w:p>
        </w:tc>
        <w:tc>
          <w:tcPr>
            <w:tcW w:w="1360" w:type="dxa"/>
            <w:vAlign w:val="bottom"/>
          </w:tcPr>
          <w:p>
            <w:pPr>
              <w:jc w:val="right"/>
              <w:spacing w:after="0"/>
              <w:rPr>
                <w:sz w:val="20"/>
                <w:szCs w:val="20"/>
                <w:color w:val="auto"/>
              </w:rPr>
            </w:pPr>
            <w:r>
              <w:rPr>
                <w:rFonts w:ascii="Arial" w:cs="Arial" w:eastAsia="Arial" w:hAnsi="Arial"/>
                <w:sz w:val="16"/>
                <w:szCs w:val="16"/>
                <w:color w:val="auto"/>
              </w:rPr>
              <w:t>12.2 %</w:t>
            </w:r>
          </w:p>
        </w:tc>
      </w:tr>
      <w:tr>
        <w:trPr>
          <w:trHeight w:val="280"/>
        </w:trPr>
        <w:tc>
          <w:tcPr>
            <w:tcW w:w="3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9,536</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19,173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64"/>
        </w:trPr>
        <w:tc>
          <w:tcPr>
            <w:tcW w:w="3420" w:type="dxa"/>
            <w:vAlign w:val="bottom"/>
          </w:tcPr>
          <w:p>
            <w:pPr>
              <w:ind w:left="8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4,492</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8,416</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0"/>
        </w:trPr>
        <w:tc>
          <w:tcPr>
            <w:tcW w:w="3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915,628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993,408</w:t>
            </w:r>
          </w:p>
        </w:tc>
        <w:tc>
          <w:tcPr>
            <w:tcW w:w="146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1,812,443</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2,004,020</w:t>
            </w: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50"/>
        </w:trPr>
        <w:tc>
          <w:tcPr>
            <w:tcW w:w="34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Non-operating interest expense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13,163</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80.8 %</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47,694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27,178</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75.5 %</w:t>
            </w:r>
          </w:p>
        </w:tc>
      </w:tr>
      <w:tr>
        <w:trPr>
          <w:trHeight w:val="257"/>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79,749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84,090</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164,349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168,765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33,848</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(5.8)%</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66,108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67,845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w:t>
            </w:r>
          </w:p>
        </w:tc>
      </w:tr>
      <w:tr>
        <w:trPr>
          <w:trHeight w:val="267"/>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50,242</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98,241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100,920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420" w:firstLine="486"/>
        <w:spacing w:after="0" w:line="252" w:lineRule="auto"/>
        <w:rPr>
          <w:sz w:val="20"/>
          <w:szCs w:val="20"/>
          <w:color w:val="auto"/>
        </w:rPr>
      </w:pPr>
      <w:r>
        <w:rPr>
          <w:rFonts w:ascii="Arial" w:cs="Arial" w:eastAsia="Arial" w:hAnsi="Arial"/>
          <w:sz w:val="18"/>
          <w:szCs w:val="18"/>
          <w:color w:val="auto"/>
        </w:rPr>
        <w:t>We generate two types of commission revenues: sales-based commissions and trailing commissions. Sales-based commission revenues, which occur whenever clients trade securities or purchase various types of investment products, primarily represent gross commissions earned by our advisors. The levels of sales-based commission revenues can vary from period to period based on the overall economic environment, number of trading days in the reporting period, and investment activity of our advisors' clients. Trailing commission revenues are recurring in nature and are earned based on the market value of investment holdings in trail eligible assets. We earn trailing commission revenues (a commission that is paid over time, such as 12(b)-1 fees) primarily on mutual funds and variable annuities held by clients of our advisors.</w:t>
      </w:r>
    </w:p>
    <w:p>
      <w:pPr>
        <w:spacing w:after="0" w:line="99"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173,421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203,380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135,770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158,063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(22,293)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(14.1)%</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53,623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36,092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17,531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48.6 %</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24,071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0"/>
        </w:trPr>
        <w:tc>
          <w:tcPr>
            <w:tcW w:w="620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11,686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12,391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280"/>
        </w:trPr>
        <w:tc>
          <w:tcPr>
            <w:tcW w:w="6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44"/>
        </w:trPr>
        <w:tc>
          <w:tcPr>
            <w:tcW w:w="620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445,755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509,689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(63,934)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(12.5)%</w:t>
            </w:r>
          </w:p>
        </w:tc>
      </w:tr>
      <w:tr>
        <w:trPr>
          <w:trHeight w:val="378"/>
        </w:trPr>
        <w:tc>
          <w:tcPr>
            <w:tcW w:w="10060" w:type="dxa"/>
            <w:vAlign w:val="bottom"/>
            <w:gridSpan w:val="9"/>
          </w:tcPr>
          <w:p>
            <w:pPr>
              <w:jc w:val="right"/>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218,266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262,792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227,489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246,897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(19,408)</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(7.9)%</w:t>
            </w:r>
          </w:p>
        </w:tc>
      </w:tr>
      <w:tr>
        <w:trPr>
          <w:trHeight w:val="240"/>
        </w:trPr>
        <w:tc>
          <w:tcPr>
            <w:tcW w:w="6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445,755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509,689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(63,934)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decrease in commission revenue for the three months ended June 30, 2016 compared with the same period in 2015, was primarily due to a decrease in sales-based activity for variable annuities, alternative investments, and mutual funds. Significant market volatility and investor uncertainty in the low interest rate environment led to a decline in demand for variable annuities and mutual funds. Alternative investment sales commissions were primarily challenged by marketplace uncertainties in response to regulatory changes.</w:t>
      </w:r>
    </w:p>
    <w:p>
      <w:pPr>
        <w:spacing w:after="0" w:line="204"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Trailing revenues are recurring in nature and the decrease in revenue for the period reflects a decrease in the market value of the underlying assets.</w:t>
      </w:r>
    </w:p>
    <w:p>
      <w:pPr>
        <w:spacing w:after="0" w:line="196"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The significant market volatility and investor uncertainty in the low interest rate environment in the current quarter shifted investors' focus from portfolio growth to income streams with minimal risk to principal. This led to the increase in sales of fixed annuities, which pay guaranteed rates of interest and can appeal to investors wary of market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2" w:name="page13"/>
    <w:bookmarkEnd w:id="12"/>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345,107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395,732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269,504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309,216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(39,712)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(12.8)%</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90,680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105,688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71,199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34,489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48.4 %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41,946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48,058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(6,112)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(12.7)%</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23,443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25,383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(1,940)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(7.6)%</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18.4 %</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882,482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1,033,088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(150,606)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(14.6)%</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433,080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546,259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449,402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486,829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(37,427)</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882,482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1,033,088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(150,606)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decrease in commission revenue for the six months ended June 30, 2016 compared with the same period in 2015, was primarily due to a decrease in sales-based activity for alternative investments, variable annuities, and mutual funds. Alternative investment sales commissions were primarily challenged by marketplace uncertainties in response to regulatory changes. Significant market volatility and investor uncertainty in the low interest rate environment led to a decline in demand for variable annuities and mutual funds.</w:t>
      </w:r>
    </w:p>
    <w:p>
      <w:pPr>
        <w:spacing w:after="0" w:line="96"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Trailing revenues are recurring in nature and the decrease in revenue for the period reflects a decrease in the market value of the underlying assets.</w:t>
      </w:r>
    </w:p>
    <w:p>
      <w:pPr>
        <w:spacing w:after="0" w:line="1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significant market volatility and investor uncertainty in the low interest rate environment during the six months of the year shifted investors' focus from portfolio growth to income streams with minimal risk to principal. This led to the increase in sales of fixed annuities, which pay guaranteed rates of interest and can appeal to investors wary of market volatility.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LLC (“LPL Financial”) to clients of our advisors based on the value of their advisory assets. Advisory fees are billed to clients on either a calendar quarter or non-calendar quarter basis, depending on their choice, at the beginning of that period, and are recognized as revenue ratably during the quarter. The value of the assets in an advisory account on the billing date determines the amount billed, and accordingly, the revenues earned in the following three month period. The majority of our accounts are billed in advance using values as of the last business day of each calendar quarter. Advisory revenues collected on our corporate RIA platform are proposed by the advisor and agreed to by the client and average 1.1% of the underlying assets, and can range anywhere from 0.5% to 3.0%.</w:t>
      </w:r>
    </w:p>
    <w:p>
      <w:pPr>
        <w:spacing w:after="0" w:line="20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also support Hybrid RIAs, through our Hybrid RIA platform, which allows advisors to engage us for technology, clearing, and custody services, as well as access to the capabilities of our investment platforms. Most financial advisors associated with Hybrid RIAs carry their brokerage license with LPL Financial and access our fully-integrated brokerage platform under standard terms, although some financial advisors associated with Hybrid RIAs do not carry a brokerage license with us. The assets held under a Hybrid RIA's investment advisory accounts custodied with LPL Financial are included in our brokerage and advisory assets, net new advisory assets, and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0" w:right="23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8"/>
          <w:szCs w:val="18"/>
          <w:color w:val="auto"/>
        </w:rPr>
        <w:t>advisory assets under custody metrics. However, the advisory revenue generated by a Hybrid RIA is earned by the Hybrid RIA, and accordingly is not included in our advisory revenue. We charge separate fees to Hybrid RIAs for technology, clearing, administrative, and custody services. The administrative fees collected on our Hybrid RIA platform vary and can reach a maximum of 0.6% of the underlying assets.</w:t>
      </w:r>
    </w:p>
    <w:p>
      <w:pPr>
        <w:spacing w:after="0" w:line="202"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all activity in advisory assets under our custody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189.5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196.1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Net new advisory assets for the three and six months ended June 30, 2016 and 2015 had a limited impact on advisory fee revenue for those respective periods. Rather, net new advisory assets are a primary driver of future advisory fee revenue and have resulted primarily from recruiting of new advisors to our Hybrid RIA platform and the continued shift by our existing advisors from brokerage towards more advisory business. With advisory fees for the period calculated based on the ending market value of the immediately preceding period, revenues for any particular quarter are primarily driven by each of the prior quarter's month-end advisory assets under management. The decrease in advisory revenue for the three and six months ended June 30, 2016 compared with the same period in 2015 is due to a shift of advisors to our Hybrid RIA platform that more than offset the net new advisory assets.</w:t>
      </w:r>
    </w:p>
    <w:p>
      <w:pPr>
        <w:spacing w:after="0" w:line="20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Assets on our Hybrid RIA platform have been growing rapidly through the recruiting of new advisors and the transition of existing advisors onto that platform. This continued shift of advisors to our Hybrid RIA platform has caused the growth in advisory revenue to appear to lag behind the rate of growth of advisory assets under custody, as we earn the administrative and other fees discussed above as opposed to earning advisory fees.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total advisory assets under our custody as of June 30, 2016 and 2015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6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Hybrid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23.1 %</w:t>
            </w:r>
          </w:p>
        </w:tc>
      </w:tr>
      <w:tr>
        <w:trPr>
          <w:trHeight w:val="24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65" w:lineRule="exact"/>
        <w:rPr>
          <w:sz w:val="20"/>
          <w:szCs w:val="20"/>
          <w:color w:val="auto"/>
        </w:rPr>
      </w:pPr>
    </w:p>
    <w:p>
      <w:pPr>
        <w:ind w:left="5620" w:right="4140" w:hanging="5288"/>
        <w:spacing w:after="0" w:line="543" w:lineRule="auto"/>
        <w:tabs>
          <w:tab w:leader="none" w:pos="662"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advisory assets under management on our corporate advisory platform. 10</w:t>
      </w:r>
    </w:p>
    <w:p>
      <w:pPr>
        <w:sectPr>
          <w:pgSz w:w="11900" w:h="16838" w:orient="portrait"/>
          <w:cols w:equalWidth="0" w:num="1">
            <w:col w:w="11420"/>
          </w:cols>
          <w:pgMar w:left="240" w:top="4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Asset-based revenues are comprised of our sponsorship programs with financial product manufacturers, omnibus processing and networking services, and fees from our cash sweep program. We receive fees from certain financial product manufacturers in connection with sponsorship programs that support our marketing and sales education and training efforts.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 Pursuant to contractual arrangements, uninvested cash balances in our advisors’ client accounts are swept into either insured cash accounts at various banks or third-party money market funds, for which we receive fees, including administrative and recordkeeping fees based on account type and the invested balances.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Asset-based revenues for the three months ended June 30, 2016 increased to $137.8 million, or 10.2% from $125.1 million for the three months ended June 30, 2015. The increase is due primarily to increased revenues from our cash sweep program. Cash sweep revenue increased to $40.9 million for the three months ended June 30, 2016 from $ 22.6 million for the three months ended June 30, 2015 due to the impact of the increase in the target range for the federal funds effective rate and an increase in average assets in our cash sweep program as investors increased the balances of their assets held in cash in response to the volatility in the financial markets. As of June 30, 2016, our cash sweep balances had grown to $29.2 billion from $24.3 billion as of June 30, 2015, with average cash sweep balances of $29.3 billion and $24.1 billion during the three months ended June 30, 2016 and 2015, respectively. The increase in cash sweep revenue was partially offset by a 5.4% decrease in other asset-based revenues, due in part to lower average billable assets.</w:t>
      </w:r>
    </w:p>
    <w:p>
      <w:pPr>
        <w:spacing w:after="0" w:line="27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Asset-based revenues for the six months ended June 30, 2016 increased to $274.0 million, or 11.5%, from $245.7 million compared with the same period in 2015. The increase is due primarily to increased revenues from our cash sweep program. Cash sweep revenues increased to $84.3 million for the six months ended June 30, 2016 from $44.1 million for the six months ended June 30, 2015 due to the impact of the increase in the target range for the federal funds effective rate and an increase in average assets in our cash sweep program as investors increased the balances of their assets held in cash in response to the volatility in the financial markets. Our average assets in our cash sweep assets have grown to $30.1 billion from $24.5 billion an increase of 22.9% for the six months ended June 30, 2016 and 2015, respectively. The increase in cash sweep revenue was partially offset by a 5.9% decrease in other asset-based revenues, due in part to lower average billable assets. As a result of contractual repricing, if the federal funds effective rate remains the same, we expect the average yield for our insured cash account program to be lower in the six months ending December 31, 2016 than the six months ended June 30,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Transaction revenues primarily include fees we charge to our advisors and their clients for executing certain transactions in brokerage and fee-based advisory accounts. Fee revenues primarily include Individual Retirement Account (“IRA”) custodian fees, contract and licensing fees, and other client account fees. In addition, we host certain advisor conferences that serve as training, education, sales, and marketing events, for which we charge a fee for attendance.</w:t>
      </w:r>
    </w:p>
    <w:p>
      <w:pPr>
        <w:spacing w:after="0" w:line="204"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Transaction and fee revenues increased for the three and six months ended June 30, 2016 compared to the same periods in 2015, primarily due to higher transaction volumes in trades in advisory accounts that generate transaction-based revenue.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We earn interest income, net from client margin accounts and cash equivalents. Period over period variances correspond to changes in the average balances of assets in margin accounts and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Other revenues primarily include marketing allowances received from certain financial product manufacturers, primarily those who offer alternative investments, such as non-traded real estate investment trusts and business development companies, mark-to-market gains and losses on assets held by us for the advisor non-qualified deferred compensation plan and our model research portfolios, and other miscellaneous revenues.</w:t>
      </w:r>
    </w:p>
    <w:p>
      <w:pPr>
        <w:spacing w:after="0" w:line="20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Other revenues decreased for the three months ended June 30, 2016 compared to the same period in 2015 primarily due to decreases in alternative investment marketing allowances of $4.4 million associated with a decline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6" w:right="239" w:bottom="1440" w:gutter="0" w:footer="0" w:header="0"/>
        </w:sectPr>
      </w:pPr>
    </w:p>
    <w:bookmarkStart w:id="15" w:name="page16"/>
    <w:bookmarkEnd w:id="15"/>
    <w:p>
      <w:pPr>
        <w:ind w:right="140"/>
        <w:spacing w:after="0" w:line="256" w:lineRule="auto"/>
        <w:rPr>
          <w:sz w:val="20"/>
          <w:szCs w:val="20"/>
          <w:color w:val="auto"/>
        </w:rPr>
      </w:pPr>
      <w:r>
        <w:rPr>
          <w:rFonts w:ascii="Arial" w:cs="Arial" w:eastAsia="Arial" w:hAnsi="Arial"/>
          <w:sz w:val="18"/>
          <w:szCs w:val="18"/>
          <w:color w:val="auto"/>
        </w:rPr>
        <w:t>in related sales due to marketplace uncertainties in response to regulatory changes, which were offset by a gain of $1.9 million in realized and unrealized gains/losses on approximately $120.3 million of assets held in our advisor non-qualified deferred compensation plan. The primary driver of this increase was due to market performance on the underlying investment allocations chosen by advisors in the plan.</w:t>
      </w:r>
    </w:p>
    <w:p>
      <w:pPr>
        <w:spacing w:after="0" w:line="20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Other revenues decreased for the six months ended June 30, 2016 compared to the same period in 2015 primarily due to decreases in alternative investment marketing allowances of $13.9 million associated with a decline in related sales due to marketplace uncertainties in response to regulatory changes.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4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Production expenses are comprised of the following: base payout amounts that are earned by and paid out to advisors and institutions based on commission and advisory revenues earned on each client's account (collectively, commission and advisory revenues earned by LPL Financial are referred to as gross dealer concessions, or “GDC”); production bonuses earned by advisors and institutions based on the levels of commission and advisory revenues they produce; the recognition of share-based compensation expense from equity awards granted to advisors and financial institutions based on the fair value of the awards at each reporting period; the deferred commissions and advisory fee expenses associated with mark-to-market gains or losses on the non-qualified deferred compensation plan offered to our advisors; and brokerage, clearing, and exchange fees.</w:t>
      </w:r>
    </w:p>
    <w:p>
      <w:pPr>
        <w:spacing w:after="0" w:line="207"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The following table details the production expenses included in our unaudited condensed consolidated statements of income for the periods indicated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244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5"/>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4"/>
        </w:trPr>
        <w:tc>
          <w:tcPr>
            <w:tcW w:w="1880" w:type="dxa"/>
            <w:vAlign w:val="bottom"/>
            <w:tcBorders>
              <w:top w:val="single" w:sz="8" w:color="CCEEFF"/>
            </w:tcBorders>
            <w:shd w:val="clear" w:color="auto" w:fill="CCEEFF"/>
          </w:tcPr>
          <w:p>
            <w:pPr>
              <w:jc w:val="center"/>
              <w:ind w:right="419"/>
              <w:spacing w:after="0"/>
              <w:rPr>
                <w:sz w:val="20"/>
                <w:szCs w:val="20"/>
                <w:color w:val="auto"/>
              </w:rPr>
            </w:pPr>
            <w:r>
              <w:rPr>
                <w:rFonts w:ascii="Arial" w:cs="Arial" w:eastAsia="Arial" w:hAnsi="Arial"/>
                <w:sz w:val="16"/>
                <w:szCs w:val="16"/>
                <w:color w:val="auto"/>
              </w:rPr>
              <w:t>Commission and</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advisory</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660,680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736,854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1,296,691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1,478,101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8"/>
        </w:trPr>
        <w:tc>
          <w:tcPr>
            <w:tcW w:w="1880" w:type="dxa"/>
            <w:vAlign w:val="bottom"/>
          </w:tcPr>
          <w:p>
            <w:pPr>
              <w:jc w:val="center"/>
              <w:ind w:right="219"/>
              <w:spacing w:after="0"/>
              <w:rPr>
                <w:sz w:val="20"/>
                <w:szCs w:val="20"/>
                <w:color w:val="auto"/>
              </w:rPr>
            </w:pPr>
            <w:r>
              <w:rPr>
                <w:rFonts w:ascii="Arial" w:cs="Arial" w:eastAsia="Arial" w:hAnsi="Arial"/>
                <w:sz w:val="16"/>
                <w:szCs w:val="16"/>
                <w:color w:val="auto"/>
              </w:rPr>
              <w:t>Brokerage, clearing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80" w:type="dxa"/>
            <w:vAlign w:val="bottom"/>
            <w:tcBorders>
              <w:bottom w:val="single" w:sz="8" w:color="CCEEFF"/>
            </w:tcBorders>
          </w:tcPr>
          <w:p>
            <w:pPr>
              <w:jc w:val="center"/>
              <w:ind w:right="439"/>
              <w:spacing w:after="0"/>
              <w:rPr>
                <w:sz w:val="20"/>
                <w:szCs w:val="20"/>
                <w:color w:val="auto"/>
              </w:rPr>
            </w:pPr>
            <w:r>
              <w:rPr>
                <w:rFonts w:ascii="Arial" w:cs="Arial" w:eastAsia="Arial" w:hAnsi="Arial"/>
                <w:sz w:val="16"/>
                <w:szCs w:val="16"/>
                <w:color w:val="auto"/>
                <w:w w:val="99"/>
              </w:rPr>
              <w:t>and exchange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13,536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26,277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921</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31"/>
        </w:trPr>
        <w:tc>
          <w:tcPr>
            <w:tcW w:w="1880" w:type="dxa"/>
            <w:vAlign w:val="bottom"/>
            <w:shd w:val="clear" w:color="auto" w:fill="CCEEFF"/>
          </w:tcPr>
          <w:p>
            <w:pPr>
              <w:jc w:val="center"/>
              <w:ind w:right="239"/>
              <w:spacing w:after="0"/>
              <w:rPr>
                <w:sz w:val="20"/>
                <w:szCs w:val="20"/>
                <w:color w:val="auto"/>
              </w:rPr>
            </w:pPr>
            <w:r>
              <w:rPr>
                <w:rFonts w:ascii="Arial" w:cs="Arial" w:eastAsia="Arial" w:hAnsi="Arial"/>
                <w:sz w:val="16"/>
                <w:szCs w:val="16"/>
                <w:color w:val="auto"/>
                <w:w w:val="99"/>
              </w:rPr>
              <w:t>Total Production</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674,289</w:t>
            </w:r>
          </w:p>
        </w:tc>
        <w:tc>
          <w:tcPr>
            <w:tcW w:w="10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750,390</w:t>
            </w:r>
          </w:p>
        </w:tc>
        <w:tc>
          <w:tcPr>
            <w:tcW w:w="12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(76,101)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1,323,889</w:t>
            </w:r>
          </w:p>
        </w:tc>
        <w:tc>
          <w:tcPr>
            <w:tcW w:w="10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1,504,378</w:t>
            </w:r>
          </w:p>
        </w:tc>
        <w:tc>
          <w:tcPr>
            <w:tcW w:w="120" w:type="dxa"/>
            <w:vAlign w:val="bottom"/>
            <w:shd w:val="clear" w:color="auto" w:fill="CCEEFF"/>
          </w:tcPr>
          <w:p>
            <w:pPr>
              <w:spacing w:after="0"/>
              <w:rPr>
                <w:sz w:val="20"/>
                <w:szCs w:val="20"/>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(180,489)</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 decrease in production expenses for the three and six months ended June 30, 2016 compared with 2015 correlates with the changes in our commission and advisory revenues during the same periods.</w:t>
      </w:r>
    </w:p>
    <w:p>
      <w:pPr>
        <w:spacing w:after="0" w:line="19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Our production payout ratio is calculated as production expenses, excluding brokerage, clearing, and exchange fees, divided by GDC. We calculate GDC as the sum of our commission and advisory revenues, as set forth on our unaudited condensed consolidated statements of income. The following table shows the components of our production payout and total payout ratios, each of which is a statistical or operating measure: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258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900" w:type="dxa"/>
            <w:vAlign w:val="bottom"/>
          </w:tcPr>
          <w:p>
            <w:pPr>
              <w:spacing w:after="0"/>
              <w:rPr>
                <w:sz w:val="19"/>
                <w:szCs w:val="19"/>
                <w:color w:val="auto"/>
              </w:rPr>
            </w:pPr>
          </w:p>
        </w:tc>
      </w:tr>
      <w:tr>
        <w:trPr>
          <w:trHeight w:val="264"/>
        </w:trPr>
        <w:tc>
          <w:tcPr>
            <w:tcW w:w="43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Change</w:t>
            </w: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83.43%</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(23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(58 bps)</w:t>
            </w: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(10 bps)</w:t>
            </w:r>
          </w:p>
        </w:tc>
      </w:tr>
      <w:tr>
        <w:trPr>
          <w:trHeight w:val="257"/>
        </w:trPr>
        <w:tc>
          <w:tcPr>
            <w:tcW w:w="4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(35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(68 bps)</w:t>
            </w: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(21 bps)</w:t>
            </w:r>
          </w:p>
        </w:tc>
      </w:tr>
      <w:tr>
        <w:trPr>
          <w:trHeight w:val="240"/>
        </w:trPr>
        <w:tc>
          <w:tcPr>
            <w:tcW w:w="4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(27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85.04%</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(89 bps)</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65" w:lineRule="exact"/>
        <w:rPr>
          <w:sz w:val="20"/>
          <w:szCs w:val="20"/>
          <w:color w:val="auto"/>
        </w:rPr>
      </w:pPr>
    </w:p>
    <w:p>
      <w:pPr>
        <w:ind w:left="820" w:right="200" w:hanging="488"/>
        <w:spacing w:after="0" w:line="256"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production payout ratio is calculated as production expenses (which consists of the following expense categories from our unaudited condensed consolidated statements of income: (i) commission and advisory and (ii) brokerage, clearing, and exchange), excluding brokerage, clearing, and exchange fees, divided by GDC (see description above).</w:t>
      </w:r>
    </w:p>
    <w:p>
      <w:pPr>
        <w:spacing w:after="0" w:line="93" w:lineRule="exact"/>
        <w:rPr>
          <w:rFonts w:ascii="Arial" w:cs="Arial" w:eastAsia="Arial" w:hAnsi="Arial"/>
          <w:sz w:val="18"/>
          <w:szCs w:val="18"/>
          <w:color w:val="auto"/>
        </w:rPr>
      </w:pPr>
    </w:p>
    <w:p>
      <w:pPr>
        <w:ind w:left="820" w:right="500" w:hanging="488"/>
        <w:spacing w:after="0" w:line="262" w:lineRule="auto"/>
        <w:tabs>
          <w:tab w:leader="none" w:pos="658"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Non-GDC Sensitive Payout includes share-based compensation expense from equity awards granted to advisors and financial institutions and mark-to-market gains or losses on amounts designated by advisors as deferred.</w:t>
      </w:r>
    </w:p>
    <w:p>
      <w:pPr>
        <w:spacing w:after="0" w:line="8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decline in our total payout ratio, a statistical or operating measure, for the three months ended June 30, 2016 compared to the same period in 2015 was primarily driven by the ongoing movement of advisors to our Hybrid RIA platform, a decrease in our production bonuses correlating to lower sales in the quarter, and lower advisor stock-based compensation following declines in our stock price.</w:t>
      </w:r>
    </w:p>
    <w:p>
      <w:pPr>
        <w:spacing w:after="0" w:line="20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decline in our total payout ratio, a statistical or operating measure, for the six months ended June 30, 2016 compared with the same period in 2015 was primarily driven by the ongoing movement of advisors to our Hybrid RIA platform, a decrease in our production bonuses correlating to lower sales during the period, and lower advisor stock-based compensation following declines in our stock price. Production based bonuses are based on qualified levels of commission and advisory revenues produced by advisors during a calendar year. As a result, we expect production based bonuses to be higher in the six months ending December 31, 2016 than the six months ended June 30,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254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1140" w:type="dxa"/>
            <w:vAlign w:val="bottom"/>
          </w:tcPr>
          <w:p>
            <w:pPr>
              <w:spacing w:after="0"/>
              <w:rPr>
                <w:sz w:val="19"/>
                <w:szCs w:val="19"/>
                <w:color w:val="auto"/>
              </w:rPr>
            </w:pPr>
          </w:p>
        </w:tc>
      </w:tr>
      <w:tr>
        <w:trPr>
          <w:trHeight w:val="264"/>
        </w:trPr>
        <w:tc>
          <w:tcPr>
            <w:tcW w:w="4000" w:type="dxa"/>
            <w:vAlign w:val="bottom"/>
          </w:tcPr>
          <w:p>
            <w:pPr>
              <w:spacing w:after="0"/>
              <w:rPr>
                <w:sz w:val="22"/>
                <w:szCs w:val="22"/>
                <w:color w:val="auto"/>
              </w:rPr>
            </w:pPr>
          </w:p>
        </w:tc>
        <w:tc>
          <w:tcPr>
            <w:tcW w:w="11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Number of Employees</w:t>
            </w: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3,325</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3,356</w:t>
            </w:r>
          </w:p>
        </w:tc>
        <w:tc>
          <w:tcPr>
            <w:tcW w:w="120" w:type="dxa"/>
            <w:vAlign w:val="bottom"/>
            <w:tcBorders>
              <w:top w:val="single" w:sz="8" w:color="CCEEFF"/>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3,368</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3,357</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0.3%</w:t>
            </w:r>
          </w:p>
        </w:tc>
      </w:tr>
    </w:tbl>
    <w:p>
      <w:pPr>
        <w:sectPr>
          <w:pgSz w:w="11900" w:h="16838" w:orient="portrait"/>
          <w:cols w:equalWidth="0" w:num="1">
            <w:col w:w="11420"/>
          </w:cols>
          <w:pgMar w:left="240" w:top="490" w:right="239" w:bottom="0" w:gutter="0" w:footer="0" w:header="0"/>
        </w:sectPr>
      </w:pPr>
    </w:p>
    <w:bookmarkStart w:id="16" w:name="page17"/>
    <w:bookmarkEnd w:id="16"/>
    <w:p>
      <w:pPr>
        <w:ind w:right="100" w:firstLine="486"/>
        <w:spacing w:after="0" w:line="262" w:lineRule="auto"/>
        <w:rPr>
          <w:sz w:val="20"/>
          <w:szCs w:val="20"/>
          <w:color w:val="auto"/>
        </w:rPr>
      </w:pPr>
      <w:r>
        <w:rPr>
          <w:rFonts w:ascii="Arial" w:cs="Arial" w:eastAsia="Arial" w:hAnsi="Arial"/>
          <w:sz w:val="18"/>
          <w:szCs w:val="18"/>
          <w:color w:val="auto"/>
        </w:rPr>
        <w:t>The decrease in compensation and benefits expense for the three months ended June 30, 2016 compared with the same period in 2015 was primarily driven by lower bonus-related expenses and an increase in capitalized salary and benefits associated with technology projects.</w:t>
      </w:r>
    </w:p>
    <w:p>
      <w:pPr>
        <w:spacing w:after="0" w:line="250"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decrease in compensation and benefits expense for the six months ended June 30, 2016 compared with the same period in 2015 was primarily driven by lower bonus-related expenses and an increase in capitalized salary and benefits associated with technology projects.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General and administrative expenses include promotional, occupancy and equipment, professional services, communications and data processing, and other expenses. Promotional expenses include costs related to our hosting of certain advisor conferences that serve as training, sales, and marketing events, as well as business development costs related to recruiting, such as transition assistance and amortization related to forgivable loans issued to advisors. Included in other expenses are the estimated costs of the investigation, settlement and resolution of regulatory matters, licensing fees, insurance, broker-dealer regulator fees, and other miscellaneous expenses.</w:t>
      </w:r>
    </w:p>
    <w:p>
      <w:pPr>
        <w:spacing w:after="0" w:line="206"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following table details the general and administrative expenses included in our unaudited condensed consolidated statements of income for the periods indicated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June</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6"/>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34,717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70,401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62,376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60"/>
        </w:trPr>
        <w:tc>
          <w:tcPr>
            <w:tcW w:w="2320" w:type="dxa"/>
            <w:vAlign w:val="bottom"/>
          </w:tcPr>
          <w:p>
            <w:pPr>
              <w:ind w:left="40"/>
              <w:spacing w:after="0"/>
              <w:rPr>
                <w:sz w:val="20"/>
                <w:szCs w:val="20"/>
                <w:color w:val="auto"/>
              </w:rPr>
            </w:pPr>
            <w:r>
              <w:rPr>
                <w:rFonts w:ascii="Arial" w:cs="Arial" w:eastAsia="Arial" w:hAnsi="Arial"/>
                <w:sz w:val="16"/>
                <w:szCs w:val="16"/>
                <w:color w:val="auto"/>
              </w:rPr>
              <w:t>Occupancy and equipment</w:t>
            </w:r>
          </w:p>
        </w:tc>
        <w:tc>
          <w:tcPr>
            <w:tcW w:w="1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21,980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21,315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43,817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42,197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1,620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80"/>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Professional services</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18"/>
        </w:trPr>
        <w:tc>
          <w:tcPr>
            <w:tcW w:w="2320" w:type="dxa"/>
            <w:vAlign w:val="bottom"/>
          </w:tcPr>
          <w:p>
            <w:pPr>
              <w:ind w:left="40"/>
              <w:spacing w:after="0"/>
              <w:rPr>
                <w:sz w:val="20"/>
                <w:szCs w:val="20"/>
                <w:color w:val="auto"/>
              </w:rPr>
            </w:pPr>
            <w:r>
              <w:rPr>
                <w:rFonts w:ascii="Arial" w:cs="Arial" w:eastAsia="Arial" w:hAnsi="Arial"/>
                <w:sz w:val="16"/>
                <w:szCs w:val="16"/>
                <w:color w:val="auto"/>
              </w:rPr>
              <w:t>Communications and data</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20" w:type="dxa"/>
            <w:vAlign w:val="bottom"/>
          </w:tcPr>
          <w:p>
            <w:pPr>
              <w:ind w:left="120"/>
              <w:spacing w:after="0"/>
              <w:rPr>
                <w:sz w:val="20"/>
                <w:szCs w:val="20"/>
                <w:color w:val="auto"/>
              </w:rPr>
            </w:pPr>
            <w:r>
              <w:rPr>
                <w:rFonts w:ascii="Arial" w:cs="Arial" w:eastAsia="Arial" w:hAnsi="Arial"/>
                <w:sz w:val="16"/>
                <w:szCs w:val="16"/>
                <w:color w:val="auto"/>
              </w:rPr>
              <w:t>processing</w:t>
            </w:r>
          </w:p>
        </w:tc>
        <w:tc>
          <w:tcPr>
            <w:tcW w:w="1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11,107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21,468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22,721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80"/>
        </w:trPr>
        <w:tc>
          <w:tcPr>
            <w:tcW w:w="2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24,656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25,822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44,156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57,944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8"/>
        </w:trPr>
        <w:tc>
          <w:tcPr>
            <w:tcW w:w="2320" w:type="dxa"/>
            <w:vAlign w:val="bottom"/>
          </w:tcPr>
          <w:p>
            <w:pPr>
              <w:ind w:left="120"/>
              <w:spacing w:after="0"/>
              <w:rPr>
                <w:sz w:val="20"/>
                <w:szCs w:val="20"/>
                <w:color w:val="auto"/>
              </w:rPr>
            </w:pPr>
            <w:r>
              <w:rPr>
                <w:rFonts w:ascii="Arial" w:cs="Arial" w:eastAsia="Arial" w:hAnsi="Arial"/>
                <w:sz w:val="16"/>
                <w:szCs w:val="16"/>
                <w:color w:val="auto"/>
              </w:rPr>
              <w:t>Total General and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107,308</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99,457</w:t>
            </w:r>
          </w:p>
        </w:tc>
        <w:tc>
          <w:tcPr>
            <w:tcW w:w="100" w:type="dxa"/>
            <w:vAlign w:val="bottom"/>
          </w:tcPr>
          <w:p>
            <w:pPr>
              <w:spacing w:after="0"/>
              <w:rPr>
                <w:sz w:val="17"/>
                <w:szCs w:val="17"/>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color w:val="auto"/>
              </w:rPr>
              <w:t>7,851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211,981</w:t>
            </w:r>
          </w:p>
        </w:tc>
        <w:tc>
          <w:tcPr>
            <w:tcW w:w="100" w:type="dxa"/>
            <w:vAlign w:val="bottom"/>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213,811</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0"/>
              <w:spacing w:after="0"/>
              <w:rPr>
                <w:sz w:val="20"/>
                <w:szCs w:val="20"/>
                <w:color w:val="auto"/>
              </w:rPr>
            </w:pPr>
            <w:r>
              <w:rPr>
                <w:rFonts w:ascii="Arial" w:cs="Arial" w:eastAsia="Arial" w:hAnsi="Arial"/>
                <w:sz w:val="16"/>
                <w:szCs w:val="16"/>
                <w:color w:val="auto"/>
              </w:rPr>
              <w:t>Administrative Expenses</w:t>
            </w: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increase in general and administrative expenses for the three months ended June 30, 2016 compared with the same period in 2015 was primarily driven by increases in business development and promotional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47" w:right="239" w:bottom="1440" w:gutter="0" w:footer="0" w:header="0"/>
        </w:sectPr>
      </w:pPr>
    </w:p>
    <w:bookmarkStart w:id="17" w:name="page18"/>
    <w:bookmarkEnd w:id="17"/>
    <w:p>
      <w:pPr>
        <w:ind w:right="100"/>
        <w:spacing w:after="0" w:line="254" w:lineRule="auto"/>
        <w:rPr>
          <w:sz w:val="20"/>
          <w:szCs w:val="20"/>
          <w:color w:val="auto"/>
        </w:rPr>
      </w:pPr>
      <w:r>
        <w:rPr>
          <w:rFonts w:ascii="Arial" w:cs="Arial" w:eastAsia="Arial" w:hAnsi="Arial"/>
          <w:sz w:val="18"/>
          <w:szCs w:val="18"/>
          <w:color w:val="auto"/>
        </w:rPr>
        <w:t>associated with advisor transition assistance and broker training and education, partially offset by reduced travel expenses and lower costs of the investigation, settlement, and resolution of regulatory matters, which are included in other expenses. We will host our annual national advisor conference in the third quarter of 2016 and expect promotional expenses to be higher in the three months ending September 30, 2016 compared to the three months ended June 30, 2016 as a result.</w:t>
      </w:r>
    </w:p>
    <w:p>
      <w:pPr>
        <w:spacing w:after="0" w:line="25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decrease in general and administrative expenses for the six months ended June 30, 2016 compared with the same period in 2015 was primarily driven by lower costs of the investigation, settlement, and resolution of regulatory matters, which are included in other expenses, partially offset by an increase in professional services, including non-capitalized costs related to service and technology enhancements and increases in business development and promotional expenses associated with advisor transition assistance and broker training and education.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fixed assets, which include internally developed software, hardware, leasehold improvements, and other equipment.</w:t>
      </w:r>
    </w:p>
    <w:p>
      <w:pPr>
        <w:spacing w:after="0" w:line="196" w:lineRule="exact"/>
        <w:rPr>
          <w:sz w:val="20"/>
          <w:szCs w:val="20"/>
          <w:color w:val="auto"/>
        </w:rPr>
      </w:pPr>
    </w:p>
    <w:p>
      <w:pPr>
        <w:jc w:val="both"/>
        <w:ind w:right="760" w:firstLine="486"/>
        <w:spacing w:after="0" w:line="262" w:lineRule="auto"/>
        <w:rPr>
          <w:sz w:val="20"/>
          <w:szCs w:val="20"/>
          <w:color w:val="auto"/>
        </w:rPr>
      </w:pPr>
      <w:r>
        <w:rPr>
          <w:rFonts w:ascii="Arial" w:cs="Arial" w:eastAsia="Arial" w:hAnsi="Arial"/>
          <w:sz w:val="18"/>
          <w:szCs w:val="18"/>
          <w:color w:val="auto"/>
        </w:rPr>
        <w:t>The increase in depreciation and amortization of $1.6 million and $4.1 million for the three and six months ended June 30, 2016 compared with the same period in 2015, respectively, was primarily due to increases in internally developed and purchased software.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43"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Amortization of intangible assets is consistent over prior periods and represents the benefits received for using long-lived assets, which consist of intangible assets established through our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280" w:firstLine="486"/>
        <w:spacing w:after="0" w:line="253" w:lineRule="auto"/>
        <w:rPr>
          <w:sz w:val="20"/>
          <w:szCs w:val="20"/>
          <w:color w:val="auto"/>
        </w:rPr>
      </w:pPr>
      <w:r>
        <w:rPr>
          <w:rFonts w:ascii="Arial" w:cs="Arial" w:eastAsia="Arial" w:hAnsi="Arial"/>
          <w:sz w:val="18"/>
          <w:szCs w:val="18"/>
          <w:color w:val="auto"/>
        </w:rPr>
        <w:t>The restructuring charges for the three and six months ended June 30, 2015 primarily represent expenses incurred as a result of our Service Value Commitment initiative, which was completed in 2015. These charges relate primarily to consulting fees paid to support our technology transformation as well as employee severance obligations and other related costs and non-cash charges for impairment. Also included in the 2015 restructuring charges are expenses incurred as part of the restructuring of our subsidiary, Fortigent Holdings Company, Inc. (together with its subsidiaries, "Fortigent"), which was completed in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Interest Expense</w:t>
      </w:r>
    </w:p>
    <w:p>
      <w:pPr>
        <w:spacing w:after="0" w:line="243"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Non-operating interest expense results from our senior secured credit facilities. Period over period variances correspond to an increase in interest rate and changes in the level of outstanding indebtedness relating to these facilities.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was 40.0% and 40.3% for the three months ended June 30, 2016 and 2015, respectively.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effective tax rate was 40.2% and 40.2% for the six months ended June 30, 2016 and 2015,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90" w:right="259" w:bottom="1440" w:gutter="0" w:footer="0" w:header="0"/>
        </w:sectPr>
      </w:pPr>
    </w:p>
    <w:bookmarkStart w:id="18" w:name="page19"/>
    <w:bookmarkEnd w:id="18"/>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154,637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251,030</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(56,118)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(31,273)</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(77,282)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(84,769)</w:t>
            </w:r>
          </w:p>
        </w:tc>
      </w:tr>
      <w:tr>
        <w:trPr>
          <w:trHeight w:val="247"/>
        </w:trPr>
        <w:tc>
          <w:tcPr>
            <w:tcW w:w="83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134,988</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745,766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547,320</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Net cash provided by operating activities includes changes in operating asset and liability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drivers of changes to our net cash from operating activities and can fluctuate significantly from day to day and period to period depending on overall trends and clients' behaviors.</w:t>
      </w:r>
    </w:p>
    <w:p>
      <w:pPr>
        <w:spacing w:after="0" w:line="20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change in cash flows provided by operating activities for the six months ended June 30, 2016 compared to the same period in 2015 was primarily attributable to a decrease in cash provided by cash segregated under federal and other regulations, an increase in cash used in receivables from product sponsors and advisor loans as well as a decrease in cash provided by accounts payable and accrued liabilities, partially offset by increases in cash provided by payables to clients and payables to broker-dealers and clearing organizations.</w:t>
      </w:r>
    </w:p>
    <w:p>
      <w:pPr>
        <w:spacing w:after="0" w:line="204" w:lineRule="exact"/>
        <w:rPr>
          <w:sz w:val="20"/>
          <w:szCs w:val="20"/>
          <w:color w:val="auto"/>
        </w:rPr>
      </w:pPr>
    </w:p>
    <w:p>
      <w:pPr>
        <w:jc w:val="both"/>
        <w:ind w:right="280" w:firstLine="486"/>
        <w:spacing w:after="0" w:line="256" w:lineRule="auto"/>
        <w:rPr>
          <w:sz w:val="20"/>
          <w:szCs w:val="20"/>
          <w:color w:val="auto"/>
        </w:rPr>
      </w:pPr>
      <w:r>
        <w:rPr>
          <w:rFonts w:ascii="Arial" w:cs="Arial" w:eastAsia="Arial" w:hAnsi="Arial"/>
          <w:sz w:val="18"/>
          <w:szCs w:val="18"/>
          <w:color w:val="auto"/>
        </w:rPr>
        <w:t>The change in cash flows used in investing activities for the six months ended June 30, 2016 as compared to the same period in 2015 was primarily attributable to an increase in capital expenditures related to the construction of the Company's new campus in Fort Mill, South Carolina and the increase in capital expenditure for technology to support growth.</w:t>
      </w:r>
    </w:p>
    <w:p>
      <w:pPr>
        <w:spacing w:after="0" w:line="202"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change in the cash flows used in financing activities for the six months ended June 30, 2016 compared to the same period in 2015 was primarily attributable to a decrease in repurchases of our common stock under our repurchase programs approved by our board of directors (the "Board of Directors" or "Board") partially offset by decreases in proceeds from our revolving credit facility, and a decrease in proceeds from stock option exercises.</w:t>
      </w:r>
    </w:p>
    <w:p>
      <w:pPr>
        <w:spacing w:after="0" w:line="204"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senior secured credit agreement, will be adequate to satisfy our working capital needs, the payment of all of our obligations, and the funding of anticipated capital expenditures for the foreseeable future. In addition, we have certain capital adequacy requirements related to our registered broker-dealer subsidiary and bank trust subsidiary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 See the Risks Related to our Debt section within Part I, “Item 1A. Risk Factors” in our 2015 Annual Report on Form 10-K for more information about the risks associated with our debt obligations and their potential effect on our liquidity.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 xml:space="preserve">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senior secured credit agreement and general operating needs.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 regarding our share repurchases.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 xml:space="preserve">The payment, timing, and amount of any dividends are subject to approval by our Board as well as certain limits under our credit facilities.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 regarding our dividends.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 As of June 30, 2016, we had approximately $212.9 million of client margin loans, collateralized with securities having a fair value of approximately $298.1 million that we can re-pledge, loan, or sell. Of these securities, approximately $34.5 million were client-owned securities pledged to the Options Clearing Corporation as collateral to secure client obligations related to options positions. As of June 30, 2016 there were no restrictions that materially limited our ability to re-pledge, loan, or sell the remaining $263.6 million of client collateral.</w:t>
      </w:r>
    </w:p>
    <w:p>
      <w:pPr>
        <w:spacing w:after="0" w:line="211"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advisor loans and timing associated with receivables and payables,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June 30, 2016, LPL Financial's excess net capital was $103.0 million.</w:t>
      </w:r>
    </w:p>
    <w:p>
      <w:pPr>
        <w:spacing w:after="0" w:line="204"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the Financial Industry Regulatory Authority ("FINRA"). In addition, payment of dividends is restricted if LPL Financial's net capital would be less than 5.0% of aggregate customer debit balances.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20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301" w:lineRule="exact"/>
        <w:rPr>
          <w:sz w:val="20"/>
          <w:szCs w:val="20"/>
          <w:color w:val="auto"/>
        </w:rPr>
      </w:pPr>
    </w:p>
    <w:p>
      <w:pPr>
        <w:ind w:right="1000" w:firstLine="486"/>
        <w:spacing w:after="0" w:line="291" w:lineRule="auto"/>
        <w:rPr>
          <w:sz w:val="20"/>
          <w:szCs w:val="20"/>
          <w:color w:val="auto"/>
        </w:rPr>
      </w:pPr>
      <w:r>
        <w:rPr>
          <w:rFonts w:ascii="Arial" w:cs="Arial" w:eastAsia="Arial" w:hAnsi="Arial"/>
          <w:sz w:val="17"/>
          <w:szCs w:val="17"/>
          <w:color w:val="auto"/>
        </w:rPr>
        <w:t>We are party to a debt agreement with our wholly-owned subsidiary, LPL Holdings, Inc., and other parties thereto (the "Credit Agreement"). See Note 7</w:t>
      </w:r>
      <w:r>
        <w:rPr>
          <w:rFonts w:ascii="Arial" w:cs="Arial" w:eastAsia="Arial" w:hAnsi="Arial"/>
          <w:sz w:val="17"/>
          <w:szCs w:val="17"/>
          <w:i w:val="1"/>
          <w:iCs w:val="1"/>
          <w:color w:val="auto"/>
        </w:rPr>
        <w:t>. Debt,</w:t>
      </w:r>
      <w:r>
        <w:rPr>
          <w:rFonts w:ascii="Arial" w:cs="Arial" w:eastAsia="Arial" w:hAnsi="Arial"/>
          <w:sz w:val="17"/>
          <w:szCs w:val="17"/>
          <w:color w:val="auto"/>
        </w:rPr>
        <w:t xml:space="preserve"> within the notes to the unaudited condensed consolidated financial statements for further detail.</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2" w:right="239" w:bottom="1440" w:gutter="0" w:footer="0" w:header="0"/>
        </w:sectPr>
      </w:pPr>
    </w:p>
    <w:bookmarkStart w:id="20" w:name="page21"/>
    <w:bookmarkEnd w:id="20"/>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71"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Credit Agreement EBITDA, a non-GAAP measure, is defined in, and calculated by management in accordance with, the Credit Agreement as “Consolidated EBITDA”, which is Consolidated Net Income (as defined in the Credit Agreement) plus interest expense, tax expense, depreciation and amortization, and adjusted to exclude certain non-cash charges and other adjustments and gains. We present Credit Agreement EBITDA because we believe that it can be a useful financial metric in understanding our debt capacity and covenant compliance. However, Credit Agreement EBITDA is not a measure of our financial performance under GAAP and should not be considered as an alternative to net income or any other performance measure derived in accordance with GAAP, or as an alternative to cash flows from operating activities as a measure of profitability or liquidity. In addition, our Credit Agreement-defined EBITDA measure can differ significantly from adjusted EBITDA calculated by other companies, depending on long-term strategic decisions regarding capital structure, the tax jurisdictions in which companies operate, and capital investments.</w:t>
      </w:r>
    </w:p>
    <w:p>
      <w:pPr>
        <w:spacing w:after="0" w:line="213"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Credit Agreement EBITDA for the three months ended June 30,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47,849</w:t>
            </w:r>
          </w:p>
        </w:tc>
      </w:tr>
      <w:tr>
        <w:trPr>
          <w:trHeight w:val="233"/>
        </w:trPr>
        <w:tc>
          <w:tcPr>
            <w:tcW w:w="960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6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23,804</w:t>
            </w:r>
          </w:p>
        </w:tc>
      </w:tr>
      <w:tr>
        <w:trPr>
          <w:trHeight w:val="253"/>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6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31,900</w:t>
            </w:r>
          </w:p>
        </w:tc>
      </w:tr>
      <w:tr>
        <w:trPr>
          <w:trHeight w:val="233"/>
        </w:trPr>
        <w:tc>
          <w:tcPr>
            <w:tcW w:w="960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6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18,749</w:t>
            </w:r>
          </w:p>
        </w:tc>
      </w:tr>
      <w:tr>
        <w:trPr>
          <w:trHeight w:val="246"/>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6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9,509</w:t>
            </w:r>
          </w:p>
        </w:tc>
      </w:tr>
      <w:tr>
        <w:trPr>
          <w:trHeight w:val="237"/>
        </w:trPr>
        <w:tc>
          <w:tcPr>
            <w:tcW w:w="96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131,811</w:t>
            </w:r>
          </w:p>
        </w:tc>
      </w:tr>
      <w:tr>
        <w:trPr>
          <w:trHeight w:val="270"/>
        </w:trPr>
        <w:tc>
          <w:tcPr>
            <w:tcW w:w="9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Credit Agreement Adjustments:</w:t>
            </w: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3"/>
        </w:trPr>
        <w:tc>
          <w:tcPr>
            <w:tcW w:w="960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6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4,721</w:t>
            </w:r>
          </w:p>
        </w:tc>
      </w:tr>
      <w:tr>
        <w:trPr>
          <w:trHeight w:val="253"/>
        </w:trPr>
        <w:tc>
          <w:tcPr>
            <w:tcW w:w="9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 share-based compensation expense(2)</w:t>
            </w:r>
          </w:p>
        </w:tc>
        <w:tc>
          <w:tcPr>
            <w:tcW w:w="6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r>
      <w:tr>
        <w:trPr>
          <w:trHeight w:val="237"/>
        </w:trPr>
        <w:tc>
          <w:tcPr>
            <w:tcW w:w="96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Other(3)</w:t>
            </w: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6,062</w:t>
            </w:r>
          </w:p>
        </w:tc>
      </w:tr>
      <w:tr>
        <w:trPr>
          <w:trHeight w:val="240"/>
        </w:trPr>
        <w:tc>
          <w:tcPr>
            <w:tcW w:w="9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Credit Agreement EBITDA</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142,970</w:t>
            </w: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w:t>
      </w:r>
    </w:p>
    <w:p>
      <w:pPr>
        <w:spacing w:after="0" w:line="227" w:lineRule="exact"/>
        <w:rPr>
          <w:sz w:val="20"/>
          <w:szCs w:val="20"/>
          <w:color w:val="auto"/>
        </w:rPr>
      </w:pPr>
    </w:p>
    <w:p>
      <w:pPr>
        <w:ind w:left="660" w:right="4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14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share-based compensation for stock options and warrants awarded to advisors and to financial institutions based on the fair value of the awards at each reporting period.</w:t>
      </w:r>
    </w:p>
    <w:p>
      <w:pPr>
        <w:spacing w:after="0" w:line="196" w:lineRule="exact"/>
        <w:rPr>
          <w:rFonts w:ascii="Arial" w:cs="Arial" w:eastAsia="Arial" w:hAnsi="Arial"/>
          <w:sz w:val="18"/>
          <w:szCs w:val="18"/>
          <w:color w:val="auto"/>
        </w:rPr>
      </w:pPr>
    </w:p>
    <w:p>
      <w:pPr>
        <w:ind w:left="660" w:right="240" w:hanging="328"/>
        <w:spacing w:after="0" w:line="29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other items that are adjustable in accordance with our Credit Agreement to arrive at Credit Agreement EBITDA including employee severance costs, employee signing costs, employee retention or completion bonuses, and other non-recurring costs.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36" w:right="239" w:bottom="1440" w:gutter="0" w:footer="0" w:header="0"/>
        </w:sectPr>
      </w:pPr>
    </w:p>
    <w:bookmarkStart w:id="21" w:name="page22"/>
    <w:bookmarkEnd w:id="21"/>
    <w:p>
      <w:pPr>
        <w:ind w:left="60" w:right="8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 requirements include a total leverage ratio test and an interest coverage ratio test. Under our total leverage ratio test, we covenant not to allow the ratio of our consolidated total debt (as defined) to Credit Agreement EBITDA reflecting financial covenants in our Credit Agreement to exceed certain prescribed levels set forth in the Credit Agreement. Under our interest coverage ratio test, we covenant not to allow the ratio of our Credit Agreement EBITDA to our consolidated interest expense (as defined in the Credit Agreement) to be less than certain prescribed levels set forth in the Credit Agreement. Each of our financial ratios is measured at the end of each fiscal quarter.</w:t>
      </w:r>
    </w:p>
    <w:p>
      <w:pPr>
        <w:spacing w:after="0" w:line="20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As of June 30, 2016 we were in compliance with all of our covenant requirements. Our covenant requirements and actual ratios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4900" w:type="dxa"/>
            <w:vAlign w:val="bottom"/>
            <w:gridSpan w:val="2"/>
          </w:tcPr>
          <w:p>
            <w:pPr>
              <w:jc w:val="center"/>
              <w:ind w:left="3219"/>
              <w:spacing w:after="0"/>
              <w:rPr>
                <w:sz w:val="20"/>
                <w:szCs w:val="20"/>
                <w:color w:val="auto"/>
              </w:rPr>
            </w:pPr>
            <w:r>
              <w:rPr>
                <w:rFonts w:ascii="Arial" w:cs="Arial" w:eastAsia="Arial" w:hAnsi="Arial"/>
                <w:sz w:val="16"/>
                <w:szCs w:val="16"/>
                <w:b w:val="1"/>
                <w:bCs w:val="1"/>
                <w:color w:val="auto"/>
                <w:w w:val="98"/>
              </w:rPr>
              <w:t>Covenant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Actual</w:t>
            </w:r>
          </w:p>
        </w:tc>
      </w:tr>
      <w:tr>
        <w:trPr>
          <w:trHeight w:val="228"/>
        </w:trPr>
        <w:tc>
          <w:tcPr>
            <w:tcW w:w="5740" w:type="dxa"/>
            <w:vAlign w:val="bottom"/>
          </w:tcPr>
          <w:p>
            <w:pPr>
              <w:ind w:left="40"/>
              <w:spacing w:after="0"/>
              <w:rPr>
                <w:sz w:val="20"/>
                <w:szCs w:val="20"/>
                <w:color w:val="auto"/>
              </w:rPr>
            </w:pPr>
            <w:r>
              <w:rPr>
                <w:rFonts w:ascii="Arial" w:cs="Arial" w:eastAsia="Arial" w:hAnsi="Arial"/>
                <w:sz w:val="16"/>
                <w:szCs w:val="16"/>
                <w:b w:val="1"/>
                <w:bCs w:val="1"/>
                <w:color w:val="auto"/>
              </w:rPr>
              <w:t>Financial Ratio</w:t>
            </w:r>
          </w:p>
        </w:tc>
        <w:tc>
          <w:tcPr>
            <w:tcW w:w="4900" w:type="dxa"/>
            <w:vAlign w:val="bottom"/>
            <w:gridSpan w:val="2"/>
          </w:tcPr>
          <w:p>
            <w:pPr>
              <w:jc w:val="center"/>
              <w:ind w:left="3219"/>
              <w:spacing w:after="0"/>
              <w:rPr>
                <w:sz w:val="20"/>
                <w:szCs w:val="20"/>
                <w:color w:val="auto"/>
              </w:rPr>
            </w:pPr>
            <w:r>
              <w:rPr>
                <w:rFonts w:ascii="Arial" w:cs="Arial" w:eastAsia="Arial" w:hAnsi="Arial"/>
                <w:sz w:val="16"/>
                <w:szCs w:val="16"/>
                <w:b w:val="1"/>
                <w:bCs w:val="1"/>
                <w:color w:val="auto"/>
              </w:rPr>
              <w:t>Requirement</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Ratio</w:t>
            </w:r>
          </w:p>
        </w:tc>
      </w:tr>
      <w:tr>
        <w:trPr>
          <w:trHeight w:val="257"/>
        </w:trPr>
        <w:tc>
          <w:tcPr>
            <w:tcW w:w="5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4780" w:type="dxa"/>
            <w:vAlign w:val="bottom"/>
            <w:tcBorders>
              <w:top w:val="single" w:sz="8" w:color="auto"/>
            </w:tcBorders>
            <w:shd w:val="clear" w:color="auto" w:fill="CCEEFF"/>
          </w:tcPr>
          <w:p>
            <w:pPr>
              <w:jc w:val="center"/>
              <w:ind w:left="3339"/>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51"/>
        </w:trPr>
        <w:tc>
          <w:tcPr>
            <w:tcW w:w="5740" w:type="dxa"/>
            <w:vAlign w:val="bottom"/>
          </w:tcPr>
          <w:p>
            <w:pPr>
              <w:ind w:left="40"/>
              <w:spacing w:after="0"/>
              <w:rPr>
                <w:sz w:val="20"/>
                <w:szCs w:val="20"/>
                <w:color w:val="auto"/>
              </w:rPr>
            </w:pPr>
            <w:r>
              <w:rPr>
                <w:rFonts w:ascii="Arial" w:cs="Arial" w:eastAsia="Arial" w:hAnsi="Arial"/>
                <w:sz w:val="16"/>
                <w:szCs w:val="16"/>
                <w:color w:val="auto"/>
              </w:rPr>
              <w:t>Interest Coverage (Minimum)</w:t>
            </w:r>
          </w:p>
        </w:tc>
        <w:tc>
          <w:tcPr>
            <w:tcW w:w="4780" w:type="dxa"/>
            <w:vAlign w:val="bottom"/>
          </w:tcPr>
          <w:p>
            <w:pPr>
              <w:jc w:val="center"/>
              <w:ind w:left="33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15.</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involved in a build-to-suit lease arrangement in Fort Mill, South Carolina, under which we serve as the construction agent on behalf of the landlord. Under such arrangement, we have obligations to fund cost over-runs in our capacity as the construction agent, and accordingly have determined that under lease accounting standards we bear substantially all of the risks and rewards of ownership as measured under GAAP. We are therefore required to report the landlord's costs of construction on our balance sheet as a fixed asset during the construction period as if we owned such asset. As of June 30, 2016, we have recorded $91.6 million in fixed assets in connection with this arrangement and an equal and off-setting leasehold financing obligation on the unaudited condensed consolidated statement of financial condition. See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unaudited condensed consolidated financial statements for further detail as well as Risks Related to Our Business Generally section within Part I, "Item 1A. Risk Factors" in our 2015 Annual Report on Form 10-K for more information about the risks associated with this real estate development project.</w:t>
      </w:r>
    </w:p>
    <w:p>
      <w:pPr>
        <w:spacing w:after="0" w:line="267"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 xml:space="preserve">During the six months ended June 30, 2016 there have been no material changes in our contractual obligations, other than in the ordinary course of business or as noted above, from those disclosed in our 2015 Annual Report on Form 10-K.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within the notes to the unaudited condensed consolidated financial statements, as well as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section within Part II, “Item 7. Management’s Discussion and Analysis of Financial Condition and Results of Operations” in our 2015 Annual Report on Form 10-K, for further detail on operating lease obligations and obligations under noncancelable service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 See Note 3</w:t>
      </w:r>
      <w:r>
        <w:rPr>
          <w:rFonts w:ascii="Arial" w:cs="Arial" w:eastAsia="Arial" w:hAnsi="Arial"/>
          <w:sz w:val="18"/>
          <w:szCs w:val="18"/>
          <w:i w:val="1"/>
          <w:iCs w:val="1"/>
          <w:color w:val="auto"/>
        </w:rPr>
        <w:t>. Fair Value Measurements,</w:t>
      </w:r>
      <w:r>
        <w:rPr>
          <w:rFonts w:ascii="Arial" w:cs="Arial" w:eastAsia="Arial" w:hAnsi="Arial"/>
          <w:sz w:val="18"/>
          <w:szCs w:val="18"/>
          <w:color w:val="auto"/>
        </w:rPr>
        <w:t xml:space="preserve"> within the notes to the unaudited condensed consolidated financial statements for a detailed discussion regarding our fair value measurements.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2015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2015 Annual Report on Form 10-K. The accounting principles used in preparing our unaudited condensed consolidated financial statements conform in all material respects to GAAP.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firstLine="486"/>
        <w:spacing w:after="0" w:line="266"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unaudited condensed consolidated financial statements for a discussion of recent accounting pronouncements or changes in accounting pronouncements that are of significance, or potential significance, to us.</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00"/>
          </w:cols>
          <w:pgMar w:left="240" w:top="522" w:right="8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6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60"/>
        </w:trPr>
        <w:tc>
          <w:tcPr>
            <w:tcW w:w="61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445,755</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509,689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882,482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1,033,088</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322,955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344,884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642,387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686,996</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137,797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274,048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245,704</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101,824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97,811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204,514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199,506</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9,755</w:t>
            </w: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10,487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24,914</w:t>
            </w:r>
          </w:p>
        </w:tc>
        <w:tc>
          <w:tcPr>
            <w:tcW w:w="0" w:type="dxa"/>
            <w:vAlign w:val="bottom"/>
          </w:tcPr>
          <w:p>
            <w:pPr>
              <w:spacing w:after="0"/>
              <w:rPr>
                <w:sz w:val="1"/>
                <w:szCs w:val="1"/>
                <w:color w:val="auto"/>
              </w:rPr>
            </w:pPr>
          </w:p>
        </w:tc>
      </w:tr>
      <w:tr>
        <w:trPr>
          <w:trHeight w:val="257"/>
        </w:trPr>
        <w:tc>
          <w:tcPr>
            <w:tcW w:w="61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1,019,181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1,090,661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2,024,486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2,199,963</w:t>
            </w:r>
          </w:p>
        </w:tc>
        <w:tc>
          <w:tcPr>
            <w:tcW w:w="0" w:type="dxa"/>
            <w:vAlign w:val="bottom"/>
          </w:tcPr>
          <w:p>
            <w:pPr>
              <w:spacing w:after="0"/>
              <w:rPr>
                <w:sz w:val="1"/>
                <w:szCs w:val="1"/>
                <w:color w:val="auto"/>
              </w:rPr>
            </w:pPr>
          </w:p>
        </w:tc>
      </w:tr>
      <w:tr>
        <w:trPr>
          <w:trHeight w:val="254"/>
        </w:trPr>
        <w:tc>
          <w:tcPr>
            <w:tcW w:w="61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660,680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736,854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1,296,691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1,478,101</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105,773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112,337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219,828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224,617</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70,401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62,376</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18,749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17,196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37,711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33,625</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19,173</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Occupancy and equipment</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21,980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21,315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43,817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42,197</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28,573</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27,198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26,277</w:t>
            </w:r>
          </w:p>
        </w:tc>
        <w:tc>
          <w:tcPr>
            <w:tcW w:w="0" w:type="dxa"/>
            <w:vAlign w:val="bottom"/>
          </w:tcPr>
          <w:p>
            <w:pPr>
              <w:spacing w:after="0"/>
              <w:rPr>
                <w:sz w:val="1"/>
                <w:szCs w:val="1"/>
                <w:color w:val="auto"/>
              </w:rPr>
            </w:pPr>
          </w:p>
        </w:tc>
      </w:tr>
      <w:tr>
        <w:trPr>
          <w:trHeight w:val="28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 and data processing</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22,721</w:t>
            </w:r>
          </w:p>
        </w:tc>
        <w:tc>
          <w:tcPr>
            <w:tcW w:w="0" w:type="dxa"/>
            <w:vAlign w:val="bottom"/>
          </w:tcPr>
          <w:p>
            <w:pPr>
              <w:spacing w:after="0"/>
              <w:rPr>
                <w:sz w:val="1"/>
                <w:szCs w:val="1"/>
                <w:color w:val="auto"/>
              </w:rPr>
            </w:pPr>
          </w:p>
        </w:tc>
      </w:tr>
      <w:tr>
        <w:trPr>
          <w:trHeight w:val="260"/>
        </w:trPr>
        <w:tc>
          <w:tcPr>
            <w:tcW w:w="6120" w:type="dxa"/>
            <w:vAlign w:val="bottom"/>
          </w:tcPr>
          <w:p>
            <w:pPr>
              <w:ind w:left="36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8,416</w:t>
            </w:r>
          </w:p>
        </w:tc>
        <w:tc>
          <w:tcPr>
            <w:tcW w:w="0" w:type="dxa"/>
            <w:vAlign w:val="bottom"/>
          </w:tcPr>
          <w:p>
            <w:pPr>
              <w:spacing w:after="0"/>
              <w:rPr>
                <w:sz w:val="1"/>
                <w:szCs w:val="1"/>
                <w:color w:val="auto"/>
              </w:rPr>
            </w:pPr>
          </w:p>
        </w:tc>
      </w:tr>
      <w:tr>
        <w:trPr>
          <w:trHeight w:val="273"/>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24,656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25,822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44,156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57,944</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915,628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993,408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1,812,443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2,004,020</w:t>
            </w:r>
          </w:p>
        </w:tc>
        <w:tc>
          <w:tcPr>
            <w:tcW w:w="0" w:type="dxa"/>
            <w:vAlign w:val="bottom"/>
          </w:tcPr>
          <w:p>
            <w:pPr>
              <w:spacing w:after="0"/>
              <w:rPr>
                <w:sz w:val="1"/>
                <w:szCs w:val="1"/>
                <w:color w:val="auto"/>
              </w:rPr>
            </w:pPr>
          </w:p>
        </w:tc>
      </w:tr>
      <w:tr>
        <w:trPr>
          <w:trHeight w:val="25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Non-operating 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23,804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47,694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27,178</w:t>
            </w:r>
          </w:p>
        </w:tc>
        <w:tc>
          <w:tcPr>
            <w:tcW w:w="0" w:type="dxa"/>
            <w:vAlign w:val="bottom"/>
          </w:tcPr>
          <w:p>
            <w:pPr>
              <w:spacing w:after="0"/>
              <w:rPr>
                <w:sz w:val="1"/>
                <w:szCs w:val="1"/>
                <w:color w:val="auto"/>
              </w:rPr>
            </w:pPr>
          </w:p>
        </w:tc>
      </w:tr>
      <w:tr>
        <w:trPr>
          <w:trHeight w:val="247"/>
        </w:trPr>
        <w:tc>
          <w:tcPr>
            <w:tcW w:w="61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168,765</w:t>
            </w:r>
          </w:p>
        </w:tc>
        <w:tc>
          <w:tcPr>
            <w:tcW w:w="0" w:type="dxa"/>
            <w:vAlign w:val="bottom"/>
          </w:tcPr>
          <w:p>
            <w:pPr>
              <w:spacing w:after="0"/>
              <w:rPr>
                <w:sz w:val="1"/>
                <w:szCs w:val="1"/>
                <w:color w:val="auto"/>
              </w:rPr>
            </w:pPr>
          </w:p>
        </w:tc>
      </w:tr>
      <w:tr>
        <w:trPr>
          <w:trHeight w:val="273"/>
        </w:trPr>
        <w:tc>
          <w:tcPr>
            <w:tcW w:w="6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33,848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66,108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67,845</w:t>
            </w:r>
          </w:p>
        </w:tc>
        <w:tc>
          <w:tcPr>
            <w:tcW w:w="0" w:type="dxa"/>
            <w:vAlign w:val="bottom"/>
          </w:tcPr>
          <w:p>
            <w:pPr>
              <w:spacing w:after="0"/>
              <w:rPr>
                <w:sz w:val="1"/>
                <w:szCs w:val="1"/>
                <w:color w:val="auto"/>
              </w:rPr>
            </w:pPr>
          </w:p>
        </w:tc>
      </w:tr>
      <w:tr>
        <w:trPr>
          <w:trHeight w:val="264"/>
        </w:trPr>
        <w:tc>
          <w:tcPr>
            <w:tcW w:w="61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47,849</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50,242</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98,241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100,920</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80"/>
              <w:spacing w:after="0"/>
              <w:rPr>
                <w:sz w:val="20"/>
                <w:szCs w:val="20"/>
                <w:color w:val="auto"/>
              </w:rPr>
            </w:pPr>
            <w:r>
              <w:rPr>
                <w:rFonts w:ascii="Arial" w:cs="Arial" w:eastAsia="Arial" w:hAnsi="Arial"/>
                <w:sz w:val="16"/>
                <w:szCs w:val="16"/>
                <w:color w:val="auto"/>
              </w:rPr>
              <w:t>EARNINGS PER SHARE (NOTE 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24"/>
        </w:trPr>
        <w:tc>
          <w:tcPr>
            <w:tcW w:w="61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89,019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88,992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96,136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89,699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97,239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89,669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97,715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60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47,849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50,242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98,241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100,920</w:t>
            </w: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6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8"/>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(loss) on cash flow hedges, net of tax expense (benefit) of</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r>
      <w:tr>
        <w:trPr>
          <w:trHeight w:val="189"/>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($48), ($93), $48, and $194 for the three and six months ended June 30,</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4"/>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2016 and 2015, respectively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8"/>
        </w:trPr>
        <w:tc>
          <w:tcPr>
            <w:tcW w:w="6080" w:type="dxa"/>
            <w:vAlign w:val="bottom"/>
          </w:tcPr>
          <w:p>
            <w:pPr>
              <w:ind w:left="360"/>
              <w:spacing w:after="0"/>
              <w:rPr>
                <w:sz w:val="20"/>
                <w:szCs w:val="20"/>
                <w:color w:val="auto"/>
              </w:rPr>
            </w:pPr>
            <w:r>
              <w:rPr>
                <w:rFonts w:ascii="Arial" w:cs="Arial" w:eastAsia="Arial" w:hAnsi="Arial"/>
                <w:sz w:val="16"/>
                <w:szCs w:val="16"/>
                <w:color w:val="auto"/>
              </w:rPr>
              <w:t>Reclassification adjustment for realized gain on cash flow hedges included in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professional services in the condensed consolidated statements of</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income, net of tax expense of $93, $143, $156, and $228 for the three and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60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six months ended June 30, 2016 and 2015, respectively</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57"/>
        </w:trPr>
        <w:tc>
          <w:tcPr>
            <w:tcW w:w="60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other comprehensive loss, net of tax</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0"/>
        </w:trPr>
        <w:tc>
          <w:tcPr>
            <w:tcW w:w="608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47,625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49,839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98,067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100,834</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2015</w:t>
            </w:r>
          </w:p>
        </w:tc>
        <w:tc>
          <w:tcPr>
            <w:tcW w:w="0" w:type="dxa"/>
            <w:vAlign w:val="bottom"/>
          </w:tcPr>
          <w:p>
            <w:pPr>
              <w:spacing w:after="0"/>
              <w:rPr>
                <w:sz w:val="1"/>
                <w:szCs w:val="1"/>
                <w:color w:val="auto"/>
              </w:rPr>
            </w:pPr>
          </w:p>
        </w:tc>
      </w:tr>
      <w:tr>
        <w:trPr>
          <w:trHeight w:val="260"/>
        </w:trPr>
        <w:tc>
          <w:tcPr>
            <w:tcW w:w="8360" w:type="dxa"/>
            <w:vAlign w:val="bottom"/>
          </w:tcPr>
          <w:p>
            <w:pPr>
              <w:ind w:left="380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745,766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724,529</w:t>
            </w: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647,379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671,339</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27,839</w:t>
            </w: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Clients, net of allowance of $1,630 at June 30, 2016 and $1,464 at December 31, 2015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339,089</w:t>
            </w:r>
          </w:p>
        </w:tc>
        <w:tc>
          <w:tcPr>
            <w:tcW w:w="0" w:type="dxa"/>
            <w:vAlign w:val="bottom"/>
          </w:tcPr>
          <w:p>
            <w:pPr>
              <w:spacing w:after="0"/>
              <w:rPr>
                <w:sz w:val="1"/>
                <w:szCs w:val="1"/>
                <w:color w:val="auto"/>
              </w:rPr>
            </w:pPr>
          </w:p>
        </w:tc>
      </w:tr>
      <w:tr>
        <w:trPr>
          <w:trHeight w:val="224"/>
        </w:trPr>
        <w:tc>
          <w:tcPr>
            <w:tcW w:w="8360" w:type="dxa"/>
            <w:vAlign w:val="bottom"/>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199,350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161,224</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Advisor loans, net of allowance of $697 at June 30, 2016 and $697 at December 31, 2015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148,978</w:t>
            </w:r>
          </w:p>
        </w:tc>
        <w:tc>
          <w:tcPr>
            <w:tcW w:w="0" w:type="dxa"/>
            <w:vAlign w:val="bottom"/>
          </w:tcPr>
          <w:p>
            <w:pPr>
              <w:spacing w:after="0"/>
              <w:rPr>
                <w:sz w:val="1"/>
                <w:szCs w:val="1"/>
                <w:color w:val="auto"/>
              </w:rPr>
            </w:pPr>
          </w:p>
        </w:tc>
      </w:tr>
      <w:tr>
        <w:trPr>
          <w:trHeight w:val="224"/>
        </w:trPr>
        <w:tc>
          <w:tcPr>
            <w:tcW w:w="8360" w:type="dxa"/>
            <w:vAlign w:val="bottom"/>
          </w:tcPr>
          <w:p>
            <w:pPr>
              <w:ind w:left="120"/>
              <w:spacing w:after="0"/>
              <w:rPr>
                <w:sz w:val="20"/>
                <w:szCs w:val="20"/>
                <w:color w:val="auto"/>
              </w:rPr>
            </w:pPr>
            <w:r>
              <w:rPr>
                <w:rFonts w:ascii="Arial" w:cs="Arial" w:eastAsia="Arial" w:hAnsi="Arial"/>
                <w:sz w:val="16"/>
                <w:szCs w:val="16"/>
                <w:color w:val="auto"/>
              </w:rPr>
              <w:t>Others, net of allowance of $12,241 at June 30, 2016 and $9,856 at December 31, 2015</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183,787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180,161</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owned: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Trading — at fair value</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 — at amortized cost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9,847</w:t>
            </w: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Securities borrowed</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6,001</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 net of accumulated depreciation and amortization of $365,049 at June 30, 2016 and $328,880 at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275,419</w:t>
            </w: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1,365,838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$361,773 at June 30, 2016 and $342,740 at December 31,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392,031</w:t>
            </w: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217,158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206,771</w:t>
            </w:r>
          </w:p>
        </w:tc>
        <w:tc>
          <w:tcPr>
            <w:tcW w:w="0" w:type="dxa"/>
            <w:vAlign w:val="bottom"/>
          </w:tcPr>
          <w:p>
            <w:pPr>
              <w:spacing w:after="0"/>
              <w:rPr>
                <w:sz w:val="1"/>
                <w:szCs w:val="1"/>
                <w:color w:val="auto"/>
              </w:rPr>
            </w:pPr>
          </w:p>
        </w:tc>
      </w:tr>
      <w:tr>
        <w:trPr>
          <w:trHeight w:val="47"/>
        </w:trPr>
        <w:tc>
          <w:tcPr>
            <w:tcW w:w="8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4,607,984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Drafts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157,518</w:t>
            </w:r>
          </w:p>
        </w:tc>
        <w:tc>
          <w:tcPr>
            <w:tcW w:w="100" w:type="dxa"/>
            <w:vAlign w:val="bottom"/>
          </w:tcPr>
          <w:p>
            <w:pPr>
              <w:spacing w:after="0"/>
              <w:rPr>
                <w:sz w:val="19"/>
                <w:szCs w:val="19"/>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189,083</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Payables to clients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747,421</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48,032</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129,512</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345,422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332,492</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65,480</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8"/>
        </w:trPr>
        <w:tc>
          <w:tcPr>
            <w:tcW w:w="8360" w:type="dxa"/>
            <w:vAlign w:val="bottom"/>
          </w:tcPr>
          <w:p>
            <w:pPr>
              <w:ind w:left="180"/>
              <w:spacing w:after="0"/>
              <w:rPr>
                <w:sz w:val="20"/>
                <w:szCs w:val="20"/>
                <w:color w:val="auto"/>
              </w:rPr>
            </w:pPr>
            <w:r>
              <w:rPr>
                <w:rFonts w:ascii="Arial" w:cs="Arial" w:eastAsia="Arial" w:hAnsi="Arial"/>
                <w:sz w:val="16"/>
                <w:szCs w:val="16"/>
                <w:color w:val="auto"/>
              </w:rPr>
              <w:t>Senior secured credit facilities, net of unamortized debt issuance cost of $24,355 at June 30, 2016 and $26,797</w:t>
            </w:r>
          </w:p>
        </w:tc>
        <w:tc>
          <w:tcPr>
            <w:tcW w:w="2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2,181,843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2,188,240</w:t>
            </w:r>
          </w:p>
        </w:tc>
        <w:tc>
          <w:tcPr>
            <w:tcW w:w="0" w:type="dxa"/>
            <w:vAlign w:val="bottom"/>
          </w:tcPr>
          <w:p>
            <w:pPr>
              <w:spacing w:after="0"/>
              <w:rPr>
                <w:sz w:val="1"/>
                <w:szCs w:val="1"/>
                <w:color w:val="auto"/>
              </w:rPr>
            </w:pPr>
          </w:p>
        </w:tc>
      </w:tr>
      <w:tr>
        <w:trPr>
          <w:trHeight w:val="204"/>
        </w:trPr>
        <w:tc>
          <w:tcPr>
            <w:tcW w:w="8360" w:type="dxa"/>
            <w:vAlign w:val="bottom"/>
          </w:tcPr>
          <w:p>
            <w:pPr>
              <w:ind w:left="420"/>
              <w:spacing w:after="0"/>
              <w:rPr>
                <w:sz w:val="20"/>
                <w:szCs w:val="20"/>
                <w:color w:val="auto"/>
              </w:rPr>
            </w:pPr>
            <w:r>
              <w:rPr>
                <w:rFonts w:ascii="Arial" w:cs="Arial" w:eastAsia="Arial" w:hAnsi="Arial"/>
                <w:sz w:val="16"/>
                <w:szCs w:val="16"/>
                <w:color w:val="auto"/>
              </w:rPr>
              <w:t>at December 31, 2015</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Leasehold financing obligation</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59,940</w:t>
            </w: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6"/>
                <w:szCs w:val="16"/>
                <w:color w:val="auto"/>
              </w:rPr>
              <w:t>Deferred income taxes, net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36,062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36,303</w:t>
            </w:r>
          </w:p>
        </w:tc>
        <w:tc>
          <w:tcPr>
            <w:tcW w:w="0" w:type="dxa"/>
            <w:vAlign w:val="bottom"/>
          </w:tcPr>
          <w:p>
            <w:pPr>
              <w:spacing w:after="0"/>
              <w:rPr>
                <w:sz w:val="1"/>
                <w:szCs w:val="1"/>
                <w:color w:val="auto"/>
              </w:rPr>
            </w:pPr>
          </w:p>
        </w:tc>
      </w:tr>
      <w:tr>
        <w:trPr>
          <w:trHeight w:val="47"/>
        </w:trPr>
        <w:tc>
          <w:tcPr>
            <w:tcW w:w="8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3,853,994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3,805,451</w:t>
            </w:r>
          </w:p>
        </w:tc>
        <w:tc>
          <w:tcPr>
            <w:tcW w:w="0" w:type="dxa"/>
            <w:vAlign w:val="bottom"/>
          </w:tcPr>
          <w:p>
            <w:pPr>
              <w:spacing w:after="0"/>
              <w:rPr>
                <w:sz w:val="1"/>
                <w:szCs w:val="1"/>
                <w:color w:val="auto"/>
              </w:rPr>
            </w:pPr>
          </w:p>
        </w:tc>
      </w:tr>
      <w:tr>
        <w:trPr>
          <w:trHeight w:val="204"/>
        </w:trPr>
        <w:tc>
          <w:tcPr>
            <w:tcW w:w="8360" w:type="dxa"/>
            <w:vAlign w:val="bottom"/>
          </w:tcPr>
          <w:p>
            <w:pPr>
              <w:ind w:left="40"/>
              <w:spacing w:after="0"/>
              <w:rPr>
                <w:sz w:val="20"/>
                <w:szCs w:val="20"/>
                <w:color w:val="auto"/>
              </w:rPr>
            </w:pPr>
            <w:r>
              <w:rPr>
                <w:rFonts w:ascii="Arial" w:cs="Arial" w:eastAsia="Arial" w:hAnsi="Arial"/>
                <w:sz w:val="16"/>
                <w:szCs w:val="16"/>
                <w:color w:val="auto"/>
              </w:rPr>
              <w:t>Commitments and contingencies (Note 8)</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360" w:type="dxa"/>
            <w:vAlign w:val="bottom"/>
          </w:tcPr>
          <w:p>
            <w:pPr>
              <w:ind w:left="200"/>
              <w:spacing w:after="0"/>
              <w:rPr>
                <w:sz w:val="20"/>
                <w:szCs w:val="20"/>
                <w:color w:val="auto"/>
              </w:rPr>
            </w:pPr>
            <w:r>
              <w:rPr>
                <w:rFonts w:ascii="Arial" w:cs="Arial" w:eastAsia="Arial" w:hAnsi="Arial"/>
                <w:sz w:val="16"/>
                <w:szCs w:val="16"/>
                <w:color w:val="auto"/>
              </w:rPr>
              <w:t>Common stock, $.001 par value; 600,000,000 shares authorized; 119,726,825 shares issued at June 30, 2016</w:t>
            </w:r>
          </w:p>
        </w:tc>
        <w:tc>
          <w:tcPr>
            <w:tcW w:w="2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4"/>
        </w:trPr>
        <w:tc>
          <w:tcPr>
            <w:tcW w:w="8360" w:type="dxa"/>
            <w:vAlign w:val="bottom"/>
          </w:tcPr>
          <w:p>
            <w:pPr>
              <w:ind w:left="360"/>
              <w:spacing w:after="0"/>
              <w:rPr>
                <w:sz w:val="20"/>
                <w:szCs w:val="20"/>
                <w:color w:val="auto"/>
              </w:rPr>
            </w:pPr>
            <w:r>
              <w:rPr>
                <w:rFonts w:ascii="Arial" w:cs="Arial" w:eastAsia="Arial" w:hAnsi="Arial"/>
                <w:sz w:val="16"/>
                <w:szCs w:val="16"/>
                <w:color w:val="auto"/>
              </w:rPr>
              <w:t>and 119,572,352 shares issued at December 31, 2015</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1,427,941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1,418,298</w:t>
            </w:r>
          </w:p>
        </w:tc>
        <w:tc>
          <w:tcPr>
            <w:tcW w:w="0" w:type="dxa"/>
            <w:vAlign w:val="bottom"/>
          </w:tcPr>
          <w:p>
            <w:pPr>
              <w:spacing w:after="0"/>
              <w:rPr>
                <w:sz w:val="1"/>
                <w:szCs w:val="1"/>
                <w:color w:val="auto"/>
              </w:rPr>
            </w:pPr>
          </w:p>
        </w:tc>
      </w:tr>
      <w:tr>
        <w:trPr>
          <w:trHeight w:val="224"/>
        </w:trPr>
        <w:tc>
          <w:tcPr>
            <w:tcW w:w="8360" w:type="dxa"/>
            <w:vAlign w:val="bottom"/>
          </w:tcPr>
          <w:p>
            <w:pPr>
              <w:ind w:left="200"/>
              <w:spacing w:after="0"/>
              <w:rPr>
                <w:sz w:val="20"/>
                <w:szCs w:val="20"/>
                <w:color w:val="auto"/>
              </w:rPr>
            </w:pPr>
            <w:r>
              <w:rPr>
                <w:rFonts w:ascii="Arial" w:cs="Arial" w:eastAsia="Arial" w:hAnsi="Arial"/>
                <w:sz w:val="16"/>
                <w:szCs w:val="16"/>
                <w:color w:val="auto"/>
              </w:rPr>
              <w:t>Treasury stock, at cost — 30,655,778 shares at June 30, 2016 and 30,048,027 shares at December 31, 2015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(1,195,949)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(1,172,490)</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24"/>
        </w:trPr>
        <w:tc>
          <w:tcPr>
            <w:tcW w:w="836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521,499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469,130</w:t>
            </w:r>
          </w:p>
        </w:tc>
        <w:tc>
          <w:tcPr>
            <w:tcW w:w="0" w:type="dxa"/>
            <w:vAlign w:val="bottom"/>
          </w:tcPr>
          <w:p>
            <w:pPr>
              <w:spacing w:after="0"/>
              <w:rPr>
                <w:sz w:val="1"/>
                <w:szCs w:val="1"/>
                <w:color w:val="auto"/>
              </w:rPr>
            </w:pPr>
          </w:p>
        </w:tc>
      </w:tr>
      <w:tr>
        <w:trPr>
          <w:trHeight w:val="47"/>
        </w:trPr>
        <w:tc>
          <w:tcPr>
            <w:tcW w:w="8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715,610</w:t>
            </w:r>
          </w:p>
        </w:tc>
        <w:tc>
          <w:tcPr>
            <w:tcW w:w="0" w:type="dxa"/>
            <w:vAlign w:val="bottom"/>
          </w:tcPr>
          <w:p>
            <w:pPr>
              <w:spacing w:after="0"/>
              <w:rPr>
                <w:sz w:val="1"/>
                <w:szCs w:val="1"/>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4,607,984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4,521,061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220"/>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1" w:right="239" w:bottom="1440" w:gutter="0" w:footer="0" w:header="0"/>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71"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20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2014</w:t>
            </w:r>
          </w:p>
        </w:tc>
        <w:tc>
          <w:tcPr>
            <w:tcW w:w="8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118,235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1,355,085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396,121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100,920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100,834</w:t>
            </w: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income (loss),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(115,824)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(115,824)</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(48,274)</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18,651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19,742</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15,850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15,850</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Excess tax benefits (tax deficiency)</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from share-based 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June 30, 2015</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119,046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1,390,594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448,794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943,088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BALANCE — December 31, 2015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119,572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1,418,298</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30,048</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(1,172,490)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469,130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715,610</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98,067</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(loss), net of tax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40" w:type="dxa"/>
            <w:vAlign w:val="bottom"/>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78"/>
        </w:trPr>
        <w:tc>
          <w:tcPr>
            <w:tcW w:w="2640" w:type="dxa"/>
            <w:vAlign w:val="bottom"/>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(25,013)</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(44,504)</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66"/>
        </w:trPr>
        <w:tc>
          <w:tcPr>
            <w:tcW w:w="26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10,117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10,117</w:t>
            </w: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(tax deficiency)</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from share-based compensation</w:t>
            </w: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4"/>
                <w:szCs w:val="14"/>
                <w:color w:val="auto"/>
              </w:rPr>
              <w:t>BALANCE — June 30, 2016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119,727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1,427,941</w:t>
            </w:r>
          </w:p>
        </w:tc>
        <w:tc>
          <w:tcPr>
            <w:tcW w:w="1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30,656</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(1,195,949)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521,499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753,990</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98,241</w:t>
            </w:r>
          </w:p>
        </w:tc>
        <w:tc>
          <w:tcPr>
            <w:tcW w:w="120" w:type="dxa"/>
            <w:vAlign w:val="bottom"/>
          </w:tcPr>
          <w:p>
            <w:pPr>
              <w:spacing w:after="0"/>
              <w:rPr>
                <w:sz w:val="22"/>
                <w:szCs w:val="22"/>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100,920</w:t>
            </w: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Noncash items: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33,625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19,173</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10,117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15,850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21,464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17,904</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169,055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Deposit of restricted cash related to captive insurance subsidiary</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(26,820)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Release of restricted cash related to captive insurance subsidiary</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31,987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33,360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13,437</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Advisor loans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(40,260)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(34,910)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(16,404)</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(46,520)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21,464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(34,951)</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(12,140)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20,236</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(7,416)</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18,509</w:t>
            </w:r>
          </w:p>
        </w:tc>
      </w:tr>
      <w:tr>
        <w:trPr>
          <w:trHeight w:val="264"/>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1,433</w:t>
            </w: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154,637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251,030</w:t>
            </w: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333"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(56,542)</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(31,876)</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of restricted cash</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(31,273)</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363,000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revolving credit facility</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(5,420)</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(115,824)</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on common stock</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(48,274)</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19,742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(77,282)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(84,769)</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134,988</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724,529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412,332</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745,766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547,320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46,348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25,457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67,379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77,282</w:t>
            </w:r>
          </w:p>
        </w:tc>
        <w:tc>
          <w:tcPr>
            <w:tcW w:w="0" w:type="dxa"/>
            <w:vAlign w:val="bottom"/>
          </w:tcPr>
          <w:p>
            <w:pPr>
              <w:spacing w:after="0"/>
              <w:rPr>
                <w:sz w:val="1"/>
                <w:szCs w:val="1"/>
                <w:color w:val="auto"/>
              </w:rPr>
            </w:pPr>
          </w:p>
        </w:tc>
      </w:tr>
      <w:tr>
        <w:trPr>
          <w:trHeight w:val="254"/>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7,082</w:t>
            </w:r>
          </w:p>
        </w:tc>
        <w:tc>
          <w:tcPr>
            <w:tcW w:w="0" w:type="dxa"/>
            <w:vAlign w:val="bottom"/>
          </w:tcPr>
          <w:p>
            <w:pPr>
              <w:spacing w:after="0"/>
              <w:rPr>
                <w:sz w:val="1"/>
                <w:szCs w:val="1"/>
                <w:color w:val="auto"/>
              </w:rPr>
            </w:pPr>
          </w:p>
        </w:tc>
      </w:tr>
      <w:tr>
        <w:trPr>
          <w:trHeight w:val="22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Finance obligation related to real estate project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26,337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1"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Subsidiaries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Holdings, Inc. (“LPLH”), a Massachusetts holding corporation, owns 100% of the issued and outstanding common stock or other ownership interest in each of LPL Financial LLC (“LPL Financial”), Fortigent Holdings Company, Inc., Independent Advisers Group Corporation (“IAG”), LPL Insurance Associates, Inc. (“LPLIA”), LPL Independent Advisor Services Group LLC (“IASG”), and UVEST Financial Services Group, Inc. (“UVEST”).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 The Company has established a wholly-owned series captive insurance entity that underwrites insurance for various legal and regulatory risks.</w:t>
      </w:r>
    </w:p>
    <w:p>
      <w:pPr>
        <w:spacing w:after="0" w:line="99" w:lineRule="exact"/>
        <w:rPr>
          <w:sz w:val="20"/>
          <w:szCs w:val="20"/>
          <w:color w:val="auto"/>
        </w:rPr>
      </w:pPr>
    </w:p>
    <w:p>
      <w:pPr>
        <w:ind w:right="560" w:firstLine="486"/>
        <w:spacing w:after="0" w:line="278" w:lineRule="auto"/>
        <w:rPr>
          <w:sz w:val="20"/>
          <w:szCs w:val="20"/>
          <w:color w:val="auto"/>
        </w:rPr>
      </w:pPr>
      <w:r>
        <w:rPr>
          <w:rFonts w:ascii="Arial" w:cs="Arial" w:eastAsia="Arial" w:hAnsi="Arial"/>
          <w:sz w:val="17"/>
          <w:szCs w:val="17"/>
          <w:color w:val="auto"/>
        </w:rPr>
        <w:t>LPL Financial, with primary offices in Boston, San Diego, and Charlotte, is a clearing broker-dealer and an investment advisor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185"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Fortigent Holdings Company, Inc. and its subsidiaries (“Fortigent”), acquired in April 2012, provides solutions and consulting services to registered investment advisors, banks, and trust companies serving high-net-worth clients.</w:t>
      </w:r>
    </w:p>
    <w:p>
      <w:pPr>
        <w:spacing w:after="0" w:line="19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202"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IAG is a registered investment adviser that offers an investment advisory platform for clients of advisors working for other financial institutions.</w:t>
      </w:r>
    </w:p>
    <w:p>
      <w:pPr>
        <w:spacing w:after="0" w:line="19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long-term care, and disability insurance products and services for LPL Financial advisors.</w:t>
      </w:r>
    </w:p>
    <w:p>
      <w:pPr>
        <w:spacing w:after="0" w:line="22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20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2015, contained in the Company’s Annual Report on Form 10-K as filed with the SEC.</w:t>
      </w:r>
    </w:p>
    <w:p>
      <w:pPr>
        <w:spacing w:after="0" w:line="188" w:lineRule="exact"/>
        <w:rPr>
          <w:sz w:val="20"/>
          <w:szCs w:val="20"/>
          <w:color w:val="auto"/>
        </w:rPr>
      </w:pPr>
    </w:p>
    <w:p>
      <w:pPr>
        <w:ind w:right="360" w:firstLine="486"/>
        <w:spacing w:after="0" w:line="282"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Company’s audited consolidated financial statements and the related notes for the year ended</w:t>
      </w:r>
    </w:p>
    <w:p>
      <w:pPr>
        <w:sectPr>
          <w:pgSz w:w="11900" w:h="16838" w:orient="portrait"/>
          <w:cols w:equalWidth="0" w:num="1">
            <w:col w:w="11380"/>
          </w:cols>
          <w:pgMar w:left="240" w:top="441" w:right="279" w:bottom="1440" w:gutter="0" w:footer="0" w:header="0"/>
        </w:sect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80"/>
          </w:cols>
          <w:pgMar w:left="240" w:top="441" w:right="27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There have been no significant changes to these accounting policies during the first six months of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jc w:val="both"/>
        <w:ind w:right="660" w:firstLine="486"/>
        <w:spacing w:after="0" w:line="256" w:lineRule="auto"/>
        <w:rPr>
          <w:sz w:val="20"/>
          <w:szCs w:val="20"/>
          <w:color w:val="auto"/>
        </w:rPr>
      </w:pPr>
      <w:r>
        <w:rPr>
          <w:rFonts w:ascii="Arial" w:cs="Arial" w:eastAsia="Arial" w:hAnsi="Arial"/>
          <w:sz w:val="18"/>
          <w:szCs w:val="18"/>
          <w:color w:val="auto"/>
        </w:rPr>
        <w:t>These unaudited condensed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Management has determined that the Company operates in one segment, given the similar characteristics between our operations and the common nature of our products and services, production and distribution processes, and regulatory environment.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The Company carries its held-to-maturity securities and indebtedness at amortized cost. The Company measures the implied fair value of its debt instruments using trading levels obtained from a third-party service provider. Accordingly, the debt instruments qualify as Level 2 fair value measurements. See Note 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June 30, 2016, the carrying amount and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indebtedness was approximately $2,206.2 million and $2,199.0 million, respectively. As of December 31, 2015, the carrying amount and fair value was approximately $2,215.0 million and $2,200.0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Contracts with Customers: Topic 606 </w:t>
      </w:r>
      <w:r>
        <w:rPr>
          <w:rFonts w:ascii="Arial" w:cs="Arial" w:eastAsia="Arial" w:hAnsi="Arial"/>
          <w:sz w:val="18"/>
          <w:szCs w:val="18"/>
          <w:color w:val="auto"/>
        </w:rPr>
        <w:t>(ASU 2014-09), to supersede nearly all existing revenue recognition guidance under U.S. GAAP.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August 2015, the FASB issued ASU 2015-14, </w:t>
      </w:r>
      <w:r>
        <w:rPr>
          <w:rFonts w:ascii="Arial" w:cs="Arial" w:eastAsia="Arial" w:hAnsi="Arial"/>
          <w:sz w:val="18"/>
          <w:szCs w:val="18"/>
          <w:i w:val="1"/>
          <w:iCs w:val="1"/>
          <w:color w:val="auto"/>
        </w:rPr>
        <w:t>Revenue from Contracts with Customers: Deferral of the Effective Date</w:t>
      </w:r>
      <w:r>
        <w:rPr>
          <w:rFonts w:ascii="Arial" w:cs="Arial" w:eastAsia="Arial" w:hAnsi="Arial"/>
          <w:sz w:val="18"/>
          <w:szCs w:val="18"/>
          <w:color w:val="auto"/>
        </w:rPr>
        <w:t xml:space="preserve"> (ASU 2015-14),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the effective date for implementation of ASU 2014-09 by one year and is now effective for annual reporting periods beginning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2017, with early adoption permitted but not earlier than the original effective date. In April 2016, the FASB issued ASU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i w:val="1"/>
          <w:iCs w:val="1"/>
          <w:color w:val="auto"/>
        </w:rPr>
        <w:t>Identifying Performance Obligations and Licensing</w:t>
      </w:r>
      <w:r>
        <w:rPr>
          <w:rFonts w:ascii="Arial" w:cs="Arial" w:eastAsia="Arial" w:hAnsi="Arial"/>
          <w:sz w:val="18"/>
          <w:szCs w:val="18"/>
          <w:color w:val="auto"/>
        </w:rPr>
        <w:t xml:space="preserve"> (ASU 2016-10), which clarifies the identification of performance obligations and licensing</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implementation guidance. In May 2016, the FASB issued ASU 2016-12, </w:t>
      </w:r>
      <w:r>
        <w:rPr>
          <w:rFonts w:ascii="Arial" w:cs="Arial" w:eastAsia="Arial" w:hAnsi="Arial"/>
          <w:sz w:val="18"/>
          <w:szCs w:val="18"/>
          <w:i w:val="1"/>
          <w:iCs w:val="1"/>
          <w:color w:val="auto"/>
        </w:rPr>
        <w:t>Narrow-Scope Improvements and Practical Expedients</w:t>
      </w:r>
      <w:r>
        <w:rPr>
          <w:rFonts w:ascii="Arial" w:cs="Arial" w:eastAsia="Arial" w:hAnsi="Arial"/>
          <w:sz w:val="18"/>
          <w:szCs w:val="18"/>
          <w:color w:val="auto"/>
        </w:rPr>
        <w:t xml:space="preserve"> (ASU 2016-12), to improve guidance on assessing collectability, presentation of sales taxes, noncash consideration, and completed contracts and contract modifications at transition. The effective date and transition requirements in ASU 2016-10 and ASU 2016-12 are the same as the effective date and transition requirements of ASU 2015-14. The Company has not yet selected a transition method and is currently evaluating the effect that the updated standard will have on the Company's consolidated financial statements and related disclosures.</w:t>
      </w:r>
    </w:p>
    <w:p>
      <w:pPr>
        <w:spacing w:after="0" w:line="7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replaces the existing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will be effective for annual reporting periods beginning after December 15, 2018, and early adoption is permitted. The Company is currently evaluating the impact that ASU 2016-02 will have on its consolidated financial statements and related disclosures.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1"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252525"/>
        </w:rPr>
        <w:t xml:space="preserve">In June 2016, the FASB issued Accounting Standards Updated (ASU) 2016-13, </w:t>
      </w:r>
      <w:r>
        <w:rPr>
          <w:rFonts w:ascii="Arial" w:cs="Arial" w:eastAsia="Arial" w:hAnsi="Arial"/>
          <w:sz w:val="18"/>
          <w:szCs w:val="18"/>
          <w:i w:val="1"/>
          <w:iCs w:val="1"/>
          <w:color w:val="252525"/>
        </w:rPr>
        <w:t>“Financial Instruments-Credit Losses (Topic 326)”</w:t>
      </w:r>
      <w:r>
        <w:rPr>
          <w:rFonts w:ascii="Arial" w:cs="Arial" w:eastAsia="Arial" w:hAnsi="Arial"/>
          <w:sz w:val="18"/>
          <w:szCs w:val="18"/>
          <w:color w:val="252525"/>
        </w:rPr>
        <w:t xml:space="preserve">, which requires entities to measure all expected credit losses for financial assets held at the reporting date based on historical experience, current conditions, and reasonable and supportable forecasts. Entities will now use forward-looking information to better form their credit loss estimates. The ASU also requires enhanced disclosures to help financial statement users better understand significant estimates and judgments used in estimating credit losses, as well as the credit quality and underwriting standards of an entity’s portfolio.The guidance is effective for fiscal years, and interim periods within those fiscal years, beginning after December 15, 2019. Early adoption will be permitted for fiscal years, and interim periods within those fiscal years, beginning after December 15, 2018. The Company is currently in the process of evaluating the impact of the adoption on its consolidated financial statements </w:t>
      </w:r>
      <w:r>
        <w:rPr>
          <w:rFonts w:ascii="Arial" w:cs="Arial" w:eastAsia="Arial" w:hAnsi="Arial"/>
          <w:sz w:val="18"/>
          <w:szCs w:val="18"/>
          <w:color w:val="000000"/>
        </w:rPr>
        <w:t>and related disclosures.</w:t>
      </w:r>
    </w:p>
    <w:p>
      <w:pPr>
        <w:spacing w:after="0" w:line="12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under current market conditions.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40" w:firstLine="648"/>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20" w:firstLine="648"/>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6" w:lineRule="exact"/>
        <w:rPr>
          <w:sz w:val="20"/>
          <w:szCs w:val="20"/>
          <w:color w:val="auto"/>
        </w:rPr>
      </w:pPr>
    </w:p>
    <w:p>
      <w:pPr>
        <w:jc w:val="both"/>
        <w:ind w:right="20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six months ended June 30, 2016.</w:t>
      </w:r>
    </w:p>
    <w:p>
      <w:pPr>
        <w:spacing w:after="0" w:line="88"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June 30, 2016, the Company had the following financial assets and liabilities that are measured at fair value on a recurring basis:</w:t>
      </w:r>
    </w:p>
    <w:p>
      <w:pPr>
        <w:spacing w:after="0" w:line="76" w:lineRule="exact"/>
        <w:rPr>
          <w:sz w:val="20"/>
          <w:szCs w:val="20"/>
          <w:color w:val="auto"/>
        </w:rPr>
      </w:pPr>
    </w:p>
    <w:p>
      <w:pPr>
        <w:ind w:left="500" w:right="82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5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198" w:lineRule="exact"/>
        <w:rPr>
          <w:sz w:val="20"/>
          <w:szCs w:val="20"/>
          <w:color w:val="auto"/>
        </w:rPr>
      </w:pPr>
    </w:p>
    <w:p>
      <w:pPr>
        <w:ind w:left="500" w:firstLine="486"/>
        <w:spacing w:after="0" w:line="269" w:lineRule="auto"/>
        <w:rPr>
          <w:sz w:val="20"/>
          <w:szCs w:val="20"/>
          <w:color w:val="auto"/>
        </w:rPr>
      </w:pPr>
      <w:r>
        <w:rPr>
          <w:rFonts w:ascii="Arial" w:cs="Arial" w:eastAsia="Arial" w:hAnsi="Arial"/>
          <w:sz w:val="17"/>
          <w:szCs w:val="17"/>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June 30, 2016, the Company did not adjust prices received from the independent third-party pricing services.</w:t>
      </w:r>
    </w:p>
    <w:p>
      <w:pPr>
        <w:spacing w:after="0" w:line="66"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 using quoted prices for identical or similar securities and other inputs that are observable or can be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41"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left="500" w:right="660"/>
        <w:spacing w:after="0" w:line="262" w:lineRule="auto"/>
        <w:rPr>
          <w:sz w:val="20"/>
          <w:szCs w:val="20"/>
          <w:color w:val="auto"/>
        </w:rPr>
      </w:pPr>
      <w:r>
        <w:rPr>
          <w:rFonts w:ascii="Arial" w:cs="Arial" w:eastAsia="Arial" w:hAnsi="Arial"/>
          <w:sz w:val="18"/>
          <w:szCs w:val="18"/>
          <w:color w:val="auto"/>
        </w:rPr>
        <w:t>corroborated by observable market data; and (3) cash flow hedges, which are measured using quoted prices for similar cash flow hedges, taking into account counterparty credit risk and the Company's own non-performance risk.</w:t>
      </w:r>
    </w:p>
    <w:p>
      <w:pPr>
        <w:spacing w:after="0" w:line="70"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are measured using Level 3 inputs.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247"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The Company determines the fair value for its contingent consideration obligations using an income approach whereby the Company assesses the expected future performance of the acquired assets. The contingent payment is estimated using a discounted cash flow of the expected payment amount to calculate the fair value as of the valuation date.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2016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115,767</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115,767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7,032</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3,498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3,498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10,906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10,986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120,327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2,956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123,283</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250,036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252,393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252,393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11,892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99,962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103,312</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364,247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367,700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 or loss,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10,866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9,847</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gain (loss)</w:t>
            </w:r>
          </w:p>
        </w:tc>
        <w:tc>
          <w:tcPr>
            <w:tcW w:w="1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10,917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9,821</w:t>
            </w: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2016,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10,866</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6,639</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10,917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202"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To mitigate foreign currency risk arising from these annual reset events, the Company entered into four non-deliverable foreign currency contracts, all of which have been designated as cash flow hedges. The first cash flow hedge, with a notional amount of 560.4 million INR, or $8.5 million, settled in June 2014. The Company received a settlement of $ 1.0 million, which was reclassified out of accumulated other comprehensive income and was recognized in net income ratably over the 12-month period ending May 31, 2015 to match the timing of the underlying hedged item. The second cash flow hedge, with a notional amount of 560.4 million INR, or $8.1 million, settled in June 2015. The Company received a settlement of $ 0.7 million, which was reclassified out of accumulated other comprehensive income and was recognized in net income ratably over a 12-month period ending May 31, 2016 to match the timing of the underlying hedged item. The third cash flow hedge, with a notional amount of 560.4 million INR, or $7.8 million, settled in June 2016. The Company received a settlement of $0.6 million, which will be reclassified out of accumulated other comprehensive income and recognized in net income ratably over 12-month period ending May 31, 2017 to match the timing of the underlying hedged item.</w:t>
      </w:r>
    </w:p>
    <w:p>
      <w:pPr>
        <w:spacing w:after="0" w:line="212"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details related to the remaining non-deliverable foreign currency contracts at June 30, 2016 are as follows (in millions, except foreign exchange rate):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5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fair value of the derivative instruments, which are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40" w:type="dxa"/>
            <w:vAlign w:val="bottom"/>
          </w:tcPr>
          <w:p>
            <w:pPr>
              <w:jc w:val="center"/>
              <w:ind w:left="339"/>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bl>
    <w:p>
      <w:pPr>
        <w:spacing w:after="0" w:line="30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8"/>
          <w:szCs w:val="18"/>
          <w:color w:val="auto"/>
        </w:rPr>
        <w:t xml:space="preserve">The balances in goodwill and intangible assets were a result of various acquisitions. See Note 8.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audited consolidated financial statements and the related notes in the 2015 Annual Report on Form 10-K for a discussion of the components of goodwill and additional information regarding intangible assets.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47"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In November 2015, LPLFH and LPLH entered into a third amendment, extension, and incremental assumption agreement with respect to its existing credit agreement (as amended, the "Credit Agreement") for purposes of raising capital, increasing the leverage allowable under the Credit Agreement, and extending the maturity of a portion of the existing Term Loan B.</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as of the dates below were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June 30, 2016</w:t>
            </w:r>
          </w:p>
        </w:tc>
        <w:tc>
          <w:tcPr>
            <w:tcW w:w="7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28"/>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Maturity</w:t>
            </w:r>
          </w:p>
        </w:tc>
        <w:tc>
          <w:tcPr>
            <w:tcW w:w="20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Balance</w:t>
            </w: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270"/>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loans:</w:t>
            </w: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360" w:type="dxa"/>
            <w:vAlign w:val="bottom"/>
            <w:gridSpan w:val="2"/>
          </w:tcPr>
          <w:p>
            <w:pPr>
              <w:ind w:left="280"/>
              <w:spacing w:after="0"/>
              <w:rPr>
                <w:sz w:val="20"/>
                <w:szCs w:val="20"/>
                <w:color w:val="auto"/>
              </w:rPr>
            </w:pPr>
            <w:r>
              <w:rPr>
                <w:rFonts w:ascii="Arial" w:cs="Arial" w:eastAsia="Arial" w:hAnsi="Arial"/>
                <w:sz w:val="16"/>
                <w:szCs w:val="16"/>
                <w:color w:val="auto"/>
              </w:rPr>
              <w:t>Term Loan A</w:t>
            </w:r>
          </w:p>
        </w:tc>
        <w:tc>
          <w:tcPr>
            <w:tcW w:w="1180" w:type="dxa"/>
            <w:vAlign w:val="bottom"/>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459,375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2.96%</w:t>
            </w: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422,492</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424,676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60"/>
        </w:trPr>
        <w:tc>
          <w:tcPr>
            <w:tcW w:w="660" w:type="dxa"/>
            <w:vAlign w:val="bottom"/>
          </w:tcPr>
          <w:p>
            <w:pPr>
              <w:ind w:left="280"/>
              <w:spacing w:after="0"/>
              <w:rPr>
                <w:sz w:val="20"/>
                <w:szCs w:val="20"/>
                <w:color w:val="auto"/>
              </w:rPr>
            </w:pPr>
            <w:r>
              <w:rPr>
                <w:rFonts w:ascii="Arial" w:cs="Arial" w:eastAsia="Arial" w:hAnsi="Arial"/>
                <w:sz w:val="16"/>
                <w:szCs w:val="16"/>
                <w:color w:val="auto"/>
              </w:rPr>
              <w:t>2021</w:t>
            </w:r>
          </w:p>
        </w:tc>
        <w:tc>
          <w:tcPr>
            <w:tcW w:w="3700" w:type="dxa"/>
            <w:vAlign w:val="bottom"/>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tcPr>
          <w:p>
            <w:pPr>
              <w:jc w:val="center"/>
              <w:spacing w:after="0"/>
              <w:rPr>
                <w:sz w:val="20"/>
                <w:szCs w:val="20"/>
                <w:color w:val="auto"/>
              </w:rPr>
            </w:pPr>
            <w:r>
              <w:rPr>
                <w:rFonts w:ascii="Arial" w:cs="Arial" w:eastAsia="Arial" w:hAnsi="Arial"/>
                <w:sz w:val="16"/>
                <w:szCs w:val="16"/>
                <w:color w:val="auto"/>
              </w:rPr>
              <w:t>3/29/2021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627,831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4.25%</w:t>
            </w: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630,986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73"/>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2022</w:t>
            </w: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11/20/2022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696,500</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47"/>
        </w:trPr>
        <w:tc>
          <w:tcPr>
            <w:tcW w:w="66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Total borrowings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2,206,198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2,215,037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Less Unamortized Debt Issuance Cost</w:t>
            </w: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24,355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26,797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360" w:type="dxa"/>
            <w:vAlign w:val="bottom"/>
            <w:gridSpan w:val="2"/>
          </w:tcPr>
          <w:p>
            <w:pPr>
              <w:ind w:left="80"/>
              <w:spacing w:after="0"/>
              <w:rPr>
                <w:sz w:val="20"/>
                <w:szCs w:val="20"/>
                <w:color w:val="auto"/>
              </w:rPr>
            </w:pPr>
            <w:r>
              <w:rPr>
                <w:rFonts w:ascii="Arial" w:cs="Arial" w:eastAsia="Arial" w:hAnsi="Arial"/>
                <w:sz w:val="16"/>
                <w:szCs w:val="16"/>
                <w:color w:val="auto"/>
              </w:rPr>
              <w:t>Long-term borrowings — net of unamortized debt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2,181,843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2,188,240</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ind w:left="240"/>
              <w:spacing w:after="0"/>
              <w:rPr>
                <w:sz w:val="20"/>
                <w:szCs w:val="20"/>
                <w:color w:val="auto"/>
              </w:rPr>
            </w:pPr>
            <w:r>
              <w:rPr>
                <w:rFonts w:ascii="Arial" w:cs="Arial" w:eastAsia="Arial" w:hAnsi="Arial"/>
                <w:sz w:val="16"/>
                <w:szCs w:val="16"/>
                <w:color w:val="auto"/>
              </w:rPr>
              <w:t>issuance cost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10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leverage based grid)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150 bps over the base rate or (b) 250 bps over the LIBOR rate (subject to a LIBOR floor of 75 bps)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250 bps over the base rate or (b) 350 bps over the LIBOR rate (subject to a LIBOR floor of 75 bps)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variable interest rate per annum is either (a) 300 bps over the base rate or (b) 400 bps over the LIBOR rate (subject to a LIBOR floor of 75 bps)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required to make quarterly payments on Term Loan B with a payment of the remaining balance due at maturity.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has a revolving credit facility with borrowing capacity of $400.0 million maturing on September 30, 2019.</w:t>
      </w:r>
    </w:p>
    <w:p>
      <w:pPr>
        <w:spacing w:after="0" w:line="22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June 30, 2016, the Company also had $14.6 million of irrevocable letters of credit, with an applicable interest rate margin of 2.50%, which were supported by the Company's revolving credit facility.</w:t>
      </w:r>
    </w:p>
    <w:p>
      <w:pPr>
        <w:spacing w:after="0" w:line="250"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June 30, 2016, the Company was in compliance with such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 Payable</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maintains three uncommitted lines of credit. Two of the lines have unspecified limits, which are primarily dependent on the Company’s ability to provide sufficient collateral. The third line has a $200 million limit, and allows for both collateralized and uncollateralized borrowings. The lines were not utilized during the three and six months ended June 30, 2016 or 2015. There were no balances outstanding at June 30, 2016 or December 31, 2015.</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$6.1 million and $6.6 million for the three months ended June 30, 2016 and 2015, respectively, and $12.3 million and $13.2 million for the six months ended June 30, 2016 and 2015,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196"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also has contractual obligations related to the development of a real estate project in Fort Mill, South Carolina for office space. Under development and agency contracts the Company expects to pay a pro rata share equal to 27.5% of the design and construction costs. The remaining amounts will be paid by the landlord. The Company’s share of these costs is expected to be approximately $74.7 million, incurred through 2017. Additionally, the Company has entered into lease agreements for the office space once developed. These leases have an initial lease term of 20 years that commence once the development is complete and the Company takes occupancy of the buildings.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joining LPL Financial. LPL Financial had no such significant unfunded commitments at June 30,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is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 costs. Assessing the probability of a loss occurring and the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w:t>
      </w:r>
    </w:p>
    <w:p>
      <w:pPr>
        <w:sectPr>
          <w:pgSz w:w="11900" w:h="16838" w:orient="portrait"/>
          <w:cols w:equalWidth="0" w:num="1">
            <w:col w:w="11420"/>
          </w:cols>
          <w:pgMar w:left="240" w:top="441" w:right="2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1" w:right="2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except as otherwise covered by third-party insurance or self-insurance through its captive insurance subsidiary, as discussed below.</w:t>
      </w:r>
    </w:p>
    <w:p>
      <w:pPr>
        <w:spacing w:after="0" w:line="204"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135"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 Company maintains third-party insurance coverage for certain potential legal proceedings, including those involving client claims. With respect to client claims, the estimated losses on many of the pending matters are less than the applicable deductibles of the insurance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including various errors and omissions liabilities, through a wholly-owned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As of June 30, 2016, these self-insurance liabilities are included in accounts payable and accrued liabilities in the unaudited condensed consolidated statements of financial condition. Self-insurance related charges are included in other expenses in the unaudited condensed consolidated statements of income for the three and six months ended June 30,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As of June 30, 2016, the Company had approximately $212.9 million of client margin loans that were collateralized with securities having a fair value of approximately $298.1 million that it can re-pledge, loan, or sell. Of these securities, approximately $34.5 million were client-owned securities pledged to the Options Clearing Corporation as collateral to secure client obligations related to options positions. As of June 30, 2016 there were no restrictions that materially limited the Company's ability to re-pledge, loan, or sell the remaining $263.6 million of client collateral.</w:t>
      </w:r>
    </w:p>
    <w:p>
      <w:pPr>
        <w:spacing w:after="0" w:line="260"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$3.5 million and $4.3 million pledged to clearing organizations at June 30, 2016 and December 31, 2015, respectively.</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is involved in a build-to-suit lease arrangement in Fort Mill, South Carolina, under which it serves as the construction agent on behalf of the landlord. Under such arrangement, the Company has obligations to fund cost over-runs in its capacity as the construction agent, and accordingly has determined that under lease accounting standards it bears substantially all of the risks and rewards of ownership as measured under GAAP. The Company is therefore required to report the landlord's costs of construction on its balance sheet as a fixed asset during the construction period as if the Company owned such asset. As of June 30, 2016, the Company has recorded $ 91.6 million in fixed assets in connection with this arrangement and an equal and off-setting leasehold financing obligation on the unaudited condensed consolidated statements of financial condition.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41" w:right="2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Company's board of directors ("Board of Directors") as well as certain limits under the Company's credit facilities. Cash dividends per share of common stock and total cash dividends paid on a quarterly basis were as follows for the periods indicated (in millions, except per share data):</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1120" w:type="dxa"/>
            <w:vAlign w:val="bottom"/>
            <w:tcBorders>
              <w:bottom w:val="single" w:sz="8" w:color="auto"/>
            </w:tcBorders>
          </w:tcPr>
          <w:p>
            <w:pPr>
              <w:spacing w:after="0"/>
              <w:rPr>
                <w:sz w:val="19"/>
                <w:szCs w:val="19"/>
                <w:color w:val="auto"/>
              </w:rPr>
            </w:pPr>
          </w:p>
        </w:tc>
      </w:tr>
      <w:tr>
        <w:trPr>
          <w:trHeight w:val="198"/>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Total Cash</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Share</w:t>
            </w: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w:t>
            </w:r>
          </w:p>
        </w:tc>
        <w:tc>
          <w:tcPr>
            <w:tcW w:w="12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Share</w:t>
            </w:r>
          </w:p>
        </w:tc>
        <w:tc>
          <w:tcPr>
            <w:tcW w:w="180" w:type="dxa"/>
            <w:vAlign w:val="bottom"/>
          </w:tcPr>
          <w:p>
            <w:pPr>
              <w:spacing w:after="0"/>
              <w:rPr>
                <w:sz w:val="19"/>
                <w:szCs w:val="19"/>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r>
      <w:tr>
        <w:trPr>
          <w:trHeight w:val="251"/>
        </w:trPr>
        <w:tc>
          <w:tcPr>
            <w:tcW w:w="52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24.1</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Company engages in share repurchase programs, which are approved by the Board of Directors,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October 25, 2015 the Board of Directors authorized an increase to the share repurchase program of up to $500.0 million of shares of common stock. During the three months ended June 30, 2016, the Company did not repurchase shares. During the six months ended June 30, 2016, the Company repurchased a total of 634,651 shares of its common stock at a weighted-average price of $39.41 for a total cost of $25.0 million. As of June 30, 2016 the Company was authorized to purchase up to an additional $225.0 million of shares pursuant to share repurchase programs approved by the Board of Directors.</w:t>
      </w:r>
    </w:p>
    <w:p>
      <w:pPr>
        <w:spacing w:after="0" w:line="29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outstanding generally vest in equal increments over a three- to five-year period and expire on the tenth anniversary following the date of grant. Restricted stock awards and restricted stock units outstanding generally vest over a one- to four-year period.</w:t>
      </w:r>
    </w:p>
    <w:p>
      <w:pPr>
        <w:spacing w:after="0" w:line="2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November 2010, the Company adopted a 2010 Omnibus Equity Incentive Plan (as amended and restated in May 2015,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9"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There were 20,055,945 shares authorized for grant under the 2010 Plan after the amendment and restatement of the plan in May 2015. There were 7,187,478 shares reserved for issuance upon exercise or conversion of outstanding awards granted, and 9,610,960 shares remaining available for future issuance under the 2010 Plan, as of June 30, 2016.</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41" w:right="27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78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 during the six months ended June 30,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5.26</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33.37%</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4.59</w:t>
            </w:r>
          </w:p>
        </w:tc>
      </w:tr>
    </w:tbl>
    <w:p>
      <w:pPr>
        <w:spacing w:after="0" w:line="16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six months ended June 30, 2016: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4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5.79</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34.90%</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4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4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3.46</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six months ended June 30,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Weighted-Average</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Average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Term</w:t>
            </w:r>
          </w:p>
        </w:tc>
        <w:tc>
          <w:tcPr>
            <w:tcW w:w="180" w:type="dxa"/>
            <w:vAlign w:val="bottom"/>
          </w:tcPr>
          <w:p>
            <w:pPr>
              <w:spacing w:after="0"/>
              <w:rPr>
                <w:sz w:val="16"/>
                <w:szCs w:val="16"/>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5,716,488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2,105,270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22.42</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(290,406)</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June 30,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7,492,276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6,436</w:t>
            </w:r>
          </w:p>
        </w:tc>
      </w:tr>
      <w:tr>
        <w:trPr>
          <w:trHeight w:val="20"/>
        </w:trPr>
        <w:tc>
          <w:tcPr>
            <w:tcW w:w="5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 June 30, 2016</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4,093,418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32.02</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1,173</w:t>
            </w:r>
          </w:p>
        </w:tc>
      </w:tr>
      <w:tr>
        <w:trPr>
          <w:trHeight w:val="22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and expected to vest — June 30,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7,204,436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5,813</w:t>
            </w:r>
          </w:p>
        </w:tc>
      </w:tr>
      <w:tr>
        <w:trPr>
          <w:trHeight w:val="20"/>
        </w:trPr>
        <w:tc>
          <w:tcPr>
            <w:tcW w:w="5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June 30,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rPr>
              <w:t>Weighted-</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Average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Weighted-Average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rPr>
              <w:t>Exercise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 Life</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460" w:type="dxa"/>
            <w:vAlign w:val="bottom"/>
            <w:tcBorders>
              <w:bottom w:val="single" w:sz="8" w:color="auto"/>
            </w:tcBorders>
          </w:tcPr>
          <w:p>
            <w:pPr>
              <w:jc w:val="right"/>
              <w:ind w:right="239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6"/>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Price</w:t>
            </w:r>
          </w:p>
        </w:tc>
      </w:tr>
      <w:tr>
        <w:trPr>
          <w:trHeight w:val="270"/>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$18.04 - $23.02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2,860,498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20.32</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7.57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896,671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21.34</w:t>
            </w:r>
          </w:p>
        </w:tc>
      </w:tr>
      <w:tr>
        <w:trPr>
          <w:trHeight w:val="260"/>
        </w:trPr>
        <w:tc>
          <w:tcPr>
            <w:tcW w:w="4460" w:type="dxa"/>
            <w:vAlign w:val="bottom"/>
          </w:tcPr>
          <w:p>
            <w:pPr>
              <w:jc w:val="right"/>
              <w:ind w:right="3079"/>
              <w:spacing w:after="0"/>
              <w:rPr>
                <w:sz w:val="20"/>
                <w:szCs w:val="20"/>
                <w:color w:val="auto"/>
              </w:rPr>
            </w:pPr>
            <w:r>
              <w:rPr>
                <w:rFonts w:ascii="Arial" w:cs="Arial" w:eastAsia="Arial" w:hAnsi="Arial"/>
                <w:sz w:val="16"/>
                <w:szCs w:val="16"/>
                <w:color w:val="auto"/>
              </w:rPr>
              <w:t>$23.41 - $30.00</w:t>
            </w:r>
          </w:p>
        </w:tc>
        <w:tc>
          <w:tcPr>
            <w:tcW w:w="1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1,251,411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28.10</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4.67</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949,410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28.15</w:t>
            </w:r>
          </w:p>
        </w:tc>
      </w:tr>
      <w:tr>
        <w:trPr>
          <w:trHeight w:val="280"/>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$31.60 - $32.33</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1,020,279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31.88</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6.18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782,618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r>
      <w:tr>
        <w:trPr>
          <w:trHeight w:val="260"/>
        </w:trPr>
        <w:tc>
          <w:tcPr>
            <w:tcW w:w="4460" w:type="dxa"/>
            <w:vAlign w:val="bottom"/>
          </w:tcPr>
          <w:p>
            <w:pPr>
              <w:jc w:val="right"/>
              <w:ind w:right="3079"/>
              <w:spacing w:after="0"/>
              <w:rPr>
                <w:sz w:val="20"/>
                <w:szCs w:val="20"/>
                <w:color w:val="auto"/>
              </w:rPr>
            </w:pPr>
            <w:r>
              <w:rPr>
                <w:rFonts w:ascii="Arial" w:cs="Arial" w:eastAsia="Arial" w:hAnsi="Arial"/>
                <w:sz w:val="16"/>
                <w:szCs w:val="16"/>
                <w:color w:val="auto"/>
              </w:rPr>
              <w:t>$34.01 - $39.60</w:t>
            </w:r>
          </w:p>
        </w:tc>
        <w:tc>
          <w:tcPr>
            <w:tcW w:w="1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859,074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34.59</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4.69</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836,273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34.50</w:t>
            </w:r>
          </w:p>
        </w:tc>
      </w:tr>
      <w:tr>
        <w:trPr>
          <w:trHeight w:val="273"/>
        </w:trPr>
        <w:tc>
          <w:tcPr>
            <w:tcW w:w="4460" w:type="dxa"/>
            <w:vAlign w:val="bottom"/>
            <w:shd w:val="clear" w:color="auto" w:fill="CCEEFF"/>
          </w:tcPr>
          <w:p>
            <w:pPr>
              <w:jc w:val="right"/>
              <w:ind w:right="3079"/>
              <w:spacing w:after="0"/>
              <w:rPr>
                <w:sz w:val="20"/>
                <w:szCs w:val="20"/>
                <w:color w:val="auto"/>
              </w:rPr>
            </w:pPr>
            <w:r>
              <w:rPr>
                <w:rFonts w:ascii="Arial" w:cs="Arial" w:eastAsia="Arial" w:hAnsi="Arial"/>
                <w:sz w:val="16"/>
                <w:szCs w:val="16"/>
                <w:color w:val="auto"/>
              </w:rPr>
              <w:t>$42.60 - $54.81</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1,501,014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48.32</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8.38</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628,446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49.98</w:t>
            </w:r>
          </w:p>
        </w:tc>
      </w:tr>
      <w:tr>
        <w:trPr>
          <w:trHeight w:val="24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7,492,276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30.44</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6.73</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4,093,418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32.02</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Company recognizes share -based compensation for stock options awarded to employees and officers based on the grant date fair value over the requisite service period of the award, which generally equals the vesting period. The Company recognized share-based compensation related to the vesting of these awards of $2.3 million</w:t>
      </w:r>
    </w:p>
    <w:p>
      <w:pPr>
        <w:sectPr>
          <w:pgSz w:w="11900" w:h="16838" w:orient="portrait"/>
          <w:cols w:equalWidth="0" w:num="1">
            <w:col w:w="11420"/>
          </w:cols>
          <w:pgMar w:left="240" w:top="441"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1"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and $4.3 million during the three months ended June 30, 2016 and 2015, respectively, and $6.3 million and $8.3 million during the six months ended June 30, 2016 and 2015, respectively, which is included in compensation and benefits expense on the unaudited condensed consolidated statements of income. As of June 30, 2016, total unrecognized compensation cost related to non-vested stock options granted to employees and officers was $12.1 million, which is expected to be recognized over a weighted-average period of 1.90 years.</w:t>
      </w:r>
    </w:p>
    <w:p>
      <w:pPr>
        <w:spacing w:after="0" w:line="204"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During 2011 and 2012 the Company granted stock options and warrants to its advisors and financial institutions. Share-based compensation for these awards is based on the fair value of the awards at each reporting period. The Company recognized share-based compensation of $0.1 million and $1.1 million during the three months ended June 30, 2016 and 2015, respectively, and $(0.3) million and $1.8 million during the six months ended June 30, 2016 and 2015, respectively, related to the vesting of stock options and warrants awarded to its advisors and financial institutions, which is classified within commission and advisory expense on the unaudited condensed consolidated statements of income. As of June 30, 2016, total unrecognized compensation cost related to non-vested stock options and warrants granted to advisors and financial institutions was $0.5 million, which is expected to be recognized over a weighted-average period of 1.23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26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Restricted Stock Awards</w:t>
            </w:r>
          </w:p>
        </w:tc>
        <w:tc>
          <w:tcPr>
            <w:tcW w:w="120" w:type="dxa"/>
            <w:vAlign w:val="bottom"/>
          </w:tcPr>
          <w:p>
            <w:pPr>
              <w:spacing w:after="0"/>
              <w:rPr>
                <w:sz w:val="19"/>
                <w:szCs w:val="19"/>
                <w:color w:val="auto"/>
              </w:rPr>
            </w:pPr>
          </w:p>
        </w:tc>
        <w:tc>
          <w:tcPr>
            <w:tcW w:w="26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6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6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608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Grant-Date</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28"/>
        </w:trPr>
        <w:tc>
          <w:tcPr>
            <w:tcW w:w="60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636,701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43.32</w:t>
            </w:r>
          </w:p>
        </w:tc>
      </w:tr>
      <w:tr>
        <w:trPr>
          <w:trHeight w:val="260"/>
        </w:trPr>
        <w:tc>
          <w:tcPr>
            <w:tcW w:w="60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543,474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19.55</w:t>
            </w:r>
          </w:p>
        </w:tc>
      </w:tr>
      <w:tr>
        <w:trPr>
          <w:trHeight w:val="280"/>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43.82</w:t>
            </w:r>
          </w:p>
        </w:tc>
      </w:tr>
      <w:tr>
        <w:trPr>
          <w:trHeight w:val="264"/>
        </w:trPr>
        <w:tc>
          <w:tcPr>
            <w:tcW w:w="6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40.81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(44,426)</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33.44</w:t>
            </w:r>
          </w:p>
        </w:tc>
      </w:tr>
      <w:tr>
        <w:trPr>
          <w:trHeight w:val="24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June 30,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1,017,167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4"/>
        </w:trPr>
        <w:tc>
          <w:tcPr>
            <w:tcW w:w="6080" w:type="dxa"/>
            <w:vAlign w:val="bottom"/>
          </w:tcPr>
          <w:p>
            <w:pPr>
              <w:ind w:left="40"/>
              <w:spacing w:after="0"/>
              <w:rPr>
                <w:sz w:val="20"/>
                <w:szCs w:val="20"/>
                <w:color w:val="auto"/>
              </w:rPr>
            </w:pPr>
            <w:r>
              <w:rPr>
                <w:rFonts w:ascii="Arial" w:cs="Arial" w:eastAsia="Arial" w:hAnsi="Arial"/>
                <w:sz w:val="16"/>
                <w:szCs w:val="16"/>
                <w:color w:val="auto"/>
              </w:rPr>
              <w:t>Expected to vest — June 30, 2016</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909,498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31.65</w:t>
            </w: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grants restricted stock awards to its directors and restricted stock units to its employees and officers. Both restricted stock awards and restricted stock units must vest or else are subject to forfeiture; however, restricted stock awards are included in our shares outstanding upon grant and have the same dividend and voting rights as our common stock. Share-based compensation is based on the grant date fair value and recognized over the requisite service period of the award, which generally equals the vesting period. The Company recognized $2.2 million and $2.4 million of share-based compensation related to the vesting of these restricted stock awards and restricted stock units during the three months ended June 30, 2016 and 2015, respectively, and $4.5 million and $4.4 million during the six months ended June 30, 2016 and 2015, respectively, which is included in compensation and benefits expense on the unaudited condensed consolidated statements of income. As of June 30, 2016, total unrecognized compensation cost for restricted stock awards granted to directors and restricted stock units granted to employees and officers was $12.9 million, which is expected to be recognized over a weighted-average remaining period of 2.04 years.</w:t>
      </w:r>
    </w:p>
    <w:p>
      <w:pPr>
        <w:spacing w:after="0" w:line="21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also grants restricted stock units to its advisors and to financial institutions. Share-based compensation is based on the fair value of the awards at each reporting period. The Company recognized share-based compensation of $0.3 million and $0.7 million related to the vesting of these restricted stock units during the three months ended June 30, 2016 and 2015, respectively, and $(0.8) million and $ 1.1 million during the six months ended June 30, 2016 and 2015, respectively, which is classified within commission and advisory expense on the unaudited condensed consolidated statements of income. As of June 30, 2016, total unrecognized compensation cost for restricted stock units granted to advisors and financial institutions was $4.7 million, which is expected to be recognized over a weighted-average remaining period of 2.25 years.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is as follows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47,849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50,242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98,241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100,920</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88,992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96,136</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1,579</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89,699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97,239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89,669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97,715</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June 30, 2016 and 2015, stock options, warrants, and restricted stock units representing common share equivalents of 4,862,540 shares and 2,499,426 shares, respectively, were anti-dilutive. For the six months ended June 30, 2016 and 2015, stock options, warrants, and restricted stock units representing common share equivalents of 4,845,406 shares and 2,342,576 shares, respectively, were anti-dilutive.</w:t>
      </w:r>
    </w:p>
    <w:p>
      <w:pPr>
        <w:spacing w:after="0" w:line="21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500" w:firstLine="405"/>
        <w:spacing w:after="0" w:line="250"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40.0%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40.3% for the three months ended June 30, 2016 and 2015, respectively, and 40.2% and 40.2% for the six months ended June 30, 2016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2015, respectively.</w:t>
      </w:r>
    </w:p>
    <w:p>
      <w:pPr>
        <w:spacing w:after="0" w:line="225"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Company has related party transactions with certain portfolio companies of TPG Capital, a 9.9% shareholder of the Company's common stock and a firm of which one of our directors previously served as a partner. During the six months ended June 30, 2016 and 2015, the Company recognized revenue for services provided to these portfolio companies of TPG Capital of $0 and $0.6 million, respectively. The Company incurred expenses for services provided by certain of the TPG portfolio companies of $0 and $2.3 million during the six months ended June 30, 2016 and 2015, respectively. As of June 30, 2016 and 2015, receivables and payables from the TPG Capital portfolio companies were not material.</w:t>
      </w:r>
    </w:p>
    <w:p>
      <w:pPr>
        <w:spacing w:after="0" w:line="209"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Additionally, through its subsidiary LPL Financial, the Company provides services and charitable contributions to the LPL Financial Foundation, an organization that provides volunteer and financial support within the Company's local communities. During the six months ended June 30, 2016 and 2015, the Company had no material revenues or expenses recognized for services provided to or received from the LPL Financial Foundation.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1"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$109.0 million with a minimum net capital requirement of $6.0 million as of June 30, 2016.</w:t>
      </w:r>
    </w:p>
    <w:p>
      <w:pPr>
        <w:spacing w:after="0" w:line="204"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Company's subsidiary,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2016 and December 31, 2015, LPL Financial and PTC met all capital adequacy requirements to which they were subject.</w:t>
      </w:r>
    </w:p>
    <w:p>
      <w:pPr>
        <w:spacing w:after="0" w:line="25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or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On July 26, 2016, the Board of Directors declared a cash dividend of $0.25 per share on the Company's outstanding common stock to be paid on August 25, 2016 to all stockholders of record on August 11, 2016.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market risk resulting from system incidents and human error, which can require trade corrections for our customers.</w:t>
      </w:r>
    </w:p>
    <w:p>
      <w:pPr>
        <w:spacing w:after="0" w:line="22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Service, Trading, and Operations ("STO")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STO Department. Our Research Department develops model portfolios that are used by advisors in developing client portfolios. We currently maintain approximately 200 accounts based on model portfolios. At the time a portfolio is developed, we purchase the securities in that model portfolio in an amount equal to the account minimum for a client. Account minimums vary by product and can range from $5,000 to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At June 30, 2016, the fair value of our trading securities owned was $11.0 million. Securities sold, but not yet purchased were immaterial at June 30, 2016. The fair value of securities included within other assets was $123.3 million at June 30, 2016. See Note 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within the notes to the unaudited condensed consolidated financial statements for information regarding the fair value of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owned, securities sold, but not yet purchased, and other assets associated with our client facilitation activities. See Note 4.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the unaudited condensed consolidated financial statements for information regarding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held to maturity.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proprietary trading purposes.</w:t>
      </w:r>
    </w:p>
    <w:p>
      <w:pPr>
        <w:spacing w:after="0" w:line="225"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brokerage and advisory assets, assets on which trailing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June 30, 2016, all of the outstanding debt under our Credit Agreement, $2.2 billion, was subject to floating interest rate risk. While our senior secured term loans are subject to increases in interest rates, we do not believe that a short-term change in interest rates would have a material impact on our income before taxes given assets owned, which are subject to the same, but off-setting interest rate risk.</w:t>
      </w:r>
    </w:p>
    <w:p>
      <w:pPr>
        <w:spacing w:after="0" w:line="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June 30, 2016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Outstanding at</w:t>
            </w: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79"/>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50 Basis</w:t>
            </w:r>
          </w:p>
        </w:tc>
        <w:tc>
          <w:tcPr>
            <w:tcW w:w="120" w:type="dxa"/>
            <w:vAlign w:val="bottom"/>
          </w:tcPr>
          <w:p>
            <w:pPr>
              <w:spacing w:after="0"/>
              <w:rPr>
                <w:sz w:val="10"/>
                <w:szCs w:val="1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Variable Interest</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4,594</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Term Loan B</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1,746,823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15,333</w:t>
            </w:r>
          </w:p>
        </w:tc>
        <w:tc>
          <w:tcPr>
            <w:tcW w:w="0" w:type="dxa"/>
            <w:vAlign w:val="bottom"/>
          </w:tcPr>
          <w:p>
            <w:pPr>
              <w:spacing w:after="0"/>
              <w:rPr>
                <w:sz w:val="1"/>
                <w:szCs w:val="1"/>
                <w:color w:val="auto"/>
              </w:rPr>
            </w:pPr>
          </w:p>
        </w:tc>
      </w:tr>
      <w:tr>
        <w:trPr>
          <w:trHeight w:val="24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2,206,198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19,927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the unaudited condensed consolidated financial statements for additional information.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22" w:right="239" w:bottom="1440" w:gutter="0" w:footer="0" w:header="0"/>
        </w:sectPr>
      </w:pPr>
    </w:p>
    <w:bookmarkStart w:id="44" w:name="page45"/>
    <w:bookmarkEnd w:id="44"/>
    <w:p>
      <w:pPr>
        <w:ind w:right="20" w:firstLine="486"/>
        <w:spacing w:after="0" w:line="252" w:lineRule="auto"/>
        <w:rPr>
          <w:sz w:val="20"/>
          <w:szCs w:val="20"/>
          <w:color w:val="auto"/>
        </w:rPr>
      </w:pPr>
      <w:r>
        <w:rPr>
          <w:rFonts w:ascii="Arial" w:cs="Arial" w:eastAsia="Arial" w:hAnsi="Arial"/>
          <w:sz w:val="18"/>
          <w:szCs w:val="18"/>
          <w:color w:val="auto"/>
        </w:rPr>
        <w:t>As of June 30, 2016, we offered our advisors and their clients two primary cash sweep vehicles that are interest rate sensitive: our insured bank deposit sweep vehicle and a money market sweep vehicle involving multiple money market fund providers. While clients earn interest for balances on deposit in the insured bank deposit sweep vehicle, we earn a fee. Our fees from the insured bank deposit sweep vehicle are based on prevailing interest rates in the current interest rate environment. Changes in interest rates and fees for the insured bank deposit sweep vehicle are monitored by our Rate Setting Committee (the "RSC"), which governs and approves any changes to our fees. By meeting promptly around the time of Federal Open Market Committee meetings, or for other market or non-market reasons, the RSC considers financial risk of the insured bank deposit sweep vehicle relative to other products into which clients may move cash balances.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loans we extend to advisors to facilitate their transition to our platform or to fund their business development activities are not repaid in full or on time. Credit risk also includes the risk that collateral posted with LPL by clients to support margin lending or derivative trading is insufficient to meet client’s contractual obligations to LPL. We bear credit risk on the activities of our advisors’ clients, including the execution, settlement and financing of various transactions on behalf of these clients.</w:t>
      </w:r>
    </w:p>
    <w:p>
      <w:pPr>
        <w:spacing w:after="0" w:line="206"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clients' accounts is insufficient to fully cover losses from such investments, and our advisors fail to reimburse us for such losses. Our losses on margin accounts did not exceed $0.1 million during the six months ended June 30, 2016 and 2015.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 and damage to our reputation. Although we have developed business continuity and disaster recovery plans, those plans could be inadequate, disrupted or otherwise unsuccessful in protecting the continuity of critical systems. In order to assist in the mitigation and control of operational risk, we have an operational risk framework that enables assessment and reporting on operational risk across the firm. This framework helps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and Risks Related to Our Business Generally sections within Part I, “Item 1A. Risk Factors” in our 2015 Annual Report on Form 10-K for more information about the risks associated with our technology, including risks related to information security, our risk management policies and procedures and the potential related effects on our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82"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Regulatory and Legal Risk</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2015 Annual Report on Form 10-K. In recent years,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2015 Annual Report on Form 10-K for more information about the risks associated with operating within our regulatory environment, and the potential related effects 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operate a three lines of defense model whereby the primary ownership for risk and control processes is the responsibility of business and control owners who are the "first line" of defense in effectively managing risks. The first line is responsible for risk process ownership and is comprised of the business units, whose primary responsibility is for day-to-day compliance and risk management, including execution of desktop and supervisory procedures. These business owners and certain control owners implement and execute controls to manage risk, execute risk assessments, identify emerging risks, and comply with risk management policies. The second line of defense is comprised of departments within Governance, Risk and Compliance ("GRC"), STO, Business Technology Services ("BTS"), Finance, and Human Capital and this second line of defense provides risk and control assessment and oversight. The third line of defense is independent verification of the effectiveness of internal controls and is conducted by Internal Audit or in third-party reviews.</w:t>
      </w:r>
    </w:p>
    <w:p>
      <w:pPr>
        <w:spacing w:after="0" w:line="206"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of Directors (the “Board”) and certain of its committees; the Risk Oversight Committee of LPL Financial (the “ROC”) and its subcommittees; the Internal Audit Department and the GRC Department of LPL Financial; and business line management.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6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Risk Officer of LPL Financial serves as chair, and the Deputy Chief Risk Officer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Each member of the Management Committee of LPL Financial and two additional Managing Directors serve on the ROC. Other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22" w:right="259" w:bottom="1440" w:gutter="0" w:footer="0" w:header="0"/>
        </w:sectPr>
      </w:pPr>
    </w:p>
    <w:bookmarkStart w:id="46" w:name="page47"/>
    <w:bookmarkEnd w:id="46"/>
    <w:p>
      <w:pPr>
        <w:jc w:val="both"/>
        <w:ind w:right="8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and tips hotline allegations; and oversight of disclosures related to our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Another key control group is the STO Risk Management team. This team identifies, defines, and remediates risk-related items within STO and acts as the liaison between STO and GRC. We also consider the Internal Audit Department to be a control group.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STO and BTS, have dedicated personnel with responsibilities for monitoring and managing risk-related matters. Business lines are subject to oversight by the control groups, and the Finance, Legal, BTS, and Human Capital Departments also execute certain control functions and report matters to the ROC, Audit Committee, and Board as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Committee and Advisor Policies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to the ERM framework, the Management Committee of LPL Financial has established a Policy Committee to provide a centralized decision-making process for material policy issues that may arise on an ad hoc basis. The membership of the Policy Committee consists of a subset of the Management Committee and currently includes: the President, who serves as chair of the Policy Committee and the Managing Director, Chief Risk Officer. The Managing Director, Legal &amp; Government Relations, serves as a non-voting member. Among other issues, the Policy Committee addresses policy conflicts and potential conflicts that may arise from time to time from legal and regulatory requirements, business proposals, and practices throughout the Company as they relate to advisor-facing or public-facing issues. The Policy Committee is responsible for analyzing such issues, and either facilitating the policy decision or conflict resolution, or making the policy decision. The Policy Committee reports the results of its decisions or other resolutions to the Management Committee on an ad hoc basis.</w:t>
      </w:r>
    </w:p>
    <w:p>
      <w:pPr>
        <w:spacing w:after="0" w:line="206"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also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conduct and ethics to govern employee and advisor conduct, among other matters.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90"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second quarter ended June 30, 2016 that have materially affected, or are reasonably likely to materially affect, our internal control over financial reporting.</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22" w:right="2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right="1040" w:firstLine="486"/>
        <w:spacing w:after="0" w:line="262" w:lineRule="auto"/>
        <w:rPr>
          <w:sz w:val="20"/>
          <w:szCs w:val="20"/>
          <w:color w:val="auto"/>
        </w:rPr>
      </w:pPr>
      <w:r>
        <w:rPr>
          <w:rFonts w:ascii="Arial" w:cs="Arial" w:eastAsia="Arial" w:hAnsi="Arial"/>
          <w:sz w:val="18"/>
          <w:szCs w:val="18"/>
          <w:color w:val="auto"/>
        </w:rPr>
        <w:t>We are involved from time to time in routine legal proceedings occurring in the ordinary course of business. In the opinion of management, there are no matters outstanding that would have a material adverse impact on our operations or financial condition.</w:t>
      </w:r>
    </w:p>
    <w:p>
      <w:pPr>
        <w:spacing w:after="0" w:line="196"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pacing w:after="0" w:line="184" w:lineRule="exact"/>
        <w:rPr>
          <w:sz w:val="20"/>
          <w:szCs w:val="20"/>
          <w:color w:val="auto"/>
        </w:rPr>
      </w:pPr>
    </w:p>
    <w:p>
      <w:pPr>
        <w:ind w:right="620" w:firstLine="486"/>
        <w:spacing w:after="0" w:line="282" w:lineRule="auto"/>
        <w:rPr>
          <w:sz w:val="20"/>
          <w:szCs w:val="20"/>
          <w:color w:val="auto"/>
        </w:rPr>
      </w:pPr>
      <w:r>
        <w:rPr>
          <w:rFonts w:ascii="Arial" w:cs="Arial" w:eastAsia="Arial" w:hAnsi="Arial"/>
          <w:sz w:val="18"/>
          <w:szCs w:val="18"/>
          <w:color w:val="333333"/>
        </w:rPr>
        <w:t>For a discussion of legal proceedings, s</w:t>
      </w:r>
      <w:r>
        <w:rPr>
          <w:rFonts w:ascii="Arial" w:cs="Arial" w:eastAsia="Arial" w:hAnsi="Arial"/>
          <w:sz w:val="18"/>
          <w:szCs w:val="18"/>
          <w:color w:val="252525"/>
        </w:rPr>
        <w:t>ee</w:t>
      </w:r>
      <w:r>
        <w:rPr>
          <w:rFonts w:ascii="Arial" w:cs="Arial" w:eastAsia="Arial" w:hAnsi="Arial"/>
          <w:sz w:val="18"/>
          <w:szCs w:val="18"/>
          <w:color w:val="333333"/>
        </w:rPr>
        <w:t xml:space="preserve"> </w:t>
      </w:r>
      <w:r>
        <w:rPr>
          <w:rFonts w:ascii="Arial" w:cs="Arial" w:eastAsia="Arial" w:hAnsi="Arial"/>
          <w:sz w:val="18"/>
          <w:szCs w:val="18"/>
          <w:color w:val="000000"/>
        </w:rPr>
        <w:t>Note 8.</w:t>
      </w:r>
      <w:r>
        <w:rPr>
          <w:rFonts w:ascii="Arial" w:cs="Arial" w:eastAsia="Arial" w:hAnsi="Arial"/>
          <w:sz w:val="18"/>
          <w:szCs w:val="18"/>
          <w:color w:val="333333"/>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333333"/>
        </w:rPr>
        <w:t xml:space="preserve"> </w:t>
      </w:r>
      <w:r>
        <w:rPr>
          <w:rFonts w:ascii="Arial" w:cs="Arial" w:eastAsia="Arial" w:hAnsi="Arial"/>
          <w:sz w:val="18"/>
          <w:szCs w:val="18"/>
          <w:color w:val="252525"/>
        </w:rPr>
        <w:t>within the notes to the unaudited condensed</w:t>
      </w:r>
      <w:r>
        <w:rPr>
          <w:rFonts w:ascii="Arial" w:cs="Arial" w:eastAsia="Arial" w:hAnsi="Arial"/>
          <w:sz w:val="18"/>
          <w:szCs w:val="18"/>
          <w:color w:val="333333"/>
        </w:rPr>
        <w:t xml:space="preserve"> </w:t>
      </w:r>
      <w:r>
        <w:rPr>
          <w:rFonts w:ascii="Arial" w:cs="Arial" w:eastAsia="Arial" w:hAnsi="Arial"/>
          <w:sz w:val="18"/>
          <w:szCs w:val="18"/>
          <w:color w:val="252525"/>
        </w:rPr>
        <w:t>consolidated financial statements for disclosure of matters related to regulatory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2015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June 30,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04"/>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jc w:val="right"/>
              <w:ind w:right="43"/>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60" w:type="dxa"/>
            <w:vAlign w:val="bottom"/>
          </w:tcPr>
          <w:p>
            <w:pPr>
              <w:jc w:val="right"/>
              <w:ind w:right="163"/>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per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24"/>
              <w:spacing w:after="0"/>
              <w:rPr>
                <w:sz w:val="20"/>
                <w:szCs w:val="20"/>
                <w:color w:val="auto"/>
              </w:rPr>
            </w:pPr>
            <w:r>
              <w:rPr>
                <w:rFonts w:ascii="Arial" w:cs="Arial" w:eastAsia="Arial" w:hAnsi="Arial"/>
                <w:sz w:val="14"/>
                <w:szCs w:val="14"/>
                <w:b w:val="1"/>
                <w:bCs w:val="1"/>
                <w:color w:val="auto"/>
              </w:rPr>
              <w:t>Under the Programs</w:t>
            </w:r>
          </w:p>
        </w:tc>
        <w:tc>
          <w:tcPr>
            <w:tcW w:w="0" w:type="dxa"/>
            <w:vAlign w:val="bottom"/>
          </w:tcPr>
          <w:p>
            <w:pPr>
              <w:spacing w:after="0"/>
              <w:rPr>
                <w:sz w:val="1"/>
                <w:szCs w:val="1"/>
                <w:color w:val="auto"/>
              </w:rPr>
            </w:pPr>
          </w:p>
        </w:tc>
      </w:tr>
      <w:tr>
        <w:trPr>
          <w:trHeight w:val="162"/>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jc w:val="right"/>
              <w:ind w:right="123"/>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center"/>
              <w:ind w:right="104"/>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April 1, 2016 through April 30, 2016</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May 1, 2016 through May 31, 2016</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580" w:type="dxa"/>
            <w:vAlign w:val="bottom"/>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June 1, 2016 through June 30, 2016</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4"/>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6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1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On October 25, 2015 the Board of Directors authorized an increase to the share repurchase program of up to $500.0 million of shares of common stock. There were no share repurchases in the three months ended June 30, 2016. See Note 9.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unaudited condensed consolidated financial statements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1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271"/>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0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 (1)</w:t>
            </w:r>
          </w:p>
        </w:tc>
      </w:tr>
      <w:tr>
        <w:trPr>
          <w:trHeight w:val="29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00" w:type="dxa"/>
            <w:vAlign w:val="bottom"/>
          </w:tcPr>
          <w:p>
            <w:pPr>
              <w:ind w:left="180"/>
              <w:spacing w:after="0"/>
              <w:rPr>
                <w:sz w:val="20"/>
                <w:szCs w:val="20"/>
                <w:color w:val="auto"/>
              </w:rPr>
            </w:pPr>
            <w:r>
              <w:rPr>
                <w:rFonts w:ascii="Arial" w:cs="Arial" w:eastAsia="Arial" w:hAnsi="Arial"/>
                <w:sz w:val="18"/>
                <w:szCs w:val="18"/>
                <w:color w:val="auto"/>
                <w:w w:val="99"/>
              </w:rPr>
              <w:t>Certificate of Ownership and Merger Merging LPL Financial Holdings Inc. with and into LPL Investment Holdings Inc., dated</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June 14, 2012. (2)</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of LPL Financial Holdings Inc., dated</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May 8, 2014. (3)</w:t>
            </w:r>
          </w:p>
        </w:tc>
      </w:tr>
      <w:tr>
        <w:trPr>
          <w:trHeight w:val="311"/>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00" w:type="dxa"/>
            <w:vAlign w:val="bottom"/>
          </w:tcPr>
          <w:p>
            <w:pPr>
              <w:ind w:left="180"/>
              <w:spacing w:after="0"/>
              <w:rPr>
                <w:sz w:val="20"/>
                <w:szCs w:val="20"/>
                <w:color w:val="auto"/>
              </w:rPr>
            </w:pPr>
            <w:r>
              <w:rPr>
                <w:rFonts w:ascii="Arial" w:cs="Arial" w:eastAsia="Arial" w:hAnsi="Arial"/>
                <w:sz w:val="18"/>
                <w:szCs w:val="18"/>
                <w:color w:val="auto"/>
              </w:rPr>
              <w:t>Fifth Amended and Restated Bylaws of LPL Financial Holdings Inc. (4)</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00" w:type="dxa"/>
            <w:vAlign w:val="bottom"/>
          </w:tcPr>
          <w:p>
            <w:pPr>
              <w:ind w:left="180"/>
              <w:spacing w:after="0"/>
              <w:rPr>
                <w:sz w:val="20"/>
                <w:szCs w:val="20"/>
                <w:color w:val="auto"/>
              </w:rPr>
            </w:pPr>
            <w:r>
              <w:rPr>
                <w:rFonts w:ascii="Arial" w:cs="Arial" w:eastAsia="Arial" w:hAnsi="Arial"/>
                <w:sz w:val="18"/>
                <w:szCs w:val="18"/>
                <w:color w:val="auto"/>
              </w:rPr>
              <w:t>LPL Financial Holdings Inc. Amended and Restated Non-Employee Director Compensation Policy*</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0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56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0" w:lineRule="exact"/>
        <w:rPr>
          <w:sz w:val="20"/>
          <w:szCs w:val="20"/>
          <w:color w:val="auto"/>
        </w:rPr>
      </w:pPr>
    </w:p>
    <w:p>
      <w:pPr>
        <w:ind w:left="1420" w:hanging="442"/>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420" w:right="2000" w:hanging="532"/>
        <w:spacing w:after="0" w:line="246"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w:t>
      </w:r>
    </w:p>
    <w:p>
      <w:pPr>
        <w:spacing w:after="0" w:line="34" w:lineRule="exact"/>
        <w:rPr>
          <w:rFonts w:ascii="Arial" w:cs="Arial" w:eastAsia="Arial" w:hAnsi="Arial"/>
          <w:sz w:val="18"/>
          <w:szCs w:val="18"/>
          <w:color w:val="auto"/>
        </w:rPr>
      </w:pPr>
    </w:p>
    <w:p>
      <w:pPr>
        <w:ind w:left="1420" w:hanging="532"/>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w:t>
      </w:r>
    </w:p>
    <w:p>
      <w:pPr>
        <w:spacing w:after="0" w:line="63" w:lineRule="exact"/>
        <w:rPr>
          <w:rFonts w:ascii="Arial" w:cs="Arial" w:eastAsia="Arial" w:hAnsi="Arial"/>
          <w:sz w:val="18"/>
          <w:szCs w:val="18"/>
          <w:color w:val="auto"/>
        </w:rPr>
      </w:pPr>
    </w:p>
    <w:p>
      <w:pPr>
        <w:ind w:left="1420" w:hanging="532"/>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9, 2014.</w:t>
      </w:r>
    </w:p>
    <w:p>
      <w:pPr>
        <w:spacing w:after="0" w:line="63" w:lineRule="exact"/>
        <w:rPr>
          <w:rFonts w:ascii="Arial" w:cs="Arial" w:eastAsia="Arial" w:hAnsi="Arial"/>
          <w:sz w:val="18"/>
          <w:szCs w:val="18"/>
          <w:color w:val="auto"/>
        </w:rPr>
      </w:pPr>
    </w:p>
    <w:p>
      <w:pPr>
        <w:ind w:left="1420" w:hanging="532"/>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12, 2014.</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360" w:right="419" w:bottom="1440" w:gutter="0" w:footer="0" w:header="0"/>
        </w:sectPr>
      </w:pPr>
    </w:p>
    <w:bookmarkStart w:id="50" w:name="page51"/>
    <w:bookmarkEnd w:id="50"/>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July 29, 2016</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720" w:val="left"/>
        </w:tabs>
        <w:rPr>
          <w:sz w:val="20"/>
          <w:szCs w:val="20"/>
          <w:color w:val="auto"/>
        </w:rPr>
      </w:pPr>
      <w:r>
        <w:rPr>
          <w:rFonts w:ascii="Arial" w:cs="Arial" w:eastAsia="Arial" w:hAnsi="Arial"/>
          <w:sz w:val="18"/>
          <w:szCs w:val="18"/>
          <w:color w:val="auto"/>
        </w:rPr>
        <w:t>Date: July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Matthew J. Audette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60"/>
          </w:cols>
          <w:pgMar w:left="240" w:top="360" w:right="7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Non-Employee Director Compensation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w:t>
      </w:r>
    </w:p>
    <w:p>
      <w:pPr>
        <w:spacing w:after="0" w:line="139" w:lineRule="exact"/>
        <w:rPr>
          <w:sz w:val="20"/>
          <w:szCs w:val="20"/>
          <w:color w:val="auto"/>
        </w:rPr>
      </w:pPr>
    </w:p>
    <w:p>
      <w:pPr>
        <w:jc w:val="both"/>
        <w:ind w:left="34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non-employee directors receive an annual retainer of $195,000, which is paid in advance on the next business day following the Company’s annual meeting of stockholders (the “Annual Payment Date”). Of this amount, $65,000 is paid in a lump sum in cash and $130,000 is paid in the form of restricted shares of the Company’s common stock (the “Common Stock”).</w:t>
      </w:r>
    </w:p>
    <w:p>
      <w:pPr>
        <w:spacing w:after="0" w:line="93"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restricted shares are issued under the Company’s Amended and Restated 2010 Omnibus Equity Incentive Plan (the “2010 Plan”) and vest in full on the first anniversary of the Annual Payment Date. The number of restricted shares is determined by dividing $130,000 by the average of the closing price per share of the Common Stock on The NASDAQ Stock Market for the trailing thirty consecutive trading days inclusive of the Annual Payment Date (the “Grant Price”).</w:t>
      </w:r>
    </w:p>
    <w:p>
      <w:pPr>
        <w:spacing w:after="0" w:line="96"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lieu of the above cash payment, a non-employee director may make an election (an “Election”) to be issued, on the Annual Payment Date, a number of shares of the Common Stock under the 2010 Plan determined by dividing $65,000 by the Grant Price. An Election must be delivered in writing (including electronic mail) prior to the Annual Payment Date during an open trading window under the Company’s insider trading policy.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Service Retainers</w:t>
      </w:r>
    </w:p>
    <w:p>
      <w:pPr>
        <w:spacing w:after="0" w:line="139" w:lineRule="exact"/>
        <w:rPr>
          <w:sz w:val="20"/>
          <w:szCs w:val="20"/>
          <w:color w:val="auto"/>
        </w:rPr>
      </w:pPr>
    </w:p>
    <w:p>
      <w:pPr>
        <w:ind w:left="340" w:hanging="332"/>
        <w:spacing w:after="0" w:line="26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Members of the standing committees of the Board of Directors receive annual service retainers in the following amounts, paid in cash in quarterly installments following the end of each quarter of service:</w:t>
      </w:r>
    </w:p>
    <w:p>
      <w:pPr>
        <w:spacing w:after="0" w:line="120" w:lineRule="exact"/>
        <w:rPr>
          <w:sz w:val="20"/>
          <w:szCs w:val="20"/>
          <w:color w:val="auto"/>
        </w:rPr>
      </w:pPr>
    </w:p>
    <w:tbl>
      <w:tblPr>
        <w:tblLayout w:type="fixed"/>
        <w:tblInd w:w="440" w:type="dxa"/>
        <w:tblCellMar>
          <w:top w:w="0" w:type="dxa"/>
          <w:left w:w="0" w:type="dxa"/>
          <w:bottom w:w="0" w:type="dxa"/>
          <w:right w:w="0" w:type="dxa"/>
        </w:tblCellMar>
      </w:tblPr>
      <w:tr>
        <w:trPr>
          <w:trHeight w:val="239"/>
        </w:trPr>
        <w:tc>
          <w:tcPr>
            <w:tcW w:w="5140" w:type="dxa"/>
            <w:vAlign w:val="bottom"/>
          </w:tcPr>
          <w:p>
            <w:pPr>
              <w:spacing w:after="0"/>
              <w:rPr>
                <w:sz w:val="20"/>
                <w:szCs w:val="20"/>
                <w:color w:val="auto"/>
              </w:rPr>
            </w:pPr>
          </w:p>
        </w:tc>
        <w:tc>
          <w:tcPr>
            <w:tcW w:w="25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Chair</w:t>
            </w: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Each Other Member</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Audit Committee</w:t>
            </w:r>
          </w:p>
        </w:tc>
        <w:tc>
          <w:tcPr>
            <w:tcW w:w="25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$20,000</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Compensation and Human Resources Committee</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$15,000</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Nominating and Governance Committee</w:t>
            </w:r>
          </w:p>
        </w:tc>
        <w:tc>
          <w:tcPr>
            <w:tcW w:w="2520" w:type="dxa"/>
            <w:vAlign w:val="bottom"/>
          </w:tcPr>
          <w:p>
            <w:pPr>
              <w:jc w:val="right"/>
              <w:ind w:right="170"/>
              <w:spacing w:after="0"/>
              <w:rPr>
                <w:sz w:val="20"/>
                <w:szCs w:val="20"/>
                <w:color w:val="auto"/>
              </w:rPr>
            </w:pPr>
            <w:r>
              <w:rPr>
                <w:rFonts w:ascii="Arial" w:cs="Arial" w:eastAsia="Arial" w:hAnsi="Arial"/>
                <w:sz w:val="18"/>
                <w:szCs w:val="18"/>
                <w:color w:val="auto"/>
              </w:rPr>
              <w:t>$10,000</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hanging="332"/>
        <w:spacing w:after="0" w:line="26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Lead Director receives an annual service retainer of $25,000, paid in cash in quarterly installments following the end of each quarter of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Elected Directors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a non-employee director’s initial election to the Board of Directors other than at an annual meeting of stockholders, he or she will receive a portion of the annual retainer (the “Pro-Rated Retainer”), payable on the first business day of the month immediately following such election (the “Election Payment Date”).</w:t>
      </w:r>
    </w:p>
    <w:p>
      <w:pPr>
        <w:spacing w:after="0" w:line="94" w:lineRule="exact"/>
        <w:rPr>
          <w:sz w:val="20"/>
          <w:szCs w:val="20"/>
          <w:color w:val="auto"/>
        </w:rPr>
      </w:pPr>
    </w:p>
    <w:p>
      <w:pPr>
        <w:jc w:val="both"/>
        <w:ind w:left="340" w:hanging="332"/>
        <w:spacing w:after="0" w:line="25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cash portion of the Pro-Rated Retainer will be calculated by multiplying $65,000 by a fraction, the numerator of which is the number of full months between the Election Payment Date and the first anniversary of the most recent Annual Payment Date and the denominator of which is 12 (the “Cash Amount”).</w:t>
      </w:r>
    </w:p>
    <w:p>
      <w:pPr>
        <w:spacing w:after="0" w:line="93"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restricted shares to be issued will be determined by (i) multiplying $130,000 by a fraction, the numerator of which is the number of full months between the Election Payment Date and the first anniversary of the most recent Annual Payment Date and the denominator of which is 12, and (ii) dividing such product by the average of the closing price per share of the Common Stock on The NASDAQ Stock Market for the trailing thirty consecutive trading days inclusive of the Election Payment Date. The restricted shares will be issued under the 2010 Plan and vest in full on the first anniversary of the most recent Annual Payment Date.</w:t>
      </w:r>
    </w:p>
    <w:p>
      <w:pPr>
        <w:spacing w:after="0" w:line="97"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lieu of the above cash payment, a non-employee director may make an election to be issued, on the Election Payment Date, a number of shares of Common Stock under the 2010 Plan determined by dividing the Cash Amount by the average of the closing price per share of the Common Stock on The NASDAQ Stock Market for the trailing thirty consecutive trading days inclusive of the Election Payment Date. Such an election must be delivered in writing (including electronic mail) on or prior to the date of the director’s election to the Board of Directors.</w:t>
      </w:r>
    </w:p>
    <w:p>
      <w:pPr>
        <w:sectPr>
          <w:pgSz w:w="11900" w:h="16838" w:orient="portrait"/>
          <w:cols w:equalWidth="0" w:num="1">
            <w:col w:w="11420"/>
          </w:cols>
          <w:pgMar w:left="240" w:top="360" w:right="239" w:bottom="1440" w:gutter="0" w:footer="0" w:header="0"/>
        </w:sectPr>
      </w:pPr>
    </w:p>
    <w:bookmarkStart w:id="52" w:name="page53"/>
    <w:bookmarkEnd w:id="52"/>
    <w:p>
      <w:pPr>
        <w:spacing w:after="0" w:line="262" w:lineRule="auto"/>
        <w:rPr>
          <w:sz w:val="20"/>
          <w:szCs w:val="20"/>
          <w:color w:val="auto"/>
        </w:rPr>
      </w:pPr>
      <w:r>
        <w:rPr>
          <w:rFonts w:ascii="Arial" w:cs="Arial" w:eastAsia="Arial" w:hAnsi="Arial"/>
          <w:sz w:val="18"/>
          <w:szCs w:val="18"/>
          <w:color w:val="auto"/>
        </w:rPr>
        <w:t>Newly elected directors, and directors who are newly appointed to a committee, will also be entitled to pro-rated service retainers for any full month following his or her initial appointment to a committee of the Board of Directors.</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discretion of the Board of Directors, the grant date of shares of Common Stock, including restricted shares, may be delayed until the next open trading window under the Company’s insider trading policy then in effect.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as of May 10, 2016</w:t>
      </w:r>
    </w:p>
    <w:p>
      <w:pPr>
        <w:sectPr>
          <w:pgSz w:w="11900" w:h="16838" w:orient="portrait"/>
          <w:cols w:equalWidth="0" w:num="1">
            <w:col w:w="11400"/>
          </w:cols>
          <w:pgMar w:left="240" w:top="382"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33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Audette, certify that:</w:t>
      </w:r>
    </w:p>
    <w:p>
      <w:pPr>
        <w:spacing w:after="0" w:line="333"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jc w:val="both"/>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2016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jc w:val="both"/>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2016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2016</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lvl w:ilvl="1">
      <w:lvlJc w:val="left"/>
      <w:lvlText w:val="(%2)"/>
      <w:numFmt w:val="lowerLetter"/>
      <w:start w:val="1"/>
    </w:lvl>
  </w:abstractNum>
  <w:abstractNum w:abstractNumId="4">
    <w:nsid w:val="333AB105"/>
    <w:multiLevelType w:val="hybridMultilevel"/>
    <w:lvl w:ilvl="0">
      <w:lvlJc w:val="left"/>
      <w:lvlText w:val="(%1)"/>
      <w:numFmt w:val="decimal"/>
      <w:start w:val="2"/>
    </w:lvl>
    <w:lvl w:ilvl="1">
      <w:lvlJc w:val="left"/>
      <w:lvlText w:val="%2"/>
      <w:numFmt w:val="lowerLetter"/>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2"/>
    </w:lvl>
  </w:abstractNum>
  <w:abstractNum w:abstractNumId="12">
    <w:nsid w:val="4353D0CD"/>
    <w:multiLevelType w:val="hybridMultilevel"/>
    <w:lvl w:ilvl="0">
      <w:lvlJc w:val="left"/>
      <w:lvlText w:val="%1."/>
      <w:numFmt w:val="decimal"/>
      <w:start w:val="3"/>
    </w:lvl>
  </w:abstractNum>
  <w:abstractNum w:abstractNumId="13">
    <w:nsid w:val="B03E0C6"/>
    <w:multiLevelType w:val="hybridMultilevel"/>
    <w:lvl w:ilvl="0">
      <w:lvlJc w:val="left"/>
      <w:lvlText w:val="%1."/>
      <w:numFmt w:val="decimal"/>
      <w:start w:val="4"/>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6"/>
    </w:lvl>
  </w:abstractNum>
  <w:abstractNum w:abstractNumId="16">
    <w:nsid w:val="71F32454"/>
    <w:multiLevelType w:val="hybridMultilevel"/>
    <w:lvl w:ilvl="0">
      <w:lvlJc w:val="left"/>
      <w:lvlText w:val="%1."/>
      <w:numFmt w:val="decimal"/>
      <w:start w:val="7"/>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8"/>
    </w:lvl>
  </w:abstractNum>
  <w:abstractNum w:abstractNumId="19">
    <w:nsid w:val="2901D82"/>
    <w:multiLevelType w:val="hybridMultilevel"/>
    <w:lvl w:ilvl="0">
      <w:lvlJc w:val="left"/>
      <w:lvlText w:val="%1."/>
      <w:numFmt w:val="decimal"/>
      <w:start w:val="9"/>
    </w:lvl>
  </w:abstractNum>
  <w:abstractNum w:abstractNumId="20">
    <w:nsid w:val="3A95F874"/>
    <w:multiLevelType w:val="hybridMultilevel"/>
    <w:lvl w:ilvl="0">
      <w:lvlJc w:val="left"/>
      <w:lvlText w:val="%1."/>
      <w:numFmt w:val="decimal"/>
      <w:start w:val="10"/>
    </w:lvl>
  </w:abstractNum>
  <w:abstractNum w:abstractNumId="21">
    <w:nsid w:val="8138641"/>
    <w:multiLevelType w:val="hybridMultilevel"/>
    <w:lvl w:ilvl="0">
      <w:lvlJc w:val="left"/>
      <w:lvlText w:val="%1."/>
      <w:numFmt w:val="decimal"/>
      <w:start w:val="11"/>
    </w:lvl>
  </w:abstractNum>
  <w:abstractNum w:abstractNumId="22">
    <w:nsid w:val="1E7FF521"/>
    <w:multiLevelType w:val="hybridMultilevel"/>
    <w:lvl w:ilvl="0">
      <w:lvlJc w:val="left"/>
      <w:lvlText w:val="%1."/>
      <w:numFmt w:val="decimal"/>
      <w:start w:val="12"/>
    </w:lvl>
  </w:abstractNum>
  <w:abstractNum w:abstractNumId="23">
    <w:nsid w:val="7C3DBD3D"/>
    <w:multiLevelType w:val="hybridMultilevel"/>
    <w:lvl w:ilvl="0">
      <w:lvlJc w:val="left"/>
      <w:lvlText w:val="%1."/>
      <w:numFmt w:val="decimal"/>
      <w:start w:val="13"/>
    </w:lvl>
  </w:abstractNum>
  <w:abstractNum w:abstractNumId="24">
    <w:nsid w:val="737B8DDC"/>
    <w:multiLevelType w:val="hybridMultilevel"/>
    <w:lvl w:ilvl="0">
      <w:lvlJc w:val="left"/>
      <w:lvlText w:val="%1."/>
      <w:numFmt w:val="decimal"/>
      <w:start w:val="14"/>
    </w:lvl>
  </w:abstractNum>
  <w:abstractNum w:abstractNumId="25">
    <w:nsid w:val="6CEAF087"/>
    <w:multiLevelType w:val="hybridMultilevel"/>
    <w:lvl w:ilvl="0">
      <w:lvlJc w:val="left"/>
      <w:lvlText w:val="%1."/>
      <w:numFmt w:val="decimal"/>
      <w:start w:val="15"/>
    </w:lvl>
  </w:abstractNum>
  <w:abstractNum w:abstractNumId="26">
    <w:nsid w:val="22221A70"/>
    <w:multiLevelType w:val="hybridMultilevel"/>
    <w:lvl w:ilvl="0">
      <w:lvlJc w:val="left"/>
      <w:lvlText w:val="%1."/>
      <w:numFmt w:val="decimal"/>
      <w:start w:val="16"/>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2019-12-29T11:26:07Z</dcterms:created>
  <dcterms:modified xsi:type="dcterms:W3CDTF">2019-12-29T11:26:07Z</dcterms:modified>
</cp:coreProperties>
</file>